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D7" w:rsidRPr="000652EE" w:rsidRDefault="00B051D7" w:rsidP="00B051D7">
      <w:pPr>
        <w:jc w:val="center"/>
        <w:rPr>
          <w:b/>
        </w:rPr>
      </w:pPr>
      <w:r w:rsidRPr="000652EE">
        <w:rPr>
          <w:b/>
        </w:rPr>
        <w:t>Pershing Square Holdings, Ltd. Annou</w:t>
      </w:r>
      <w:r w:rsidR="008F7287" w:rsidRPr="000652EE">
        <w:rPr>
          <w:b/>
        </w:rPr>
        <w:t>nces Transactions in Own Shares</w:t>
      </w:r>
    </w:p>
    <w:p w:rsidR="00B051D7" w:rsidRDefault="00B051D7" w:rsidP="00B051D7"/>
    <w:p w:rsidR="006A577C" w:rsidRDefault="00B051D7" w:rsidP="00B051D7">
      <w:r w:rsidRPr="000652EE">
        <w:t>London</w:t>
      </w:r>
      <w:r w:rsidR="000652EE">
        <w:t xml:space="preserve">, </w:t>
      </w:r>
      <w:r w:rsidR="00446380">
        <w:t>2</w:t>
      </w:r>
      <w:r w:rsidR="007D1200">
        <w:t>3</w:t>
      </w:r>
      <w:r w:rsidR="00CC3394">
        <w:t xml:space="preserve"> </w:t>
      </w:r>
      <w:r w:rsidR="005A581F">
        <w:t>November</w:t>
      </w:r>
      <w:r>
        <w:t xml:space="preserve"> 2017 //- Pershing Square Holdings, Ltd. </w:t>
      </w:r>
      <w:r w:rsidR="00962ED4" w:rsidRPr="00962ED4">
        <w:t xml:space="preserve">(LN:PSH) (NA:PSH) </w:t>
      </w:r>
      <w:r>
        <w:t>today announces that it has purchased, through PSH’s agent, Jefferies International Limited (“Jefferies”), the following number of PSH’s ordinary shares of no par value (ISIN Code: GG00BPFJTF46) (the "Shares"):</w:t>
      </w:r>
    </w:p>
    <w:p w:rsidR="006A577C" w:rsidRDefault="006A577C" w:rsidP="00B051D7">
      <w:pPr>
        <w:jc w:val="both"/>
      </w:pPr>
    </w:p>
    <w:p w:rsidR="009A4EA4" w:rsidRDefault="009A4EA4" w:rsidP="00B051D7"/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148"/>
      </w:tblGrid>
      <w:tr w:rsidR="006A577C" w:rsidTr="00BB13A9">
        <w:tc>
          <w:tcPr>
            <w:tcW w:w="3600" w:type="dxa"/>
          </w:tcPr>
          <w:p w:rsidR="006A577C" w:rsidRPr="00BB13A9" w:rsidRDefault="006A577C" w:rsidP="00B71541">
            <w:pPr>
              <w:ind w:left="-108"/>
              <w:rPr>
                <w:b/>
              </w:rPr>
            </w:pPr>
            <w:r w:rsidRPr="00BB13A9">
              <w:rPr>
                <w:b/>
              </w:rPr>
              <w:t xml:space="preserve">Trading Venue: </w:t>
            </w:r>
          </w:p>
        </w:tc>
        <w:tc>
          <w:tcPr>
            <w:tcW w:w="5148" w:type="dxa"/>
          </w:tcPr>
          <w:p w:rsidR="006A577C" w:rsidRPr="00BB13A9" w:rsidRDefault="006A577C" w:rsidP="00B71541">
            <w:pPr>
              <w:spacing w:after="240"/>
              <w:ind w:left="-108"/>
              <w:rPr>
                <w:b/>
              </w:rPr>
            </w:pPr>
            <w:r w:rsidRPr="00BB13A9">
              <w:rPr>
                <w:b/>
              </w:rPr>
              <w:t>London Stock Exchange</w:t>
            </w: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</w:pPr>
            <w:r>
              <w:t>Date of purchase:</w:t>
            </w:r>
          </w:p>
        </w:tc>
        <w:tc>
          <w:tcPr>
            <w:tcW w:w="5148" w:type="dxa"/>
          </w:tcPr>
          <w:p w:rsidR="00A94C27" w:rsidRDefault="007B058E" w:rsidP="00A94C27">
            <w:pPr>
              <w:ind w:left="-108"/>
            </w:pPr>
            <w:r>
              <w:t xml:space="preserve"> </w:t>
            </w:r>
            <w:r w:rsidR="00446380">
              <w:t>2</w:t>
            </w:r>
            <w:r w:rsidR="007D1200">
              <w:t>3</w:t>
            </w:r>
            <w:r w:rsidR="00CC3394">
              <w:t xml:space="preserve"> </w:t>
            </w:r>
            <w:r w:rsidR="005A581F">
              <w:t>November</w:t>
            </w:r>
            <w:r w:rsidR="00CC3394">
              <w:t xml:space="preserve"> </w:t>
            </w:r>
            <w:r w:rsidR="00A94C27" w:rsidRPr="0008520B">
              <w:t>2017</w:t>
            </w:r>
          </w:p>
          <w:p w:rsidR="00A94C27" w:rsidRDefault="00A94C27" w:rsidP="00A94C27">
            <w:pPr>
              <w:ind w:left="-108"/>
            </w:pP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  <w:jc w:val="both"/>
            </w:pPr>
            <w:r>
              <w:t>Number of Shares purchased:</w:t>
            </w:r>
          </w:p>
        </w:tc>
        <w:tc>
          <w:tcPr>
            <w:tcW w:w="5148" w:type="dxa"/>
          </w:tcPr>
          <w:p w:rsidR="00A94C27" w:rsidRPr="00597F4A" w:rsidRDefault="00E030CE" w:rsidP="00A94C27">
            <w:pPr>
              <w:ind w:left="-108"/>
              <w:jc w:val="both"/>
            </w:pPr>
            <w:r>
              <w:t xml:space="preserve"> </w:t>
            </w:r>
            <w:r w:rsidR="00166455">
              <w:t xml:space="preserve">7,211 </w:t>
            </w:r>
            <w:r w:rsidR="00CA291E">
              <w:t xml:space="preserve"> </w:t>
            </w:r>
            <w:r w:rsidR="00A94C27" w:rsidRPr="00597F4A">
              <w:t>Shares</w:t>
            </w:r>
          </w:p>
          <w:p w:rsidR="00A94C27" w:rsidRPr="006C664E" w:rsidRDefault="00A94C27" w:rsidP="00A94C27">
            <w:pPr>
              <w:ind w:left="-108"/>
              <w:jc w:val="both"/>
              <w:rPr>
                <w:highlight w:val="yellow"/>
              </w:rPr>
            </w:pP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  <w:jc w:val="both"/>
            </w:pPr>
            <w:r>
              <w:t>Highest price paid per Share:</w:t>
            </w:r>
          </w:p>
          <w:p w:rsidR="00A94C27" w:rsidRDefault="00A94C27" w:rsidP="00A94C27">
            <w:pPr>
              <w:ind w:left="-108"/>
              <w:jc w:val="both"/>
            </w:pPr>
          </w:p>
        </w:tc>
        <w:tc>
          <w:tcPr>
            <w:tcW w:w="5148" w:type="dxa"/>
          </w:tcPr>
          <w:p w:rsidR="00A94C27" w:rsidRPr="006C664E" w:rsidRDefault="001862EF" w:rsidP="003D1ADB">
            <w:pPr>
              <w:ind w:left="-108"/>
              <w:jc w:val="both"/>
              <w:rPr>
                <w:highlight w:val="yellow"/>
              </w:rPr>
            </w:pPr>
            <w:r>
              <w:t xml:space="preserve"> </w:t>
            </w:r>
            <w:r w:rsidR="00166455">
              <w:t>1,025</w:t>
            </w:r>
            <w:r w:rsidR="007B058E">
              <w:t xml:space="preserve"> </w:t>
            </w:r>
            <w:r w:rsidR="00446C82" w:rsidRPr="00597F4A">
              <w:t>pence /</w:t>
            </w:r>
            <w:r w:rsidR="00E030CE">
              <w:t xml:space="preserve"> </w:t>
            </w:r>
            <w:r w:rsidR="00166455">
              <w:t>13.64</w:t>
            </w:r>
            <w:r>
              <w:t xml:space="preserve"> </w:t>
            </w:r>
            <w:r w:rsidR="00A94C27" w:rsidRPr="00597F4A">
              <w:t>USD</w:t>
            </w: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  <w:jc w:val="both"/>
            </w:pPr>
            <w:r>
              <w:t>Lowest price paid per Share:</w:t>
            </w:r>
          </w:p>
          <w:p w:rsidR="00A94C27" w:rsidRDefault="00A94C27" w:rsidP="00A94C27">
            <w:pPr>
              <w:ind w:left="-108"/>
              <w:jc w:val="both"/>
            </w:pPr>
          </w:p>
        </w:tc>
        <w:tc>
          <w:tcPr>
            <w:tcW w:w="5148" w:type="dxa"/>
          </w:tcPr>
          <w:p w:rsidR="00A94C27" w:rsidRPr="006C664E" w:rsidRDefault="007B058E" w:rsidP="003D1ADB">
            <w:pPr>
              <w:ind w:left="-108"/>
              <w:jc w:val="both"/>
              <w:rPr>
                <w:highlight w:val="yellow"/>
              </w:rPr>
            </w:pPr>
            <w:r>
              <w:t xml:space="preserve"> </w:t>
            </w:r>
            <w:r w:rsidR="00166455">
              <w:t xml:space="preserve">1,016 </w:t>
            </w:r>
            <w:r w:rsidR="00EB7451" w:rsidRPr="00597F4A">
              <w:t>pence</w:t>
            </w:r>
            <w:r w:rsidR="00862DF7">
              <w:t xml:space="preserve"> </w:t>
            </w:r>
            <w:r w:rsidR="00EB7451" w:rsidRPr="00597F4A">
              <w:t>/</w:t>
            </w:r>
            <w:r w:rsidR="00006F2D" w:rsidRPr="00597F4A">
              <w:t xml:space="preserve"> </w:t>
            </w:r>
            <w:r w:rsidR="00166455">
              <w:t xml:space="preserve">13.52 </w:t>
            </w:r>
            <w:r w:rsidR="00A94C27" w:rsidRPr="00597F4A">
              <w:t>USD</w:t>
            </w:r>
          </w:p>
        </w:tc>
      </w:tr>
      <w:tr w:rsidR="00A94C27" w:rsidTr="00BB13A9">
        <w:tc>
          <w:tcPr>
            <w:tcW w:w="3600" w:type="dxa"/>
          </w:tcPr>
          <w:p w:rsidR="00A94C27" w:rsidRDefault="00A94C27" w:rsidP="00A94C27">
            <w:pPr>
              <w:ind w:left="-108"/>
              <w:jc w:val="both"/>
            </w:pPr>
            <w:r>
              <w:t>Average price paid per Share:</w:t>
            </w:r>
          </w:p>
          <w:p w:rsidR="00A94C27" w:rsidRDefault="00A94C27" w:rsidP="00BB13A9">
            <w:pPr>
              <w:jc w:val="both"/>
            </w:pPr>
          </w:p>
        </w:tc>
        <w:tc>
          <w:tcPr>
            <w:tcW w:w="5148" w:type="dxa"/>
          </w:tcPr>
          <w:p w:rsidR="00A94C27" w:rsidRPr="006C664E" w:rsidRDefault="007B058E" w:rsidP="003D1ADB">
            <w:pPr>
              <w:ind w:left="-108"/>
              <w:jc w:val="both"/>
              <w:rPr>
                <w:highlight w:val="yellow"/>
              </w:rPr>
            </w:pPr>
            <w:r>
              <w:t xml:space="preserve"> </w:t>
            </w:r>
            <w:r w:rsidR="00166455">
              <w:t>1,019.22</w:t>
            </w:r>
            <w:r w:rsidR="009575E8">
              <w:t xml:space="preserve"> </w:t>
            </w:r>
            <w:r w:rsidR="00446C82" w:rsidRPr="00597F4A">
              <w:t>pence /</w:t>
            </w:r>
            <w:r w:rsidR="009A7239">
              <w:t xml:space="preserve"> </w:t>
            </w:r>
            <w:r w:rsidR="00166455">
              <w:t>13.56</w:t>
            </w:r>
            <w:r w:rsidR="00957175">
              <w:t xml:space="preserve"> </w:t>
            </w:r>
            <w:r w:rsidR="00A94C27" w:rsidRPr="00597F4A">
              <w:t>USD</w:t>
            </w:r>
          </w:p>
        </w:tc>
      </w:tr>
    </w:tbl>
    <w:p w:rsidR="006A577C" w:rsidRPr="007B65C3" w:rsidRDefault="006A577C" w:rsidP="00B051D7"/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148"/>
      </w:tblGrid>
      <w:tr w:rsidR="006A577C" w:rsidTr="00BB13A9">
        <w:tc>
          <w:tcPr>
            <w:tcW w:w="3600" w:type="dxa"/>
          </w:tcPr>
          <w:p w:rsidR="006A577C" w:rsidRPr="00BB13A9" w:rsidRDefault="006A577C" w:rsidP="00B71541">
            <w:pPr>
              <w:ind w:left="-108"/>
              <w:rPr>
                <w:b/>
              </w:rPr>
            </w:pPr>
            <w:r w:rsidRPr="00BB13A9">
              <w:rPr>
                <w:b/>
              </w:rPr>
              <w:t xml:space="preserve">Trading Venue: </w:t>
            </w:r>
          </w:p>
        </w:tc>
        <w:tc>
          <w:tcPr>
            <w:tcW w:w="5148" w:type="dxa"/>
          </w:tcPr>
          <w:p w:rsidR="006A577C" w:rsidRPr="00BB13A9" w:rsidRDefault="006A577C" w:rsidP="00B71541">
            <w:pPr>
              <w:spacing w:after="240"/>
              <w:ind w:left="-108"/>
              <w:rPr>
                <w:b/>
              </w:rPr>
            </w:pPr>
            <w:r w:rsidRPr="00BB13A9">
              <w:rPr>
                <w:b/>
              </w:rPr>
              <w:t>Euronext Amsterdam</w:t>
            </w: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</w:pPr>
            <w:r>
              <w:t>Date of purchase:</w:t>
            </w:r>
          </w:p>
        </w:tc>
        <w:tc>
          <w:tcPr>
            <w:tcW w:w="5148" w:type="dxa"/>
          </w:tcPr>
          <w:p w:rsidR="009A4EA4" w:rsidRDefault="00E030CE" w:rsidP="00715F40">
            <w:pPr>
              <w:ind w:left="-108"/>
            </w:pPr>
            <w:r>
              <w:t>2</w:t>
            </w:r>
            <w:r w:rsidR="007D1200">
              <w:t>3</w:t>
            </w:r>
            <w:r>
              <w:t xml:space="preserve"> </w:t>
            </w:r>
            <w:r w:rsidR="009A4EA4">
              <w:t xml:space="preserve">November </w:t>
            </w:r>
            <w:r w:rsidR="009A4EA4" w:rsidRPr="0008520B">
              <w:t>2017</w:t>
            </w:r>
          </w:p>
          <w:p w:rsidR="009A4EA4" w:rsidRDefault="009A4EA4" w:rsidP="00715F40">
            <w:pPr>
              <w:ind w:left="-108"/>
            </w:pP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  <w:jc w:val="both"/>
            </w:pPr>
            <w:r>
              <w:t>Number of Shares purchased:</w:t>
            </w:r>
          </w:p>
        </w:tc>
        <w:tc>
          <w:tcPr>
            <w:tcW w:w="5148" w:type="dxa"/>
          </w:tcPr>
          <w:p w:rsidR="009A4EA4" w:rsidRPr="00597F4A" w:rsidRDefault="00166455" w:rsidP="00715F40">
            <w:pPr>
              <w:ind w:left="-108"/>
              <w:jc w:val="both"/>
            </w:pPr>
            <w:r>
              <w:t>30,981</w:t>
            </w:r>
            <w:r w:rsidR="00E030CE">
              <w:t xml:space="preserve"> </w:t>
            </w:r>
            <w:r w:rsidR="009A4EA4" w:rsidRPr="00597F4A">
              <w:t>Shares</w:t>
            </w:r>
          </w:p>
          <w:p w:rsidR="009A4EA4" w:rsidRPr="006C664E" w:rsidRDefault="009A4EA4" w:rsidP="00715F40">
            <w:pPr>
              <w:ind w:left="-108"/>
              <w:jc w:val="both"/>
              <w:rPr>
                <w:highlight w:val="yellow"/>
              </w:rPr>
            </w:pP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  <w:jc w:val="both"/>
            </w:pPr>
            <w:r>
              <w:t>Highest price paid per Share:</w:t>
            </w:r>
          </w:p>
          <w:p w:rsidR="009A4EA4" w:rsidRDefault="009A4EA4" w:rsidP="00715F40">
            <w:pPr>
              <w:ind w:left="-108"/>
              <w:jc w:val="both"/>
            </w:pPr>
          </w:p>
        </w:tc>
        <w:tc>
          <w:tcPr>
            <w:tcW w:w="5148" w:type="dxa"/>
          </w:tcPr>
          <w:p w:rsidR="009A4EA4" w:rsidRPr="006C664E" w:rsidRDefault="00166455" w:rsidP="00166455">
            <w:pPr>
              <w:ind w:left="-108"/>
              <w:jc w:val="both"/>
              <w:rPr>
                <w:highlight w:val="yellow"/>
              </w:rPr>
            </w:pPr>
            <w:r>
              <w:t>13.60</w:t>
            </w:r>
            <w:r w:rsidR="00E030CE">
              <w:t xml:space="preserve"> </w:t>
            </w:r>
            <w:r w:rsidR="009A4EA4" w:rsidRPr="00597F4A">
              <w:t>USD</w:t>
            </w: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  <w:jc w:val="both"/>
            </w:pPr>
            <w:r>
              <w:t>Lowest price paid per Share:</w:t>
            </w:r>
          </w:p>
          <w:p w:rsidR="009A4EA4" w:rsidRDefault="009A4EA4" w:rsidP="00715F40">
            <w:pPr>
              <w:ind w:left="-108"/>
              <w:jc w:val="both"/>
            </w:pPr>
          </w:p>
        </w:tc>
        <w:tc>
          <w:tcPr>
            <w:tcW w:w="5148" w:type="dxa"/>
          </w:tcPr>
          <w:p w:rsidR="009A4EA4" w:rsidRPr="006C664E" w:rsidRDefault="00166455" w:rsidP="00715F40">
            <w:pPr>
              <w:ind w:left="-108"/>
              <w:jc w:val="both"/>
              <w:rPr>
                <w:highlight w:val="yellow"/>
              </w:rPr>
            </w:pPr>
            <w:r>
              <w:t>13.50</w:t>
            </w:r>
            <w:r w:rsidR="009A4EA4">
              <w:t xml:space="preserve"> </w:t>
            </w:r>
            <w:r w:rsidR="009A4EA4" w:rsidRPr="00597F4A">
              <w:t>USD</w:t>
            </w:r>
          </w:p>
        </w:tc>
      </w:tr>
      <w:tr w:rsidR="009A4EA4" w:rsidTr="00BB13A9">
        <w:tc>
          <w:tcPr>
            <w:tcW w:w="3600" w:type="dxa"/>
          </w:tcPr>
          <w:p w:rsidR="009A4EA4" w:rsidRDefault="009A4EA4" w:rsidP="00715F40">
            <w:pPr>
              <w:ind w:left="-108"/>
              <w:jc w:val="both"/>
            </w:pPr>
            <w:r>
              <w:t>Average price paid per Share:</w:t>
            </w:r>
          </w:p>
          <w:p w:rsidR="009A4EA4" w:rsidRDefault="009A4EA4" w:rsidP="00715F40">
            <w:pPr>
              <w:ind w:left="-108"/>
              <w:jc w:val="both"/>
            </w:pPr>
          </w:p>
        </w:tc>
        <w:tc>
          <w:tcPr>
            <w:tcW w:w="5148" w:type="dxa"/>
          </w:tcPr>
          <w:p w:rsidR="009A4EA4" w:rsidRPr="006C664E" w:rsidRDefault="00166455" w:rsidP="00715F40">
            <w:pPr>
              <w:ind w:left="-108"/>
              <w:jc w:val="both"/>
              <w:rPr>
                <w:highlight w:val="yellow"/>
              </w:rPr>
            </w:pPr>
            <w:r>
              <w:t>13.55</w:t>
            </w:r>
            <w:r w:rsidR="007B058E">
              <w:t xml:space="preserve"> </w:t>
            </w:r>
            <w:r w:rsidR="009A4EA4" w:rsidRPr="00597F4A">
              <w:t>USD</w:t>
            </w:r>
          </w:p>
        </w:tc>
      </w:tr>
    </w:tbl>
    <w:p w:rsidR="006A577C" w:rsidRDefault="006A577C" w:rsidP="0089310F">
      <w:pPr>
        <w:pStyle w:val="Default"/>
        <w:rPr>
          <w:sz w:val="22"/>
          <w:szCs w:val="22"/>
        </w:rPr>
      </w:pPr>
    </w:p>
    <w:p w:rsidR="00B051D7" w:rsidRPr="007B65C3" w:rsidRDefault="00B051D7" w:rsidP="0089310F">
      <w:pPr>
        <w:pStyle w:val="Default"/>
        <w:rPr>
          <w:sz w:val="22"/>
          <w:szCs w:val="22"/>
        </w:rPr>
      </w:pPr>
      <w:r w:rsidRPr="007B65C3">
        <w:rPr>
          <w:sz w:val="22"/>
          <w:szCs w:val="22"/>
        </w:rPr>
        <w:t xml:space="preserve">PSH intends to cancel these Shares. The net asset value per Share related to this Share buyback </w:t>
      </w:r>
      <w:r w:rsidR="000C341F" w:rsidRPr="007B65C3">
        <w:rPr>
          <w:sz w:val="22"/>
          <w:szCs w:val="22"/>
        </w:rPr>
        <w:t xml:space="preserve">is </w:t>
      </w:r>
      <w:r w:rsidR="00A92AD6" w:rsidRPr="007B65C3">
        <w:rPr>
          <w:sz w:val="22"/>
          <w:szCs w:val="22"/>
        </w:rPr>
        <w:t>USD</w:t>
      </w:r>
      <w:r w:rsidR="008A188C" w:rsidRPr="007B65C3">
        <w:rPr>
          <w:sz w:val="22"/>
          <w:szCs w:val="22"/>
        </w:rPr>
        <w:t xml:space="preserve"> </w:t>
      </w:r>
      <w:r w:rsidR="00DF17F0" w:rsidRPr="00DF17F0">
        <w:rPr>
          <w:sz w:val="22"/>
          <w:szCs w:val="22"/>
        </w:rPr>
        <w:t>17.32</w:t>
      </w:r>
      <w:r w:rsidR="005E7259" w:rsidRPr="00DF17F0">
        <w:rPr>
          <w:sz w:val="22"/>
          <w:szCs w:val="22"/>
        </w:rPr>
        <w:t xml:space="preserve"> / GBP 13.</w:t>
      </w:r>
      <w:r w:rsidR="00DF17F0" w:rsidRPr="00DF17F0">
        <w:rPr>
          <w:sz w:val="22"/>
          <w:szCs w:val="22"/>
        </w:rPr>
        <w:t>09</w:t>
      </w:r>
      <w:r w:rsidR="006D631E" w:rsidRPr="006D631E">
        <w:rPr>
          <w:sz w:val="22"/>
          <w:szCs w:val="22"/>
        </w:rPr>
        <w:t xml:space="preserve"> </w:t>
      </w:r>
      <w:r w:rsidR="00862DF7" w:rsidRPr="007B65C3">
        <w:rPr>
          <w:sz w:val="22"/>
          <w:szCs w:val="22"/>
        </w:rPr>
        <w:t xml:space="preserve">which was calculated </w:t>
      </w:r>
      <w:r w:rsidR="00FD44E6" w:rsidRPr="007B65C3">
        <w:rPr>
          <w:sz w:val="22"/>
          <w:szCs w:val="22"/>
        </w:rPr>
        <w:t xml:space="preserve">as of </w:t>
      </w:r>
      <w:r w:rsidR="007D1200">
        <w:rPr>
          <w:sz w:val="22"/>
          <w:szCs w:val="22"/>
        </w:rPr>
        <w:t>21</w:t>
      </w:r>
      <w:r w:rsidR="00A92AD6" w:rsidRPr="007B65C3">
        <w:rPr>
          <w:sz w:val="22"/>
          <w:szCs w:val="22"/>
        </w:rPr>
        <w:t xml:space="preserve"> </w:t>
      </w:r>
      <w:r w:rsidR="00B7032A">
        <w:rPr>
          <w:sz w:val="22"/>
          <w:szCs w:val="22"/>
        </w:rPr>
        <w:t>November</w:t>
      </w:r>
      <w:r w:rsidR="00A92AD6" w:rsidRPr="007B65C3">
        <w:rPr>
          <w:sz w:val="22"/>
          <w:szCs w:val="22"/>
        </w:rPr>
        <w:t xml:space="preserve"> 2017.</w:t>
      </w:r>
      <w:r w:rsidRPr="007B65C3">
        <w:rPr>
          <w:sz w:val="22"/>
          <w:szCs w:val="22"/>
        </w:rPr>
        <w:t xml:space="preserve"> After giving effect to the above Share buyback, PSH has</w:t>
      </w:r>
      <w:r w:rsidR="007145E8" w:rsidRPr="007B65C3">
        <w:rPr>
          <w:sz w:val="22"/>
          <w:szCs w:val="22"/>
        </w:rPr>
        <w:t xml:space="preserve"> </w:t>
      </w:r>
      <w:r w:rsidR="0024469F" w:rsidRPr="007B65C3">
        <w:rPr>
          <w:sz w:val="22"/>
          <w:szCs w:val="22"/>
        </w:rPr>
        <w:t>o</w:t>
      </w:r>
      <w:r w:rsidRPr="007B65C3">
        <w:rPr>
          <w:sz w:val="22"/>
          <w:szCs w:val="22"/>
        </w:rPr>
        <w:t>utstandin</w:t>
      </w:r>
      <w:r w:rsidR="007443CF" w:rsidRPr="007B65C3">
        <w:rPr>
          <w:sz w:val="22"/>
          <w:szCs w:val="22"/>
        </w:rPr>
        <w:t>g</w:t>
      </w:r>
      <w:r w:rsidR="000309CC">
        <w:rPr>
          <w:sz w:val="22"/>
          <w:szCs w:val="22"/>
        </w:rPr>
        <w:t xml:space="preserve"> </w:t>
      </w:r>
      <w:r w:rsidR="00D81B11">
        <w:rPr>
          <w:sz w:val="22"/>
          <w:szCs w:val="22"/>
        </w:rPr>
        <w:t>236,404,489</w:t>
      </w:r>
      <w:r w:rsidR="007B058E">
        <w:rPr>
          <w:sz w:val="22"/>
          <w:szCs w:val="22"/>
        </w:rPr>
        <w:t xml:space="preserve"> </w:t>
      </w:r>
      <w:r w:rsidR="009A7239" w:rsidRPr="007B65C3">
        <w:rPr>
          <w:sz w:val="22"/>
          <w:szCs w:val="22"/>
        </w:rPr>
        <w:t>S</w:t>
      </w:r>
      <w:r w:rsidRPr="007B65C3">
        <w:rPr>
          <w:sz w:val="22"/>
          <w:szCs w:val="22"/>
        </w:rPr>
        <w:t>hares. The prices per shar</w:t>
      </w:r>
      <w:bookmarkStart w:id="0" w:name="_GoBack"/>
      <w:bookmarkEnd w:id="0"/>
      <w:r w:rsidRPr="007B65C3">
        <w:rPr>
          <w:sz w:val="22"/>
          <w:szCs w:val="22"/>
        </w:rPr>
        <w:t xml:space="preserve">e in USD were calculated by </w:t>
      </w:r>
      <w:r w:rsidR="003726D9" w:rsidRPr="007B65C3">
        <w:rPr>
          <w:sz w:val="22"/>
          <w:szCs w:val="22"/>
        </w:rPr>
        <w:t>J</w:t>
      </w:r>
      <w:r w:rsidRPr="007B65C3">
        <w:rPr>
          <w:sz w:val="22"/>
          <w:szCs w:val="22"/>
        </w:rPr>
        <w:t>efferies.</w:t>
      </w:r>
    </w:p>
    <w:p w:rsidR="00B051D7" w:rsidRDefault="00B051D7" w:rsidP="00B051D7"/>
    <w:p w:rsidR="00B051D7" w:rsidRDefault="00B051D7" w:rsidP="00B051D7">
      <w:r>
        <w:t xml:space="preserve">The number of PSH Management Shares and the 1 special voting </w:t>
      </w:r>
      <w:proofErr w:type="gramStart"/>
      <w:r>
        <w:t>share</w:t>
      </w:r>
      <w:proofErr w:type="gramEnd"/>
      <w:r>
        <w:t xml:space="preserve"> (held by PS Holdings Independent Voting Company Limited) has not been affected.</w:t>
      </w:r>
    </w:p>
    <w:p w:rsidR="00B051D7" w:rsidRDefault="00B051D7" w:rsidP="00B051D7"/>
    <w:p w:rsidR="00B051D7" w:rsidRDefault="00B051D7" w:rsidP="00B051D7">
      <w:r>
        <w:rPr>
          <w:b/>
          <w:bCs/>
        </w:rPr>
        <w:t>About Pershing Square Holdings, Ltd.:</w:t>
      </w:r>
      <w:r>
        <w:rPr>
          <w:b/>
          <w:bCs/>
        </w:rPr>
        <w:br/>
      </w:r>
      <w:r>
        <w:t xml:space="preserve">Pershing Square Holdings, Ltd. </w:t>
      </w:r>
      <w:r w:rsidR="00962ED4" w:rsidRPr="00962ED4">
        <w:t xml:space="preserve">(LN:PSH) (NA:PSH) </w:t>
      </w:r>
      <w:r>
        <w:t>is an investment holding company structured a</w:t>
      </w:r>
      <w:r w:rsidR="006D5FE1">
        <w:t>s a closed-</w:t>
      </w:r>
      <w:r>
        <w:t>ended fund that makes concentrated investments principally in North American companies.</w:t>
      </w:r>
    </w:p>
    <w:p w:rsidR="00B051D7" w:rsidRDefault="00B051D7" w:rsidP="00B051D7"/>
    <w:p w:rsidR="00B051D7" w:rsidRDefault="00B051D7" w:rsidP="00B051D7">
      <w:pPr>
        <w:rPr>
          <w:b/>
          <w:bCs/>
        </w:rPr>
      </w:pPr>
      <w:r>
        <w:rPr>
          <w:b/>
          <w:bCs/>
        </w:rPr>
        <w:t>Media Contact:</w:t>
      </w:r>
    </w:p>
    <w:p w:rsidR="00B051D7" w:rsidRDefault="00B051D7" w:rsidP="00B051D7">
      <w:pPr>
        <w:rPr>
          <w:b/>
          <w:bCs/>
        </w:rPr>
      </w:pPr>
      <w:r>
        <w:rPr>
          <w:b/>
          <w:bCs/>
        </w:rPr>
        <w:t xml:space="preserve">Maitland </w:t>
      </w:r>
    </w:p>
    <w:p w:rsidR="00550DFB" w:rsidRDefault="00B051D7">
      <w:r>
        <w:t xml:space="preserve">James Devas, +44 20 7379 5151, </w:t>
      </w:r>
      <w:hyperlink r:id="rId5" w:history="1">
        <w:r w:rsidR="008D6972" w:rsidRPr="00326200">
          <w:rPr>
            <w:rStyle w:val="Hyperlink"/>
          </w:rPr>
          <w:t>Media-pershingsquareholdings1@maitland.co.uk</w:t>
        </w:r>
      </w:hyperlink>
      <w:r>
        <w:t xml:space="preserve">  </w:t>
      </w:r>
    </w:p>
    <w:sectPr w:rsidR="0055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11"/>
    <w:rsid w:val="00006F2D"/>
    <w:rsid w:val="0001473F"/>
    <w:rsid w:val="00015217"/>
    <w:rsid w:val="000309CC"/>
    <w:rsid w:val="00031D44"/>
    <w:rsid w:val="0004105C"/>
    <w:rsid w:val="00044CC2"/>
    <w:rsid w:val="0004775F"/>
    <w:rsid w:val="00050C7C"/>
    <w:rsid w:val="000552D9"/>
    <w:rsid w:val="000652EE"/>
    <w:rsid w:val="000862C1"/>
    <w:rsid w:val="00087B32"/>
    <w:rsid w:val="000A1FD5"/>
    <w:rsid w:val="000C341F"/>
    <w:rsid w:val="000D724B"/>
    <w:rsid w:val="000F7FCC"/>
    <w:rsid w:val="00107542"/>
    <w:rsid w:val="00117AC1"/>
    <w:rsid w:val="00126258"/>
    <w:rsid w:val="00130D09"/>
    <w:rsid w:val="00140FED"/>
    <w:rsid w:val="00151E4A"/>
    <w:rsid w:val="00153C70"/>
    <w:rsid w:val="001644A6"/>
    <w:rsid w:val="00166455"/>
    <w:rsid w:val="001862EF"/>
    <w:rsid w:val="00194827"/>
    <w:rsid w:val="001C2204"/>
    <w:rsid w:val="001C32F4"/>
    <w:rsid w:val="001C5192"/>
    <w:rsid w:val="00205722"/>
    <w:rsid w:val="00210A46"/>
    <w:rsid w:val="002172A1"/>
    <w:rsid w:val="00217C79"/>
    <w:rsid w:val="00221A56"/>
    <w:rsid w:val="00223E30"/>
    <w:rsid w:val="002325EC"/>
    <w:rsid w:val="0024469F"/>
    <w:rsid w:val="00271EC5"/>
    <w:rsid w:val="00286238"/>
    <w:rsid w:val="00291C2D"/>
    <w:rsid w:val="002A5E9C"/>
    <w:rsid w:val="002A6B5B"/>
    <w:rsid w:val="002B0550"/>
    <w:rsid w:val="002B3D04"/>
    <w:rsid w:val="002B710F"/>
    <w:rsid w:val="002B794A"/>
    <w:rsid w:val="002C521C"/>
    <w:rsid w:val="003004F1"/>
    <w:rsid w:val="00304F47"/>
    <w:rsid w:val="0031575A"/>
    <w:rsid w:val="00326098"/>
    <w:rsid w:val="00347DEE"/>
    <w:rsid w:val="00360891"/>
    <w:rsid w:val="00365716"/>
    <w:rsid w:val="003721CD"/>
    <w:rsid w:val="003726D9"/>
    <w:rsid w:val="00384CE1"/>
    <w:rsid w:val="00385E1B"/>
    <w:rsid w:val="003A473C"/>
    <w:rsid w:val="003A7FF5"/>
    <w:rsid w:val="003D1ADB"/>
    <w:rsid w:val="003D4680"/>
    <w:rsid w:val="00446380"/>
    <w:rsid w:val="00446C82"/>
    <w:rsid w:val="004572EB"/>
    <w:rsid w:val="00475C9C"/>
    <w:rsid w:val="00480D95"/>
    <w:rsid w:val="004871F5"/>
    <w:rsid w:val="00497C86"/>
    <w:rsid w:val="004A065A"/>
    <w:rsid w:val="004A6BF5"/>
    <w:rsid w:val="004A7888"/>
    <w:rsid w:val="004B22D6"/>
    <w:rsid w:val="004E0223"/>
    <w:rsid w:val="00504389"/>
    <w:rsid w:val="00521244"/>
    <w:rsid w:val="00550DFB"/>
    <w:rsid w:val="00563AD7"/>
    <w:rsid w:val="005665A7"/>
    <w:rsid w:val="0056752E"/>
    <w:rsid w:val="00567BA5"/>
    <w:rsid w:val="00571772"/>
    <w:rsid w:val="00576DBE"/>
    <w:rsid w:val="00597F4A"/>
    <w:rsid w:val="005A581F"/>
    <w:rsid w:val="005B0FBD"/>
    <w:rsid w:val="005C6260"/>
    <w:rsid w:val="005D564B"/>
    <w:rsid w:val="005E7259"/>
    <w:rsid w:val="00611932"/>
    <w:rsid w:val="00623773"/>
    <w:rsid w:val="00627D41"/>
    <w:rsid w:val="00636368"/>
    <w:rsid w:val="00654731"/>
    <w:rsid w:val="00675924"/>
    <w:rsid w:val="00681F33"/>
    <w:rsid w:val="006939C5"/>
    <w:rsid w:val="006A577C"/>
    <w:rsid w:val="006B0548"/>
    <w:rsid w:val="006C2707"/>
    <w:rsid w:val="006C664E"/>
    <w:rsid w:val="006C7A6F"/>
    <w:rsid w:val="006D5FE1"/>
    <w:rsid w:val="006D631E"/>
    <w:rsid w:val="006E2D1E"/>
    <w:rsid w:val="00711AC8"/>
    <w:rsid w:val="007145E8"/>
    <w:rsid w:val="00726BE0"/>
    <w:rsid w:val="00740F38"/>
    <w:rsid w:val="00743BB8"/>
    <w:rsid w:val="007443CF"/>
    <w:rsid w:val="0074684B"/>
    <w:rsid w:val="00763D3E"/>
    <w:rsid w:val="0077161C"/>
    <w:rsid w:val="00780A4F"/>
    <w:rsid w:val="00783A73"/>
    <w:rsid w:val="0079193A"/>
    <w:rsid w:val="0079782E"/>
    <w:rsid w:val="007A132F"/>
    <w:rsid w:val="007B0533"/>
    <w:rsid w:val="007B058E"/>
    <w:rsid w:val="007B65C3"/>
    <w:rsid w:val="007D1200"/>
    <w:rsid w:val="007D21E1"/>
    <w:rsid w:val="007E2388"/>
    <w:rsid w:val="007E36B9"/>
    <w:rsid w:val="00801E58"/>
    <w:rsid w:val="00824728"/>
    <w:rsid w:val="00827F8B"/>
    <w:rsid w:val="008338C0"/>
    <w:rsid w:val="00835353"/>
    <w:rsid w:val="00850C05"/>
    <w:rsid w:val="008515A7"/>
    <w:rsid w:val="00862DF7"/>
    <w:rsid w:val="00867907"/>
    <w:rsid w:val="00872705"/>
    <w:rsid w:val="008778BD"/>
    <w:rsid w:val="00885CB3"/>
    <w:rsid w:val="0089174C"/>
    <w:rsid w:val="00892018"/>
    <w:rsid w:val="0089310F"/>
    <w:rsid w:val="008947ED"/>
    <w:rsid w:val="008A188C"/>
    <w:rsid w:val="008B310C"/>
    <w:rsid w:val="008C27E6"/>
    <w:rsid w:val="008D6972"/>
    <w:rsid w:val="008E4C32"/>
    <w:rsid w:val="008F145F"/>
    <w:rsid w:val="008F7287"/>
    <w:rsid w:val="00903B59"/>
    <w:rsid w:val="00912771"/>
    <w:rsid w:val="00957175"/>
    <w:rsid w:val="009575E8"/>
    <w:rsid w:val="00962ED4"/>
    <w:rsid w:val="00977CC0"/>
    <w:rsid w:val="009918C3"/>
    <w:rsid w:val="009970EA"/>
    <w:rsid w:val="00997469"/>
    <w:rsid w:val="009A4EA4"/>
    <w:rsid w:val="009A7239"/>
    <w:rsid w:val="009B557B"/>
    <w:rsid w:val="009C1EDA"/>
    <w:rsid w:val="009D0E43"/>
    <w:rsid w:val="00A201DB"/>
    <w:rsid w:val="00A223E0"/>
    <w:rsid w:val="00A23CBF"/>
    <w:rsid w:val="00A3265E"/>
    <w:rsid w:val="00A33C20"/>
    <w:rsid w:val="00A42D67"/>
    <w:rsid w:val="00A5113F"/>
    <w:rsid w:val="00A56BEE"/>
    <w:rsid w:val="00A65263"/>
    <w:rsid w:val="00A66177"/>
    <w:rsid w:val="00A73971"/>
    <w:rsid w:val="00A91F4D"/>
    <w:rsid w:val="00A92AD6"/>
    <w:rsid w:val="00A94C27"/>
    <w:rsid w:val="00A96713"/>
    <w:rsid w:val="00AB714E"/>
    <w:rsid w:val="00AD5CB4"/>
    <w:rsid w:val="00AE6FF2"/>
    <w:rsid w:val="00AF053A"/>
    <w:rsid w:val="00AF05DA"/>
    <w:rsid w:val="00AF3009"/>
    <w:rsid w:val="00AF568E"/>
    <w:rsid w:val="00B051D7"/>
    <w:rsid w:val="00B058FF"/>
    <w:rsid w:val="00B35DFA"/>
    <w:rsid w:val="00B436BC"/>
    <w:rsid w:val="00B7032A"/>
    <w:rsid w:val="00B71336"/>
    <w:rsid w:val="00B82F00"/>
    <w:rsid w:val="00BA44D6"/>
    <w:rsid w:val="00BB13A9"/>
    <w:rsid w:val="00BB22C9"/>
    <w:rsid w:val="00BB5D78"/>
    <w:rsid w:val="00BD5ED2"/>
    <w:rsid w:val="00BE25CF"/>
    <w:rsid w:val="00BE693D"/>
    <w:rsid w:val="00C00001"/>
    <w:rsid w:val="00C179C0"/>
    <w:rsid w:val="00C27B25"/>
    <w:rsid w:val="00C33769"/>
    <w:rsid w:val="00C42D4A"/>
    <w:rsid w:val="00C823B0"/>
    <w:rsid w:val="00C900AC"/>
    <w:rsid w:val="00CA291E"/>
    <w:rsid w:val="00CA457C"/>
    <w:rsid w:val="00CC086F"/>
    <w:rsid w:val="00CC3394"/>
    <w:rsid w:val="00CD2EB1"/>
    <w:rsid w:val="00CD7911"/>
    <w:rsid w:val="00CE4C43"/>
    <w:rsid w:val="00CF04EC"/>
    <w:rsid w:val="00D13CF6"/>
    <w:rsid w:val="00D14311"/>
    <w:rsid w:val="00D21AC1"/>
    <w:rsid w:val="00D32272"/>
    <w:rsid w:val="00D44EE4"/>
    <w:rsid w:val="00D81B11"/>
    <w:rsid w:val="00D8244A"/>
    <w:rsid w:val="00D913CE"/>
    <w:rsid w:val="00D97020"/>
    <w:rsid w:val="00DB3EEA"/>
    <w:rsid w:val="00DB5136"/>
    <w:rsid w:val="00DB730A"/>
    <w:rsid w:val="00DE3ACF"/>
    <w:rsid w:val="00DE6718"/>
    <w:rsid w:val="00DF17F0"/>
    <w:rsid w:val="00E01FE1"/>
    <w:rsid w:val="00E030CE"/>
    <w:rsid w:val="00E12E26"/>
    <w:rsid w:val="00E2524F"/>
    <w:rsid w:val="00E256E5"/>
    <w:rsid w:val="00E409DC"/>
    <w:rsid w:val="00E51771"/>
    <w:rsid w:val="00E702A1"/>
    <w:rsid w:val="00E73C18"/>
    <w:rsid w:val="00E81A93"/>
    <w:rsid w:val="00E825A9"/>
    <w:rsid w:val="00EB35D1"/>
    <w:rsid w:val="00EB7451"/>
    <w:rsid w:val="00F00CD1"/>
    <w:rsid w:val="00F2102D"/>
    <w:rsid w:val="00F5391D"/>
    <w:rsid w:val="00F73CE2"/>
    <w:rsid w:val="00F938B0"/>
    <w:rsid w:val="00FA0F5E"/>
    <w:rsid w:val="00FD3DFA"/>
    <w:rsid w:val="00FD44E6"/>
    <w:rsid w:val="00FE14EF"/>
    <w:rsid w:val="00FE3070"/>
    <w:rsid w:val="00FF0BF0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11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A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11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D7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3B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E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EA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a-pershingsquareholdings1@maitlan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Harris</dc:creator>
  <cp:lastModifiedBy>Nikki Hislop</cp:lastModifiedBy>
  <cp:revision>6</cp:revision>
  <cp:lastPrinted>2017-11-08T16:55:00Z</cp:lastPrinted>
  <dcterms:created xsi:type="dcterms:W3CDTF">2017-11-22T18:20:00Z</dcterms:created>
  <dcterms:modified xsi:type="dcterms:W3CDTF">2017-11-23T18:10:00Z</dcterms:modified>
</cp:coreProperties>
</file>