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7DAD5" w14:textId="694C957A" w:rsidR="004950C0" w:rsidRDefault="004E30A5" w:rsidP="00BD3EF9">
      <w:pPr>
        <w:spacing w:after="0" w:line="240" w:lineRule="auto"/>
        <w:jc w:val="center"/>
        <w:rPr>
          <w:b/>
        </w:rPr>
      </w:pPr>
      <w:r w:rsidRPr="004E30A5">
        <w:rPr>
          <w:b/>
        </w:rPr>
        <w:t xml:space="preserve">Pershing Square Holdings, Ltd. </w:t>
      </w:r>
      <w:r w:rsidR="004950C0">
        <w:rPr>
          <w:b/>
        </w:rPr>
        <w:t>Announces Fully</w:t>
      </w:r>
      <w:r w:rsidR="00020C25">
        <w:rPr>
          <w:b/>
        </w:rPr>
        <w:t xml:space="preserve"> </w:t>
      </w:r>
      <w:r w:rsidR="004950C0">
        <w:rPr>
          <w:b/>
        </w:rPr>
        <w:t>Committed</w:t>
      </w:r>
    </w:p>
    <w:p w14:paraId="6E4D8D51" w14:textId="4F038266" w:rsidR="00782BB4" w:rsidRPr="00BD3EF9" w:rsidRDefault="004950C0" w:rsidP="00BD3EF9">
      <w:pPr>
        <w:spacing w:after="0" w:line="240" w:lineRule="auto"/>
        <w:jc w:val="center"/>
        <w:rPr>
          <w:b/>
        </w:rPr>
      </w:pPr>
      <w:r>
        <w:rPr>
          <w:b/>
        </w:rPr>
        <w:t>Private Placement of $400,000,000</w:t>
      </w:r>
      <w:r w:rsidR="00020C25">
        <w:rPr>
          <w:b/>
        </w:rPr>
        <w:t xml:space="preserve"> 4.950% 20-year Unsecured </w:t>
      </w:r>
      <w:r w:rsidR="00A933B8">
        <w:rPr>
          <w:b/>
        </w:rPr>
        <w:t>Bond</w:t>
      </w:r>
      <w:r w:rsidR="00020C25">
        <w:rPr>
          <w:b/>
        </w:rPr>
        <w:t>s</w:t>
      </w:r>
      <w:r w:rsidR="004E30A5" w:rsidRPr="004E30A5">
        <w:rPr>
          <w:b/>
        </w:rPr>
        <w:cr/>
      </w:r>
    </w:p>
    <w:p w14:paraId="2AF309C2" w14:textId="41B04904" w:rsidR="00E361A9" w:rsidRDefault="00782BB4" w:rsidP="003532FA">
      <w:pPr>
        <w:spacing w:after="0" w:line="240" w:lineRule="auto"/>
      </w:pPr>
      <w:r>
        <w:t>London,</w:t>
      </w:r>
      <w:r w:rsidR="0037201A">
        <w:t xml:space="preserve"> 15 July 2019</w:t>
      </w:r>
      <w:r>
        <w:t xml:space="preserve"> //‐ Pershing Square Holdings, Ltd. (LN:PSH) (LN:PSHD) (NA:PSH) (“PSH”) today </w:t>
      </w:r>
      <w:r w:rsidR="007C15CE">
        <w:t>announced</w:t>
      </w:r>
      <w:r w:rsidR="006F4A04">
        <w:t xml:space="preserve"> a </w:t>
      </w:r>
      <w:r w:rsidR="003532FA">
        <w:t>fully committed</w:t>
      </w:r>
      <w:r w:rsidR="006F4A04">
        <w:t xml:space="preserve"> private placement of $400,000,000 of</w:t>
      </w:r>
      <w:r w:rsidR="00E361A9">
        <w:t xml:space="preserve"> </w:t>
      </w:r>
      <w:r w:rsidR="00A933B8">
        <w:t>Bonds</w:t>
      </w:r>
      <w:r w:rsidR="006F4A04">
        <w:t xml:space="preserve"> with a coupon of 4.95</w:t>
      </w:r>
      <w:r w:rsidR="00E361A9">
        <w:t>0</w:t>
      </w:r>
      <w:r w:rsidR="006F4A04">
        <w:t>%, maturing on July 15, 2039</w:t>
      </w:r>
      <w:r w:rsidR="003532FA">
        <w:t xml:space="preserve"> (the “</w:t>
      </w:r>
      <w:r w:rsidR="00020C25">
        <w:t>Bonds</w:t>
      </w:r>
      <w:r w:rsidR="003532FA">
        <w:t>”)</w:t>
      </w:r>
      <w:r w:rsidR="006F4A04">
        <w:t>.</w:t>
      </w:r>
    </w:p>
    <w:p w14:paraId="100BAEB5" w14:textId="2B3A0EA0" w:rsidR="00E361A9" w:rsidRDefault="00E361A9" w:rsidP="003532FA">
      <w:pPr>
        <w:spacing w:after="0" w:line="240" w:lineRule="auto"/>
      </w:pPr>
    </w:p>
    <w:p w14:paraId="6D4FE4CB" w14:textId="59BB9318" w:rsidR="00E361A9" w:rsidRDefault="00E361A9" w:rsidP="003532FA">
      <w:pPr>
        <w:spacing w:after="0" w:line="240" w:lineRule="auto"/>
      </w:pPr>
      <w:r>
        <w:t xml:space="preserve">The </w:t>
      </w:r>
      <w:r w:rsidR="00A933B8">
        <w:t>Bonds</w:t>
      </w:r>
      <w:r>
        <w:t xml:space="preserve"> will be unsecured and will rank equally in right of payment with the issuer</w:t>
      </w:r>
      <w:r w:rsidR="0091516A">
        <w:t>’</w:t>
      </w:r>
      <w:r>
        <w:t>s $1 billion 5.500% Senior Notes due</w:t>
      </w:r>
      <w:r w:rsidR="004E7126">
        <w:t xml:space="preserve"> in</w:t>
      </w:r>
      <w:r>
        <w:t xml:space="preserve"> 2022</w:t>
      </w:r>
      <w:r w:rsidR="00CC2F32">
        <w:t xml:space="preserve"> (the “Initial Notes”)</w:t>
      </w:r>
      <w:r>
        <w:t>.</w:t>
      </w:r>
    </w:p>
    <w:p w14:paraId="0ED00DBE" w14:textId="77777777" w:rsidR="00E361A9" w:rsidRDefault="00E361A9" w:rsidP="003532FA">
      <w:pPr>
        <w:spacing w:after="0" w:line="240" w:lineRule="auto"/>
      </w:pPr>
    </w:p>
    <w:p w14:paraId="4401742D" w14:textId="1FA6E696" w:rsidR="003532FA" w:rsidRDefault="00E361A9" w:rsidP="003532FA">
      <w:pPr>
        <w:spacing w:after="0" w:line="240" w:lineRule="auto"/>
      </w:pPr>
      <w:r>
        <w:t xml:space="preserve">The </w:t>
      </w:r>
      <w:r w:rsidR="00A933B8">
        <w:t>Bonds</w:t>
      </w:r>
      <w:r>
        <w:t xml:space="preserve"> will </w:t>
      </w:r>
      <w:r w:rsidR="00891B3C">
        <w:t>be issued to</w:t>
      </w:r>
      <w:r w:rsidR="0037201A">
        <w:t xml:space="preserve"> institutional</w:t>
      </w:r>
      <w:r w:rsidR="00891B3C">
        <w:t xml:space="preserve"> accounts managed by </w:t>
      </w:r>
      <w:r w:rsidR="006F4A04">
        <w:t>Guggenheim Partners Investment Management, LLC.</w:t>
      </w:r>
      <w:r>
        <w:t xml:space="preserve"> </w:t>
      </w:r>
      <w:r w:rsidR="006F4A04">
        <w:t>Closing of the</w:t>
      </w:r>
      <w:r w:rsidR="00763DA5">
        <w:t xml:space="preserve"> issuance and sale of the</w:t>
      </w:r>
      <w:r w:rsidR="006F4A04">
        <w:t xml:space="preserve"> </w:t>
      </w:r>
      <w:r w:rsidR="00A933B8">
        <w:t>Bonds</w:t>
      </w:r>
      <w:r w:rsidR="006F4A04">
        <w:t xml:space="preserve"> is expected to be</w:t>
      </w:r>
      <w:r w:rsidR="008D114C">
        <w:t xml:space="preserve"> on or around </w:t>
      </w:r>
      <w:r w:rsidR="005D1EA0">
        <w:t>July 25, 2019 and</w:t>
      </w:r>
      <w:r w:rsidR="006F4A04">
        <w:t xml:space="preserve"> </w:t>
      </w:r>
      <w:bookmarkStart w:id="0" w:name="_GoBack"/>
      <w:bookmarkEnd w:id="0"/>
      <w:r w:rsidR="006F4A04">
        <w:t>will be subject to customary closing conditions.</w:t>
      </w:r>
    </w:p>
    <w:p w14:paraId="5D707046" w14:textId="0B708EEC" w:rsidR="003532FA" w:rsidRDefault="003532FA" w:rsidP="003532FA">
      <w:pPr>
        <w:spacing w:after="0" w:line="240" w:lineRule="auto"/>
      </w:pPr>
    </w:p>
    <w:p w14:paraId="0BDE482C" w14:textId="1C0DA465" w:rsidR="00DB0323" w:rsidRDefault="001C6DF9" w:rsidP="003532FA">
      <w:pPr>
        <w:spacing w:after="0" w:line="240" w:lineRule="auto"/>
      </w:pPr>
      <w:r w:rsidRPr="001C6DF9">
        <w:t>The Bonds contain substantially the same covenants as those governing the Initial Notes. The key man covenant for the Initial Notes and the Bonds provides for an offer to purchase at 101% of the principal amount, plus accrued interest, in the event the covenant is triggered prior to July 15, 2022. In the event the covenant is triggered after July 15, 2022, the specified total indebtedness to total capital ratio in the debt covenant would change from 1.0 to 3.0 to 1.0 to 4.0.</w:t>
      </w:r>
    </w:p>
    <w:p w14:paraId="5CED70CF" w14:textId="77777777" w:rsidR="001C6DF9" w:rsidRDefault="001C6DF9" w:rsidP="003532FA">
      <w:pPr>
        <w:spacing w:after="0" w:line="240" w:lineRule="auto"/>
      </w:pPr>
    </w:p>
    <w:p w14:paraId="0D52DCC5" w14:textId="0D8EE83C" w:rsidR="004920FA" w:rsidRDefault="003532FA" w:rsidP="003532FA">
      <w:pPr>
        <w:spacing w:after="0" w:line="240" w:lineRule="auto"/>
      </w:pPr>
      <w:r>
        <w:t xml:space="preserve">The proceeds from the </w:t>
      </w:r>
      <w:r w:rsidR="00A933B8">
        <w:t>Bonds</w:t>
      </w:r>
      <w:r w:rsidR="00020C25">
        <w:t>’</w:t>
      </w:r>
      <w:r>
        <w:t xml:space="preserve"> issuance will be used to make investments in accordance with PSH’s investment policy</w:t>
      </w:r>
      <w:r w:rsidR="006E26D6">
        <w:t xml:space="preserve"> and for general corporate purposes</w:t>
      </w:r>
      <w:r>
        <w:t>.</w:t>
      </w:r>
    </w:p>
    <w:p w14:paraId="395B03FB" w14:textId="77777777" w:rsidR="00972D01" w:rsidRDefault="00972D01" w:rsidP="00782BB4">
      <w:pPr>
        <w:spacing w:after="0" w:line="240" w:lineRule="auto"/>
      </w:pPr>
    </w:p>
    <w:p w14:paraId="005E0131" w14:textId="77777777" w:rsidR="00782BB4" w:rsidRPr="005219EA" w:rsidRDefault="00782BB4" w:rsidP="00782BB4">
      <w:pPr>
        <w:spacing w:after="0" w:line="240" w:lineRule="auto"/>
        <w:rPr>
          <w:b/>
        </w:rPr>
      </w:pPr>
      <w:r w:rsidRPr="005219EA">
        <w:rPr>
          <w:b/>
        </w:rPr>
        <w:t xml:space="preserve">About Pershing Square Holdings, Ltd.   </w:t>
      </w:r>
    </w:p>
    <w:p w14:paraId="31606488" w14:textId="77777777" w:rsidR="00782BB4" w:rsidRDefault="00782BB4" w:rsidP="00782BB4">
      <w:pPr>
        <w:spacing w:after="0" w:line="240" w:lineRule="auto"/>
      </w:pPr>
      <w:r w:rsidRPr="005219EA">
        <w:t>Pershing Square Holdings, Ltd. (LN:PSH) (LN:PSHD) (NA:PSH) is an investment holding company structured as a closed-ended fund that makes concentrated investments principally in North American companies.</w:t>
      </w:r>
    </w:p>
    <w:p w14:paraId="59FD83EE" w14:textId="77777777" w:rsidR="00782BB4" w:rsidRDefault="00782BB4" w:rsidP="00782BB4">
      <w:pPr>
        <w:spacing w:after="0" w:line="240" w:lineRule="auto"/>
      </w:pPr>
    </w:p>
    <w:p w14:paraId="6DBB3778" w14:textId="77777777" w:rsidR="00782BB4" w:rsidRPr="00C52B2F" w:rsidRDefault="00782BB4" w:rsidP="00782BB4">
      <w:pPr>
        <w:spacing w:after="0" w:line="240" w:lineRule="auto"/>
        <w:rPr>
          <w:b/>
        </w:rPr>
      </w:pPr>
      <w:r w:rsidRPr="00C52B2F">
        <w:rPr>
          <w:b/>
        </w:rPr>
        <w:t xml:space="preserve">Media Contact </w:t>
      </w:r>
    </w:p>
    <w:p w14:paraId="424BFA05" w14:textId="77777777" w:rsidR="00782BB4" w:rsidRPr="00C52B2F" w:rsidRDefault="00782BB4" w:rsidP="00782BB4">
      <w:pPr>
        <w:spacing w:after="0" w:line="240" w:lineRule="auto"/>
        <w:rPr>
          <w:b/>
          <w:sz w:val="21"/>
          <w:szCs w:val="21"/>
        </w:rPr>
      </w:pPr>
      <w:proofErr w:type="spellStart"/>
      <w:r w:rsidRPr="00C52B2F">
        <w:rPr>
          <w:b/>
        </w:rPr>
        <w:t>Camarco</w:t>
      </w:r>
      <w:proofErr w:type="spellEnd"/>
      <w:r w:rsidRPr="00C52B2F">
        <w:rPr>
          <w:b/>
        </w:rPr>
        <w:t xml:space="preserve"> </w:t>
      </w:r>
    </w:p>
    <w:p w14:paraId="4CC63169" w14:textId="1A09FA4E" w:rsidR="000E25A4" w:rsidRDefault="00782BB4" w:rsidP="00B6755E">
      <w:pPr>
        <w:spacing w:after="0" w:line="240" w:lineRule="auto"/>
        <w:rPr>
          <w:sz w:val="21"/>
          <w:szCs w:val="21"/>
        </w:rPr>
      </w:pPr>
      <w:r w:rsidRPr="00C52B2F">
        <w:rPr>
          <w:sz w:val="21"/>
          <w:szCs w:val="21"/>
        </w:rPr>
        <w:t xml:space="preserve">Ed Gascoigne-Pees / Hazel Stevenson +44 020 3757 4989, </w:t>
      </w:r>
      <w:hyperlink r:id="rId6" w:history="1">
        <w:r w:rsidRPr="00C52B2F">
          <w:rPr>
            <w:rStyle w:val="Hyperlink"/>
            <w:sz w:val="21"/>
            <w:szCs w:val="21"/>
          </w:rPr>
          <w:t>media-pershingsquareholdings@camarco.co.uk</w:t>
        </w:r>
      </w:hyperlink>
      <w:r w:rsidRPr="00C52B2F">
        <w:rPr>
          <w:sz w:val="21"/>
          <w:szCs w:val="21"/>
        </w:rPr>
        <w:t xml:space="preserve"> </w:t>
      </w:r>
    </w:p>
    <w:p w14:paraId="0BD44720" w14:textId="69B9405C" w:rsidR="0037201A" w:rsidRDefault="0037201A" w:rsidP="00B6755E">
      <w:pPr>
        <w:spacing w:after="0" w:line="240" w:lineRule="auto"/>
        <w:rPr>
          <w:sz w:val="21"/>
          <w:szCs w:val="21"/>
        </w:rPr>
      </w:pPr>
    </w:p>
    <w:p w14:paraId="10BBC2EE" w14:textId="77777777" w:rsidR="0037201A" w:rsidRPr="004E7126" w:rsidRDefault="0037201A" w:rsidP="0037201A">
      <w:pPr>
        <w:spacing w:after="0" w:line="240" w:lineRule="auto"/>
        <w:rPr>
          <w:b/>
          <w:bCs/>
        </w:rPr>
      </w:pPr>
      <w:r w:rsidRPr="004E7126">
        <w:rPr>
          <w:b/>
          <w:bCs/>
        </w:rPr>
        <w:t>About Guggenheim Investments</w:t>
      </w:r>
    </w:p>
    <w:p w14:paraId="0E31EB46" w14:textId="690036D6" w:rsidR="0037201A" w:rsidRDefault="0037201A" w:rsidP="0037201A">
      <w:pPr>
        <w:spacing w:after="0" w:line="240" w:lineRule="auto"/>
        <w:rPr>
          <w:sz w:val="21"/>
          <w:szCs w:val="21"/>
        </w:rPr>
      </w:pPr>
      <w:r w:rsidRPr="004E7126">
        <w:t>Guggenheim Investments is the global asset management and investment advisory division of Guggenheim Partners</w:t>
      </w:r>
      <w:r w:rsidRPr="0037201A">
        <w:rPr>
          <w:sz w:val="21"/>
          <w:szCs w:val="21"/>
        </w:rPr>
        <w:t>.</w:t>
      </w:r>
    </w:p>
    <w:p w14:paraId="48448C0E" w14:textId="77777777" w:rsidR="0037201A" w:rsidRPr="0037201A" w:rsidRDefault="0037201A" w:rsidP="0037201A">
      <w:pPr>
        <w:spacing w:after="0" w:line="240" w:lineRule="auto"/>
        <w:rPr>
          <w:sz w:val="21"/>
          <w:szCs w:val="21"/>
        </w:rPr>
      </w:pPr>
    </w:p>
    <w:p w14:paraId="2C1B827F" w14:textId="77777777" w:rsidR="0037201A" w:rsidRPr="004E7126" w:rsidRDefault="0037201A" w:rsidP="0037201A">
      <w:pPr>
        <w:spacing w:after="0" w:line="240" w:lineRule="auto"/>
        <w:rPr>
          <w:b/>
          <w:bCs/>
        </w:rPr>
      </w:pPr>
      <w:r w:rsidRPr="004E7126">
        <w:rPr>
          <w:b/>
          <w:bCs/>
        </w:rPr>
        <w:t>Media Contact</w:t>
      </w:r>
    </w:p>
    <w:p w14:paraId="366A001A" w14:textId="77777777" w:rsidR="0037201A" w:rsidRPr="004E7126" w:rsidRDefault="0037201A" w:rsidP="0037201A">
      <w:pPr>
        <w:spacing w:after="0" w:line="240" w:lineRule="auto"/>
      </w:pPr>
      <w:r w:rsidRPr="004E7126">
        <w:t>Guggenheim Investments</w:t>
      </w:r>
    </w:p>
    <w:p w14:paraId="02E6E9EF" w14:textId="72584AA8" w:rsidR="0037201A" w:rsidRDefault="0037201A" w:rsidP="0037201A">
      <w:pPr>
        <w:spacing w:after="0" w:line="240" w:lineRule="auto"/>
        <w:rPr>
          <w:sz w:val="21"/>
          <w:szCs w:val="21"/>
        </w:rPr>
      </w:pPr>
      <w:r w:rsidRPr="0037201A">
        <w:rPr>
          <w:sz w:val="21"/>
          <w:szCs w:val="21"/>
        </w:rPr>
        <w:t xml:space="preserve">Gerard Carney +1 310 319 2527, </w:t>
      </w:r>
      <w:hyperlink r:id="rId7" w:history="1">
        <w:r w:rsidRPr="007519A5">
          <w:rPr>
            <w:rStyle w:val="Hyperlink"/>
            <w:sz w:val="21"/>
            <w:szCs w:val="21"/>
          </w:rPr>
          <w:t>Gerard.Carney@guggenheimpartners.com</w:t>
        </w:r>
      </w:hyperlink>
      <w:r>
        <w:rPr>
          <w:sz w:val="21"/>
          <w:szCs w:val="21"/>
        </w:rPr>
        <w:t xml:space="preserve"> </w:t>
      </w:r>
    </w:p>
    <w:p w14:paraId="5F7E4C19" w14:textId="0B3A40EA" w:rsidR="00763DA5" w:rsidRDefault="00763DA5" w:rsidP="00B6755E">
      <w:pPr>
        <w:spacing w:after="0" w:line="240" w:lineRule="auto"/>
        <w:rPr>
          <w:sz w:val="21"/>
          <w:szCs w:val="21"/>
        </w:rPr>
      </w:pPr>
    </w:p>
    <w:p w14:paraId="3224168D" w14:textId="77777777" w:rsidR="00763DA5" w:rsidRPr="00763DA5" w:rsidRDefault="00763DA5" w:rsidP="00763DA5">
      <w:pPr>
        <w:spacing w:after="0" w:line="240" w:lineRule="auto"/>
        <w:rPr>
          <w:b/>
          <w:bCs/>
          <w:sz w:val="21"/>
          <w:szCs w:val="21"/>
        </w:rPr>
      </w:pPr>
      <w:r w:rsidRPr="00763DA5">
        <w:rPr>
          <w:b/>
          <w:bCs/>
          <w:sz w:val="21"/>
          <w:szCs w:val="21"/>
        </w:rPr>
        <w:t>Important Notice</w:t>
      </w:r>
    </w:p>
    <w:p w14:paraId="2D81E38F" w14:textId="77777777" w:rsidR="00763DA5" w:rsidRPr="00763DA5" w:rsidRDefault="00763DA5" w:rsidP="00763DA5">
      <w:pPr>
        <w:spacing w:after="0" w:line="240" w:lineRule="auto"/>
        <w:rPr>
          <w:b/>
          <w:bCs/>
          <w:sz w:val="21"/>
          <w:szCs w:val="21"/>
        </w:rPr>
      </w:pPr>
    </w:p>
    <w:p w14:paraId="6B03B199" w14:textId="77777777" w:rsidR="00763DA5" w:rsidRPr="00763DA5" w:rsidRDefault="00763DA5" w:rsidP="00763DA5">
      <w:pPr>
        <w:spacing w:after="0" w:line="240" w:lineRule="auto"/>
        <w:rPr>
          <w:b/>
          <w:bCs/>
          <w:sz w:val="21"/>
          <w:szCs w:val="21"/>
        </w:rPr>
      </w:pPr>
      <w:r w:rsidRPr="00763DA5">
        <w:rPr>
          <w:b/>
          <w:bCs/>
          <w:sz w:val="21"/>
          <w:szCs w:val="21"/>
        </w:rPr>
        <w:t>This announcement does not constitute or form a part of any offer or solicitation to purchase or subscribe for securities in Australia, Brazil, Canada, France, Singapore, South Korea, Spain, the United Arab Emirates and any other jurisdiction where to do so might constitute a violation or breach of any applicable law or regulation or to any national, resident or citizen thereof.</w:t>
      </w:r>
    </w:p>
    <w:p w14:paraId="07C133D2" w14:textId="77777777" w:rsidR="00763DA5" w:rsidRPr="00763DA5" w:rsidRDefault="00763DA5" w:rsidP="00763DA5">
      <w:pPr>
        <w:spacing w:after="0" w:line="240" w:lineRule="auto"/>
        <w:rPr>
          <w:b/>
          <w:bCs/>
          <w:sz w:val="21"/>
          <w:szCs w:val="21"/>
        </w:rPr>
      </w:pPr>
    </w:p>
    <w:p w14:paraId="19EDAEDF" w14:textId="77777777" w:rsidR="00763DA5" w:rsidRPr="00763DA5" w:rsidRDefault="00763DA5" w:rsidP="00763DA5">
      <w:pPr>
        <w:spacing w:after="0" w:line="240" w:lineRule="auto"/>
        <w:rPr>
          <w:b/>
          <w:bCs/>
          <w:sz w:val="21"/>
          <w:szCs w:val="21"/>
        </w:rPr>
      </w:pPr>
      <w:r w:rsidRPr="00763DA5">
        <w:rPr>
          <w:b/>
          <w:bCs/>
          <w:sz w:val="21"/>
          <w:szCs w:val="21"/>
        </w:rPr>
        <w:lastRenderedPageBreak/>
        <w:t>The Notes mentioned herein have not been, and will not be, registered under the U.S. Securities Act of 1933, as amended (the “Securities Act”). The Notes may not be offered or sold in the United States or to U.S. persons (as defined in Regulation S under the Securities Act) absent registration or an applicable exemption from the registration requirements of the Securities Act. There will be no public offering of the Notes in the United States.</w:t>
      </w:r>
    </w:p>
    <w:p w14:paraId="4E5A6199" w14:textId="77777777" w:rsidR="00763DA5" w:rsidRPr="00763DA5" w:rsidRDefault="00763DA5" w:rsidP="00763DA5">
      <w:pPr>
        <w:spacing w:after="0" w:line="240" w:lineRule="auto"/>
        <w:rPr>
          <w:b/>
          <w:bCs/>
          <w:sz w:val="21"/>
          <w:szCs w:val="21"/>
        </w:rPr>
      </w:pPr>
    </w:p>
    <w:p w14:paraId="7C5F1A72" w14:textId="77777777" w:rsidR="00763DA5" w:rsidRPr="00763DA5" w:rsidRDefault="00763DA5" w:rsidP="00763DA5">
      <w:pPr>
        <w:spacing w:after="0" w:line="240" w:lineRule="auto"/>
        <w:rPr>
          <w:b/>
          <w:bCs/>
          <w:sz w:val="21"/>
          <w:szCs w:val="21"/>
        </w:rPr>
      </w:pPr>
      <w:r w:rsidRPr="00763DA5">
        <w:rPr>
          <w:b/>
          <w:bCs/>
          <w:sz w:val="21"/>
          <w:szCs w:val="21"/>
        </w:rPr>
        <w:t>PSH has not been and will not be registered under the U.S. Investment Company Act of 1940, as amended (the “Investment Company Act”), and investors in the Notes mentioned herein will not be entitled to the benefits of the Investment Company Act.</w:t>
      </w:r>
    </w:p>
    <w:p w14:paraId="67868EE2" w14:textId="77777777" w:rsidR="00763DA5" w:rsidRPr="00763DA5" w:rsidRDefault="00763DA5" w:rsidP="00763DA5">
      <w:pPr>
        <w:spacing w:after="0" w:line="240" w:lineRule="auto"/>
        <w:rPr>
          <w:b/>
          <w:bCs/>
          <w:sz w:val="21"/>
          <w:szCs w:val="21"/>
        </w:rPr>
      </w:pPr>
    </w:p>
    <w:p w14:paraId="30245D87" w14:textId="77777777" w:rsidR="00763DA5" w:rsidRPr="00763DA5" w:rsidRDefault="00763DA5" w:rsidP="00763DA5">
      <w:pPr>
        <w:spacing w:after="0" w:line="240" w:lineRule="auto"/>
        <w:rPr>
          <w:b/>
          <w:bCs/>
          <w:sz w:val="21"/>
          <w:szCs w:val="21"/>
        </w:rPr>
      </w:pPr>
      <w:r w:rsidRPr="00763DA5">
        <w:rPr>
          <w:b/>
          <w:bCs/>
          <w:sz w:val="21"/>
          <w:szCs w:val="21"/>
        </w:rPr>
        <w:t>PSH is a registered closed-ended investment scheme under the Protection of Investors (Bailiwick of Guernsey) Law, 1987, as amended and the Guernsey Registered Collective Investment Schemes Rules 2015, issued by the Guernsey Financial Services Commission.</w:t>
      </w:r>
    </w:p>
    <w:p w14:paraId="7E24CD52" w14:textId="77777777" w:rsidR="00763DA5" w:rsidRPr="00763DA5" w:rsidRDefault="00763DA5" w:rsidP="00763DA5">
      <w:pPr>
        <w:spacing w:after="0" w:line="240" w:lineRule="auto"/>
        <w:rPr>
          <w:b/>
          <w:bCs/>
          <w:sz w:val="21"/>
          <w:szCs w:val="21"/>
        </w:rPr>
      </w:pPr>
    </w:p>
    <w:p w14:paraId="3AA5C413" w14:textId="27C2D2F5" w:rsidR="00763DA5" w:rsidRPr="00763DA5" w:rsidRDefault="00763DA5" w:rsidP="00763DA5">
      <w:pPr>
        <w:spacing w:after="0" w:line="240" w:lineRule="auto"/>
        <w:rPr>
          <w:b/>
          <w:bCs/>
          <w:sz w:val="21"/>
          <w:szCs w:val="21"/>
        </w:rPr>
      </w:pPr>
      <w:r w:rsidRPr="00763DA5">
        <w:rPr>
          <w:b/>
          <w:bCs/>
          <w:sz w:val="21"/>
          <w:szCs w:val="21"/>
        </w:rPr>
        <w:t>In the United Kingdom, this announcement is being distributed to, and is directed at, only (a) persons who have professional experience in matters relating to investments who fall within the definition of “investment professionals” in Article 19(5) of the Financial Services and Markets Act 2000 (Financial Promotion) Order 2005, as amended (the “Order”); (b) high net worth companies, and other persons to whom it may otherwise lawfully be communicated, falling within Article 49(2)(a) to (d) of the Order; or (c) persons to whom an invitation or inducement to engage in an investment activity (within the meaning of Section 21 of</w:t>
      </w:r>
      <w:r w:rsidR="00000A6D">
        <w:rPr>
          <w:b/>
          <w:bCs/>
          <w:sz w:val="21"/>
          <w:szCs w:val="21"/>
        </w:rPr>
        <w:t xml:space="preserve"> </w:t>
      </w:r>
      <w:r w:rsidRPr="00763DA5">
        <w:rPr>
          <w:b/>
          <w:bCs/>
          <w:sz w:val="21"/>
          <w:szCs w:val="21"/>
        </w:rPr>
        <w:t xml:space="preserve">the Financial Services and Markets Act 2000) in connection with the issue or sale of </w:t>
      </w:r>
      <w:r w:rsidR="00000A6D">
        <w:rPr>
          <w:b/>
          <w:bCs/>
          <w:sz w:val="21"/>
          <w:szCs w:val="21"/>
        </w:rPr>
        <w:t>a</w:t>
      </w:r>
      <w:r w:rsidRPr="00763DA5">
        <w:rPr>
          <w:b/>
          <w:bCs/>
          <w:sz w:val="21"/>
          <w:szCs w:val="21"/>
        </w:rPr>
        <w:t>ny securities may</w:t>
      </w:r>
      <w:r w:rsidR="00000A6D">
        <w:rPr>
          <w:b/>
          <w:bCs/>
          <w:sz w:val="21"/>
          <w:szCs w:val="21"/>
        </w:rPr>
        <w:t xml:space="preserve"> </w:t>
      </w:r>
      <w:r w:rsidRPr="00763DA5">
        <w:rPr>
          <w:b/>
          <w:bCs/>
          <w:sz w:val="21"/>
          <w:szCs w:val="21"/>
        </w:rPr>
        <w:t>otherwise lawfully be communicated or caused to be communicated (all such persons together being referred to as “relevant persons”). The Notes are available only to, and any invitation, offer or agreement to subscribe, purchase or otherwise acquire such Notes will be available only to or will be engaged in only with, relevant persons. Any person who is not a relevant person should not act or rely on this announcement or any of its contents. Persons distributing this announcement must satisfy themselves that it is lawful to do so.</w:t>
      </w:r>
    </w:p>
    <w:p w14:paraId="045FDF8D" w14:textId="77777777" w:rsidR="00763DA5" w:rsidRPr="00763DA5" w:rsidRDefault="00763DA5" w:rsidP="00763DA5">
      <w:pPr>
        <w:spacing w:after="0" w:line="240" w:lineRule="auto"/>
        <w:rPr>
          <w:b/>
          <w:bCs/>
          <w:sz w:val="21"/>
          <w:szCs w:val="21"/>
        </w:rPr>
      </w:pPr>
    </w:p>
    <w:p w14:paraId="324D19EC" w14:textId="505362F2" w:rsidR="00763DA5" w:rsidRPr="00763DA5" w:rsidRDefault="00763DA5" w:rsidP="00763DA5">
      <w:pPr>
        <w:spacing w:after="0" w:line="240" w:lineRule="auto"/>
        <w:rPr>
          <w:b/>
          <w:bCs/>
          <w:sz w:val="21"/>
          <w:szCs w:val="21"/>
        </w:rPr>
      </w:pPr>
      <w:r w:rsidRPr="00763DA5">
        <w:rPr>
          <w:b/>
          <w:bCs/>
          <w:sz w:val="21"/>
          <w:szCs w:val="21"/>
        </w:rPr>
        <w:t>The distribution of this announcement may be restricted by law. Persons into whose possession this announcement comes should inform themselves about and observe any such restrictions. Any failure to comply with these restrictions may constitute a violation of the securities laws of any such jurisdiction.</w:t>
      </w:r>
    </w:p>
    <w:p w14:paraId="52E83E43" w14:textId="77777777" w:rsidR="00763DA5" w:rsidRPr="00763DA5" w:rsidRDefault="00763DA5" w:rsidP="00763DA5">
      <w:pPr>
        <w:spacing w:after="0" w:line="240" w:lineRule="auto"/>
        <w:rPr>
          <w:b/>
          <w:bCs/>
          <w:sz w:val="21"/>
          <w:szCs w:val="21"/>
        </w:rPr>
      </w:pPr>
    </w:p>
    <w:p w14:paraId="32A96DC7" w14:textId="7823C051" w:rsidR="00763DA5" w:rsidRPr="00763DA5" w:rsidRDefault="00763DA5" w:rsidP="00763DA5">
      <w:pPr>
        <w:spacing w:after="0" w:line="240" w:lineRule="auto"/>
        <w:rPr>
          <w:b/>
          <w:bCs/>
          <w:sz w:val="21"/>
          <w:szCs w:val="21"/>
        </w:rPr>
      </w:pPr>
      <w:r w:rsidRPr="00763DA5">
        <w:rPr>
          <w:b/>
          <w:bCs/>
          <w:sz w:val="21"/>
          <w:szCs w:val="21"/>
        </w:rPr>
        <w:t>Forward-Looking Statements</w:t>
      </w:r>
    </w:p>
    <w:p w14:paraId="28E5322D" w14:textId="77777777" w:rsidR="00763DA5" w:rsidRPr="00763DA5" w:rsidRDefault="00763DA5" w:rsidP="00763DA5">
      <w:pPr>
        <w:spacing w:after="0" w:line="240" w:lineRule="auto"/>
        <w:rPr>
          <w:b/>
          <w:bCs/>
          <w:sz w:val="21"/>
          <w:szCs w:val="21"/>
        </w:rPr>
      </w:pPr>
    </w:p>
    <w:p w14:paraId="7BC2BBBD" w14:textId="77777777" w:rsidR="00763DA5" w:rsidRPr="00763DA5" w:rsidRDefault="00763DA5" w:rsidP="00763DA5">
      <w:pPr>
        <w:spacing w:after="0" w:line="240" w:lineRule="auto"/>
        <w:rPr>
          <w:b/>
          <w:bCs/>
          <w:sz w:val="21"/>
          <w:szCs w:val="21"/>
        </w:rPr>
      </w:pPr>
      <w:r w:rsidRPr="00763DA5">
        <w:rPr>
          <w:b/>
          <w:bCs/>
          <w:sz w:val="21"/>
          <w:szCs w:val="21"/>
        </w:rPr>
        <w:t>Nothing in this announcement is, or should be relied on as, a promise or representation as to the future. This announcement may include certain forward-looking statements. Such statements are based on various assumptions and expectations which may or may not prove to be correct. No representations or warranties are made by any person as to the accuracy of such statements.</w:t>
      </w:r>
    </w:p>
    <w:p w14:paraId="78A9483A" w14:textId="77777777" w:rsidR="00763DA5" w:rsidRPr="00763DA5" w:rsidRDefault="00763DA5" w:rsidP="00763DA5">
      <w:pPr>
        <w:spacing w:after="0" w:line="240" w:lineRule="auto"/>
        <w:rPr>
          <w:b/>
          <w:bCs/>
          <w:sz w:val="21"/>
          <w:szCs w:val="21"/>
        </w:rPr>
      </w:pPr>
    </w:p>
    <w:p w14:paraId="45DEC4A7" w14:textId="1144E1F8" w:rsidR="00763DA5" w:rsidRPr="00763DA5" w:rsidRDefault="00763DA5" w:rsidP="00763DA5">
      <w:pPr>
        <w:spacing w:after="0" w:line="240" w:lineRule="auto"/>
        <w:rPr>
          <w:b/>
          <w:bCs/>
          <w:sz w:val="21"/>
          <w:szCs w:val="21"/>
        </w:rPr>
      </w:pPr>
      <w:r w:rsidRPr="00763DA5">
        <w:rPr>
          <w:b/>
          <w:bCs/>
          <w:sz w:val="21"/>
          <w:szCs w:val="21"/>
        </w:rPr>
        <w:t>Pershing Square Holdings, Ltd. registered place of business: P.O. Box 650, 1st Floor, Royal Chambers, St. Julian’s Avenue, St. Peter Port, Guernsey, GY1 3JX</w:t>
      </w:r>
    </w:p>
    <w:sectPr w:rsidR="00763DA5" w:rsidRPr="00763D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B4BFC" w14:textId="77777777" w:rsidR="00C408E4" w:rsidRDefault="00C408E4" w:rsidP="00782BB4">
      <w:pPr>
        <w:spacing w:after="0" w:line="240" w:lineRule="auto"/>
      </w:pPr>
      <w:r>
        <w:separator/>
      </w:r>
    </w:p>
  </w:endnote>
  <w:endnote w:type="continuationSeparator" w:id="0">
    <w:p w14:paraId="36E8A989" w14:textId="77777777" w:rsidR="00C408E4" w:rsidRDefault="00C408E4" w:rsidP="0078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A8597" w14:textId="77777777" w:rsidR="00CA7F14" w:rsidRDefault="00CA7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7D99" w14:textId="7997068F" w:rsidR="00CA7F14" w:rsidRPr="001E40BC" w:rsidRDefault="001E40BC" w:rsidP="001E40BC">
    <w:pPr>
      <w:pStyle w:val="Footer"/>
      <w:jc w:val="right"/>
      <w:rPr>
        <w:rFonts w:ascii="Times New Roman" w:hAnsi="Times New Roman" w:cs="Times New Roman"/>
        <w:sz w:val="16"/>
      </w:rPr>
    </w:pPr>
    <w:r>
      <w:rPr>
        <w:rFonts w:ascii="Times New Roman" w:hAnsi="Times New Roman" w:cs="Times New Roman"/>
        <w:sz w:val="16"/>
      </w:rPr>
      <w:fldChar w:fldCharType="begin"/>
    </w:r>
    <w:r>
      <w:rPr>
        <w:rFonts w:ascii="Times New Roman" w:hAnsi="Times New Roman" w:cs="Times New Roman"/>
        <w:sz w:val="16"/>
      </w:rPr>
      <w:instrText xml:space="preserve"> DOCPROPERTY "YCFooter" </w:instrText>
    </w:r>
    <w:r>
      <w:rPr>
        <w:rFonts w:ascii="Times New Roman" w:hAnsi="Times New Roman" w:cs="Times New Roman"/>
        <w:sz w:val="16"/>
      </w:rPr>
      <w:fldChar w:fldCharType="separate"/>
    </w:r>
    <w:r>
      <w:rPr>
        <w:rFonts w:ascii="Times New Roman" w:hAnsi="Times New Roman" w:cs="Times New Roman"/>
        <w:sz w:val="16"/>
      </w:rPr>
      <w:t>421051.6</w:t>
    </w:r>
    <w:r>
      <w:rPr>
        <w:rFonts w:ascii="Times New Roman" w:hAnsi="Times New Roman" w:cs="Times New Roman"/>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5BAFC" w14:textId="77777777" w:rsidR="00CA7F14" w:rsidRDefault="00CA7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75C4A" w14:textId="77777777" w:rsidR="00C408E4" w:rsidRDefault="00C408E4" w:rsidP="00782BB4">
      <w:pPr>
        <w:spacing w:after="0" w:line="240" w:lineRule="auto"/>
      </w:pPr>
      <w:r>
        <w:separator/>
      </w:r>
    </w:p>
  </w:footnote>
  <w:footnote w:type="continuationSeparator" w:id="0">
    <w:p w14:paraId="72467B88" w14:textId="77777777" w:rsidR="00C408E4" w:rsidRDefault="00C408E4" w:rsidP="00782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03A3D" w14:textId="77777777" w:rsidR="00CA7F14" w:rsidRDefault="00CA7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CE2A" w14:textId="77777777" w:rsidR="00CA7F14" w:rsidRDefault="00CA7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0A5AC" w14:textId="77777777" w:rsidR="00CA7F14" w:rsidRDefault="00CA7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B4"/>
    <w:rsid w:val="00000A6D"/>
    <w:rsid w:val="000138EC"/>
    <w:rsid w:val="00020C25"/>
    <w:rsid w:val="000A6782"/>
    <w:rsid w:val="000D7033"/>
    <w:rsid w:val="000E25A4"/>
    <w:rsid w:val="00194DC7"/>
    <w:rsid w:val="001C6DF9"/>
    <w:rsid w:val="001D775E"/>
    <w:rsid w:val="001E40BC"/>
    <w:rsid w:val="00223D77"/>
    <w:rsid w:val="002734F6"/>
    <w:rsid w:val="00275120"/>
    <w:rsid w:val="002859D5"/>
    <w:rsid w:val="002F6028"/>
    <w:rsid w:val="003532FA"/>
    <w:rsid w:val="0037201A"/>
    <w:rsid w:val="0039112F"/>
    <w:rsid w:val="00396F3A"/>
    <w:rsid w:val="003A36FC"/>
    <w:rsid w:val="003D05E1"/>
    <w:rsid w:val="004278FD"/>
    <w:rsid w:val="00435734"/>
    <w:rsid w:val="00442A3A"/>
    <w:rsid w:val="004920FA"/>
    <w:rsid w:val="004950C0"/>
    <w:rsid w:val="00495CD8"/>
    <w:rsid w:val="004B37BB"/>
    <w:rsid w:val="004E1B9F"/>
    <w:rsid w:val="004E30A5"/>
    <w:rsid w:val="004E7126"/>
    <w:rsid w:val="004F37C5"/>
    <w:rsid w:val="005362E9"/>
    <w:rsid w:val="005559E2"/>
    <w:rsid w:val="00562985"/>
    <w:rsid w:val="00590E98"/>
    <w:rsid w:val="005D1EA0"/>
    <w:rsid w:val="00607148"/>
    <w:rsid w:val="00690F97"/>
    <w:rsid w:val="006B17A7"/>
    <w:rsid w:val="006D204B"/>
    <w:rsid w:val="006E26D6"/>
    <w:rsid w:val="006F4A04"/>
    <w:rsid w:val="0070516D"/>
    <w:rsid w:val="00707A86"/>
    <w:rsid w:val="00763DA5"/>
    <w:rsid w:val="00782BB4"/>
    <w:rsid w:val="00790065"/>
    <w:rsid w:val="007C15CE"/>
    <w:rsid w:val="007F2C2A"/>
    <w:rsid w:val="00891B3C"/>
    <w:rsid w:val="008D114C"/>
    <w:rsid w:val="00905171"/>
    <w:rsid w:val="0091516A"/>
    <w:rsid w:val="00920462"/>
    <w:rsid w:val="00972D01"/>
    <w:rsid w:val="009E0EF4"/>
    <w:rsid w:val="009F34F4"/>
    <w:rsid w:val="00A15534"/>
    <w:rsid w:val="00A57003"/>
    <w:rsid w:val="00A933B8"/>
    <w:rsid w:val="00AB57B8"/>
    <w:rsid w:val="00AE7FDD"/>
    <w:rsid w:val="00AF0AB6"/>
    <w:rsid w:val="00B02BC7"/>
    <w:rsid w:val="00B6755E"/>
    <w:rsid w:val="00B73809"/>
    <w:rsid w:val="00BB3AB8"/>
    <w:rsid w:val="00BD088D"/>
    <w:rsid w:val="00BD1DF5"/>
    <w:rsid w:val="00BD3EF9"/>
    <w:rsid w:val="00C1204D"/>
    <w:rsid w:val="00C408E4"/>
    <w:rsid w:val="00C90A17"/>
    <w:rsid w:val="00CA7F14"/>
    <w:rsid w:val="00CC2F32"/>
    <w:rsid w:val="00CF07F4"/>
    <w:rsid w:val="00D10642"/>
    <w:rsid w:val="00D62409"/>
    <w:rsid w:val="00D93E22"/>
    <w:rsid w:val="00DA6779"/>
    <w:rsid w:val="00DB0323"/>
    <w:rsid w:val="00E32EE3"/>
    <w:rsid w:val="00E361A9"/>
    <w:rsid w:val="00E467B1"/>
    <w:rsid w:val="00EC3405"/>
    <w:rsid w:val="00F059F7"/>
    <w:rsid w:val="00F10DC8"/>
    <w:rsid w:val="00F1178C"/>
    <w:rsid w:val="00F67094"/>
    <w:rsid w:val="00F959B9"/>
    <w:rsid w:val="00FA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BF327"/>
  <w15:chartTrackingRefBased/>
  <w15:docId w15:val="{BFA2F8F9-FD8D-448D-87F1-0734FB71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BB4"/>
    <w:rPr>
      <w:color w:val="0563C1" w:themeColor="hyperlink"/>
      <w:u w:val="single"/>
    </w:rPr>
  </w:style>
  <w:style w:type="table" w:styleId="TableGrid">
    <w:name w:val="Table Grid"/>
    <w:basedOn w:val="TableNormal"/>
    <w:uiPriority w:val="39"/>
    <w:rsid w:val="00AE7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2D01"/>
    <w:rPr>
      <w:color w:val="605E5C"/>
      <w:shd w:val="clear" w:color="auto" w:fill="E1DFDD"/>
    </w:rPr>
  </w:style>
  <w:style w:type="character" w:styleId="FollowedHyperlink">
    <w:name w:val="FollowedHyperlink"/>
    <w:basedOn w:val="DefaultParagraphFont"/>
    <w:uiPriority w:val="99"/>
    <w:semiHidden/>
    <w:unhideWhenUsed/>
    <w:rsid w:val="00972D01"/>
    <w:rPr>
      <w:color w:val="954F72" w:themeColor="followedHyperlink"/>
      <w:u w:val="single"/>
    </w:rPr>
  </w:style>
  <w:style w:type="paragraph" w:styleId="Header">
    <w:name w:val="header"/>
    <w:basedOn w:val="Normal"/>
    <w:link w:val="HeaderChar"/>
    <w:uiPriority w:val="99"/>
    <w:unhideWhenUsed/>
    <w:rsid w:val="00CA7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F14"/>
  </w:style>
  <w:style w:type="paragraph" w:styleId="Footer">
    <w:name w:val="footer"/>
    <w:basedOn w:val="Normal"/>
    <w:link w:val="FooterChar"/>
    <w:uiPriority w:val="99"/>
    <w:unhideWhenUsed/>
    <w:rsid w:val="00CA7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52215">
      <w:bodyDiv w:val="1"/>
      <w:marLeft w:val="0"/>
      <w:marRight w:val="0"/>
      <w:marTop w:val="0"/>
      <w:marBottom w:val="0"/>
      <w:divBdr>
        <w:top w:val="none" w:sz="0" w:space="0" w:color="auto"/>
        <w:left w:val="none" w:sz="0" w:space="0" w:color="auto"/>
        <w:bottom w:val="none" w:sz="0" w:space="0" w:color="auto"/>
        <w:right w:val="none" w:sz="0" w:space="0" w:color="auto"/>
      </w:divBdr>
    </w:div>
    <w:div w:id="11531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Gerard.Carney@guggenheimpartner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pershingsquareholdings@camarco.co.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McGill</dc:creator>
  <cp:keywords/>
  <dc:description/>
  <cp:lastModifiedBy>Francis McGill</cp:lastModifiedBy>
  <cp:revision>6</cp:revision>
  <cp:lastPrinted>2019-07-08T18:02:00Z</cp:lastPrinted>
  <dcterms:created xsi:type="dcterms:W3CDTF">2019-07-14T13:56:00Z</dcterms:created>
  <dcterms:modified xsi:type="dcterms:W3CDTF">2019-07-14T14:11:00Z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mcgill@persq.com</vt:lpwstr>
  </property>
  <property fmtid="{D5CDD505-2E9C-101B-9397-08002B2CF9AE}" pid="5" name="MSIP_Label_07de791d-9b37-4fe4-af59-d63f7e92dd2b_SetDate">
    <vt:lpwstr>2019-06-18T19:42:00.4603195Z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ActionId">
    <vt:lpwstr>7ca9341c-208b-428d-a56a-f48e9ac5abd5</vt:lpwstr>
  </property>
  <property fmtid="{D5CDD505-2E9C-101B-9397-08002B2CF9AE}" pid="9" name="MSIP_Label_07de791d-9b37-4fe4-af59-d63f7e92dd2b_Extended_MSFT_Method">
    <vt:lpwstr>Automatic</vt:lpwstr>
  </property>
  <property fmtid="{D5CDD505-2E9C-101B-9397-08002B2CF9AE}" pid="10" name="MSIP_Label_ffc1e10f-3812-4a54-8543-7247091f4452_Enabled">
    <vt:lpwstr>True</vt:lpwstr>
  </property>
  <property fmtid="{D5CDD505-2E9C-101B-9397-08002B2CF9AE}" pid="11" name="MSIP_Label_ffc1e10f-3812-4a54-8543-7247091f4452_SiteId">
    <vt:lpwstr>103e854c-d5c8-41b6-b343-6f6e0ff67a69</vt:lpwstr>
  </property>
  <property fmtid="{D5CDD505-2E9C-101B-9397-08002B2CF9AE}" pid="12" name="MSIP_Label_ffc1e10f-3812-4a54-8543-7247091f4452_Owner">
    <vt:lpwstr>mcgill@persq.com</vt:lpwstr>
  </property>
  <property fmtid="{D5CDD505-2E9C-101B-9397-08002B2CF9AE}" pid="13" name="MSIP_Label_ffc1e10f-3812-4a54-8543-7247091f4452_SetDate">
    <vt:lpwstr>2019-06-18T19:42:00.4613123Z</vt:lpwstr>
  </property>
  <property fmtid="{D5CDD505-2E9C-101B-9397-08002B2CF9AE}" pid="14" name="MSIP_Label_ffc1e10f-3812-4a54-8543-7247091f4452_Name">
    <vt:lpwstr>PSCM TABLE Public Decrypt</vt:lpwstr>
  </property>
  <property fmtid="{D5CDD505-2E9C-101B-9397-08002B2CF9AE}" pid="15" name="MSIP_Label_ffc1e10f-3812-4a54-8543-7247091f4452_Application">
    <vt:lpwstr>Microsoft Azure Information Protection</vt:lpwstr>
  </property>
  <property fmtid="{D5CDD505-2E9C-101B-9397-08002B2CF9AE}" pid="16" name="MSIP_Label_ffc1e10f-3812-4a54-8543-7247091f4452_ActionId">
    <vt:lpwstr>7ca9341c-208b-428d-a56a-f48e9ac5abd5</vt:lpwstr>
  </property>
  <property fmtid="{D5CDD505-2E9C-101B-9397-08002B2CF9AE}" pid="17" name="MSIP_Label_ffc1e10f-3812-4a54-8543-7247091f4452_Parent">
    <vt:lpwstr>07de791d-9b37-4fe4-af59-d63f7e92dd2b</vt:lpwstr>
  </property>
  <property fmtid="{D5CDD505-2E9C-101B-9397-08002B2CF9AE}" pid="18" name="MSIP_Label_ffc1e10f-3812-4a54-8543-7247091f4452_Extended_MSFT_Method">
    <vt:lpwstr>Automatic</vt:lpwstr>
  </property>
  <property fmtid="{D5CDD505-2E9C-101B-9397-08002B2CF9AE}" pid="19" name="Sensitivity">
    <vt:lpwstr>PERSQ PSCM TABLE Public Decrypt</vt:lpwstr>
  </property>
  <property fmtid="{D5CDD505-2E9C-101B-9397-08002B2CF9AE}" pid="20" name="YCFooter">
    <vt:lpwstr>421051.6</vt:lpwstr>
  </property>
</Properties>
</file>