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F2665" w14:textId="455AECD0" w:rsidR="005219EA" w:rsidRDefault="005219EA" w:rsidP="00E5662F">
      <w:pPr>
        <w:spacing w:after="0" w:line="240" w:lineRule="auto"/>
        <w:jc w:val="center"/>
        <w:rPr>
          <w:b/>
        </w:rPr>
      </w:pPr>
      <w:r w:rsidRPr="005219EA">
        <w:rPr>
          <w:b/>
        </w:rPr>
        <w:t xml:space="preserve">Pershing Square Holdings, Ltd. </w:t>
      </w:r>
      <w:r w:rsidR="008D029D" w:rsidRPr="008D029D">
        <w:rPr>
          <w:b/>
        </w:rPr>
        <w:t xml:space="preserve">Announces </w:t>
      </w:r>
      <w:r w:rsidR="00816B29">
        <w:rPr>
          <w:b/>
        </w:rPr>
        <w:t>Additional</w:t>
      </w:r>
      <w:r w:rsidR="00205743">
        <w:rPr>
          <w:b/>
        </w:rPr>
        <w:t xml:space="preserve"> </w:t>
      </w:r>
      <w:r w:rsidR="008D029D" w:rsidRPr="008D029D">
        <w:rPr>
          <w:b/>
        </w:rPr>
        <w:t>Share Buyback Program</w:t>
      </w:r>
      <w:r w:rsidR="00FC77DE">
        <w:rPr>
          <w:b/>
        </w:rPr>
        <w:t xml:space="preserve"> of </w:t>
      </w:r>
      <w:r w:rsidR="00AC21CF">
        <w:rPr>
          <w:b/>
        </w:rPr>
        <w:t>$100,000,000</w:t>
      </w:r>
    </w:p>
    <w:p w14:paraId="50636D0B" w14:textId="115B24D4" w:rsidR="00816B29" w:rsidRDefault="00816B29" w:rsidP="00E5662F">
      <w:pPr>
        <w:spacing w:after="0" w:line="240" w:lineRule="auto"/>
        <w:jc w:val="center"/>
        <w:rPr>
          <w:b/>
        </w:rPr>
      </w:pPr>
    </w:p>
    <w:p w14:paraId="66D2878B" w14:textId="385EBBB0" w:rsidR="00F50693" w:rsidRDefault="00571777" w:rsidP="00571777">
      <w:pPr>
        <w:spacing w:after="0" w:line="240" w:lineRule="auto"/>
        <w:jc w:val="center"/>
        <w:rPr>
          <w:b/>
          <w:bCs/>
          <w:i/>
          <w:iCs/>
          <w:lang w:val="nl-NL"/>
        </w:rPr>
      </w:pPr>
      <w:r w:rsidRPr="00571777">
        <w:rPr>
          <w:b/>
          <w:bCs/>
          <w:i/>
          <w:iCs/>
          <w:lang w:val="nl-NL"/>
        </w:rPr>
        <w:t xml:space="preserve">PSH </w:t>
      </w:r>
      <w:r w:rsidR="00F50693">
        <w:rPr>
          <w:b/>
          <w:bCs/>
          <w:i/>
          <w:iCs/>
          <w:lang w:val="nl-NL"/>
        </w:rPr>
        <w:t>h</w:t>
      </w:r>
      <w:r w:rsidRPr="00571777">
        <w:rPr>
          <w:b/>
          <w:bCs/>
          <w:i/>
          <w:iCs/>
          <w:lang w:val="nl-NL"/>
        </w:rPr>
        <w:t xml:space="preserve">as </w:t>
      </w:r>
      <w:r>
        <w:rPr>
          <w:b/>
          <w:bCs/>
          <w:i/>
          <w:iCs/>
          <w:lang w:val="nl-NL"/>
        </w:rPr>
        <w:t>R</w:t>
      </w:r>
      <w:r w:rsidRPr="00571777">
        <w:rPr>
          <w:b/>
          <w:bCs/>
          <w:i/>
          <w:iCs/>
          <w:lang w:val="nl-NL"/>
        </w:rPr>
        <w:t xml:space="preserve">epurchased a </w:t>
      </w:r>
      <w:r>
        <w:rPr>
          <w:b/>
          <w:bCs/>
          <w:i/>
          <w:iCs/>
          <w:lang w:val="nl-NL"/>
        </w:rPr>
        <w:t>T</w:t>
      </w:r>
      <w:r w:rsidRPr="00571777">
        <w:rPr>
          <w:b/>
          <w:bCs/>
          <w:i/>
          <w:iCs/>
          <w:lang w:val="nl-NL"/>
        </w:rPr>
        <w:t>otal of</w:t>
      </w:r>
      <w:r w:rsidR="005B7D55">
        <w:rPr>
          <w:b/>
          <w:bCs/>
          <w:i/>
          <w:iCs/>
          <w:lang w:val="nl-NL"/>
        </w:rPr>
        <w:t xml:space="preserve"> $476 Million</w:t>
      </w:r>
      <w:r w:rsidRPr="00571777">
        <w:rPr>
          <w:b/>
          <w:bCs/>
          <w:i/>
          <w:iCs/>
          <w:lang w:val="nl-NL"/>
        </w:rPr>
        <w:t xml:space="preserve"> of PSH Public Shares</w:t>
      </w:r>
      <w:r>
        <w:rPr>
          <w:b/>
          <w:bCs/>
          <w:i/>
          <w:iCs/>
          <w:lang w:val="nl-NL"/>
        </w:rPr>
        <w:t xml:space="preserve"> Since the </w:t>
      </w:r>
    </w:p>
    <w:p w14:paraId="14A30CD5" w14:textId="5A63A158" w:rsidR="00571777" w:rsidRPr="00571777" w:rsidRDefault="00571777" w:rsidP="00571777">
      <w:pPr>
        <w:spacing w:after="0" w:line="240" w:lineRule="auto"/>
        <w:jc w:val="center"/>
        <w:rPr>
          <w:b/>
          <w:bCs/>
          <w:i/>
          <w:iCs/>
          <w:lang w:val="nl-NL"/>
        </w:rPr>
      </w:pPr>
      <w:r>
        <w:rPr>
          <w:b/>
          <w:bCs/>
          <w:i/>
          <w:iCs/>
          <w:lang w:val="nl-NL"/>
        </w:rPr>
        <w:t xml:space="preserve">Launch of its First Share Repurchase Program on </w:t>
      </w:r>
      <w:r w:rsidR="005B7D55">
        <w:rPr>
          <w:b/>
          <w:bCs/>
          <w:i/>
          <w:iCs/>
          <w:lang w:val="nl-NL"/>
        </w:rPr>
        <w:t>2 May 2017</w:t>
      </w:r>
    </w:p>
    <w:p w14:paraId="3C3A0B3E" w14:textId="77777777" w:rsidR="00571777" w:rsidRDefault="00571777" w:rsidP="00E5662F">
      <w:pPr>
        <w:spacing w:after="0" w:line="240" w:lineRule="auto"/>
        <w:jc w:val="center"/>
        <w:rPr>
          <w:b/>
          <w:i/>
          <w:iCs/>
        </w:rPr>
      </w:pPr>
    </w:p>
    <w:p w14:paraId="073907CB" w14:textId="31736055" w:rsidR="004B1838" w:rsidRDefault="005219EA" w:rsidP="00E5662F">
      <w:pPr>
        <w:spacing w:after="0" w:line="240" w:lineRule="auto"/>
      </w:pPr>
      <w:r>
        <w:t xml:space="preserve">London, </w:t>
      </w:r>
      <w:r w:rsidR="001D6530">
        <w:t>2</w:t>
      </w:r>
      <w:r w:rsidR="00E5649B">
        <w:t>9</w:t>
      </w:r>
      <w:r>
        <w:t xml:space="preserve"> </w:t>
      </w:r>
      <w:r w:rsidR="00700711">
        <w:t xml:space="preserve">October </w:t>
      </w:r>
      <w:r>
        <w:t>2019 //‐</w:t>
      </w:r>
      <w:r w:rsidR="008E2B22">
        <w:t xml:space="preserve"> </w:t>
      </w:r>
      <w:r>
        <w:t>Pershing Square Holdings, Ltd. (LN:PSH) (LN:PSHD) (NA:PSH)</w:t>
      </w:r>
      <w:r w:rsidR="004B479F">
        <w:t xml:space="preserve"> (“PSH”</w:t>
      </w:r>
      <w:r w:rsidR="00BF76DB">
        <w:t xml:space="preserve"> or the “Company”</w:t>
      </w:r>
      <w:r w:rsidR="004B479F">
        <w:t>)</w:t>
      </w:r>
      <w:r>
        <w:t xml:space="preserve"> today </w:t>
      </w:r>
      <w:r w:rsidR="008D029D" w:rsidRPr="008D029D">
        <w:t xml:space="preserve">announced </w:t>
      </w:r>
      <w:r w:rsidR="009D5D19">
        <w:t>an additional</w:t>
      </w:r>
      <w:r w:rsidR="00E5662F">
        <w:t xml:space="preserve"> share buyback program (the “Program”) </w:t>
      </w:r>
      <w:r w:rsidR="009D5D19">
        <w:t xml:space="preserve">for </w:t>
      </w:r>
      <w:r w:rsidR="00BF76DB">
        <w:t>$</w:t>
      </w:r>
      <w:r w:rsidR="00AC21CF">
        <w:t>100,000,000</w:t>
      </w:r>
      <w:r w:rsidR="00E5662F">
        <w:t xml:space="preserve"> of PSH’s outstanding Public Shares on the London Stock Exchange and Euronext Amsterdam</w:t>
      </w:r>
      <w:r w:rsidR="008473C9">
        <w:t>. The Program will commence following the completion of the previously announced $100,000,000 share buyback program</w:t>
      </w:r>
      <w:r w:rsidR="00E5662F">
        <w:t xml:space="preserve">. The </w:t>
      </w:r>
      <w:r w:rsidR="00D5306F">
        <w:t>Program is accretive to NAV per share and will reduce PSH’s capital.</w:t>
      </w:r>
    </w:p>
    <w:p w14:paraId="607610ED" w14:textId="77777777" w:rsidR="004B1838" w:rsidRDefault="004B1838" w:rsidP="00E5662F">
      <w:pPr>
        <w:spacing w:after="0" w:line="240" w:lineRule="auto"/>
      </w:pPr>
    </w:p>
    <w:p w14:paraId="1C1FECBD" w14:textId="39BB506D" w:rsidR="000B129C" w:rsidRDefault="00AC21CF" w:rsidP="00E5662F">
      <w:pPr>
        <w:spacing w:after="0" w:line="240" w:lineRule="auto"/>
        <w:rPr>
          <w:lang w:val="nl-NL"/>
        </w:rPr>
      </w:pPr>
      <w:r>
        <w:rPr>
          <w:lang w:val="nl-NL"/>
        </w:rPr>
        <w:t>As of 2</w:t>
      </w:r>
      <w:r w:rsidR="00376870">
        <w:rPr>
          <w:lang w:val="nl-NL"/>
        </w:rPr>
        <w:t>8</w:t>
      </w:r>
      <w:r w:rsidR="000B129C">
        <w:rPr>
          <w:lang w:val="nl-NL"/>
        </w:rPr>
        <w:t xml:space="preserve"> October 2019, PSH </w:t>
      </w:r>
      <w:r>
        <w:rPr>
          <w:lang w:val="nl-NL"/>
        </w:rPr>
        <w:t xml:space="preserve">had </w:t>
      </w:r>
      <w:r w:rsidR="000B129C">
        <w:rPr>
          <w:lang w:val="nl-NL"/>
        </w:rPr>
        <w:t xml:space="preserve">completed </w:t>
      </w:r>
      <w:r w:rsidR="005B7D55">
        <w:rPr>
          <w:lang w:val="nl-NL"/>
        </w:rPr>
        <w:t>99.3</w:t>
      </w:r>
      <w:r w:rsidR="00CC77A0">
        <w:rPr>
          <w:lang w:val="nl-NL"/>
        </w:rPr>
        <w:t>%</w:t>
      </w:r>
      <w:r>
        <w:rPr>
          <w:lang w:val="nl-NL"/>
        </w:rPr>
        <w:t xml:space="preserve"> of the previously announced </w:t>
      </w:r>
      <w:r w:rsidR="000B129C">
        <w:rPr>
          <w:lang w:val="nl-NL"/>
        </w:rPr>
        <w:t xml:space="preserve">$100,000,000 </w:t>
      </w:r>
      <w:r w:rsidR="008473C9">
        <w:rPr>
          <w:lang w:val="nl-NL"/>
        </w:rPr>
        <w:t>share buyback program</w:t>
      </w:r>
      <w:r w:rsidR="00B11935">
        <w:rPr>
          <w:lang w:val="nl-NL"/>
        </w:rPr>
        <w:t xml:space="preserve"> in which it has</w:t>
      </w:r>
      <w:r>
        <w:rPr>
          <w:lang w:val="nl-NL"/>
        </w:rPr>
        <w:t xml:space="preserve"> </w:t>
      </w:r>
      <w:r w:rsidR="0066237F">
        <w:rPr>
          <w:lang w:val="nl-NL"/>
        </w:rPr>
        <w:t>re</w:t>
      </w:r>
      <w:bookmarkStart w:id="0" w:name="_GoBack"/>
      <w:bookmarkEnd w:id="0"/>
      <w:r w:rsidR="009D5D19">
        <w:rPr>
          <w:lang w:val="nl-NL"/>
        </w:rPr>
        <w:t xml:space="preserve">purchased a total of </w:t>
      </w:r>
      <w:r w:rsidR="005B7D55">
        <w:rPr>
          <w:lang w:val="nl-NL"/>
        </w:rPr>
        <w:t>5,346,389</w:t>
      </w:r>
      <w:r w:rsidR="009D5D19">
        <w:rPr>
          <w:lang w:val="nl-NL"/>
        </w:rPr>
        <w:t xml:space="preserve"> </w:t>
      </w:r>
      <w:r w:rsidR="009D5F8E">
        <w:rPr>
          <w:lang w:val="nl-NL"/>
        </w:rPr>
        <w:t xml:space="preserve">PSH </w:t>
      </w:r>
      <w:r w:rsidR="009D5D19">
        <w:rPr>
          <w:lang w:val="nl-NL"/>
        </w:rPr>
        <w:t xml:space="preserve">Public </w:t>
      </w:r>
      <w:r w:rsidR="00DD5599">
        <w:rPr>
          <w:lang w:val="nl-NL"/>
        </w:rPr>
        <w:t>S</w:t>
      </w:r>
      <w:r w:rsidR="009D5D19">
        <w:rPr>
          <w:lang w:val="nl-NL"/>
        </w:rPr>
        <w:t xml:space="preserve">hares at </w:t>
      </w:r>
      <w:r w:rsidR="00AF60E7">
        <w:rPr>
          <w:lang w:val="nl-NL"/>
        </w:rPr>
        <w:t xml:space="preserve">an average price of </w:t>
      </w:r>
      <w:r w:rsidR="00DD5599">
        <w:rPr>
          <w:lang w:val="nl-NL"/>
        </w:rPr>
        <w:t>$</w:t>
      </w:r>
      <w:r w:rsidR="005B7D55">
        <w:rPr>
          <w:lang w:val="nl-NL"/>
        </w:rPr>
        <w:t>18.57</w:t>
      </w:r>
      <w:r w:rsidR="006C61CC">
        <w:rPr>
          <w:lang w:val="nl-NL"/>
        </w:rPr>
        <w:t>.</w:t>
      </w:r>
    </w:p>
    <w:p w14:paraId="40DE0400" w14:textId="204C5C27" w:rsidR="006E4117" w:rsidRDefault="006E4117" w:rsidP="00E5662F">
      <w:pPr>
        <w:spacing w:after="0" w:line="240" w:lineRule="auto"/>
        <w:rPr>
          <w:lang w:val="nl-NL"/>
        </w:rPr>
      </w:pPr>
    </w:p>
    <w:p w14:paraId="2C780A14" w14:textId="2A8E1720" w:rsidR="006E4117" w:rsidRDefault="00E20919" w:rsidP="00E5662F">
      <w:pPr>
        <w:spacing w:after="0" w:line="240" w:lineRule="auto"/>
        <w:rPr>
          <w:lang w:val="nl-NL"/>
        </w:rPr>
      </w:pPr>
      <w:r>
        <w:rPr>
          <w:lang w:val="nl-NL"/>
        </w:rPr>
        <w:t xml:space="preserve">Since PSH commenced its first share buyback program on </w:t>
      </w:r>
      <w:r w:rsidR="005B7D55">
        <w:rPr>
          <w:lang w:val="nl-NL"/>
        </w:rPr>
        <w:t>2 May 2017</w:t>
      </w:r>
      <w:r>
        <w:rPr>
          <w:lang w:val="nl-NL"/>
        </w:rPr>
        <w:t>,</w:t>
      </w:r>
      <w:r w:rsidR="006E4117">
        <w:rPr>
          <w:lang w:val="nl-NL"/>
        </w:rPr>
        <w:t xml:space="preserve"> PSH has repurchased a total of </w:t>
      </w:r>
      <w:r w:rsidR="005B7D55">
        <w:rPr>
          <w:lang w:val="nl-NL"/>
        </w:rPr>
        <w:t>$476 million</w:t>
      </w:r>
      <w:r w:rsidR="009C5E74">
        <w:rPr>
          <w:lang w:val="nl-NL"/>
        </w:rPr>
        <w:t xml:space="preserve"> of PSH Public Shares</w:t>
      </w:r>
      <w:r w:rsidR="00A9249F">
        <w:rPr>
          <w:lang w:val="nl-NL"/>
        </w:rPr>
        <w:t xml:space="preserve">, representing </w:t>
      </w:r>
      <w:r w:rsidR="005B7D55">
        <w:rPr>
          <w:lang w:val="nl-NL"/>
        </w:rPr>
        <w:t>33,092,276</w:t>
      </w:r>
      <w:r w:rsidR="006E4117">
        <w:rPr>
          <w:lang w:val="nl-NL"/>
        </w:rPr>
        <w:t xml:space="preserve"> PSH Public Shares at an average price of </w:t>
      </w:r>
      <w:r w:rsidR="005B7D55">
        <w:rPr>
          <w:lang w:val="nl-NL"/>
        </w:rPr>
        <w:t>$14.40</w:t>
      </w:r>
      <w:r w:rsidR="006E4117">
        <w:rPr>
          <w:lang w:val="nl-NL"/>
        </w:rPr>
        <w:t xml:space="preserve">. </w:t>
      </w:r>
    </w:p>
    <w:p w14:paraId="24D5E362" w14:textId="2C744D42" w:rsidR="00E5662F" w:rsidRPr="000B129C" w:rsidRDefault="00E5662F" w:rsidP="00E5662F">
      <w:pPr>
        <w:spacing w:after="0" w:line="240" w:lineRule="auto"/>
        <w:rPr>
          <w:lang w:val="nl-NL"/>
        </w:rPr>
      </w:pPr>
    </w:p>
    <w:p w14:paraId="3C80F4FA" w14:textId="35A6CA7F" w:rsidR="00E5662F" w:rsidRDefault="00E5662F" w:rsidP="00E5662F">
      <w:pPr>
        <w:spacing w:after="0" w:line="240" w:lineRule="auto"/>
      </w:pPr>
      <w:r>
        <w:t xml:space="preserve">Jefferies International Limited (“Jefferies”) </w:t>
      </w:r>
      <w:r w:rsidR="00AF60E7">
        <w:t xml:space="preserve">will continue in its role </w:t>
      </w:r>
      <w:r>
        <w:t>as sole buyback agent for the Program</w:t>
      </w:r>
      <w:r w:rsidR="00CC77A0">
        <w:t xml:space="preserve"> </w:t>
      </w:r>
      <w:r w:rsidRPr="00E5662F">
        <w:t>which</w:t>
      </w:r>
      <w:r w:rsidR="00BF76DB">
        <w:t xml:space="preserve"> will enable the purchase of shares</w:t>
      </w:r>
      <w:r w:rsidRPr="00E5662F">
        <w:t xml:space="preserve"> during closed periods. </w:t>
      </w:r>
    </w:p>
    <w:p w14:paraId="68696C78" w14:textId="2F7329C9" w:rsidR="009C7B6C" w:rsidRDefault="009C7B6C" w:rsidP="00E5662F">
      <w:pPr>
        <w:spacing w:after="0" w:line="240" w:lineRule="auto"/>
      </w:pPr>
    </w:p>
    <w:p w14:paraId="75C7DBB5" w14:textId="38C8865E" w:rsidR="009C7B6C" w:rsidRDefault="009C7B6C" w:rsidP="00E5662F">
      <w:pPr>
        <w:spacing w:after="0" w:line="240" w:lineRule="auto"/>
        <w:rPr>
          <w:lang w:val="nl-NL"/>
        </w:rPr>
      </w:pPr>
      <w:r>
        <w:t>Shares repurchased by the Company will be held in Treasury</w:t>
      </w:r>
      <w:r w:rsidR="00B27FB8">
        <w:t>.</w:t>
      </w:r>
      <w:r>
        <w:t xml:space="preserve"> </w:t>
      </w:r>
      <w:r w:rsidR="000E6D1D">
        <w:t xml:space="preserve">The Company is holding shares in </w:t>
      </w:r>
      <w:r>
        <w:t>Treasury to satisfy normal course conversion requests from Management Shareholders. Any such conversion</w:t>
      </w:r>
      <w:r w:rsidR="00FC2EB7">
        <w:t>s</w:t>
      </w:r>
      <w:r>
        <w:t xml:space="preserve"> will not change the number of shares outstanding as calculated on a fully diluted basis. </w:t>
      </w:r>
    </w:p>
    <w:p w14:paraId="3A42F483" w14:textId="04C4ABCE" w:rsidR="00E5662F" w:rsidRDefault="00E5662F" w:rsidP="00E5662F">
      <w:pPr>
        <w:spacing w:after="0" w:line="240" w:lineRule="auto"/>
        <w:rPr>
          <w:lang w:val="nl-NL"/>
        </w:rPr>
      </w:pPr>
    </w:p>
    <w:p w14:paraId="35AB0953" w14:textId="0B49F3F2" w:rsidR="00E5662F" w:rsidRDefault="00E5662F" w:rsidP="00E5662F">
      <w:pPr>
        <w:spacing w:after="0" w:line="240" w:lineRule="auto"/>
        <w:rPr>
          <w:lang w:val="nl-NL"/>
        </w:rPr>
      </w:pPr>
      <w:r>
        <w:t xml:space="preserve">In accordance with EU regulations, PSH advises shareholders that the number of shares to be repurchased under the Program is </w:t>
      </w:r>
      <w:r w:rsidR="009C7B6C">
        <w:t xml:space="preserve">the maximum of $100,000,000 or </w:t>
      </w:r>
      <w:r w:rsidR="00F50693">
        <w:t>6,000,000 PSH Public Shares</w:t>
      </w:r>
      <w:r w:rsidR="00381B5C">
        <w:t>.</w:t>
      </w:r>
    </w:p>
    <w:p w14:paraId="33D6F3D3" w14:textId="7832E56E" w:rsidR="00CD2E86" w:rsidRDefault="00CD2E86" w:rsidP="00E5662F">
      <w:pPr>
        <w:spacing w:after="0" w:line="240" w:lineRule="auto"/>
      </w:pPr>
    </w:p>
    <w:p w14:paraId="5854AA23" w14:textId="324907E0" w:rsidR="005219EA" w:rsidRPr="005219EA" w:rsidRDefault="005219EA" w:rsidP="00E5662F">
      <w:pPr>
        <w:spacing w:after="0" w:line="240" w:lineRule="auto"/>
        <w:rPr>
          <w:b/>
        </w:rPr>
      </w:pPr>
      <w:r w:rsidRPr="005219EA">
        <w:rPr>
          <w:b/>
        </w:rPr>
        <w:t>About Pershing Square Holdings, Ltd.</w:t>
      </w:r>
    </w:p>
    <w:p w14:paraId="430FDB4E" w14:textId="77777777" w:rsidR="005219EA" w:rsidRDefault="005219EA" w:rsidP="00E5662F">
      <w:pPr>
        <w:spacing w:after="0" w:line="240" w:lineRule="auto"/>
      </w:pPr>
      <w:r w:rsidRPr="005219EA">
        <w:t>Pershing Square Holdings, Ltd. (LN:PSH) (LN:PSHD) (NA:PSH) is an investment holding company structured as a closed-ended fund that makes concentrated investments principally in North American companies.</w:t>
      </w:r>
    </w:p>
    <w:p w14:paraId="525D09F7" w14:textId="77777777" w:rsidR="005219EA" w:rsidRDefault="005219EA" w:rsidP="00E5662F">
      <w:pPr>
        <w:spacing w:after="0" w:line="240" w:lineRule="auto"/>
      </w:pPr>
    </w:p>
    <w:p w14:paraId="56541F46" w14:textId="77777777" w:rsidR="005219EA" w:rsidRPr="00C52B2F" w:rsidRDefault="005219EA" w:rsidP="00E5662F">
      <w:pPr>
        <w:spacing w:after="0" w:line="240" w:lineRule="auto"/>
        <w:rPr>
          <w:b/>
        </w:rPr>
      </w:pPr>
      <w:r w:rsidRPr="00C52B2F">
        <w:rPr>
          <w:b/>
        </w:rPr>
        <w:t xml:space="preserve">Media Contact </w:t>
      </w:r>
    </w:p>
    <w:p w14:paraId="74409266" w14:textId="77777777" w:rsidR="005219EA" w:rsidRPr="00C52B2F" w:rsidRDefault="005219EA" w:rsidP="00E5662F">
      <w:pPr>
        <w:spacing w:after="0" w:line="240" w:lineRule="auto"/>
        <w:rPr>
          <w:b/>
          <w:sz w:val="21"/>
          <w:szCs w:val="21"/>
        </w:rPr>
      </w:pPr>
      <w:r w:rsidRPr="00C52B2F">
        <w:rPr>
          <w:b/>
        </w:rPr>
        <w:t xml:space="preserve">Camarco </w:t>
      </w:r>
    </w:p>
    <w:p w14:paraId="6C3D4851" w14:textId="77777777" w:rsidR="005219EA" w:rsidRDefault="005219EA" w:rsidP="00E5662F">
      <w:pPr>
        <w:spacing w:after="0" w:line="240" w:lineRule="auto"/>
        <w:rPr>
          <w:sz w:val="21"/>
          <w:szCs w:val="21"/>
        </w:rPr>
      </w:pPr>
      <w:r w:rsidRPr="00C52B2F">
        <w:rPr>
          <w:sz w:val="21"/>
          <w:szCs w:val="21"/>
        </w:rPr>
        <w:t xml:space="preserve">Ed Gascoigne-Pees / Hazel Stevenson +44 020 3757 4989, </w:t>
      </w:r>
      <w:hyperlink r:id="rId7" w:history="1">
        <w:r w:rsidRPr="00C52B2F">
          <w:rPr>
            <w:rStyle w:val="Hyperlink"/>
            <w:sz w:val="21"/>
            <w:szCs w:val="21"/>
          </w:rPr>
          <w:t>media-pershingsquareholdings@camarco.co.uk</w:t>
        </w:r>
      </w:hyperlink>
      <w:r w:rsidRPr="00C52B2F">
        <w:rPr>
          <w:sz w:val="21"/>
          <w:szCs w:val="21"/>
        </w:rPr>
        <w:t xml:space="preserve"> </w:t>
      </w:r>
    </w:p>
    <w:p w14:paraId="060C2F9C" w14:textId="77777777" w:rsidR="006413BA" w:rsidRDefault="006413BA" w:rsidP="00E5662F">
      <w:pPr>
        <w:spacing w:after="0" w:line="240" w:lineRule="auto"/>
      </w:pPr>
    </w:p>
    <w:sectPr w:rsidR="006413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06CFDB" w14:textId="77777777" w:rsidR="004B6BD8" w:rsidRDefault="004B6BD8" w:rsidP="005219EA">
      <w:pPr>
        <w:spacing w:after="0" w:line="240" w:lineRule="auto"/>
      </w:pPr>
      <w:r>
        <w:separator/>
      </w:r>
    </w:p>
  </w:endnote>
  <w:endnote w:type="continuationSeparator" w:id="0">
    <w:p w14:paraId="37D66583" w14:textId="77777777" w:rsidR="004B6BD8" w:rsidRDefault="004B6BD8" w:rsidP="00521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D353E" w14:textId="77777777" w:rsidR="004B6BD8" w:rsidRDefault="004B6BD8" w:rsidP="005219EA">
      <w:pPr>
        <w:spacing w:after="0" w:line="240" w:lineRule="auto"/>
      </w:pPr>
      <w:r>
        <w:separator/>
      </w:r>
    </w:p>
  </w:footnote>
  <w:footnote w:type="continuationSeparator" w:id="0">
    <w:p w14:paraId="75B85033" w14:textId="77777777" w:rsidR="004B6BD8" w:rsidRDefault="004B6BD8" w:rsidP="005219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A25649"/>
    <w:multiLevelType w:val="multilevel"/>
    <w:tmpl w:val="E548A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EA"/>
    <w:rsid w:val="000069AB"/>
    <w:rsid w:val="00035CDF"/>
    <w:rsid w:val="000653D0"/>
    <w:rsid w:val="0006654C"/>
    <w:rsid w:val="000B129C"/>
    <w:rsid w:val="000C1E1E"/>
    <w:rsid w:val="000E6D1D"/>
    <w:rsid w:val="0013483B"/>
    <w:rsid w:val="001743A5"/>
    <w:rsid w:val="00180996"/>
    <w:rsid w:val="001A7C8E"/>
    <w:rsid w:val="001B2A4F"/>
    <w:rsid w:val="001D191C"/>
    <w:rsid w:val="001D6530"/>
    <w:rsid w:val="001E5D2E"/>
    <w:rsid w:val="001E6211"/>
    <w:rsid w:val="00205743"/>
    <w:rsid w:val="00216FE6"/>
    <w:rsid w:val="002B7DB8"/>
    <w:rsid w:val="002E58D6"/>
    <w:rsid w:val="002E7347"/>
    <w:rsid w:val="003071FB"/>
    <w:rsid w:val="0032762C"/>
    <w:rsid w:val="00341891"/>
    <w:rsid w:val="003620A2"/>
    <w:rsid w:val="00362E90"/>
    <w:rsid w:val="00376870"/>
    <w:rsid w:val="00381B5C"/>
    <w:rsid w:val="003928A0"/>
    <w:rsid w:val="003B3146"/>
    <w:rsid w:val="003D09BA"/>
    <w:rsid w:val="003D209E"/>
    <w:rsid w:val="00457C08"/>
    <w:rsid w:val="00480B5F"/>
    <w:rsid w:val="004A2948"/>
    <w:rsid w:val="004B1838"/>
    <w:rsid w:val="004B4001"/>
    <w:rsid w:val="004B479F"/>
    <w:rsid w:val="004B6BD8"/>
    <w:rsid w:val="005219EA"/>
    <w:rsid w:val="0052477C"/>
    <w:rsid w:val="00537B51"/>
    <w:rsid w:val="00571777"/>
    <w:rsid w:val="005864F3"/>
    <w:rsid w:val="005A22F2"/>
    <w:rsid w:val="005B7D55"/>
    <w:rsid w:val="005C41CE"/>
    <w:rsid w:val="005F0C5D"/>
    <w:rsid w:val="006413BA"/>
    <w:rsid w:val="00641DD7"/>
    <w:rsid w:val="0066237F"/>
    <w:rsid w:val="006B362F"/>
    <w:rsid w:val="006C61CC"/>
    <w:rsid w:val="006E4117"/>
    <w:rsid w:val="006E6FF4"/>
    <w:rsid w:val="006E7B66"/>
    <w:rsid w:val="00700711"/>
    <w:rsid w:val="00706905"/>
    <w:rsid w:val="00706EFD"/>
    <w:rsid w:val="00726593"/>
    <w:rsid w:val="00793C8E"/>
    <w:rsid w:val="007B7934"/>
    <w:rsid w:val="007E4E88"/>
    <w:rsid w:val="00813946"/>
    <w:rsid w:val="00816764"/>
    <w:rsid w:val="00816B29"/>
    <w:rsid w:val="00833D49"/>
    <w:rsid w:val="008473C9"/>
    <w:rsid w:val="0087417F"/>
    <w:rsid w:val="00894386"/>
    <w:rsid w:val="008B2AD1"/>
    <w:rsid w:val="008B4305"/>
    <w:rsid w:val="008D029D"/>
    <w:rsid w:val="008E2B22"/>
    <w:rsid w:val="009521C9"/>
    <w:rsid w:val="00973D10"/>
    <w:rsid w:val="0099484F"/>
    <w:rsid w:val="009966B1"/>
    <w:rsid w:val="009C5E74"/>
    <w:rsid w:val="009C7B6C"/>
    <w:rsid w:val="009D5D19"/>
    <w:rsid w:val="009D5F8E"/>
    <w:rsid w:val="00A4536E"/>
    <w:rsid w:val="00A9151C"/>
    <w:rsid w:val="00A9249F"/>
    <w:rsid w:val="00AC21CF"/>
    <w:rsid w:val="00AF60E7"/>
    <w:rsid w:val="00B03777"/>
    <w:rsid w:val="00B11935"/>
    <w:rsid w:val="00B27FB8"/>
    <w:rsid w:val="00B73809"/>
    <w:rsid w:val="00B75780"/>
    <w:rsid w:val="00B91564"/>
    <w:rsid w:val="00BF76DB"/>
    <w:rsid w:val="00C20EE1"/>
    <w:rsid w:val="00C73FBA"/>
    <w:rsid w:val="00C74AFB"/>
    <w:rsid w:val="00CC77A0"/>
    <w:rsid w:val="00CD2E86"/>
    <w:rsid w:val="00CD4E8D"/>
    <w:rsid w:val="00D11D70"/>
    <w:rsid w:val="00D5306F"/>
    <w:rsid w:val="00D56395"/>
    <w:rsid w:val="00D9319B"/>
    <w:rsid w:val="00DD5599"/>
    <w:rsid w:val="00E20919"/>
    <w:rsid w:val="00E43379"/>
    <w:rsid w:val="00E4356C"/>
    <w:rsid w:val="00E5649B"/>
    <w:rsid w:val="00E5662F"/>
    <w:rsid w:val="00E77213"/>
    <w:rsid w:val="00E81424"/>
    <w:rsid w:val="00EC0DC6"/>
    <w:rsid w:val="00F13DFE"/>
    <w:rsid w:val="00F23D39"/>
    <w:rsid w:val="00F50693"/>
    <w:rsid w:val="00FC2EB7"/>
    <w:rsid w:val="00FC77DE"/>
    <w:rsid w:val="00FF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7B0F8"/>
  <w15:chartTrackingRefBased/>
  <w15:docId w15:val="{EA517149-1963-4243-BB97-7DE9D304C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19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19EA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D2E86"/>
    <w:rPr>
      <w:color w:val="954F72" w:themeColor="followedHyperlink"/>
      <w:u w:val="single"/>
    </w:rPr>
  </w:style>
  <w:style w:type="paragraph" w:customStyle="1" w:styleId="Default">
    <w:name w:val="Default"/>
    <w:rsid w:val="008D02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5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7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7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620571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60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66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355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897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457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69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823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565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48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392941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3031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04275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34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109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0517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69568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7516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37773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62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00310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6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dia-pershingsquareholdings@camarco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McGill</dc:creator>
  <cp:keywords/>
  <dc:description/>
  <cp:lastModifiedBy>Francis McGill</cp:lastModifiedBy>
  <cp:revision>30</cp:revision>
  <cp:lastPrinted>2019-10-28T20:26:00Z</cp:lastPrinted>
  <dcterms:created xsi:type="dcterms:W3CDTF">2019-10-28T16:01:00Z</dcterms:created>
  <dcterms:modified xsi:type="dcterms:W3CDTF">2019-10-28T23:10:00Z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de791d-9b37-4fe4-af59-d63f7e92dd2b_Enabled">
    <vt:lpwstr>True</vt:lpwstr>
  </property>
  <property fmtid="{D5CDD505-2E9C-101B-9397-08002B2CF9AE}" pid="3" name="MSIP_Label_07de791d-9b37-4fe4-af59-d63f7e92dd2b_SiteId">
    <vt:lpwstr>103e854c-d5c8-41b6-b343-6f6e0ff67a69</vt:lpwstr>
  </property>
  <property fmtid="{D5CDD505-2E9C-101B-9397-08002B2CF9AE}" pid="4" name="MSIP_Label_07de791d-9b37-4fe4-af59-d63f7e92dd2b_Owner">
    <vt:lpwstr>mcgill@persq.com</vt:lpwstr>
  </property>
  <property fmtid="{D5CDD505-2E9C-101B-9397-08002B2CF9AE}" pid="5" name="MSIP_Label_07de791d-9b37-4fe4-af59-d63f7e92dd2b_SetDate">
    <vt:lpwstr>2019-05-15T15:16:37.1653679Z</vt:lpwstr>
  </property>
  <property fmtid="{D5CDD505-2E9C-101B-9397-08002B2CF9AE}" pid="6" name="MSIP_Label_07de791d-9b37-4fe4-af59-d63f7e92dd2b_Name">
    <vt:lpwstr>PERSQ</vt:lpwstr>
  </property>
  <property fmtid="{D5CDD505-2E9C-101B-9397-08002B2CF9AE}" pid="7" name="MSIP_Label_07de791d-9b37-4fe4-af59-d63f7e92dd2b_Application">
    <vt:lpwstr>Microsoft Azure Information Protection</vt:lpwstr>
  </property>
  <property fmtid="{D5CDD505-2E9C-101B-9397-08002B2CF9AE}" pid="8" name="MSIP_Label_07de791d-9b37-4fe4-af59-d63f7e92dd2b_Extended_MSFT_Method">
    <vt:lpwstr>Automatic</vt:lpwstr>
  </property>
  <property fmtid="{D5CDD505-2E9C-101B-9397-08002B2CF9AE}" pid="9" name="MSIP_Label_ffc1e10f-3812-4a54-8543-7247091f4452_Enabled">
    <vt:lpwstr>True</vt:lpwstr>
  </property>
  <property fmtid="{D5CDD505-2E9C-101B-9397-08002B2CF9AE}" pid="10" name="MSIP_Label_ffc1e10f-3812-4a54-8543-7247091f4452_SiteId">
    <vt:lpwstr>103e854c-d5c8-41b6-b343-6f6e0ff67a69</vt:lpwstr>
  </property>
  <property fmtid="{D5CDD505-2E9C-101B-9397-08002B2CF9AE}" pid="11" name="MSIP_Label_ffc1e10f-3812-4a54-8543-7247091f4452_Owner">
    <vt:lpwstr>mcgill@persq.com</vt:lpwstr>
  </property>
  <property fmtid="{D5CDD505-2E9C-101B-9397-08002B2CF9AE}" pid="12" name="MSIP_Label_ffc1e10f-3812-4a54-8543-7247091f4452_SetDate">
    <vt:lpwstr>2019-05-15T15:16:37.1653679Z</vt:lpwstr>
  </property>
  <property fmtid="{D5CDD505-2E9C-101B-9397-08002B2CF9AE}" pid="13" name="MSIP_Label_ffc1e10f-3812-4a54-8543-7247091f4452_Name">
    <vt:lpwstr>PSCM TABLE Public Decrypt</vt:lpwstr>
  </property>
  <property fmtid="{D5CDD505-2E9C-101B-9397-08002B2CF9AE}" pid="14" name="MSIP_Label_ffc1e10f-3812-4a54-8543-7247091f4452_Application">
    <vt:lpwstr>Microsoft Azure Information Protection</vt:lpwstr>
  </property>
  <property fmtid="{D5CDD505-2E9C-101B-9397-08002B2CF9AE}" pid="15" name="MSIP_Label_ffc1e10f-3812-4a54-8543-7247091f4452_Parent">
    <vt:lpwstr>07de791d-9b37-4fe4-af59-d63f7e92dd2b</vt:lpwstr>
  </property>
  <property fmtid="{D5CDD505-2E9C-101B-9397-08002B2CF9AE}" pid="16" name="MSIP_Label_ffc1e10f-3812-4a54-8543-7247091f4452_Extended_MSFT_Method">
    <vt:lpwstr>Automatic</vt:lpwstr>
  </property>
  <property fmtid="{D5CDD505-2E9C-101B-9397-08002B2CF9AE}" pid="17" name="Sensitivity">
    <vt:lpwstr>PERSQ PSCM TABLE Public Decrypt</vt:lpwstr>
  </property>
</Properties>
</file>