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C48FD" w14:textId="3703B102" w:rsidR="00941F16" w:rsidRDefault="00941F16">
      <w:pPr>
        <w:spacing w:after="240"/>
        <w:jc w:val="center"/>
        <w:outlineLvl w:val="1"/>
        <w:rPr>
          <w:rFonts w:ascii="Arial" w:hAnsi="Arial" w:cs="Arial"/>
          <w:sz w:val="20"/>
        </w:rPr>
      </w:pPr>
    </w:p>
    <w:p w14:paraId="2A6C48FE" w14:textId="0E7342EA" w:rsidR="00941F16" w:rsidRDefault="00227BB5">
      <w:pPr>
        <w:spacing w:after="240"/>
        <w:jc w:val="center"/>
        <w:outlineLvl w:val="1"/>
        <w:rPr>
          <w:rFonts w:ascii="Arial" w:hAnsi="Arial" w:cs="Arial"/>
          <w:b/>
          <w:caps/>
          <w:sz w:val="20"/>
        </w:rPr>
      </w:pPr>
      <w:r>
        <w:rPr>
          <w:rFonts w:ascii="Arial" w:hAnsi="Arial" w:cs="Arial"/>
          <w:b/>
          <w:caps/>
          <w:sz w:val="20"/>
        </w:rPr>
        <w:t>Pershing Square Holdings, Ltd. Pricing of €500 million Senior Notes Offering</w:t>
      </w:r>
    </w:p>
    <w:p w14:paraId="2A6C48FF" w14:textId="1A3AA4D3" w:rsidR="00941F16" w:rsidRDefault="00227BB5">
      <w:pPr>
        <w:shd w:val="clear" w:color="auto" w:fill="FFFFFF"/>
        <w:spacing w:after="240"/>
        <w:jc w:val="both"/>
        <w:rPr>
          <w:rFonts w:ascii="Arial" w:hAnsi="Arial" w:cs="Arial"/>
          <w:color w:val="000000"/>
          <w:sz w:val="20"/>
        </w:rPr>
      </w:pPr>
      <w:r>
        <w:rPr>
          <w:rFonts w:ascii="Arial" w:hAnsi="Arial" w:cs="Arial"/>
          <w:b/>
          <w:color w:val="000000"/>
          <w:sz w:val="20"/>
        </w:rPr>
        <w:t>London, September 2</w:t>
      </w:r>
      <w:r w:rsidR="00A430D9">
        <w:rPr>
          <w:rFonts w:ascii="Arial" w:hAnsi="Arial" w:cs="Arial"/>
          <w:b/>
          <w:color w:val="000000"/>
          <w:sz w:val="20"/>
        </w:rPr>
        <w:t>9</w:t>
      </w:r>
      <w:r>
        <w:rPr>
          <w:rFonts w:ascii="Arial" w:hAnsi="Arial" w:cs="Arial"/>
          <w:b/>
          <w:color w:val="000000"/>
          <w:sz w:val="20"/>
        </w:rPr>
        <w:t>, 2021 –</w:t>
      </w:r>
      <w:r>
        <w:rPr>
          <w:rFonts w:ascii="Arial" w:hAnsi="Arial" w:cs="Arial"/>
          <w:color w:val="000000"/>
          <w:sz w:val="20"/>
        </w:rPr>
        <w:t xml:space="preserve"> Pershing Square Holdings, Ltd. (</w:t>
      </w:r>
      <w:proofErr w:type="gramStart"/>
      <w:r>
        <w:rPr>
          <w:rFonts w:ascii="Arial" w:hAnsi="Arial" w:cs="Arial"/>
          <w:color w:val="000000"/>
          <w:sz w:val="20"/>
        </w:rPr>
        <w:t>LN:PSH</w:t>
      </w:r>
      <w:proofErr w:type="gramEnd"/>
      <w:r>
        <w:rPr>
          <w:rFonts w:ascii="Arial" w:hAnsi="Arial" w:cs="Arial"/>
          <w:color w:val="000000"/>
          <w:sz w:val="20"/>
        </w:rPr>
        <w:t>) (LN:PSHD) (NA:PSH) (“PSH”) today announced the pricing of €500 million aggregate principal amount of Senior Notes due 2027 at a coupon of 1.375% per annum (the “Notes”).</w:t>
      </w:r>
    </w:p>
    <w:p w14:paraId="2A6C4900" w14:textId="77777777" w:rsidR="00941F16" w:rsidRDefault="00227BB5">
      <w:pPr>
        <w:shd w:val="clear" w:color="auto" w:fill="FFFFFF"/>
        <w:spacing w:after="240"/>
        <w:jc w:val="both"/>
        <w:rPr>
          <w:rFonts w:ascii="Arial" w:hAnsi="Arial" w:cs="Arial"/>
          <w:color w:val="000000"/>
          <w:sz w:val="20"/>
        </w:rPr>
      </w:pPr>
      <w:r>
        <w:rPr>
          <w:rFonts w:ascii="Arial" w:hAnsi="Arial" w:cs="Arial"/>
          <w:color w:val="000000"/>
          <w:sz w:val="20"/>
        </w:rPr>
        <w:t>The net proceeds from the offering of the Notes are expected to be used to fund PSH’s previously announced tender offer for any and all of its issued and outstanding 5.50% Senior Notes due 2022 and, if such tender offer is not consummated or the full amount of net proceeds are not used to fund such tender offer, for general corporate purposes, including to make investments or hold assets in accordance with PSH’s investment policy.</w:t>
      </w:r>
    </w:p>
    <w:p w14:paraId="2A6C4901" w14:textId="77777777" w:rsidR="00941F16" w:rsidRDefault="00227BB5">
      <w:pPr>
        <w:shd w:val="clear" w:color="auto" w:fill="FFFFFF"/>
        <w:spacing w:after="240"/>
        <w:jc w:val="both"/>
        <w:rPr>
          <w:rFonts w:ascii="Arial" w:hAnsi="Arial" w:cs="Arial"/>
          <w:b/>
          <w:color w:val="000000"/>
          <w:sz w:val="20"/>
        </w:rPr>
      </w:pPr>
      <w:r>
        <w:rPr>
          <w:rFonts w:ascii="Arial" w:hAnsi="Arial" w:cs="Arial"/>
          <w:b/>
          <w:color w:val="000000"/>
          <w:sz w:val="20"/>
        </w:rPr>
        <w:t>Important Notice</w:t>
      </w:r>
    </w:p>
    <w:p w14:paraId="2A6C4902" w14:textId="77777777" w:rsidR="00941F16" w:rsidRDefault="00227BB5">
      <w:pPr>
        <w:shd w:val="clear" w:color="auto" w:fill="FFFFFF"/>
        <w:spacing w:after="240"/>
        <w:jc w:val="both"/>
        <w:rPr>
          <w:rFonts w:ascii="Arial" w:hAnsi="Arial" w:cs="Arial"/>
          <w:color w:val="000000"/>
          <w:sz w:val="20"/>
        </w:rPr>
      </w:pPr>
      <w:r>
        <w:rPr>
          <w:rFonts w:ascii="Arial" w:hAnsi="Arial" w:cs="Arial"/>
          <w:color w:val="000000"/>
          <w:sz w:val="20"/>
        </w:rPr>
        <w:t xml:space="preserve">This announcement does not constitute or form a part of any offer or solicitation to purchase or subscribe for securities in Australia, Brazil, Canada, Germany, Hong Kong, Singapore, South Korea, Spain, the United Arab </w:t>
      </w:r>
      <w:proofErr w:type="gramStart"/>
      <w:r>
        <w:rPr>
          <w:rFonts w:ascii="Arial" w:hAnsi="Arial" w:cs="Arial"/>
          <w:color w:val="000000"/>
          <w:sz w:val="20"/>
        </w:rPr>
        <w:t>Emirates</w:t>
      </w:r>
      <w:proofErr w:type="gramEnd"/>
      <w:r>
        <w:rPr>
          <w:rFonts w:ascii="Arial" w:hAnsi="Arial" w:cs="Arial"/>
          <w:color w:val="000000"/>
          <w:sz w:val="20"/>
        </w:rPr>
        <w:t xml:space="preserve"> and any other jurisdiction where to do so might constitute a violation or breach of any applicable law or regulation or to any national, resident or citizen thereof.</w:t>
      </w:r>
    </w:p>
    <w:p w14:paraId="2A6C4903" w14:textId="77777777" w:rsidR="00941F16" w:rsidRDefault="00227BB5">
      <w:pPr>
        <w:shd w:val="clear" w:color="auto" w:fill="FFFFFF"/>
        <w:spacing w:after="240"/>
        <w:jc w:val="both"/>
        <w:rPr>
          <w:rFonts w:ascii="Arial" w:hAnsi="Arial" w:cs="Arial"/>
          <w:color w:val="000000"/>
          <w:sz w:val="20"/>
        </w:rPr>
      </w:pPr>
      <w:r>
        <w:rPr>
          <w:rFonts w:ascii="Arial" w:hAnsi="Arial" w:cs="Arial"/>
          <w:color w:val="000000"/>
          <w:sz w:val="20"/>
        </w:rPr>
        <w:t>The Notes mentioned herein have not been, and will not be, registered under the U.S. Securities Act of 1933, as amended (the “Securities Act”). The Notes may not be offered or sold in the United States or to U.S. persons (as defined in Regulation S under the Securities Act) absent registration or an applicable exemption from the registration requirements of the Securities Act. There will be no public offering of the Notes in the United States.</w:t>
      </w:r>
    </w:p>
    <w:p w14:paraId="2A6C4904" w14:textId="77777777" w:rsidR="00941F16" w:rsidRDefault="00227BB5">
      <w:pPr>
        <w:shd w:val="clear" w:color="auto" w:fill="FFFFFF"/>
        <w:spacing w:after="240"/>
        <w:jc w:val="both"/>
        <w:rPr>
          <w:rFonts w:ascii="Arial" w:hAnsi="Arial" w:cs="Arial"/>
          <w:color w:val="000000"/>
          <w:sz w:val="20"/>
        </w:rPr>
      </w:pPr>
      <w:r>
        <w:rPr>
          <w:rFonts w:ascii="Arial" w:hAnsi="Arial" w:cs="Arial"/>
          <w:color w:val="000000"/>
          <w:sz w:val="20"/>
        </w:rPr>
        <w:t>PSH has not been and will not be registered under the U.S. Investment Company Act of 1940, as amended (the “Investment Company Act”), and investors in the Notes mentioned herein will not be entitled to the benefits of the Investment Company Act.</w:t>
      </w:r>
    </w:p>
    <w:p w14:paraId="2A6C4905" w14:textId="77777777" w:rsidR="00941F16" w:rsidRDefault="00227BB5">
      <w:pPr>
        <w:shd w:val="clear" w:color="auto" w:fill="FFFFFF"/>
        <w:spacing w:after="240"/>
        <w:jc w:val="both"/>
        <w:rPr>
          <w:rFonts w:ascii="Arial" w:hAnsi="Arial" w:cs="Arial"/>
          <w:color w:val="000000"/>
          <w:sz w:val="20"/>
        </w:rPr>
      </w:pPr>
      <w:r>
        <w:rPr>
          <w:rFonts w:ascii="Arial" w:hAnsi="Arial" w:cs="Arial"/>
          <w:color w:val="000000"/>
          <w:sz w:val="20"/>
        </w:rPr>
        <w:t>PSH is a registered closed-ended investment scheme under the Protection of Investors (Bailiwick of Guernsey) Law, 1987, as amended and the Guernsey Registered Collective Investment Schemes Rules 2015, issued by the Guernsey Financial Services Commission.</w:t>
      </w:r>
    </w:p>
    <w:p w14:paraId="2A6C4906" w14:textId="77777777" w:rsidR="00941F16" w:rsidRDefault="00227BB5">
      <w:pPr>
        <w:shd w:val="clear" w:color="auto" w:fill="FFFFFF"/>
        <w:spacing w:after="240"/>
        <w:jc w:val="both"/>
        <w:rPr>
          <w:rFonts w:ascii="Arial" w:hAnsi="Arial" w:cs="Arial"/>
          <w:color w:val="000000"/>
          <w:sz w:val="20"/>
        </w:rPr>
      </w:pPr>
      <w:r>
        <w:rPr>
          <w:rFonts w:ascii="Arial" w:hAnsi="Arial" w:cs="Arial"/>
          <w:color w:val="000000"/>
          <w:sz w:val="20"/>
        </w:rPr>
        <w:t>In the United Kingdom, this announcement is being distributed to, and is directed at, only (a) persons who have professional experience in matters relating to investments who fall within the definition of “investment professionals” in Article 19(5) of the Financial Services and Markets Act 2000 (Financial Promotion) Order 2005, as amended (the “Order”); or (b) high net worth companies, and other persons to whom it may otherwise lawfully be communicated, falling within Article 49(2)(a) to (d) of the Order (all such persons together being referred to as “relevant persons”). The Notes are available only to, and any invitation, offer or agreement to subscribe, purchase or otherwise acquire such Notes will be available only to or will be engaged in only with, relevant persons. Any person who is not a relevant person should not act or rely on this announcement or any of its contents. Persons distributing this announcement must satisfy themselves that it is lawful to do so.</w:t>
      </w:r>
    </w:p>
    <w:p w14:paraId="2A6C4907" w14:textId="77777777" w:rsidR="00941F16" w:rsidRDefault="00227BB5">
      <w:pPr>
        <w:shd w:val="clear" w:color="auto" w:fill="FFFFFF"/>
        <w:spacing w:after="240"/>
        <w:jc w:val="both"/>
        <w:rPr>
          <w:rFonts w:ascii="Arial" w:hAnsi="Arial" w:cs="Arial"/>
          <w:color w:val="000000"/>
          <w:sz w:val="20"/>
        </w:rPr>
      </w:pPr>
      <w:r>
        <w:rPr>
          <w:rFonts w:ascii="Arial" w:hAnsi="Arial" w:cs="Arial"/>
          <w:color w:val="000000"/>
          <w:sz w:val="20"/>
        </w:rPr>
        <w:t>The distribution of this announcement may be restricted by law. Persons into whose possession this announcement comes should inform themselves about and observe any such restrictions. Any failure to comply with these restrictions may constitute a violation of the securities laws of any such jurisdiction.</w:t>
      </w:r>
    </w:p>
    <w:p w14:paraId="2A6C4908" w14:textId="77777777" w:rsidR="00941F16" w:rsidRDefault="00227BB5">
      <w:pPr>
        <w:shd w:val="clear" w:color="auto" w:fill="FFFFFF"/>
        <w:spacing w:after="240"/>
        <w:jc w:val="both"/>
        <w:rPr>
          <w:rFonts w:ascii="Arial" w:hAnsi="Arial" w:cs="Arial"/>
          <w:color w:val="000000"/>
          <w:sz w:val="20"/>
        </w:rPr>
      </w:pPr>
      <w:r>
        <w:rPr>
          <w:rFonts w:ascii="Arial" w:hAnsi="Arial" w:cs="Arial"/>
          <w:color w:val="000000"/>
          <w:sz w:val="20"/>
        </w:rPr>
        <w:t xml:space="preserve">Relevant </w:t>
      </w:r>
      <w:proofErr w:type="spellStart"/>
      <w:r>
        <w:rPr>
          <w:rFonts w:ascii="Arial" w:hAnsi="Arial" w:cs="Arial"/>
          <w:color w:val="000000"/>
          <w:sz w:val="20"/>
        </w:rPr>
        <w:t>stabilisation</w:t>
      </w:r>
      <w:proofErr w:type="spellEnd"/>
      <w:r>
        <w:rPr>
          <w:rFonts w:ascii="Arial" w:hAnsi="Arial" w:cs="Arial"/>
          <w:color w:val="000000"/>
          <w:sz w:val="20"/>
        </w:rPr>
        <w:t xml:space="preserve"> regulations including Financial Conduct Authority/ICMA apply.</w:t>
      </w:r>
    </w:p>
    <w:p w14:paraId="2A6C4909" w14:textId="77777777" w:rsidR="00941F16" w:rsidRDefault="00227BB5">
      <w:pPr>
        <w:shd w:val="clear" w:color="auto" w:fill="FFFFFF"/>
        <w:spacing w:after="240"/>
        <w:jc w:val="both"/>
        <w:rPr>
          <w:rFonts w:ascii="Arial" w:hAnsi="Arial" w:cs="Arial"/>
          <w:color w:val="000000"/>
          <w:sz w:val="20"/>
        </w:rPr>
      </w:pPr>
      <w:r>
        <w:rPr>
          <w:rFonts w:ascii="Arial" w:hAnsi="Arial" w:cs="Arial"/>
          <w:color w:val="000000"/>
          <w:sz w:val="20"/>
        </w:rPr>
        <w:t xml:space="preserve">Manufacturer target market (MIFID II and UK </w:t>
      </w:r>
      <w:proofErr w:type="spellStart"/>
      <w:r>
        <w:rPr>
          <w:rFonts w:ascii="Arial" w:hAnsi="Arial" w:cs="Arial"/>
          <w:color w:val="000000"/>
          <w:sz w:val="20"/>
        </w:rPr>
        <w:t>MiFIR</w:t>
      </w:r>
      <w:proofErr w:type="spellEnd"/>
      <w:r>
        <w:rPr>
          <w:rFonts w:ascii="Arial" w:hAnsi="Arial" w:cs="Arial"/>
          <w:color w:val="000000"/>
          <w:sz w:val="20"/>
        </w:rPr>
        <w:t xml:space="preserve"> product governance) is eligible counterparties and professional clients only (all distribution channels). No PRIIPs or UK PRIIPs key information document (KID) has been prepared as not available to retail in EEA or UK.</w:t>
      </w:r>
    </w:p>
    <w:p w14:paraId="2A6C490A" w14:textId="77777777" w:rsidR="00941F16" w:rsidRDefault="00227BB5">
      <w:pPr>
        <w:shd w:val="clear" w:color="auto" w:fill="FFFFFF"/>
        <w:spacing w:after="240"/>
        <w:jc w:val="both"/>
        <w:rPr>
          <w:rFonts w:ascii="Arial" w:hAnsi="Arial" w:cs="Arial"/>
          <w:b/>
          <w:color w:val="000000"/>
          <w:sz w:val="20"/>
        </w:rPr>
      </w:pPr>
      <w:r>
        <w:rPr>
          <w:rFonts w:ascii="Arial" w:hAnsi="Arial" w:cs="Arial"/>
          <w:b/>
          <w:color w:val="000000"/>
          <w:sz w:val="20"/>
        </w:rPr>
        <w:lastRenderedPageBreak/>
        <w:t>Forward-Looking Statements</w:t>
      </w:r>
    </w:p>
    <w:p w14:paraId="2A6C490B" w14:textId="77777777" w:rsidR="00941F16" w:rsidRDefault="00227BB5">
      <w:pPr>
        <w:shd w:val="clear" w:color="auto" w:fill="FFFFFF"/>
        <w:spacing w:after="240"/>
        <w:jc w:val="both"/>
        <w:rPr>
          <w:rFonts w:ascii="Arial" w:hAnsi="Arial" w:cs="Arial"/>
          <w:color w:val="000000"/>
          <w:sz w:val="20"/>
        </w:rPr>
      </w:pPr>
      <w:r>
        <w:rPr>
          <w:rFonts w:ascii="Arial" w:hAnsi="Arial" w:cs="Arial"/>
          <w:color w:val="000000"/>
          <w:sz w:val="20"/>
        </w:rPr>
        <w:t>Nothing in this announcement is, or should be relied on as, a promise or representation as to the future. This announcement may include certain forward-looking statements. Such statements are based on various assumptions and expectations which may or may not prove to be correct. No representations or warranties are made by any person as to the accuracy of such statements.</w:t>
      </w:r>
    </w:p>
    <w:p w14:paraId="2A6C490C" w14:textId="77777777" w:rsidR="00941F16" w:rsidRDefault="00227BB5">
      <w:pPr>
        <w:shd w:val="clear" w:color="auto" w:fill="FFFFFF"/>
        <w:spacing w:after="240"/>
        <w:jc w:val="both"/>
        <w:rPr>
          <w:rFonts w:ascii="Arial" w:hAnsi="Arial" w:cs="Arial"/>
          <w:i/>
          <w:iCs/>
          <w:color w:val="000000"/>
          <w:sz w:val="20"/>
        </w:rPr>
      </w:pPr>
      <w:r>
        <w:rPr>
          <w:rFonts w:ascii="Arial" w:hAnsi="Arial" w:cs="Arial"/>
          <w:i/>
          <w:iCs/>
          <w:color w:val="000000"/>
          <w:sz w:val="20"/>
        </w:rPr>
        <w:t xml:space="preserve">Pershing Square Holdings, Ltd. registered place of business: P.O. Box 255, Trafalgar Court, Les </w:t>
      </w:r>
      <w:proofErr w:type="spellStart"/>
      <w:r>
        <w:rPr>
          <w:rFonts w:ascii="Arial" w:hAnsi="Arial" w:cs="Arial"/>
          <w:i/>
          <w:iCs/>
          <w:color w:val="000000"/>
          <w:sz w:val="20"/>
        </w:rPr>
        <w:t>Banques</w:t>
      </w:r>
      <w:proofErr w:type="spellEnd"/>
      <w:r>
        <w:rPr>
          <w:rFonts w:ascii="Arial" w:hAnsi="Arial" w:cs="Arial"/>
          <w:i/>
          <w:iCs/>
          <w:color w:val="000000"/>
          <w:sz w:val="20"/>
        </w:rPr>
        <w:t>, St. Peter Port, Guernsey, GY1 3QL</w:t>
      </w:r>
    </w:p>
    <w:p w14:paraId="2A6C490D" w14:textId="1E33CA24" w:rsidR="00941F16" w:rsidRDefault="00921155">
      <w:pPr>
        <w:shd w:val="clear" w:color="auto" w:fill="FFFFFF"/>
        <w:spacing w:after="240"/>
        <w:jc w:val="both"/>
        <w:rPr>
          <w:rFonts w:ascii="Arial" w:hAnsi="Arial" w:cs="Arial"/>
          <w:i/>
          <w:iCs/>
          <w:color w:val="000000"/>
          <w:sz w:val="20"/>
        </w:rPr>
      </w:pPr>
      <w:r w:rsidRPr="00921155">
        <w:rPr>
          <w:rFonts w:ascii="Arial" w:hAnsi="Arial" w:cs="Arial"/>
          <w:i/>
          <w:iCs/>
          <w:color w:val="000000"/>
          <w:sz w:val="20"/>
        </w:rPr>
        <w:t>This announcement contains Inside Information as defined under the Market Abuse Regulation (EU) No. 596/2014 as it forms part of UK law by virtue of the European Union (Withdrawal) Act 2018.</w:t>
      </w:r>
    </w:p>
    <w:p w14:paraId="2A6C490E" w14:textId="77777777" w:rsidR="00941F16" w:rsidRDefault="00227BB5">
      <w:pPr>
        <w:pStyle w:val="NormalWeb"/>
        <w:shd w:val="clear" w:color="auto" w:fill="FFFFFF"/>
        <w:rPr>
          <w:rFonts w:ascii="Arial" w:hAnsi="Arial" w:cs="Arial"/>
          <w:b/>
          <w:bCs/>
          <w:color w:val="000000"/>
          <w:sz w:val="20"/>
          <w:szCs w:val="20"/>
        </w:rPr>
      </w:pPr>
      <w:r>
        <w:rPr>
          <w:rFonts w:ascii="Arial" w:hAnsi="Arial" w:cs="Arial"/>
          <w:b/>
          <w:bCs/>
          <w:color w:val="000000"/>
          <w:sz w:val="20"/>
          <w:szCs w:val="20"/>
        </w:rPr>
        <w:t>About Pershing Square Holdings, Ltd.</w:t>
      </w:r>
    </w:p>
    <w:p w14:paraId="2A6C490F" w14:textId="77777777" w:rsidR="00941F16" w:rsidRDefault="00227BB5">
      <w:pPr>
        <w:pStyle w:val="NormalWeb"/>
        <w:shd w:val="clear" w:color="auto" w:fill="FFFFFF"/>
        <w:rPr>
          <w:rFonts w:ascii="Arial" w:hAnsi="Arial" w:cs="Arial"/>
          <w:color w:val="000000"/>
          <w:sz w:val="20"/>
          <w:szCs w:val="20"/>
        </w:rPr>
      </w:pPr>
      <w:r>
        <w:rPr>
          <w:rFonts w:ascii="Arial" w:hAnsi="Arial" w:cs="Arial"/>
          <w:color w:val="000000"/>
          <w:sz w:val="20"/>
          <w:szCs w:val="20"/>
        </w:rPr>
        <w:t>Pershing Square Holdings, Ltd. (</w:t>
      </w:r>
      <w:proofErr w:type="gramStart"/>
      <w:r>
        <w:rPr>
          <w:rFonts w:ascii="Arial" w:hAnsi="Arial" w:cs="Arial"/>
          <w:color w:val="000000"/>
          <w:sz w:val="20"/>
          <w:szCs w:val="20"/>
        </w:rPr>
        <w:t>LN:PSH</w:t>
      </w:r>
      <w:proofErr w:type="gramEnd"/>
      <w:r>
        <w:rPr>
          <w:rFonts w:ascii="Arial" w:hAnsi="Arial" w:cs="Arial"/>
          <w:color w:val="000000"/>
          <w:sz w:val="20"/>
          <w:szCs w:val="20"/>
        </w:rPr>
        <w:t>) (LN:PSHD) (NA:PSH) is an investment holding company structured as a closed</w:t>
      </w:r>
      <w:r>
        <w:rPr>
          <w:rFonts w:ascii="Cambria Math" w:hAnsi="Cambria Math" w:cs="Cambria Math"/>
          <w:color w:val="000000"/>
          <w:sz w:val="20"/>
          <w:szCs w:val="20"/>
        </w:rPr>
        <w:t>‐</w:t>
      </w:r>
      <w:r>
        <w:rPr>
          <w:rFonts w:ascii="Arial" w:hAnsi="Arial" w:cs="Arial"/>
          <w:color w:val="000000"/>
          <w:sz w:val="20"/>
          <w:szCs w:val="20"/>
        </w:rPr>
        <w:t>ended fund.</w:t>
      </w:r>
    </w:p>
    <w:p w14:paraId="2A6C4910" w14:textId="77777777" w:rsidR="00941F16" w:rsidRDefault="00941F16">
      <w:pPr>
        <w:pStyle w:val="NormalWeb"/>
        <w:shd w:val="clear" w:color="auto" w:fill="FFFFFF"/>
        <w:rPr>
          <w:rFonts w:ascii="Arial" w:hAnsi="Arial" w:cs="Arial"/>
          <w:color w:val="000000"/>
          <w:sz w:val="20"/>
          <w:szCs w:val="20"/>
        </w:rPr>
      </w:pPr>
    </w:p>
    <w:p w14:paraId="2A6C4911" w14:textId="77777777" w:rsidR="00941F16" w:rsidRDefault="00227BB5">
      <w:pPr>
        <w:pStyle w:val="NormalWeb"/>
        <w:shd w:val="clear" w:color="auto" w:fill="FFFFFF"/>
        <w:rPr>
          <w:rFonts w:ascii="Arial" w:hAnsi="Arial" w:cs="Arial"/>
          <w:color w:val="000000"/>
          <w:sz w:val="20"/>
          <w:szCs w:val="20"/>
        </w:rPr>
      </w:pPr>
      <w:r>
        <w:rPr>
          <w:rFonts w:ascii="Arial" w:hAnsi="Arial" w:cs="Arial"/>
          <w:color w:val="000000"/>
          <w:sz w:val="20"/>
          <w:szCs w:val="20"/>
        </w:rPr>
        <w:t>Category: (</w:t>
      </w:r>
      <w:proofErr w:type="spellStart"/>
      <w:proofErr w:type="gramStart"/>
      <w:r>
        <w:rPr>
          <w:rFonts w:ascii="Arial" w:hAnsi="Arial" w:cs="Arial"/>
          <w:color w:val="000000"/>
          <w:sz w:val="20"/>
          <w:szCs w:val="20"/>
        </w:rPr>
        <w:t>PSH:CorporateActions</w:t>
      </w:r>
      <w:proofErr w:type="spellEnd"/>
      <w:proofErr w:type="gramEnd"/>
      <w:r>
        <w:rPr>
          <w:rFonts w:ascii="Arial" w:hAnsi="Arial" w:cs="Arial"/>
          <w:color w:val="000000"/>
          <w:sz w:val="20"/>
          <w:szCs w:val="20"/>
        </w:rPr>
        <w:t>)</w:t>
      </w:r>
    </w:p>
    <w:p w14:paraId="2A6C4912" w14:textId="77777777" w:rsidR="00941F16" w:rsidRDefault="00227BB5">
      <w:pPr>
        <w:pStyle w:val="NormalWeb"/>
        <w:shd w:val="clear" w:color="auto" w:fill="FFFFFF"/>
        <w:rPr>
          <w:rFonts w:ascii="Arial" w:hAnsi="Arial" w:cs="Arial"/>
          <w:color w:val="000000"/>
          <w:sz w:val="20"/>
          <w:szCs w:val="20"/>
        </w:rPr>
      </w:pPr>
      <w:r>
        <w:rPr>
          <w:rFonts w:ascii="Arial" w:hAnsi="Arial" w:cs="Arial"/>
          <w:noProof/>
          <w:color w:val="000000"/>
          <w:sz w:val="20"/>
          <w:szCs w:val="20"/>
        </w:rPr>
        <w:drawing>
          <wp:inline distT="0" distB="0" distL="0" distR="0" wp14:anchorId="2A6C4916" wp14:editId="2A6C4917">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A6C4913" w14:textId="77777777" w:rsidR="00941F16" w:rsidRDefault="00227BB5">
      <w:pPr>
        <w:shd w:val="clear" w:color="auto" w:fill="FFFFFF"/>
        <w:spacing w:after="240"/>
        <w:jc w:val="both"/>
        <w:rPr>
          <w:rFonts w:ascii="Arial" w:hAnsi="Arial" w:cs="Arial"/>
          <w:color w:val="000000"/>
          <w:sz w:val="20"/>
        </w:rPr>
      </w:pPr>
      <w:r>
        <w:rPr>
          <w:rFonts w:ascii="Arial" w:hAnsi="Arial" w:cs="Arial"/>
          <w:b/>
          <w:bCs/>
          <w:color w:val="000000"/>
          <w:sz w:val="20"/>
        </w:rPr>
        <w:t>Media</w:t>
      </w:r>
      <w:r>
        <w:rPr>
          <w:rFonts w:ascii="Arial" w:hAnsi="Arial" w:cs="Arial"/>
          <w:b/>
          <w:bCs/>
          <w:color w:val="000000"/>
          <w:sz w:val="20"/>
        </w:rPr>
        <w:br/>
        <w:t>Camarco</w:t>
      </w:r>
      <w:r>
        <w:rPr>
          <w:rFonts w:ascii="Arial" w:hAnsi="Arial" w:cs="Arial"/>
          <w:color w:val="000000"/>
          <w:sz w:val="20"/>
        </w:rPr>
        <w:br/>
        <w:t>Ed Gascoigne-Pees / Julia Tilley +44 (0)20 3781 8339, </w:t>
      </w:r>
      <w:hyperlink r:id="rId8" w:history="1">
        <w:r>
          <w:rPr>
            <w:rStyle w:val="Hyperlink"/>
            <w:rFonts w:ascii="Arial" w:hAnsi="Arial" w:cs="Arial"/>
            <w:color w:val="000000"/>
            <w:sz w:val="20"/>
          </w:rPr>
          <w:t>media-pershingsquareholdings@camarco.co.uk</w:t>
        </w:r>
      </w:hyperlink>
    </w:p>
    <w:sectPr w:rsidR="00941F16">
      <w:headerReference w:type="first" r:id="rId9"/>
      <w:pgSz w:w="12240" w:h="15840" w:code="1"/>
      <w:pgMar w:top="1440" w:right="1440" w:bottom="1440" w:left="1440" w:header="720" w:footer="69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C3B8B" w14:textId="77777777" w:rsidR="00227BB5" w:rsidRDefault="00227BB5">
      <w:r>
        <w:separator/>
      </w:r>
    </w:p>
  </w:endnote>
  <w:endnote w:type="continuationSeparator" w:id="0">
    <w:p w14:paraId="7FBB98F5" w14:textId="77777777" w:rsidR="00227BB5" w:rsidRDefault="0022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5D08B" w14:textId="77777777" w:rsidR="00227BB5" w:rsidRDefault="00227BB5">
      <w:r>
        <w:separator/>
      </w:r>
    </w:p>
  </w:footnote>
  <w:footnote w:type="continuationSeparator" w:id="0">
    <w:p w14:paraId="1086D444" w14:textId="77777777" w:rsidR="00227BB5" w:rsidRDefault="00227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491C" w14:textId="415EFB53" w:rsidR="00941F16" w:rsidRDefault="00227BB5">
    <w:pPr>
      <w:pStyle w:val="SCFileStamp"/>
    </w:pPr>
    <w:r>
      <w:br/>
    </w:r>
  </w:p>
  <w:p w14:paraId="2A6C491D" w14:textId="77777777" w:rsidR="00941F16" w:rsidRDefault="00941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8E8FF0"/>
    <w:lvl w:ilvl="0">
      <w:start w:val="1"/>
      <w:numFmt w:val="decimal"/>
      <w:lvlText w:val="%1."/>
      <w:lvlJc w:val="left"/>
      <w:pPr>
        <w:tabs>
          <w:tab w:val="num" w:pos="3600"/>
        </w:tabs>
        <w:ind w:left="3600" w:hanging="720"/>
      </w:pPr>
      <w:rPr>
        <w:rFonts w:hint="default"/>
      </w:rPr>
    </w:lvl>
  </w:abstractNum>
  <w:abstractNum w:abstractNumId="1" w15:restartNumberingAfterBreak="0">
    <w:nsid w:val="FFFFFF7D"/>
    <w:multiLevelType w:val="singleLevel"/>
    <w:tmpl w:val="5478F95A"/>
    <w:lvl w:ilvl="0">
      <w:start w:val="1"/>
      <w:numFmt w:val="decimal"/>
      <w:lvlText w:val="%1."/>
      <w:lvlJc w:val="left"/>
      <w:pPr>
        <w:tabs>
          <w:tab w:val="num" w:pos="2880"/>
        </w:tabs>
        <w:ind w:left="2880" w:hanging="720"/>
      </w:pPr>
      <w:rPr>
        <w:rFonts w:hint="default"/>
      </w:rPr>
    </w:lvl>
  </w:abstractNum>
  <w:abstractNum w:abstractNumId="2" w15:restartNumberingAfterBreak="0">
    <w:nsid w:val="FFFFFF7E"/>
    <w:multiLevelType w:val="singleLevel"/>
    <w:tmpl w:val="067C3FBE"/>
    <w:lvl w:ilvl="0">
      <w:start w:val="1"/>
      <w:numFmt w:val="decimal"/>
      <w:pStyle w:val="ListNumber3"/>
      <w:lvlText w:val="%1."/>
      <w:lvlJc w:val="left"/>
      <w:pPr>
        <w:tabs>
          <w:tab w:val="num" w:pos="2160"/>
        </w:tabs>
        <w:ind w:left="2160" w:hanging="720"/>
      </w:pPr>
      <w:rPr>
        <w:rFonts w:hint="default"/>
      </w:rPr>
    </w:lvl>
  </w:abstractNum>
  <w:abstractNum w:abstractNumId="3" w15:restartNumberingAfterBreak="0">
    <w:nsid w:val="FFFFFF7F"/>
    <w:multiLevelType w:val="singleLevel"/>
    <w:tmpl w:val="3E3CF36A"/>
    <w:lvl w:ilvl="0">
      <w:start w:val="1"/>
      <w:numFmt w:val="decimal"/>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7BD06764"/>
    <w:lvl w:ilvl="0">
      <w:start w:val="1"/>
      <w:numFmt w:val="bullet"/>
      <w:lvlText w:val=""/>
      <w:lvlJc w:val="left"/>
      <w:pPr>
        <w:tabs>
          <w:tab w:val="num" w:pos="3600"/>
        </w:tabs>
        <w:ind w:left="3600" w:hanging="720"/>
      </w:pPr>
      <w:rPr>
        <w:rFonts w:ascii="Symbol" w:hAnsi="Symbol" w:hint="default"/>
      </w:rPr>
    </w:lvl>
  </w:abstractNum>
  <w:abstractNum w:abstractNumId="5" w15:restartNumberingAfterBreak="0">
    <w:nsid w:val="FFFFFF81"/>
    <w:multiLevelType w:val="singleLevel"/>
    <w:tmpl w:val="A6DE3D36"/>
    <w:lvl w:ilvl="0">
      <w:start w:val="1"/>
      <w:numFmt w:val="bullet"/>
      <w:lvlText w:val=""/>
      <w:lvlJc w:val="left"/>
      <w:pPr>
        <w:tabs>
          <w:tab w:val="num" w:pos="2880"/>
        </w:tabs>
        <w:ind w:left="2880" w:hanging="720"/>
      </w:pPr>
      <w:rPr>
        <w:rFonts w:ascii="Symbol" w:hAnsi="Symbol" w:hint="default"/>
      </w:rPr>
    </w:lvl>
  </w:abstractNum>
  <w:abstractNum w:abstractNumId="6" w15:restartNumberingAfterBreak="0">
    <w:nsid w:val="FFFFFF82"/>
    <w:multiLevelType w:val="singleLevel"/>
    <w:tmpl w:val="28103820"/>
    <w:lvl w:ilvl="0">
      <w:start w:val="1"/>
      <w:numFmt w:val="bullet"/>
      <w:pStyle w:val="ListBullet3"/>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D1EABA30"/>
    <w:lvl w:ilvl="0">
      <w:start w:val="1"/>
      <w:numFmt w:val="bullet"/>
      <w:pStyle w:val="ListBullet2"/>
      <w:lvlText w:val=""/>
      <w:lvlJc w:val="left"/>
      <w:pPr>
        <w:tabs>
          <w:tab w:val="num" w:pos="720"/>
        </w:tabs>
        <w:ind w:left="1440" w:hanging="720"/>
      </w:pPr>
      <w:rPr>
        <w:rFonts w:ascii="Symbol" w:hAnsi="Symbol" w:hint="default"/>
      </w:rPr>
    </w:lvl>
  </w:abstractNum>
  <w:abstractNum w:abstractNumId="8" w15:restartNumberingAfterBreak="0">
    <w:nsid w:val="FFFFFF88"/>
    <w:multiLevelType w:val="singleLevel"/>
    <w:tmpl w:val="AEDA69CA"/>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C7F81AF4"/>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89B5C8B"/>
    <w:multiLevelType w:val="multilevel"/>
    <w:tmpl w:val="2FEE38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F16"/>
    <w:rsid w:val="00227BB5"/>
    <w:rsid w:val="005059D5"/>
    <w:rsid w:val="00921155"/>
    <w:rsid w:val="00941F16"/>
    <w:rsid w:val="00A43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6C48FD"/>
  <w15:chartTrackingRefBased/>
  <w15:docId w15:val="{77E2238C-115A-4F6B-A83B-105AF477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BodyText"/>
    <w:qFormat/>
    <w:pPr>
      <w:keepNext/>
      <w:spacing w:after="240"/>
      <w:outlineLvl w:val="0"/>
    </w:pPr>
    <w:rPr>
      <w:b/>
    </w:rPr>
  </w:style>
  <w:style w:type="paragraph" w:styleId="Heading2">
    <w:name w:val="heading 2"/>
    <w:basedOn w:val="Normal"/>
    <w:next w:val="BodyText"/>
    <w:qFormat/>
    <w:pPr>
      <w:keepNext/>
      <w:spacing w:after="240"/>
      <w:outlineLvl w:val="1"/>
    </w:pPr>
  </w:style>
  <w:style w:type="paragraph" w:styleId="Heading3">
    <w:name w:val="heading 3"/>
    <w:basedOn w:val="Normal"/>
    <w:next w:val="Normal"/>
    <w:qFormat/>
    <w:pPr>
      <w:spacing w:after="240"/>
      <w:outlineLvl w:val="2"/>
    </w:pPr>
  </w:style>
  <w:style w:type="paragraph" w:styleId="Heading4">
    <w:name w:val="heading 4"/>
    <w:basedOn w:val="Normal"/>
    <w:next w:val="Normal"/>
    <w:semiHidden/>
    <w:unhideWhenUsed/>
    <w:qFormat/>
    <w:pPr>
      <w:spacing w:after="240"/>
      <w:outlineLvl w:val="3"/>
    </w:pPr>
  </w:style>
  <w:style w:type="paragraph" w:styleId="Heading5">
    <w:name w:val="heading 5"/>
    <w:basedOn w:val="Normal"/>
    <w:next w:val="Normal"/>
    <w:semiHidden/>
    <w:unhideWhenUsed/>
    <w:qFormat/>
    <w:pPr>
      <w:spacing w:after="240"/>
      <w:outlineLvl w:val="4"/>
    </w:pPr>
  </w:style>
  <w:style w:type="paragraph" w:styleId="Heading6">
    <w:name w:val="heading 6"/>
    <w:basedOn w:val="Normal"/>
    <w:next w:val="Normal"/>
    <w:semiHidden/>
    <w:unhideWhenUsed/>
    <w:qFormat/>
    <w:pPr>
      <w:spacing w:after="240"/>
      <w:outlineLvl w:val="5"/>
    </w:pPr>
  </w:style>
  <w:style w:type="paragraph" w:styleId="Heading7">
    <w:name w:val="heading 7"/>
    <w:basedOn w:val="Normal"/>
    <w:next w:val="Normal"/>
    <w:semiHidden/>
    <w:unhideWhenUsed/>
    <w:qFormat/>
    <w:pPr>
      <w:spacing w:after="240"/>
      <w:outlineLvl w:val="6"/>
    </w:pPr>
  </w:style>
  <w:style w:type="paragraph" w:styleId="Heading8">
    <w:name w:val="heading 8"/>
    <w:basedOn w:val="Normal"/>
    <w:next w:val="Normal"/>
    <w:semiHidden/>
    <w:unhideWhenUsed/>
    <w:qFormat/>
    <w:pPr>
      <w:spacing w:after="240"/>
      <w:outlineLvl w:val="7"/>
    </w:pPr>
  </w:style>
  <w:style w:type="paragraph" w:styleId="Heading9">
    <w:name w:val="heading 9"/>
    <w:basedOn w:val="Normal"/>
    <w:next w:val="Normal"/>
    <w:semiHidden/>
    <w:unhideWhenUsed/>
    <w:qFormat/>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tyle>
  <w:style w:type="numbering" w:styleId="1ai">
    <w:name w:val="Outline List 1"/>
    <w:basedOn w:val="NoList"/>
  </w:style>
  <w:style w:type="numbering" w:styleId="ArticleSection">
    <w:name w:val="Outline List 3"/>
    <w:basedOn w:val="NoList"/>
  </w:style>
  <w:style w:type="paragraph" w:styleId="BlockText">
    <w:name w:val="Block Text"/>
    <w:basedOn w:val="Normal"/>
    <w:pPr>
      <w:spacing w:after="240"/>
      <w:ind w:left="1440" w:right="1440"/>
    </w:pPr>
  </w:style>
  <w:style w:type="paragraph" w:styleId="BodyText2">
    <w:name w:val="Body Text 2"/>
    <w:basedOn w:val="Normal"/>
    <w:pPr>
      <w:spacing w:after="240"/>
    </w:pPr>
  </w:style>
  <w:style w:type="paragraph" w:styleId="BodyText3">
    <w:name w:val="Body Text 3"/>
    <w:basedOn w:val="Normal"/>
    <w:semiHidden/>
    <w:unhideWhenUsed/>
    <w:pPr>
      <w:spacing w:after="240"/>
      <w:ind w:left="720" w:firstLine="720"/>
    </w:pPr>
  </w:style>
  <w:style w:type="paragraph" w:styleId="BodyTextIndent">
    <w:name w:val="Body Text Indent"/>
    <w:basedOn w:val="Normal"/>
    <w:pPr>
      <w:spacing w:after="240"/>
      <w:ind w:left="720"/>
    </w:pPr>
  </w:style>
  <w:style w:type="paragraph" w:styleId="BodyTextFirstIndent2">
    <w:name w:val="Body Text First Indent 2"/>
    <w:basedOn w:val="Normal"/>
    <w:semiHidden/>
    <w:unhideWhenUsed/>
    <w:pPr>
      <w:spacing w:after="240"/>
      <w:ind w:firstLine="720"/>
    </w:pPr>
  </w:style>
  <w:style w:type="paragraph" w:styleId="BodyText">
    <w:name w:val="Body Text"/>
    <w:basedOn w:val="Normal"/>
    <w:pPr>
      <w:spacing w:after="240"/>
      <w:ind w:firstLine="1440"/>
    </w:pPr>
  </w:style>
  <w:style w:type="paragraph" w:styleId="BodyTextFirstIndent">
    <w:name w:val="Body Text First Indent"/>
    <w:basedOn w:val="Normal"/>
    <w:pPr>
      <w:spacing w:after="240"/>
      <w:ind w:firstLine="720"/>
    </w:pPr>
  </w:style>
  <w:style w:type="paragraph" w:styleId="BodyTextIndent2">
    <w:name w:val="Body Text Indent 2"/>
    <w:basedOn w:val="Normal"/>
    <w:semiHidden/>
    <w:unhideWhenUsed/>
    <w:pPr>
      <w:spacing w:after="240"/>
      <w:ind w:left="720"/>
    </w:pPr>
  </w:style>
  <w:style w:type="paragraph" w:styleId="BodyTextIndent3">
    <w:name w:val="Body Text Indent 3"/>
    <w:basedOn w:val="Normal"/>
    <w:semiHidden/>
    <w:unhideWhenUsed/>
    <w:pPr>
      <w:spacing w:after="240"/>
      <w:ind w:left="720"/>
    </w:pPr>
  </w:style>
  <w:style w:type="paragraph" w:styleId="Caption">
    <w:name w:val="caption"/>
    <w:basedOn w:val="Normal"/>
    <w:next w:val="Normal"/>
    <w:semiHidden/>
    <w:qFormat/>
    <w:pPr>
      <w:spacing w:before="120" w:after="120"/>
    </w:pPr>
    <w:rPr>
      <w:sz w:val="20"/>
    </w:rPr>
  </w:style>
  <w:style w:type="paragraph" w:customStyle="1" w:styleId="CaptionText">
    <w:name w:val="Caption Text"/>
    <w:basedOn w:val="Normal"/>
    <w:semiHidden/>
    <w:pPr>
      <w:spacing w:after="240"/>
    </w:pPr>
  </w:style>
  <w:style w:type="paragraph" w:customStyle="1" w:styleId="CaptionTitle">
    <w:name w:val="Caption Title"/>
    <w:basedOn w:val="Normal"/>
    <w:semiHidden/>
    <w:pPr>
      <w:keepNext/>
      <w:spacing w:after="240"/>
      <w:jc w:val="center"/>
    </w:pPr>
    <w:rPr>
      <w:b/>
    </w:rPr>
  </w:style>
  <w:style w:type="paragraph" w:styleId="Closing">
    <w:name w:val="Closing"/>
    <w:basedOn w:val="Normal"/>
    <w:semiHidden/>
    <w:pPr>
      <w:ind w:left="4320"/>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Date">
    <w:name w:val="Date"/>
    <w:basedOn w:val="Normal"/>
    <w:next w:val="Normal"/>
    <w:semiHidden/>
    <w:rPr>
      <w:sz w:val="20"/>
    </w:rPr>
  </w:style>
  <w:style w:type="paragraph" w:styleId="DocumentMap">
    <w:name w:val="Document Map"/>
    <w:basedOn w:val="Normal"/>
    <w:semiHidden/>
    <w:pPr>
      <w:shd w:val="clear" w:color="auto" w:fill="000080"/>
      <w:jc w:val="both"/>
    </w:pPr>
    <w:rPr>
      <w:rFonts w:ascii="Tahoma" w:hAnsi="Tahoma"/>
      <w:sz w:val="20"/>
    </w:rPr>
  </w:style>
  <w:style w:type="paragraph" w:customStyle="1" w:styleId="Draft">
    <w:name w:val="Draft"/>
    <w:basedOn w:val="Normal"/>
    <w:semiHidden/>
    <w:pPr>
      <w:jc w:val="right"/>
    </w:pPr>
  </w:style>
  <w:style w:type="paragraph" w:styleId="E-mailSignature">
    <w:name w:val="E-mail Signature"/>
    <w:basedOn w:val="Normal"/>
    <w:semiHidden/>
  </w:style>
  <w:style w:type="character" w:styleId="Emphasis">
    <w:name w:val="Emphasis"/>
    <w:basedOn w:val="DefaultParagraphFont"/>
    <w:semiHidden/>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character" w:styleId="FollowedHyperlink">
    <w:name w:val="FollowedHyperlink"/>
    <w:basedOn w:val="DefaultParagraphFont"/>
    <w:semiHidden/>
    <w:rPr>
      <w:color w:val="800080"/>
      <w:u w:val="single"/>
    </w:rPr>
  </w:style>
  <w:style w:type="paragraph" w:styleId="Footer">
    <w:name w:val="footer"/>
    <w:basedOn w:val="Normal"/>
    <w:pPr>
      <w:tabs>
        <w:tab w:val="center" w:pos="4680"/>
        <w:tab w:val="right" w:pos="9360"/>
      </w:tabs>
    </w:pPr>
  </w:style>
  <w:style w:type="character" w:styleId="FootnoteReference">
    <w:name w:val="footnote reference"/>
    <w:basedOn w:val="DefaultParagraphFont"/>
    <w:semiHidden/>
    <w:unhideWhenUsed/>
    <w:rPr>
      <w:vertAlign w:val="superscript"/>
    </w:rPr>
  </w:style>
  <w:style w:type="paragraph" w:styleId="FootnoteText">
    <w:name w:val="footnote text"/>
    <w:basedOn w:val="Normal"/>
    <w:pPr>
      <w:spacing w:after="240"/>
      <w:ind w:left="720" w:hanging="720"/>
    </w:pPr>
  </w:style>
  <w:style w:type="paragraph" w:styleId="Header">
    <w:name w:val="header"/>
    <w:basedOn w:val="Normal"/>
    <w:unhideWhenUsed/>
    <w:pPr>
      <w:tabs>
        <w:tab w:val="center" w:pos="4680"/>
        <w:tab w:val="right" w:pos="936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uiPriority w:val="99"/>
    <w:rPr>
      <w:color w:val="0000FF"/>
      <w:u w:val="single"/>
    </w:rPr>
  </w:style>
  <w:style w:type="paragraph" w:styleId="Index1">
    <w:name w:val="index 1"/>
    <w:basedOn w:val="Normal"/>
    <w:semiHidden/>
    <w:pPr>
      <w:spacing w:after="240"/>
      <w:ind w:left="720" w:hanging="720"/>
    </w:pPr>
  </w:style>
  <w:style w:type="paragraph" w:styleId="Index2">
    <w:name w:val="index 2"/>
    <w:basedOn w:val="Normal"/>
    <w:semiHidden/>
    <w:pPr>
      <w:spacing w:after="240"/>
      <w:ind w:left="1440" w:hanging="720"/>
    </w:pPr>
  </w:style>
  <w:style w:type="paragraph" w:styleId="Index3">
    <w:name w:val="index 3"/>
    <w:basedOn w:val="Normal"/>
    <w:semiHidden/>
    <w:pPr>
      <w:spacing w:after="240"/>
      <w:ind w:left="2160" w:hanging="720"/>
    </w:pPr>
  </w:style>
  <w:style w:type="paragraph" w:styleId="Index4">
    <w:name w:val="index 4"/>
    <w:basedOn w:val="Normal"/>
    <w:semiHidden/>
    <w:pPr>
      <w:spacing w:after="240"/>
      <w:ind w:left="2880" w:hanging="720"/>
    </w:pPr>
  </w:style>
  <w:style w:type="paragraph" w:styleId="Index5">
    <w:name w:val="index 5"/>
    <w:basedOn w:val="Normal"/>
    <w:semiHidden/>
    <w:pPr>
      <w:spacing w:after="240"/>
      <w:ind w:left="3600" w:hanging="720"/>
    </w:pPr>
  </w:style>
  <w:style w:type="paragraph" w:styleId="Index6">
    <w:name w:val="index 6"/>
    <w:basedOn w:val="Normal"/>
    <w:semiHidden/>
    <w:pPr>
      <w:spacing w:after="240"/>
      <w:ind w:left="3600" w:hanging="720"/>
    </w:pPr>
  </w:style>
  <w:style w:type="paragraph" w:styleId="Index7">
    <w:name w:val="index 7"/>
    <w:basedOn w:val="Normal"/>
    <w:semiHidden/>
    <w:pPr>
      <w:spacing w:after="240"/>
      <w:ind w:left="4320" w:hanging="720"/>
    </w:pPr>
  </w:style>
  <w:style w:type="paragraph" w:styleId="Index8">
    <w:name w:val="index 8"/>
    <w:basedOn w:val="Normal"/>
    <w:semiHidden/>
    <w:pPr>
      <w:spacing w:after="240"/>
      <w:ind w:left="5040" w:hanging="720"/>
    </w:pPr>
  </w:style>
  <w:style w:type="paragraph" w:styleId="Index9">
    <w:name w:val="index 9"/>
    <w:basedOn w:val="Normal"/>
    <w:semiHidden/>
    <w:pPr>
      <w:spacing w:after="240"/>
      <w:ind w:left="5760" w:hanging="720"/>
    </w:pPr>
  </w:style>
  <w:style w:type="paragraph" w:styleId="IndexHeading">
    <w:name w:val="index heading"/>
    <w:basedOn w:val="Normal"/>
    <w:next w:val="Index1"/>
    <w:semiHidden/>
    <w:unhideWhenUsed/>
    <w:pPr>
      <w:spacing w:after="240"/>
    </w:pPr>
  </w:style>
  <w:style w:type="character" w:styleId="LineNumber">
    <w:name w:val="line number"/>
    <w:basedOn w:val="DefaultParagraphFont"/>
    <w:semiHidden/>
  </w:style>
  <w:style w:type="paragraph" w:styleId="List">
    <w:name w:val="List"/>
    <w:basedOn w:val="Normal"/>
    <w:semiHidden/>
    <w:pPr>
      <w:spacing w:after="240"/>
      <w:ind w:left="720" w:hanging="720"/>
    </w:pPr>
  </w:style>
  <w:style w:type="paragraph" w:styleId="List2">
    <w:name w:val="List 2"/>
    <w:basedOn w:val="Normal"/>
    <w:semiHidden/>
    <w:pPr>
      <w:spacing w:after="240"/>
      <w:ind w:left="1440" w:hanging="720"/>
    </w:pPr>
  </w:style>
  <w:style w:type="paragraph" w:styleId="List3">
    <w:name w:val="List 3"/>
    <w:basedOn w:val="Normal"/>
    <w:semiHidden/>
    <w:pPr>
      <w:spacing w:after="240"/>
      <w:ind w:left="2160" w:hanging="720"/>
    </w:pPr>
  </w:style>
  <w:style w:type="paragraph" w:styleId="List4">
    <w:name w:val="List 4"/>
    <w:basedOn w:val="Normal"/>
    <w:semiHidden/>
    <w:pPr>
      <w:spacing w:after="240"/>
      <w:ind w:left="2880" w:hanging="720"/>
    </w:pPr>
  </w:style>
  <w:style w:type="paragraph" w:styleId="List5">
    <w:name w:val="List 5"/>
    <w:basedOn w:val="Normal"/>
    <w:semiHidden/>
    <w:pPr>
      <w:spacing w:after="240"/>
      <w:ind w:left="3600" w:hanging="720"/>
    </w:pPr>
  </w:style>
  <w:style w:type="paragraph" w:styleId="ListBullet2">
    <w:name w:val="List Bullet 2"/>
    <w:basedOn w:val="Normal"/>
    <w:qFormat/>
    <w:pPr>
      <w:numPr>
        <w:numId w:val="15"/>
      </w:numPr>
      <w:spacing w:after="240"/>
    </w:pPr>
  </w:style>
  <w:style w:type="paragraph" w:styleId="ListBullet3">
    <w:name w:val="List Bullet 3"/>
    <w:basedOn w:val="Normal"/>
    <w:pPr>
      <w:numPr>
        <w:numId w:val="16"/>
      </w:numPr>
      <w:spacing w:after="240"/>
    </w:pPr>
  </w:style>
  <w:style w:type="paragraph" w:styleId="ListBullet">
    <w:name w:val="List Bullet"/>
    <w:basedOn w:val="Normal"/>
    <w:qFormat/>
    <w:pPr>
      <w:numPr>
        <w:numId w:val="14"/>
      </w:numPr>
      <w:spacing w:after="240"/>
    </w:pPr>
  </w:style>
  <w:style w:type="paragraph" w:styleId="ListContinue2">
    <w:name w:val="List Continue 2"/>
    <w:basedOn w:val="Normal"/>
    <w:semiHidden/>
    <w:pPr>
      <w:spacing w:after="240"/>
      <w:ind w:left="1440"/>
    </w:pPr>
  </w:style>
  <w:style w:type="paragraph" w:styleId="ListContinue3">
    <w:name w:val="List Continue 3"/>
    <w:basedOn w:val="Normal"/>
    <w:semiHidden/>
    <w:pPr>
      <w:spacing w:after="240"/>
      <w:ind w:left="2160"/>
    </w:pPr>
  </w:style>
  <w:style w:type="paragraph" w:styleId="ListContinue4">
    <w:name w:val="List Continue 4"/>
    <w:basedOn w:val="Normal"/>
    <w:semiHidden/>
    <w:pPr>
      <w:spacing w:after="240"/>
      <w:ind w:left="2880"/>
    </w:pPr>
  </w:style>
  <w:style w:type="paragraph" w:styleId="ListContinue5">
    <w:name w:val="List Continue 5"/>
    <w:basedOn w:val="Normal"/>
    <w:semiHidden/>
    <w:pPr>
      <w:spacing w:after="240"/>
      <w:ind w:left="3600"/>
    </w:pPr>
  </w:style>
  <w:style w:type="paragraph" w:styleId="ListContinue">
    <w:name w:val="List Continue"/>
    <w:basedOn w:val="Normal"/>
    <w:semiHidden/>
    <w:pPr>
      <w:spacing w:after="240"/>
      <w:ind w:left="720"/>
    </w:pPr>
  </w:style>
  <w:style w:type="paragraph" w:styleId="ListNumber2">
    <w:name w:val="List Number 2"/>
    <w:basedOn w:val="Normal"/>
    <w:qFormat/>
    <w:pPr>
      <w:numPr>
        <w:numId w:val="20"/>
      </w:numPr>
      <w:spacing w:after="240"/>
    </w:pPr>
  </w:style>
  <w:style w:type="paragraph" w:styleId="ListNumber3">
    <w:name w:val="List Number 3"/>
    <w:basedOn w:val="Normal"/>
    <w:pPr>
      <w:numPr>
        <w:numId w:val="21"/>
      </w:numPr>
      <w:spacing w:after="240"/>
    </w:pPr>
  </w:style>
  <w:style w:type="paragraph" w:styleId="ListNumber">
    <w:name w:val="List Number"/>
    <w:basedOn w:val="Normal"/>
    <w:qFormat/>
    <w:pPr>
      <w:numPr>
        <w:numId w:val="19"/>
      </w:numPr>
      <w:spacing w:after="24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Arial" w:hAnsi="Arial"/>
      <w:sz w:val="20"/>
    </w:rPr>
  </w:style>
  <w:style w:type="paragraph" w:styleId="NormalWeb">
    <w:name w:val="Normal (Web)"/>
    <w:basedOn w:val="Normal"/>
    <w:uiPriority w:val="99"/>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unhideWhenUsed/>
  </w:style>
  <w:style w:type="paragraph" w:styleId="PlainText">
    <w:name w:val="Plain Text"/>
    <w:basedOn w:val="Normal"/>
    <w:semiHidden/>
    <w:rPr>
      <w:rFonts w:ascii="Courier New" w:hAnsi="Courier New"/>
    </w:rPr>
  </w:style>
  <w:style w:type="paragraph" w:styleId="Salutation">
    <w:name w:val="Salutation"/>
    <w:basedOn w:val="Normal"/>
    <w:next w:val="Normal"/>
    <w:semiHidden/>
  </w:style>
  <w:style w:type="paragraph" w:customStyle="1" w:styleId="SecondHeading1">
    <w:name w:val="Second Heading 1"/>
    <w:basedOn w:val="Normal"/>
    <w:pPr>
      <w:keepNext/>
      <w:spacing w:after="240"/>
      <w:outlineLvl w:val="0"/>
    </w:pPr>
  </w:style>
  <w:style w:type="paragraph" w:customStyle="1" w:styleId="SecondHeading2">
    <w:name w:val="Second Heading 2"/>
    <w:basedOn w:val="Normal"/>
    <w:pPr>
      <w:spacing w:after="240"/>
      <w:outlineLvl w:val="1"/>
    </w:pPr>
  </w:style>
  <w:style w:type="paragraph" w:customStyle="1" w:styleId="SecondHeading3">
    <w:name w:val="Second Heading 3"/>
    <w:basedOn w:val="Normal"/>
    <w:pPr>
      <w:spacing w:after="240"/>
      <w:outlineLvl w:val="2"/>
    </w:pPr>
  </w:style>
  <w:style w:type="paragraph" w:customStyle="1" w:styleId="SecondHeading4">
    <w:name w:val="Second Heading 4"/>
    <w:basedOn w:val="Normal"/>
    <w:semiHidden/>
    <w:unhideWhenUsed/>
    <w:pPr>
      <w:spacing w:after="240"/>
      <w:outlineLvl w:val="3"/>
    </w:pPr>
  </w:style>
  <w:style w:type="paragraph" w:customStyle="1" w:styleId="SecondHeading5">
    <w:name w:val="Second Heading 5"/>
    <w:basedOn w:val="Normal"/>
    <w:semiHidden/>
    <w:unhideWhenUsed/>
    <w:pPr>
      <w:spacing w:after="240"/>
      <w:outlineLvl w:val="4"/>
    </w:pPr>
  </w:style>
  <w:style w:type="paragraph" w:customStyle="1" w:styleId="SecondHeading6">
    <w:name w:val="Second Heading 6"/>
    <w:basedOn w:val="Normal"/>
    <w:semiHidden/>
    <w:unhideWhenUsed/>
    <w:pPr>
      <w:spacing w:after="240"/>
      <w:outlineLvl w:val="5"/>
    </w:pPr>
  </w:style>
  <w:style w:type="paragraph" w:customStyle="1" w:styleId="SecondHeading7">
    <w:name w:val="Second Heading 7"/>
    <w:basedOn w:val="Normal"/>
    <w:semiHidden/>
    <w:unhideWhenUsed/>
    <w:pPr>
      <w:spacing w:after="240"/>
      <w:outlineLvl w:val="6"/>
    </w:pPr>
  </w:style>
  <w:style w:type="paragraph" w:customStyle="1" w:styleId="SecondHeading8">
    <w:name w:val="Second Heading 8"/>
    <w:basedOn w:val="Normal"/>
    <w:semiHidden/>
    <w:unhideWhenUsed/>
    <w:pPr>
      <w:spacing w:after="240"/>
      <w:outlineLvl w:val="7"/>
    </w:pPr>
  </w:style>
  <w:style w:type="paragraph" w:customStyle="1" w:styleId="SecondHeading9">
    <w:name w:val="Second Heading 9"/>
    <w:basedOn w:val="Normal"/>
    <w:semiHidden/>
    <w:unhideWhenUsed/>
    <w:pPr>
      <w:spacing w:after="240"/>
      <w:outlineLvl w:val="8"/>
    </w:pPr>
  </w:style>
  <w:style w:type="paragraph" w:styleId="Signature">
    <w:name w:val="Signature"/>
    <w:basedOn w:val="Normal"/>
    <w:pPr>
      <w:ind w:left="4320"/>
    </w:pPr>
  </w:style>
  <w:style w:type="character" w:styleId="Strong">
    <w:name w:val="Strong"/>
    <w:basedOn w:val="DefaultParagraphFont"/>
    <w:semiHidden/>
    <w:qFormat/>
    <w:rPr>
      <w:b/>
    </w:rPr>
  </w:style>
  <w:style w:type="paragraph" w:styleId="Subtitle">
    <w:name w:val="Subtitle"/>
    <w:basedOn w:val="Normal"/>
    <w:next w:val="BodyText"/>
    <w:qFormat/>
    <w:pPr>
      <w:keepNext/>
      <w:spacing w:after="240"/>
      <w:jc w:val="center"/>
    </w:pPr>
    <w:rPr>
      <w:b/>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pPr>
      <w:ind w:left="240" w:hanging="240"/>
    </w:pPr>
  </w:style>
  <w:style w:type="paragraph" w:styleId="TableofFigures">
    <w:name w:val="table of figures"/>
    <w:basedOn w:val="Normal"/>
    <w:next w:val="Normal"/>
    <w:semiHidden/>
    <w:unhideWhenUsed/>
    <w:pPr>
      <w:ind w:left="480" w:hanging="480"/>
    </w:p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semiHidden/>
    <w:unhideWhenUsed/>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keepNext/>
      <w:spacing w:after="240"/>
      <w:jc w:val="center"/>
    </w:pPr>
    <w:rPr>
      <w:b/>
      <w:caps/>
    </w:rPr>
  </w:style>
  <w:style w:type="paragraph" w:styleId="TOAHeading">
    <w:name w:val="toa heading"/>
    <w:basedOn w:val="Normal"/>
    <w:next w:val="Normal"/>
    <w:semiHidden/>
    <w:unhideWhenUsed/>
    <w:pPr>
      <w:spacing w:after="240"/>
    </w:pPr>
    <w:rPr>
      <w:b/>
    </w:rPr>
  </w:style>
  <w:style w:type="paragraph" w:styleId="TOC1">
    <w:name w:val="toc 1"/>
    <w:basedOn w:val="Normal"/>
    <w:next w:val="Normal"/>
    <w:autoRedefine/>
    <w:semiHidden/>
    <w:unhideWhenUsed/>
    <w:pPr>
      <w:tabs>
        <w:tab w:val="left" w:pos="2160"/>
      </w:tabs>
    </w:pPr>
  </w:style>
  <w:style w:type="paragraph" w:styleId="TOC2">
    <w:name w:val="toc 2"/>
    <w:basedOn w:val="Normal"/>
    <w:next w:val="Normal"/>
    <w:autoRedefine/>
    <w:semiHidden/>
    <w:unhideWhenUsed/>
    <w:pPr>
      <w:tabs>
        <w:tab w:val="left" w:pos="2160"/>
      </w:tabs>
      <w:ind w:left="720"/>
    </w:pPr>
    <w:rPr>
      <w:color w:val="000000"/>
    </w:rPr>
  </w:style>
  <w:style w:type="paragraph" w:styleId="TOC3">
    <w:name w:val="toc 3"/>
    <w:basedOn w:val="Normal"/>
    <w:next w:val="Normal"/>
    <w:autoRedefine/>
    <w:semiHidden/>
    <w:unhideWhenUsed/>
    <w:pPr>
      <w:tabs>
        <w:tab w:val="left" w:pos="2160"/>
      </w:tabs>
      <w:ind w:left="1440"/>
    </w:pPr>
  </w:style>
  <w:style w:type="paragraph" w:styleId="TOC4">
    <w:name w:val="toc 4"/>
    <w:basedOn w:val="Normal"/>
    <w:next w:val="Normal"/>
    <w:autoRedefine/>
    <w:semiHidden/>
    <w:unhideWhenUsed/>
    <w:pPr>
      <w:ind w:left="2160"/>
    </w:pPr>
  </w:style>
  <w:style w:type="paragraph" w:styleId="TOC5">
    <w:name w:val="toc 5"/>
    <w:basedOn w:val="Normal"/>
    <w:next w:val="Normal"/>
    <w:autoRedefine/>
    <w:semiHidden/>
    <w:unhideWhenUsed/>
    <w:pPr>
      <w:ind w:left="2880"/>
    </w:pPr>
  </w:style>
  <w:style w:type="paragraph" w:styleId="TOC6">
    <w:name w:val="toc 6"/>
    <w:basedOn w:val="Normal"/>
    <w:next w:val="Normal"/>
    <w:autoRedefine/>
    <w:semiHidden/>
    <w:unhideWhenUsed/>
    <w:pPr>
      <w:ind w:left="3600"/>
    </w:pPr>
  </w:style>
  <w:style w:type="paragraph" w:styleId="TOC7">
    <w:name w:val="toc 7"/>
    <w:basedOn w:val="Normal"/>
    <w:next w:val="Normal"/>
    <w:autoRedefine/>
    <w:semiHidden/>
    <w:unhideWhenUsed/>
    <w:pPr>
      <w:ind w:left="4320"/>
    </w:pPr>
  </w:style>
  <w:style w:type="paragraph" w:styleId="TOC8">
    <w:name w:val="toc 8"/>
    <w:basedOn w:val="Normal"/>
    <w:next w:val="Normal"/>
    <w:autoRedefine/>
    <w:semiHidden/>
    <w:unhideWhenUsed/>
    <w:pPr>
      <w:ind w:left="5040"/>
    </w:pPr>
  </w:style>
  <w:style w:type="paragraph" w:styleId="TOC9">
    <w:name w:val="toc 9"/>
    <w:basedOn w:val="Normal"/>
    <w:next w:val="Normal"/>
    <w:autoRedefine/>
    <w:semiHidden/>
    <w:unhideWhenUsed/>
    <w:pPr>
      <w:ind w:left="5760"/>
    </w:pPr>
  </w:style>
  <w:style w:type="paragraph" w:customStyle="1" w:styleId="BlockTextJustified">
    <w:name w:val="Block Text Justified"/>
    <w:basedOn w:val="Normal"/>
    <w:pPr>
      <w:spacing w:after="240"/>
      <w:ind w:left="1440" w:right="1440"/>
      <w:jc w:val="both"/>
    </w:pPr>
  </w:style>
  <w:style w:type="paragraph" w:customStyle="1" w:styleId="BodyCenter">
    <w:name w:val="Body Center"/>
    <w:basedOn w:val="Normal"/>
    <w:pPr>
      <w:spacing w:after="240"/>
      <w:jc w:val="center"/>
    </w:pPr>
  </w:style>
  <w:style w:type="paragraph" w:customStyle="1" w:styleId="BodyRight">
    <w:name w:val="Body Right"/>
    <w:basedOn w:val="Normal"/>
    <w:pPr>
      <w:spacing w:after="240"/>
      <w:jc w:val="right"/>
    </w:pPr>
  </w:style>
  <w:style w:type="paragraph" w:customStyle="1" w:styleId="BodyTextJustified">
    <w:name w:val="Body Text Justified"/>
    <w:basedOn w:val="Normal"/>
    <w:pPr>
      <w:spacing w:after="240"/>
      <w:ind w:firstLine="1440"/>
      <w:jc w:val="both"/>
    </w:pPr>
  </w:style>
  <w:style w:type="paragraph" w:customStyle="1" w:styleId="Signature2">
    <w:name w:val="Signature 2"/>
    <w:basedOn w:val="Normal"/>
    <w:pPr>
      <w:spacing w:after="240"/>
      <w:ind w:left="5040"/>
    </w:pPr>
  </w:style>
  <w:style w:type="paragraph" w:customStyle="1" w:styleId="Subtitle2Left">
    <w:name w:val="Subtitle 2 Left"/>
    <w:basedOn w:val="Normal"/>
    <w:pPr>
      <w:keepNext/>
      <w:spacing w:after="240"/>
    </w:pPr>
    <w:rPr>
      <w:u w:val="single"/>
    </w:rPr>
  </w:style>
  <w:style w:type="paragraph" w:customStyle="1" w:styleId="TableHeading">
    <w:name w:val="Table Heading"/>
    <w:basedOn w:val="Normal"/>
    <w:pPr>
      <w:keepNext/>
      <w:pBdr>
        <w:bottom w:val="single" w:sz="4" w:space="1" w:color="auto"/>
      </w:pBdr>
      <w:jc w:val="center"/>
    </w:pPr>
    <w:rPr>
      <w:b/>
    </w:rPr>
  </w:style>
  <w:style w:type="paragraph" w:customStyle="1" w:styleId="TableTextIndent">
    <w:name w:val="Table Text Indent"/>
    <w:basedOn w:val="Normal"/>
    <w:pPr>
      <w:ind w:left="720" w:hanging="360"/>
    </w:pPr>
  </w:style>
  <w:style w:type="paragraph" w:customStyle="1" w:styleId="TITLE2">
    <w:name w:val="TITLE 2"/>
    <w:basedOn w:val="Normal"/>
    <w:semiHidden/>
    <w:unhideWhenUsed/>
    <w:pPr>
      <w:spacing w:after="240"/>
      <w:jc w:val="center"/>
    </w:pPr>
    <w:rPr>
      <w:caps/>
      <w:szCs w:val="24"/>
    </w:rPr>
  </w:style>
  <w:style w:type="paragraph" w:customStyle="1" w:styleId="SCFileStamp">
    <w:name w:val="S&amp;CFileStamp"/>
    <w:basedOn w:val="Normal"/>
    <w:next w:val="Header"/>
    <w:link w:val="SCFileStampChar"/>
    <w:pPr>
      <w:jc w:val="right"/>
    </w:pPr>
    <w:rPr>
      <w:szCs w:val="39"/>
    </w:rPr>
  </w:style>
  <w:style w:type="character" w:customStyle="1" w:styleId="SCFileStampChar">
    <w:name w:val="S&amp;CFileStamp Char"/>
    <w:basedOn w:val="DefaultParagraphFont"/>
    <w:link w:val="SCFileStamp"/>
    <w:rPr>
      <w:sz w:val="24"/>
      <w:szCs w:val="39"/>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mp;C">
      <a:majorFont>
        <a:latin typeface="Times New Roman"/>
        <a:ea typeface=""/>
        <a:cs typeface="Times New Roman"/>
      </a:majorFont>
      <a:minorFont>
        <a:latin typeface="Times New Roman"/>
        <a:ea typeface=""/>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Sullivan &amp; Cromwell LLP</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Francis McGill</cp:lastModifiedBy>
  <cp:revision>6</cp:revision>
  <cp:lastPrinted>2021-09-16T20:33:00Z</cp:lastPrinted>
  <dcterms:created xsi:type="dcterms:W3CDTF">2021-09-28T14:00:00Z</dcterms:created>
  <dcterms:modified xsi:type="dcterms:W3CDTF">2021-09-28T22:21:00Z</dcterms:modified>
</cp:coreProperties>
</file>