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A99D7" w14:textId="45076A88" w:rsidR="007A0E87" w:rsidRPr="00907AAD" w:rsidRDefault="007A0E87" w:rsidP="007A0E87">
      <w:pPr>
        <w:jc w:val="center"/>
        <w:rPr>
          <w:rFonts w:asciiTheme="minorHAnsi" w:hAnsiTheme="minorHAnsi" w:cstheme="minorHAnsi"/>
          <w:b/>
          <w:bCs/>
        </w:rPr>
      </w:pPr>
      <w:r w:rsidRPr="00907AAD">
        <w:rPr>
          <w:rFonts w:asciiTheme="minorHAnsi" w:hAnsiTheme="minorHAnsi" w:cstheme="minorHAnsi"/>
          <w:b/>
          <w:bCs/>
        </w:rPr>
        <w:t xml:space="preserve">Pershing Square Holdings, Ltd. </w:t>
      </w:r>
      <w:r w:rsidR="00CA3538">
        <w:rPr>
          <w:rFonts w:asciiTheme="minorHAnsi" w:hAnsiTheme="minorHAnsi" w:cstheme="minorHAnsi"/>
          <w:b/>
          <w:bCs/>
        </w:rPr>
        <w:t>Announces</w:t>
      </w:r>
      <w:r w:rsidR="00CA3538" w:rsidRPr="00907AAD">
        <w:rPr>
          <w:rFonts w:asciiTheme="minorHAnsi" w:hAnsiTheme="minorHAnsi" w:cstheme="minorHAnsi"/>
          <w:b/>
          <w:bCs/>
        </w:rPr>
        <w:t xml:space="preserve"> </w:t>
      </w:r>
      <w:r w:rsidR="003F58DA" w:rsidRPr="00907AAD">
        <w:rPr>
          <w:rFonts w:asciiTheme="minorHAnsi" w:hAnsiTheme="minorHAnsi" w:cstheme="minorHAnsi"/>
          <w:b/>
          <w:bCs/>
        </w:rPr>
        <w:t xml:space="preserve">2022 </w:t>
      </w:r>
      <w:r w:rsidRPr="00907AAD">
        <w:rPr>
          <w:rFonts w:asciiTheme="minorHAnsi" w:hAnsiTheme="minorHAnsi" w:cstheme="minorHAnsi"/>
          <w:b/>
          <w:bCs/>
        </w:rPr>
        <w:t>Dividend for Shareholders</w:t>
      </w:r>
    </w:p>
    <w:p w14:paraId="56CC9B41" w14:textId="77777777" w:rsidR="00E4617F" w:rsidRPr="00907AAD" w:rsidRDefault="00E4617F" w:rsidP="007A0E87">
      <w:pPr>
        <w:jc w:val="center"/>
        <w:rPr>
          <w:rFonts w:asciiTheme="minorHAnsi" w:hAnsiTheme="minorHAnsi" w:cstheme="minorHAnsi"/>
          <w:b/>
          <w:bCs/>
        </w:rPr>
      </w:pPr>
    </w:p>
    <w:p w14:paraId="4962C86F" w14:textId="69BB221C" w:rsidR="00CA3538" w:rsidRDefault="007A0E87" w:rsidP="007A0E87">
      <w:pPr>
        <w:rPr>
          <w:rFonts w:asciiTheme="minorHAnsi" w:hAnsiTheme="minorHAnsi" w:cstheme="minorHAnsi"/>
        </w:rPr>
      </w:pPr>
      <w:r w:rsidRPr="00907AAD">
        <w:rPr>
          <w:rFonts w:asciiTheme="minorHAnsi" w:hAnsiTheme="minorHAnsi" w:cstheme="minorHAnsi"/>
        </w:rPr>
        <w:t xml:space="preserve">London, </w:t>
      </w:r>
      <w:r w:rsidR="002009EC">
        <w:rPr>
          <w:rFonts w:asciiTheme="minorHAnsi" w:hAnsiTheme="minorHAnsi" w:cstheme="minorHAnsi"/>
        </w:rPr>
        <w:t>1</w:t>
      </w:r>
      <w:r w:rsidRPr="00907AAD">
        <w:rPr>
          <w:rFonts w:asciiTheme="minorHAnsi" w:hAnsiTheme="minorHAnsi" w:cstheme="minorHAnsi"/>
        </w:rPr>
        <w:t xml:space="preserve"> </w:t>
      </w:r>
      <w:r w:rsidR="002009EC">
        <w:rPr>
          <w:rFonts w:asciiTheme="minorHAnsi" w:hAnsiTheme="minorHAnsi" w:cstheme="minorHAnsi"/>
        </w:rPr>
        <w:t>February</w:t>
      </w:r>
      <w:r w:rsidR="0028130F" w:rsidRPr="00907AAD">
        <w:rPr>
          <w:rFonts w:asciiTheme="minorHAnsi" w:hAnsiTheme="minorHAnsi" w:cstheme="minorHAnsi"/>
        </w:rPr>
        <w:t xml:space="preserve"> 2022</w:t>
      </w:r>
      <w:r w:rsidR="00977A8F" w:rsidRPr="00907AAD">
        <w:rPr>
          <w:rFonts w:asciiTheme="minorHAnsi" w:hAnsiTheme="minorHAnsi" w:cstheme="minorHAnsi"/>
        </w:rPr>
        <w:t xml:space="preserve"> </w:t>
      </w:r>
      <w:r w:rsidRPr="00907AAD">
        <w:rPr>
          <w:rFonts w:asciiTheme="minorHAnsi" w:hAnsiTheme="minorHAnsi" w:cstheme="minorHAnsi"/>
        </w:rPr>
        <w:t>//‐</w:t>
      </w:r>
      <w:r w:rsidR="00A74D28" w:rsidRPr="00907AAD">
        <w:rPr>
          <w:rFonts w:asciiTheme="minorHAnsi" w:hAnsiTheme="minorHAnsi" w:cstheme="minorHAnsi"/>
        </w:rPr>
        <w:t xml:space="preserve"> </w:t>
      </w:r>
      <w:r w:rsidRPr="00907AAD">
        <w:rPr>
          <w:rFonts w:asciiTheme="minorHAnsi" w:hAnsiTheme="minorHAnsi" w:cstheme="minorHAnsi"/>
        </w:rPr>
        <w:t xml:space="preserve">Pershing Square Holdings, Ltd. (LN:PSH) (LN:PSHD) (NA:PSH) today </w:t>
      </w:r>
      <w:r w:rsidR="007D4D8A" w:rsidRPr="00907AAD">
        <w:rPr>
          <w:rFonts w:asciiTheme="minorHAnsi" w:hAnsiTheme="minorHAnsi" w:cstheme="minorHAnsi"/>
        </w:rPr>
        <w:t xml:space="preserve">announced </w:t>
      </w:r>
      <w:r w:rsidR="00CA3538">
        <w:t xml:space="preserve">that </w:t>
      </w:r>
      <w:r w:rsidR="00F0495A">
        <w:t xml:space="preserve">it will pay a quarterly dividend </w:t>
      </w:r>
      <w:r w:rsidR="00CC2B66">
        <w:t xml:space="preserve">of $0.10 per Public Share </w:t>
      </w:r>
      <w:r w:rsidR="00F0495A">
        <w:t xml:space="preserve">for the calendar year 2022 </w:t>
      </w:r>
      <w:r w:rsidR="00CA3538" w:rsidRPr="00EF6ED6">
        <w:t>according to the following table</w:t>
      </w:r>
      <w:r w:rsidR="00F0495A">
        <w:t>:</w:t>
      </w:r>
      <w:r w:rsidR="00CA3538">
        <w:rPr>
          <w:rStyle w:val="FootnoteReference"/>
        </w:rPr>
        <w:footnoteReference w:id="1"/>
      </w:r>
    </w:p>
    <w:p w14:paraId="51236B9D" w14:textId="47701A58" w:rsidR="00CA3538" w:rsidRDefault="00CA3538" w:rsidP="007A0E87">
      <w:pPr>
        <w:rPr>
          <w:rFonts w:asciiTheme="minorHAnsi" w:hAnsiTheme="minorHAnsi" w:cstheme="minorHAnsi"/>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40"/>
        <w:gridCol w:w="2340"/>
        <w:gridCol w:w="1339"/>
        <w:gridCol w:w="1690"/>
        <w:gridCol w:w="1731"/>
      </w:tblGrid>
      <w:tr w:rsidR="00CA3538" w:rsidRPr="00907AAD" w14:paraId="79046F85" w14:textId="77777777" w:rsidTr="00C31B8A">
        <w:tc>
          <w:tcPr>
            <w:tcW w:w="2340" w:type="dxa"/>
            <w:tcMar>
              <w:top w:w="0" w:type="dxa"/>
              <w:left w:w="108" w:type="dxa"/>
              <w:bottom w:w="0" w:type="dxa"/>
              <w:right w:w="108" w:type="dxa"/>
            </w:tcMar>
            <w:vAlign w:val="center"/>
            <w:hideMark/>
          </w:tcPr>
          <w:p w14:paraId="7B4C3D5B" w14:textId="77777777" w:rsidR="00CA3538" w:rsidRPr="00907AAD" w:rsidRDefault="00CA3538" w:rsidP="00C31B8A">
            <w:pPr>
              <w:jc w:val="center"/>
              <w:rPr>
                <w:rFonts w:asciiTheme="minorHAnsi" w:hAnsiTheme="minorHAnsi" w:cstheme="minorHAnsi"/>
                <w:b/>
                <w:bCs/>
              </w:rPr>
            </w:pPr>
            <w:r w:rsidRPr="00907AAD">
              <w:rPr>
                <w:rFonts w:asciiTheme="minorHAnsi" w:hAnsiTheme="minorHAnsi" w:cstheme="minorHAnsi"/>
                <w:b/>
                <w:bCs/>
              </w:rPr>
              <w:t>Record Date</w:t>
            </w:r>
          </w:p>
        </w:tc>
        <w:tc>
          <w:tcPr>
            <w:tcW w:w="2340" w:type="dxa"/>
            <w:tcMar>
              <w:top w:w="0" w:type="dxa"/>
              <w:left w:w="108" w:type="dxa"/>
              <w:bottom w:w="0" w:type="dxa"/>
              <w:right w:w="108" w:type="dxa"/>
            </w:tcMar>
            <w:vAlign w:val="center"/>
            <w:hideMark/>
          </w:tcPr>
          <w:p w14:paraId="36DAD69A" w14:textId="77777777" w:rsidR="00CA3538" w:rsidRPr="00907AAD" w:rsidRDefault="00CA3538" w:rsidP="00C31B8A">
            <w:pPr>
              <w:jc w:val="center"/>
              <w:rPr>
                <w:rFonts w:asciiTheme="minorHAnsi" w:hAnsiTheme="minorHAnsi" w:cstheme="minorHAnsi"/>
                <w:b/>
                <w:bCs/>
              </w:rPr>
            </w:pPr>
            <w:r w:rsidRPr="00907AAD">
              <w:rPr>
                <w:rFonts w:asciiTheme="minorHAnsi" w:hAnsiTheme="minorHAnsi" w:cstheme="minorHAnsi"/>
                <w:b/>
                <w:bCs/>
              </w:rPr>
              <w:t>Payment Date</w:t>
            </w:r>
          </w:p>
        </w:tc>
        <w:tc>
          <w:tcPr>
            <w:tcW w:w="1339" w:type="dxa"/>
            <w:tcMar>
              <w:top w:w="0" w:type="dxa"/>
              <w:left w:w="108" w:type="dxa"/>
              <w:bottom w:w="0" w:type="dxa"/>
              <w:right w:w="108" w:type="dxa"/>
            </w:tcMar>
            <w:vAlign w:val="center"/>
            <w:hideMark/>
          </w:tcPr>
          <w:p w14:paraId="0467A63E" w14:textId="77777777" w:rsidR="00CA3538" w:rsidRPr="00907AAD" w:rsidRDefault="00CA3538" w:rsidP="00C31B8A">
            <w:pPr>
              <w:jc w:val="center"/>
              <w:rPr>
                <w:rFonts w:asciiTheme="minorHAnsi" w:hAnsiTheme="minorHAnsi" w:cstheme="minorHAnsi"/>
                <w:b/>
                <w:bCs/>
              </w:rPr>
            </w:pPr>
            <w:r w:rsidRPr="00907AAD">
              <w:rPr>
                <w:rFonts w:asciiTheme="minorHAnsi" w:hAnsiTheme="minorHAnsi" w:cstheme="minorHAnsi"/>
                <w:b/>
                <w:bCs/>
              </w:rPr>
              <w:t>USD Dividend Per Share</w:t>
            </w:r>
          </w:p>
        </w:tc>
        <w:tc>
          <w:tcPr>
            <w:tcW w:w="1690" w:type="dxa"/>
            <w:tcMar>
              <w:top w:w="0" w:type="dxa"/>
              <w:left w:w="108" w:type="dxa"/>
              <w:bottom w:w="0" w:type="dxa"/>
              <w:right w:w="108" w:type="dxa"/>
            </w:tcMar>
            <w:vAlign w:val="center"/>
            <w:hideMark/>
          </w:tcPr>
          <w:p w14:paraId="17615944" w14:textId="77777777" w:rsidR="00CA3538" w:rsidRPr="00907AAD" w:rsidRDefault="00CA3538" w:rsidP="00C31B8A">
            <w:pPr>
              <w:jc w:val="center"/>
              <w:rPr>
                <w:rFonts w:asciiTheme="minorHAnsi" w:hAnsiTheme="minorHAnsi" w:cstheme="minorHAnsi"/>
                <w:b/>
                <w:bCs/>
              </w:rPr>
            </w:pPr>
            <w:r w:rsidRPr="00907AAD">
              <w:rPr>
                <w:rFonts w:asciiTheme="minorHAnsi" w:hAnsiTheme="minorHAnsi" w:cstheme="minorHAnsi"/>
                <w:b/>
                <w:bCs/>
              </w:rPr>
              <w:t>DRIP Enrollment Deadline</w:t>
            </w:r>
          </w:p>
        </w:tc>
        <w:tc>
          <w:tcPr>
            <w:tcW w:w="1731" w:type="dxa"/>
            <w:tcMar>
              <w:top w:w="0" w:type="dxa"/>
              <w:left w:w="108" w:type="dxa"/>
              <w:bottom w:w="0" w:type="dxa"/>
              <w:right w:w="108" w:type="dxa"/>
            </w:tcMar>
            <w:vAlign w:val="center"/>
            <w:hideMark/>
          </w:tcPr>
          <w:p w14:paraId="0CAA36C9" w14:textId="77777777" w:rsidR="00CA3538" w:rsidRPr="00907AAD" w:rsidRDefault="00CA3538" w:rsidP="00C31B8A">
            <w:pPr>
              <w:jc w:val="center"/>
              <w:rPr>
                <w:rFonts w:asciiTheme="minorHAnsi" w:hAnsiTheme="minorHAnsi" w:cstheme="minorHAnsi"/>
                <w:b/>
                <w:bCs/>
              </w:rPr>
            </w:pPr>
            <w:r w:rsidRPr="00907AAD">
              <w:rPr>
                <w:rFonts w:asciiTheme="minorHAnsi" w:hAnsiTheme="minorHAnsi" w:cstheme="minorHAnsi"/>
                <w:b/>
                <w:bCs/>
              </w:rPr>
              <w:t>Currency Election Deadline</w:t>
            </w:r>
          </w:p>
        </w:tc>
      </w:tr>
      <w:tr w:rsidR="00CA3538" w:rsidRPr="00907AAD" w14:paraId="05374A03" w14:textId="77777777" w:rsidTr="00C31B8A">
        <w:tc>
          <w:tcPr>
            <w:tcW w:w="2340" w:type="dxa"/>
            <w:tcMar>
              <w:top w:w="0" w:type="dxa"/>
              <w:left w:w="108" w:type="dxa"/>
              <w:bottom w:w="0" w:type="dxa"/>
              <w:right w:w="108" w:type="dxa"/>
            </w:tcMar>
          </w:tcPr>
          <w:p w14:paraId="3A372B7E" w14:textId="77777777" w:rsidR="00CA3538" w:rsidRPr="00907AAD" w:rsidRDefault="00CA3538" w:rsidP="00C31B8A">
            <w:pPr>
              <w:jc w:val="center"/>
              <w:rPr>
                <w:rFonts w:asciiTheme="minorHAnsi" w:hAnsiTheme="minorHAnsi" w:cstheme="minorHAnsi"/>
              </w:rPr>
            </w:pPr>
            <w:r w:rsidRPr="00907AAD">
              <w:rPr>
                <w:rFonts w:asciiTheme="minorHAnsi" w:hAnsiTheme="minorHAnsi" w:cstheme="minorHAnsi"/>
                <w:bCs/>
                <w:lang w:eastAsia="en-GB"/>
              </w:rPr>
              <w:t>18/2/2022</w:t>
            </w:r>
          </w:p>
        </w:tc>
        <w:tc>
          <w:tcPr>
            <w:tcW w:w="2340" w:type="dxa"/>
            <w:tcMar>
              <w:top w:w="0" w:type="dxa"/>
              <w:left w:w="108" w:type="dxa"/>
              <w:bottom w:w="0" w:type="dxa"/>
              <w:right w:w="108" w:type="dxa"/>
            </w:tcMar>
          </w:tcPr>
          <w:p w14:paraId="718C4315" w14:textId="77777777" w:rsidR="00CA3538" w:rsidRPr="00907AAD" w:rsidRDefault="00CA3538" w:rsidP="00C31B8A">
            <w:pPr>
              <w:jc w:val="center"/>
              <w:rPr>
                <w:rFonts w:asciiTheme="minorHAnsi" w:hAnsiTheme="minorHAnsi" w:cstheme="minorHAnsi"/>
              </w:rPr>
            </w:pPr>
            <w:r w:rsidRPr="00907AAD">
              <w:rPr>
                <w:rFonts w:asciiTheme="minorHAnsi" w:hAnsiTheme="minorHAnsi" w:cstheme="minorHAnsi"/>
                <w:bCs/>
                <w:lang w:eastAsia="en-GB"/>
              </w:rPr>
              <w:t>18/3/2022</w:t>
            </w:r>
          </w:p>
        </w:tc>
        <w:tc>
          <w:tcPr>
            <w:tcW w:w="1339" w:type="dxa"/>
            <w:tcMar>
              <w:top w:w="0" w:type="dxa"/>
              <w:left w:w="108" w:type="dxa"/>
              <w:bottom w:w="0" w:type="dxa"/>
              <w:right w:w="108" w:type="dxa"/>
            </w:tcMar>
          </w:tcPr>
          <w:p w14:paraId="2CF67351" w14:textId="72001EAC" w:rsidR="00CA3538" w:rsidRPr="00907AAD" w:rsidRDefault="00CA3538" w:rsidP="00C31B8A">
            <w:pPr>
              <w:jc w:val="center"/>
              <w:rPr>
                <w:rFonts w:asciiTheme="minorHAnsi" w:hAnsiTheme="minorHAnsi" w:cstheme="minorHAnsi"/>
              </w:rPr>
            </w:pPr>
            <w:r w:rsidRPr="00907AAD">
              <w:rPr>
                <w:rFonts w:asciiTheme="minorHAnsi" w:hAnsiTheme="minorHAnsi" w:cstheme="minorHAnsi"/>
              </w:rPr>
              <w:t>$0.</w:t>
            </w:r>
            <w:r w:rsidR="002009EC">
              <w:rPr>
                <w:rFonts w:asciiTheme="minorHAnsi" w:hAnsiTheme="minorHAnsi" w:cstheme="minorHAnsi"/>
              </w:rPr>
              <w:t>10</w:t>
            </w:r>
          </w:p>
        </w:tc>
        <w:tc>
          <w:tcPr>
            <w:tcW w:w="1690" w:type="dxa"/>
            <w:tcMar>
              <w:top w:w="0" w:type="dxa"/>
              <w:left w:w="108" w:type="dxa"/>
              <w:bottom w:w="0" w:type="dxa"/>
              <w:right w:w="108" w:type="dxa"/>
            </w:tcMar>
          </w:tcPr>
          <w:p w14:paraId="05B2B97B" w14:textId="77777777" w:rsidR="00CA3538" w:rsidRPr="00907AAD" w:rsidRDefault="00CA3538" w:rsidP="00C31B8A">
            <w:pPr>
              <w:jc w:val="center"/>
              <w:rPr>
                <w:rFonts w:asciiTheme="minorHAnsi" w:hAnsiTheme="minorHAnsi" w:cstheme="minorHAnsi"/>
              </w:rPr>
            </w:pPr>
            <w:r w:rsidRPr="00907AAD">
              <w:rPr>
                <w:rFonts w:asciiTheme="minorHAnsi" w:hAnsiTheme="minorHAnsi" w:cstheme="minorHAnsi"/>
              </w:rPr>
              <w:t>25/2/2022</w:t>
            </w:r>
          </w:p>
        </w:tc>
        <w:tc>
          <w:tcPr>
            <w:tcW w:w="1731" w:type="dxa"/>
            <w:tcMar>
              <w:top w:w="0" w:type="dxa"/>
              <w:left w:w="108" w:type="dxa"/>
              <w:bottom w:w="0" w:type="dxa"/>
              <w:right w:w="108" w:type="dxa"/>
            </w:tcMar>
          </w:tcPr>
          <w:p w14:paraId="34824900" w14:textId="77777777" w:rsidR="00CA3538" w:rsidRPr="00907AAD" w:rsidRDefault="00CA3538" w:rsidP="00C31B8A">
            <w:pPr>
              <w:jc w:val="center"/>
              <w:rPr>
                <w:rFonts w:asciiTheme="minorHAnsi" w:hAnsiTheme="minorHAnsi" w:cstheme="minorHAnsi"/>
              </w:rPr>
            </w:pPr>
            <w:r w:rsidRPr="00907AAD">
              <w:rPr>
                <w:rFonts w:asciiTheme="minorHAnsi" w:hAnsiTheme="minorHAnsi" w:cstheme="minorHAnsi"/>
              </w:rPr>
              <w:t>18/2/2022</w:t>
            </w:r>
          </w:p>
        </w:tc>
      </w:tr>
      <w:tr w:rsidR="00CA3538" w:rsidRPr="00907AAD" w14:paraId="1C74504E" w14:textId="77777777" w:rsidTr="00C31B8A">
        <w:tc>
          <w:tcPr>
            <w:tcW w:w="2340" w:type="dxa"/>
            <w:tcMar>
              <w:top w:w="0" w:type="dxa"/>
              <w:left w:w="108" w:type="dxa"/>
              <w:bottom w:w="0" w:type="dxa"/>
              <w:right w:w="108" w:type="dxa"/>
            </w:tcMar>
          </w:tcPr>
          <w:p w14:paraId="351F13BB" w14:textId="77777777" w:rsidR="00CA3538" w:rsidRPr="00907AAD" w:rsidRDefault="00CA3538" w:rsidP="00C31B8A">
            <w:pPr>
              <w:jc w:val="center"/>
              <w:rPr>
                <w:rFonts w:asciiTheme="minorHAnsi" w:hAnsiTheme="minorHAnsi" w:cstheme="minorHAnsi"/>
              </w:rPr>
            </w:pPr>
            <w:r w:rsidRPr="00907AAD">
              <w:rPr>
                <w:rFonts w:asciiTheme="minorHAnsi" w:hAnsiTheme="minorHAnsi" w:cstheme="minorHAnsi"/>
                <w:bCs/>
                <w:lang w:eastAsia="en-GB"/>
              </w:rPr>
              <w:t>20/5/2022</w:t>
            </w:r>
          </w:p>
        </w:tc>
        <w:tc>
          <w:tcPr>
            <w:tcW w:w="2340" w:type="dxa"/>
            <w:tcMar>
              <w:top w:w="0" w:type="dxa"/>
              <w:left w:w="108" w:type="dxa"/>
              <w:bottom w:w="0" w:type="dxa"/>
              <w:right w:w="108" w:type="dxa"/>
            </w:tcMar>
          </w:tcPr>
          <w:p w14:paraId="0444C115" w14:textId="77777777" w:rsidR="00CA3538" w:rsidRPr="00907AAD" w:rsidRDefault="00CA3538" w:rsidP="00C31B8A">
            <w:pPr>
              <w:jc w:val="center"/>
              <w:rPr>
                <w:rFonts w:asciiTheme="minorHAnsi" w:hAnsiTheme="minorHAnsi" w:cstheme="minorHAnsi"/>
              </w:rPr>
            </w:pPr>
            <w:r w:rsidRPr="00907AAD">
              <w:rPr>
                <w:rFonts w:asciiTheme="minorHAnsi" w:hAnsiTheme="minorHAnsi" w:cstheme="minorHAnsi"/>
                <w:bCs/>
                <w:lang w:eastAsia="en-GB"/>
              </w:rPr>
              <w:t>17/6/2022</w:t>
            </w:r>
          </w:p>
        </w:tc>
        <w:tc>
          <w:tcPr>
            <w:tcW w:w="1339" w:type="dxa"/>
            <w:tcMar>
              <w:top w:w="0" w:type="dxa"/>
              <w:left w:w="108" w:type="dxa"/>
              <w:bottom w:w="0" w:type="dxa"/>
              <w:right w:w="108" w:type="dxa"/>
            </w:tcMar>
          </w:tcPr>
          <w:p w14:paraId="5CAFF56E" w14:textId="365C0BB5" w:rsidR="00CA3538" w:rsidRPr="00907AAD" w:rsidRDefault="002009EC" w:rsidP="00C31B8A">
            <w:pPr>
              <w:jc w:val="center"/>
              <w:rPr>
                <w:rFonts w:asciiTheme="minorHAnsi" w:hAnsiTheme="minorHAnsi" w:cstheme="minorHAnsi"/>
              </w:rPr>
            </w:pPr>
            <w:r w:rsidRPr="00907AAD">
              <w:rPr>
                <w:rFonts w:asciiTheme="minorHAnsi" w:hAnsiTheme="minorHAnsi" w:cstheme="minorHAnsi"/>
              </w:rPr>
              <w:t>$0.</w:t>
            </w:r>
            <w:r>
              <w:rPr>
                <w:rFonts w:asciiTheme="minorHAnsi" w:hAnsiTheme="minorHAnsi" w:cstheme="minorHAnsi"/>
              </w:rPr>
              <w:t>10</w:t>
            </w:r>
          </w:p>
        </w:tc>
        <w:tc>
          <w:tcPr>
            <w:tcW w:w="1690" w:type="dxa"/>
            <w:tcMar>
              <w:top w:w="0" w:type="dxa"/>
              <w:left w:w="108" w:type="dxa"/>
              <w:bottom w:w="0" w:type="dxa"/>
              <w:right w:w="108" w:type="dxa"/>
            </w:tcMar>
          </w:tcPr>
          <w:p w14:paraId="65675CA4" w14:textId="77777777" w:rsidR="00CA3538" w:rsidRPr="00907AAD" w:rsidRDefault="00CA3538" w:rsidP="00C31B8A">
            <w:pPr>
              <w:jc w:val="center"/>
              <w:rPr>
                <w:rFonts w:asciiTheme="minorHAnsi" w:hAnsiTheme="minorHAnsi" w:cstheme="minorHAnsi"/>
              </w:rPr>
            </w:pPr>
            <w:r w:rsidRPr="00907AAD">
              <w:rPr>
                <w:rFonts w:asciiTheme="minorHAnsi" w:hAnsiTheme="minorHAnsi" w:cstheme="minorHAnsi"/>
              </w:rPr>
              <w:t>27/5/2022</w:t>
            </w:r>
          </w:p>
        </w:tc>
        <w:tc>
          <w:tcPr>
            <w:tcW w:w="1731" w:type="dxa"/>
            <w:tcMar>
              <w:top w:w="0" w:type="dxa"/>
              <w:left w:w="108" w:type="dxa"/>
              <w:bottom w:w="0" w:type="dxa"/>
              <w:right w:w="108" w:type="dxa"/>
            </w:tcMar>
          </w:tcPr>
          <w:p w14:paraId="4959FE0F" w14:textId="77777777" w:rsidR="00CA3538" w:rsidRPr="00907AAD" w:rsidRDefault="00CA3538" w:rsidP="00C31B8A">
            <w:pPr>
              <w:jc w:val="center"/>
              <w:rPr>
                <w:rFonts w:asciiTheme="minorHAnsi" w:hAnsiTheme="minorHAnsi" w:cstheme="minorHAnsi"/>
              </w:rPr>
            </w:pPr>
            <w:r w:rsidRPr="00907AAD">
              <w:rPr>
                <w:rFonts w:asciiTheme="minorHAnsi" w:hAnsiTheme="minorHAnsi" w:cstheme="minorHAnsi"/>
              </w:rPr>
              <w:t>20/5/2022</w:t>
            </w:r>
          </w:p>
        </w:tc>
      </w:tr>
      <w:tr w:rsidR="00CA3538" w:rsidRPr="00907AAD" w14:paraId="51D857BB" w14:textId="77777777" w:rsidTr="00C31B8A">
        <w:tc>
          <w:tcPr>
            <w:tcW w:w="2340" w:type="dxa"/>
            <w:tcMar>
              <w:top w:w="0" w:type="dxa"/>
              <w:left w:w="108" w:type="dxa"/>
              <w:bottom w:w="0" w:type="dxa"/>
              <w:right w:w="108" w:type="dxa"/>
            </w:tcMar>
          </w:tcPr>
          <w:p w14:paraId="3539856C" w14:textId="77777777" w:rsidR="00CA3538" w:rsidRPr="00907AAD" w:rsidRDefault="00CA3538" w:rsidP="00C31B8A">
            <w:pPr>
              <w:jc w:val="center"/>
              <w:rPr>
                <w:rFonts w:asciiTheme="minorHAnsi" w:hAnsiTheme="minorHAnsi" w:cstheme="minorHAnsi"/>
              </w:rPr>
            </w:pPr>
            <w:r w:rsidRPr="00907AAD">
              <w:rPr>
                <w:rFonts w:asciiTheme="minorHAnsi" w:hAnsiTheme="minorHAnsi" w:cstheme="minorHAnsi"/>
                <w:bCs/>
                <w:lang w:eastAsia="en-GB"/>
              </w:rPr>
              <w:t>19/8/2022</w:t>
            </w:r>
          </w:p>
        </w:tc>
        <w:tc>
          <w:tcPr>
            <w:tcW w:w="2340" w:type="dxa"/>
            <w:tcMar>
              <w:top w:w="0" w:type="dxa"/>
              <w:left w:w="108" w:type="dxa"/>
              <w:bottom w:w="0" w:type="dxa"/>
              <w:right w:w="108" w:type="dxa"/>
            </w:tcMar>
          </w:tcPr>
          <w:p w14:paraId="7AC045D7" w14:textId="77777777" w:rsidR="00CA3538" w:rsidRPr="00907AAD" w:rsidRDefault="00CA3538" w:rsidP="00C31B8A">
            <w:pPr>
              <w:jc w:val="center"/>
              <w:rPr>
                <w:rFonts w:asciiTheme="minorHAnsi" w:hAnsiTheme="minorHAnsi" w:cstheme="minorHAnsi"/>
              </w:rPr>
            </w:pPr>
            <w:r w:rsidRPr="00907AAD">
              <w:rPr>
                <w:rFonts w:asciiTheme="minorHAnsi" w:hAnsiTheme="minorHAnsi" w:cstheme="minorHAnsi"/>
                <w:bCs/>
                <w:lang w:eastAsia="en-GB"/>
              </w:rPr>
              <w:t>16/9/2022</w:t>
            </w:r>
          </w:p>
        </w:tc>
        <w:tc>
          <w:tcPr>
            <w:tcW w:w="1339" w:type="dxa"/>
            <w:tcMar>
              <w:top w:w="0" w:type="dxa"/>
              <w:left w:w="108" w:type="dxa"/>
              <w:bottom w:w="0" w:type="dxa"/>
              <w:right w:w="108" w:type="dxa"/>
            </w:tcMar>
          </w:tcPr>
          <w:p w14:paraId="3D443F7E" w14:textId="3E75D73A" w:rsidR="00CA3538" w:rsidRPr="00907AAD" w:rsidRDefault="002009EC" w:rsidP="00C31B8A">
            <w:pPr>
              <w:jc w:val="center"/>
              <w:rPr>
                <w:rFonts w:asciiTheme="minorHAnsi" w:hAnsiTheme="minorHAnsi" w:cstheme="minorHAnsi"/>
              </w:rPr>
            </w:pPr>
            <w:r w:rsidRPr="00907AAD">
              <w:rPr>
                <w:rFonts w:asciiTheme="minorHAnsi" w:hAnsiTheme="minorHAnsi" w:cstheme="minorHAnsi"/>
              </w:rPr>
              <w:t>$0.</w:t>
            </w:r>
            <w:r>
              <w:rPr>
                <w:rFonts w:asciiTheme="minorHAnsi" w:hAnsiTheme="minorHAnsi" w:cstheme="minorHAnsi"/>
              </w:rPr>
              <w:t>10</w:t>
            </w:r>
          </w:p>
        </w:tc>
        <w:tc>
          <w:tcPr>
            <w:tcW w:w="1690" w:type="dxa"/>
            <w:tcMar>
              <w:top w:w="0" w:type="dxa"/>
              <w:left w:w="108" w:type="dxa"/>
              <w:bottom w:w="0" w:type="dxa"/>
              <w:right w:w="108" w:type="dxa"/>
            </w:tcMar>
          </w:tcPr>
          <w:p w14:paraId="7E449E4F" w14:textId="77777777" w:rsidR="00CA3538" w:rsidRPr="00907AAD" w:rsidRDefault="00CA3538" w:rsidP="00C31B8A">
            <w:pPr>
              <w:jc w:val="center"/>
              <w:rPr>
                <w:rFonts w:asciiTheme="minorHAnsi" w:hAnsiTheme="minorHAnsi" w:cstheme="minorHAnsi"/>
              </w:rPr>
            </w:pPr>
            <w:r w:rsidRPr="00907AAD">
              <w:rPr>
                <w:rFonts w:asciiTheme="minorHAnsi" w:hAnsiTheme="minorHAnsi" w:cstheme="minorHAnsi"/>
              </w:rPr>
              <w:t>26/8/2022</w:t>
            </w:r>
          </w:p>
        </w:tc>
        <w:tc>
          <w:tcPr>
            <w:tcW w:w="1731" w:type="dxa"/>
            <w:tcMar>
              <w:top w:w="0" w:type="dxa"/>
              <w:left w:w="108" w:type="dxa"/>
              <w:bottom w:w="0" w:type="dxa"/>
              <w:right w:w="108" w:type="dxa"/>
            </w:tcMar>
          </w:tcPr>
          <w:p w14:paraId="297A3F3A" w14:textId="77777777" w:rsidR="00CA3538" w:rsidRPr="00907AAD" w:rsidRDefault="00CA3538" w:rsidP="00C31B8A">
            <w:pPr>
              <w:jc w:val="center"/>
              <w:rPr>
                <w:rFonts w:asciiTheme="minorHAnsi" w:hAnsiTheme="minorHAnsi" w:cstheme="minorHAnsi"/>
              </w:rPr>
            </w:pPr>
            <w:r w:rsidRPr="00907AAD">
              <w:rPr>
                <w:rFonts w:asciiTheme="minorHAnsi" w:hAnsiTheme="minorHAnsi" w:cstheme="minorHAnsi"/>
              </w:rPr>
              <w:t>19/8/2022</w:t>
            </w:r>
          </w:p>
        </w:tc>
      </w:tr>
      <w:tr w:rsidR="00CA3538" w:rsidRPr="00907AAD" w14:paraId="6AE4A05F" w14:textId="77777777" w:rsidTr="00C31B8A">
        <w:tc>
          <w:tcPr>
            <w:tcW w:w="2340" w:type="dxa"/>
            <w:tcMar>
              <w:top w:w="0" w:type="dxa"/>
              <w:left w:w="108" w:type="dxa"/>
              <w:bottom w:w="0" w:type="dxa"/>
              <w:right w:w="108" w:type="dxa"/>
            </w:tcMar>
          </w:tcPr>
          <w:p w14:paraId="73AA7B98" w14:textId="77777777" w:rsidR="00CA3538" w:rsidRPr="00907AAD" w:rsidRDefault="00CA3538" w:rsidP="00C31B8A">
            <w:pPr>
              <w:jc w:val="center"/>
              <w:rPr>
                <w:rFonts w:asciiTheme="minorHAnsi" w:hAnsiTheme="minorHAnsi" w:cstheme="minorHAnsi"/>
              </w:rPr>
            </w:pPr>
            <w:r w:rsidRPr="00907AAD">
              <w:rPr>
                <w:rFonts w:asciiTheme="minorHAnsi" w:hAnsiTheme="minorHAnsi" w:cstheme="minorHAnsi"/>
                <w:bCs/>
                <w:lang w:eastAsia="en-GB"/>
              </w:rPr>
              <w:t>18/11/2022</w:t>
            </w:r>
          </w:p>
        </w:tc>
        <w:tc>
          <w:tcPr>
            <w:tcW w:w="2340" w:type="dxa"/>
            <w:tcMar>
              <w:top w:w="0" w:type="dxa"/>
              <w:left w:w="108" w:type="dxa"/>
              <w:bottom w:w="0" w:type="dxa"/>
              <w:right w:w="108" w:type="dxa"/>
            </w:tcMar>
          </w:tcPr>
          <w:p w14:paraId="6E546E2D" w14:textId="77777777" w:rsidR="00CA3538" w:rsidRPr="00907AAD" w:rsidRDefault="00CA3538" w:rsidP="00C31B8A">
            <w:pPr>
              <w:jc w:val="center"/>
              <w:rPr>
                <w:rFonts w:asciiTheme="minorHAnsi" w:hAnsiTheme="minorHAnsi" w:cstheme="minorHAnsi"/>
              </w:rPr>
            </w:pPr>
            <w:r w:rsidRPr="00907AAD">
              <w:rPr>
                <w:rFonts w:asciiTheme="minorHAnsi" w:hAnsiTheme="minorHAnsi" w:cstheme="minorHAnsi"/>
                <w:bCs/>
                <w:lang w:eastAsia="en-GB"/>
              </w:rPr>
              <w:t>16/12/2022</w:t>
            </w:r>
          </w:p>
        </w:tc>
        <w:tc>
          <w:tcPr>
            <w:tcW w:w="1339" w:type="dxa"/>
            <w:tcMar>
              <w:top w:w="0" w:type="dxa"/>
              <w:left w:w="108" w:type="dxa"/>
              <w:bottom w:w="0" w:type="dxa"/>
              <w:right w:w="108" w:type="dxa"/>
            </w:tcMar>
          </w:tcPr>
          <w:p w14:paraId="3813AD35" w14:textId="19327CA3" w:rsidR="00CA3538" w:rsidRPr="00907AAD" w:rsidRDefault="002009EC" w:rsidP="00C31B8A">
            <w:pPr>
              <w:jc w:val="center"/>
              <w:rPr>
                <w:rFonts w:asciiTheme="minorHAnsi" w:hAnsiTheme="minorHAnsi" w:cstheme="minorHAnsi"/>
              </w:rPr>
            </w:pPr>
            <w:r w:rsidRPr="00907AAD">
              <w:rPr>
                <w:rFonts w:asciiTheme="minorHAnsi" w:hAnsiTheme="minorHAnsi" w:cstheme="minorHAnsi"/>
              </w:rPr>
              <w:t>$0.</w:t>
            </w:r>
            <w:r>
              <w:rPr>
                <w:rFonts w:asciiTheme="minorHAnsi" w:hAnsiTheme="minorHAnsi" w:cstheme="minorHAnsi"/>
              </w:rPr>
              <w:t>10</w:t>
            </w:r>
          </w:p>
        </w:tc>
        <w:tc>
          <w:tcPr>
            <w:tcW w:w="1690" w:type="dxa"/>
            <w:tcMar>
              <w:top w:w="0" w:type="dxa"/>
              <w:left w:w="108" w:type="dxa"/>
              <w:bottom w:w="0" w:type="dxa"/>
              <w:right w:w="108" w:type="dxa"/>
            </w:tcMar>
          </w:tcPr>
          <w:p w14:paraId="65E8A3A4" w14:textId="77777777" w:rsidR="00CA3538" w:rsidRPr="00907AAD" w:rsidRDefault="00CA3538" w:rsidP="00C31B8A">
            <w:pPr>
              <w:jc w:val="center"/>
              <w:rPr>
                <w:rFonts w:asciiTheme="minorHAnsi" w:hAnsiTheme="minorHAnsi" w:cstheme="minorHAnsi"/>
              </w:rPr>
            </w:pPr>
            <w:r w:rsidRPr="00907AAD">
              <w:rPr>
                <w:rFonts w:asciiTheme="minorHAnsi" w:hAnsiTheme="minorHAnsi" w:cstheme="minorHAnsi"/>
              </w:rPr>
              <w:t>25/11/2022</w:t>
            </w:r>
          </w:p>
        </w:tc>
        <w:tc>
          <w:tcPr>
            <w:tcW w:w="1731" w:type="dxa"/>
            <w:tcMar>
              <w:top w:w="0" w:type="dxa"/>
              <w:left w:w="108" w:type="dxa"/>
              <w:bottom w:w="0" w:type="dxa"/>
              <w:right w:w="108" w:type="dxa"/>
            </w:tcMar>
          </w:tcPr>
          <w:p w14:paraId="28DABF2B" w14:textId="77777777" w:rsidR="00CA3538" w:rsidRPr="00907AAD" w:rsidRDefault="00CA3538" w:rsidP="00C31B8A">
            <w:pPr>
              <w:jc w:val="center"/>
              <w:rPr>
                <w:rFonts w:asciiTheme="minorHAnsi" w:hAnsiTheme="minorHAnsi" w:cstheme="minorHAnsi"/>
              </w:rPr>
            </w:pPr>
            <w:r w:rsidRPr="00907AAD">
              <w:rPr>
                <w:rFonts w:asciiTheme="minorHAnsi" w:hAnsiTheme="minorHAnsi" w:cstheme="minorHAnsi"/>
              </w:rPr>
              <w:t>18/11/2022</w:t>
            </w:r>
          </w:p>
        </w:tc>
      </w:tr>
    </w:tbl>
    <w:p w14:paraId="32AF81E1" w14:textId="77777777" w:rsidR="00CA3538" w:rsidRPr="00907AAD" w:rsidRDefault="00CA3538" w:rsidP="007A0E87">
      <w:pPr>
        <w:rPr>
          <w:rFonts w:asciiTheme="minorHAnsi" w:hAnsiTheme="minorHAnsi" w:cstheme="minorHAnsi"/>
        </w:rPr>
      </w:pPr>
    </w:p>
    <w:p w14:paraId="25A221F2" w14:textId="77777777" w:rsidR="006A1C31" w:rsidRDefault="006A1C31" w:rsidP="006A1C31">
      <w:r w:rsidRPr="00D32186">
        <w:t>A proportionate quarterly dividend will be paid to the Special Voting Share, based on its net asset value.</w:t>
      </w:r>
    </w:p>
    <w:p w14:paraId="00CACB92" w14:textId="77777777" w:rsidR="005066BC" w:rsidRPr="00907AAD" w:rsidRDefault="005066BC" w:rsidP="007A0E87">
      <w:pPr>
        <w:rPr>
          <w:rFonts w:asciiTheme="minorHAnsi" w:hAnsiTheme="minorHAnsi" w:cstheme="minorHAnsi"/>
        </w:rPr>
      </w:pPr>
    </w:p>
    <w:p w14:paraId="3DE9234B" w14:textId="77777777" w:rsidR="007A0E87" w:rsidRPr="00907AAD" w:rsidRDefault="007A0E87" w:rsidP="007A0E87">
      <w:pPr>
        <w:rPr>
          <w:rFonts w:asciiTheme="minorHAnsi" w:hAnsiTheme="minorHAnsi" w:cstheme="minorHAnsi"/>
        </w:rPr>
      </w:pPr>
      <w:r w:rsidRPr="00907AAD">
        <w:rPr>
          <w:rFonts w:asciiTheme="minorHAnsi" w:hAnsiTheme="minorHAnsi" w:cstheme="minorHAnsi"/>
        </w:rPr>
        <w:t xml:space="preserve">Shareholders may automatically reinvest cash dividends into PSH Public Shares through a Dividend Reinvestment Programme (“DRIP”). Details about the DRIP are available at </w:t>
      </w:r>
      <w:hyperlink r:id="rId10" w:history="1">
        <w:r w:rsidR="00EF6191" w:rsidRPr="00907AAD">
          <w:rPr>
            <w:rStyle w:val="Hyperlink"/>
            <w:rFonts w:asciiTheme="minorHAnsi" w:hAnsiTheme="minorHAnsi" w:cstheme="minorHAnsi"/>
          </w:rPr>
          <w:t>https://pershingsquareholdings.com/psh-dividend-information/</w:t>
        </w:r>
      </w:hyperlink>
      <w:r w:rsidR="00EF6191" w:rsidRPr="00907AAD">
        <w:rPr>
          <w:rFonts w:asciiTheme="minorHAnsi" w:hAnsiTheme="minorHAnsi" w:cstheme="minorHAnsi"/>
        </w:rPr>
        <w:t xml:space="preserve"> </w:t>
      </w:r>
      <w:r w:rsidRPr="00907AAD">
        <w:rPr>
          <w:rFonts w:asciiTheme="minorHAnsi" w:hAnsiTheme="minorHAnsi" w:cstheme="minorHAnsi"/>
        </w:rPr>
        <w:t>and through shareholder</w:t>
      </w:r>
      <w:r w:rsidR="00A33E53" w:rsidRPr="00907AAD">
        <w:rPr>
          <w:rFonts w:asciiTheme="minorHAnsi" w:hAnsiTheme="minorHAnsi" w:cstheme="minorHAnsi"/>
        </w:rPr>
        <w:t>s’</w:t>
      </w:r>
      <w:r w:rsidRPr="00907AAD">
        <w:rPr>
          <w:rFonts w:asciiTheme="minorHAnsi" w:hAnsiTheme="minorHAnsi" w:cstheme="minorHAnsi"/>
        </w:rPr>
        <w:t xml:space="preserve"> broker</w:t>
      </w:r>
      <w:r w:rsidR="00A33E53" w:rsidRPr="00907AAD">
        <w:rPr>
          <w:rFonts w:asciiTheme="minorHAnsi" w:hAnsiTheme="minorHAnsi" w:cstheme="minorHAnsi"/>
        </w:rPr>
        <w:t>s</w:t>
      </w:r>
      <w:r w:rsidRPr="00907AAD">
        <w:rPr>
          <w:rFonts w:asciiTheme="minorHAnsi" w:hAnsiTheme="minorHAnsi" w:cstheme="minorHAnsi"/>
        </w:rPr>
        <w:t>.</w:t>
      </w:r>
    </w:p>
    <w:p w14:paraId="33FBC372" w14:textId="77777777" w:rsidR="007A0E87" w:rsidRPr="00907AAD" w:rsidRDefault="007A0E87" w:rsidP="007A0E87">
      <w:pPr>
        <w:rPr>
          <w:rFonts w:asciiTheme="minorHAnsi" w:hAnsiTheme="minorHAnsi" w:cstheme="minorHAnsi"/>
        </w:rPr>
      </w:pPr>
    </w:p>
    <w:p w14:paraId="5C85C607" w14:textId="77777777" w:rsidR="007A0E87" w:rsidRPr="00907AAD" w:rsidRDefault="007A0E87" w:rsidP="007A0E87">
      <w:pPr>
        <w:rPr>
          <w:rFonts w:asciiTheme="minorHAnsi" w:hAnsiTheme="minorHAnsi" w:cstheme="minorHAnsi"/>
        </w:rPr>
      </w:pPr>
      <w:r w:rsidRPr="00907AAD">
        <w:rPr>
          <w:rFonts w:asciiTheme="minorHAnsi" w:hAnsiTheme="minorHAnsi" w:cstheme="minorHAnsi"/>
        </w:rPr>
        <w:t xml:space="preserve">Dividends will be paid in US dollars unless a shareholder elects to be paid in GBP. Interested shareholders must elect GBP no later than the Currency Election Deadline. Further details about the currency election, including how to select GBP, are available at Pershing Square Holdings’ website </w:t>
      </w:r>
      <w:hyperlink r:id="rId11" w:history="1">
        <w:r w:rsidR="00EF6191" w:rsidRPr="00907AAD">
          <w:rPr>
            <w:rStyle w:val="Hyperlink"/>
            <w:rFonts w:asciiTheme="minorHAnsi" w:hAnsiTheme="minorHAnsi" w:cstheme="minorHAnsi"/>
          </w:rPr>
          <w:t>https://pershingsquareholdings.com/psh-dividend-information/</w:t>
        </w:r>
      </w:hyperlink>
      <w:r w:rsidRPr="00907AAD">
        <w:rPr>
          <w:rFonts w:asciiTheme="minorHAnsi" w:hAnsiTheme="minorHAnsi" w:cstheme="minorHAnsi"/>
        </w:rPr>
        <w:t>.</w:t>
      </w:r>
    </w:p>
    <w:p w14:paraId="130ADDAD" w14:textId="77777777" w:rsidR="007A0E87" w:rsidRPr="00907AAD" w:rsidRDefault="007A0E87" w:rsidP="007A0E87">
      <w:pPr>
        <w:rPr>
          <w:rFonts w:asciiTheme="minorHAnsi" w:hAnsiTheme="minorHAnsi" w:cstheme="minorHAnsi"/>
        </w:rPr>
      </w:pPr>
    </w:p>
    <w:p w14:paraId="62B45020" w14:textId="77777777" w:rsidR="009F1E17" w:rsidRPr="00907AAD" w:rsidRDefault="009F1E17" w:rsidP="007A0E87">
      <w:pPr>
        <w:rPr>
          <w:rFonts w:asciiTheme="minorHAnsi" w:hAnsiTheme="minorHAnsi" w:cstheme="minorHAnsi"/>
          <w:b/>
          <w:bCs/>
        </w:rPr>
      </w:pPr>
      <w:r w:rsidRPr="00907AAD">
        <w:rPr>
          <w:rFonts w:asciiTheme="minorHAnsi" w:hAnsiTheme="minorHAnsi" w:cstheme="minorHAnsi"/>
          <w:b/>
          <w:bCs/>
        </w:rPr>
        <w:t xml:space="preserve">Additional Information </w:t>
      </w:r>
    </w:p>
    <w:p w14:paraId="3A72B577" w14:textId="77777777" w:rsidR="009F1E17" w:rsidRPr="00907AAD" w:rsidRDefault="009F1E17" w:rsidP="007A0E87">
      <w:pPr>
        <w:rPr>
          <w:rFonts w:asciiTheme="minorHAnsi" w:hAnsiTheme="minorHAnsi" w:cstheme="minorHAnsi"/>
        </w:rPr>
      </w:pPr>
      <w:r w:rsidRPr="00907AAD">
        <w:rPr>
          <w:rFonts w:asciiTheme="minorHAnsi" w:hAnsiTheme="minorHAnsi" w:cstheme="minorHAnsi"/>
        </w:rPr>
        <w:t xml:space="preserve">Each dividend is subject to the Company being satisfied that the following conditions are met: </w:t>
      </w:r>
    </w:p>
    <w:p w14:paraId="5DA867E7" w14:textId="77777777" w:rsidR="009F1E17" w:rsidRPr="00907AAD" w:rsidRDefault="009F1E17" w:rsidP="009F1E17">
      <w:pPr>
        <w:pStyle w:val="ListParagraph"/>
        <w:numPr>
          <w:ilvl w:val="0"/>
          <w:numId w:val="1"/>
        </w:numPr>
        <w:rPr>
          <w:rFonts w:asciiTheme="minorHAnsi" w:hAnsiTheme="minorHAnsi" w:cstheme="minorHAnsi"/>
        </w:rPr>
      </w:pPr>
      <w:r w:rsidRPr="00907AAD">
        <w:rPr>
          <w:rFonts w:asciiTheme="minorHAnsi" w:hAnsiTheme="minorHAnsi" w:cstheme="minorHAnsi"/>
        </w:rPr>
        <w:t xml:space="preserve">the Company will meet the solvency requirements under Companies (Guernsey) Law, immediately after the payment of the dividend; </w:t>
      </w:r>
    </w:p>
    <w:p w14:paraId="20A6E24F" w14:textId="77777777" w:rsidR="00E4617F" w:rsidRPr="00907AAD" w:rsidRDefault="009F1E17" w:rsidP="009F1E17">
      <w:pPr>
        <w:pStyle w:val="ListParagraph"/>
        <w:numPr>
          <w:ilvl w:val="0"/>
          <w:numId w:val="1"/>
        </w:numPr>
        <w:rPr>
          <w:rFonts w:asciiTheme="minorHAnsi" w:hAnsiTheme="minorHAnsi" w:cstheme="minorHAnsi"/>
        </w:rPr>
      </w:pPr>
      <w:r w:rsidRPr="00907AAD">
        <w:rPr>
          <w:rFonts w:asciiTheme="minorHAnsi" w:hAnsiTheme="minorHAnsi" w:cstheme="minorHAnsi"/>
        </w:rPr>
        <w:t>the Company's total indebtedness will be less than one third of the Company's total capitalisation after the payment of the relevant interim dividend.</w:t>
      </w:r>
    </w:p>
    <w:p w14:paraId="3D44BEED" w14:textId="77777777" w:rsidR="009F1E17" w:rsidRPr="00907AAD" w:rsidRDefault="009F1E17" w:rsidP="009F1E17">
      <w:pPr>
        <w:rPr>
          <w:rFonts w:asciiTheme="minorHAnsi" w:hAnsiTheme="minorHAnsi" w:cstheme="minorHAnsi"/>
        </w:rPr>
      </w:pPr>
    </w:p>
    <w:p w14:paraId="115D55DA" w14:textId="3BA040BE" w:rsidR="009F1E17" w:rsidRPr="00907AAD" w:rsidRDefault="009F1E17" w:rsidP="009F1E17">
      <w:pPr>
        <w:rPr>
          <w:rFonts w:asciiTheme="minorHAnsi" w:hAnsiTheme="minorHAnsi" w:cstheme="minorHAnsi"/>
        </w:rPr>
      </w:pPr>
      <w:r w:rsidRPr="00907AAD">
        <w:rPr>
          <w:rFonts w:asciiTheme="minorHAnsi" w:hAnsiTheme="minorHAnsi" w:cstheme="minorHAnsi"/>
        </w:rPr>
        <w:t>The decision as to whether PSH pays a dividend in the future will be made by the PSH Board with the consent of the Investment Manager.</w:t>
      </w:r>
      <w:r w:rsidR="00D17FDB" w:rsidRPr="00907AAD">
        <w:rPr>
          <w:rFonts w:asciiTheme="minorHAnsi" w:hAnsiTheme="minorHAnsi" w:cstheme="minorHAnsi"/>
        </w:rPr>
        <w:t xml:space="preserve"> </w:t>
      </w:r>
      <w:r w:rsidRPr="00907AAD">
        <w:rPr>
          <w:rFonts w:asciiTheme="minorHAnsi" w:hAnsiTheme="minorHAnsi" w:cstheme="minorHAnsi"/>
        </w:rPr>
        <w:t>While PSH intends to pay a quarterly dividend going forward, there is no guarantee that PSH will continue to do so.</w:t>
      </w:r>
      <w:r w:rsidR="00D17FDB" w:rsidRPr="00907AAD">
        <w:rPr>
          <w:rFonts w:asciiTheme="minorHAnsi" w:hAnsiTheme="minorHAnsi" w:cstheme="minorHAnsi"/>
        </w:rPr>
        <w:t xml:space="preserve"> </w:t>
      </w:r>
      <w:r w:rsidRPr="00907AAD">
        <w:rPr>
          <w:rFonts w:asciiTheme="minorHAnsi" w:hAnsiTheme="minorHAnsi" w:cstheme="minorHAnsi"/>
        </w:rPr>
        <w:t>PSH’s Board’s decision to pay a dividend should not be interpreted to mean that PSH will be profitable in the future.</w:t>
      </w:r>
    </w:p>
    <w:p w14:paraId="44B3582C" w14:textId="77777777" w:rsidR="009F1E17" w:rsidRPr="00907AAD" w:rsidRDefault="009F1E17" w:rsidP="007A0E87">
      <w:pPr>
        <w:rPr>
          <w:rFonts w:asciiTheme="minorHAnsi" w:hAnsiTheme="minorHAnsi" w:cstheme="minorHAnsi"/>
        </w:rPr>
      </w:pPr>
    </w:p>
    <w:p w14:paraId="2F4A70DE" w14:textId="77777777" w:rsidR="007A0E87" w:rsidRPr="00907AAD" w:rsidRDefault="007A0E87" w:rsidP="007A0E87">
      <w:pPr>
        <w:rPr>
          <w:rFonts w:asciiTheme="minorHAnsi" w:hAnsiTheme="minorHAnsi" w:cstheme="minorHAnsi"/>
          <w:b/>
          <w:bCs/>
        </w:rPr>
      </w:pPr>
      <w:bookmarkStart w:id="0" w:name="_Hlk7717575"/>
      <w:r w:rsidRPr="00907AAD">
        <w:rPr>
          <w:rFonts w:asciiTheme="minorHAnsi" w:hAnsiTheme="minorHAnsi" w:cstheme="minorHAnsi"/>
          <w:b/>
          <w:bCs/>
        </w:rPr>
        <w:t>About Pershing Square Holdings, Ltd.</w:t>
      </w:r>
    </w:p>
    <w:p w14:paraId="32BEC427" w14:textId="77777777" w:rsidR="00B35C55" w:rsidRPr="00907AAD" w:rsidRDefault="00B35C55" w:rsidP="00B35C55">
      <w:pPr>
        <w:rPr>
          <w:rFonts w:asciiTheme="minorHAnsi" w:hAnsiTheme="minorHAnsi" w:cstheme="minorHAnsi"/>
        </w:rPr>
      </w:pPr>
      <w:r w:rsidRPr="00907AAD">
        <w:rPr>
          <w:rFonts w:asciiTheme="minorHAnsi" w:hAnsiTheme="minorHAnsi" w:cstheme="minorHAnsi"/>
        </w:rPr>
        <w:t>Pershing Square Holdings, Ltd. (LN:PSH) (LN:PSHD) (NA:PSH) is an investment holding company structured as a closed-ended fund.</w:t>
      </w:r>
    </w:p>
    <w:p w14:paraId="5B77DFDD" w14:textId="77777777" w:rsidR="00B35C55" w:rsidRPr="00907AAD" w:rsidRDefault="00B35C55" w:rsidP="00B35C55">
      <w:pPr>
        <w:rPr>
          <w:rFonts w:asciiTheme="minorHAnsi" w:hAnsiTheme="minorHAnsi" w:cstheme="minorHAnsi"/>
        </w:rPr>
      </w:pPr>
    </w:p>
    <w:p w14:paraId="78AA4C43" w14:textId="44FB248A" w:rsidR="007A0E87" w:rsidRPr="00907AAD" w:rsidRDefault="00B35C55" w:rsidP="00B35C55">
      <w:pPr>
        <w:rPr>
          <w:rFonts w:asciiTheme="minorHAnsi" w:hAnsiTheme="minorHAnsi" w:cstheme="minorHAnsi"/>
        </w:rPr>
      </w:pPr>
      <w:r w:rsidRPr="00907AAD">
        <w:rPr>
          <w:rFonts w:asciiTheme="minorHAnsi" w:hAnsiTheme="minorHAnsi" w:cstheme="minorHAnsi"/>
        </w:rPr>
        <w:t>Category: (PSH:CorporateActions)</w:t>
      </w:r>
    </w:p>
    <w:p w14:paraId="686A9903" w14:textId="77777777" w:rsidR="00B35C55" w:rsidRPr="00907AAD" w:rsidRDefault="00B35C55" w:rsidP="00B35C55">
      <w:pPr>
        <w:rPr>
          <w:rFonts w:asciiTheme="minorHAnsi" w:hAnsiTheme="minorHAnsi" w:cstheme="minorHAnsi"/>
        </w:rPr>
      </w:pPr>
    </w:p>
    <w:p w14:paraId="383C97C8" w14:textId="77777777" w:rsidR="007A0E87" w:rsidRPr="00907AAD" w:rsidRDefault="007A0E87" w:rsidP="007A0E87">
      <w:pPr>
        <w:rPr>
          <w:rFonts w:asciiTheme="minorHAnsi" w:hAnsiTheme="minorHAnsi" w:cstheme="minorHAnsi"/>
          <w:b/>
          <w:bCs/>
        </w:rPr>
      </w:pPr>
      <w:r w:rsidRPr="00907AAD">
        <w:rPr>
          <w:rFonts w:asciiTheme="minorHAnsi" w:hAnsiTheme="minorHAnsi" w:cstheme="minorHAnsi"/>
          <w:b/>
          <w:bCs/>
        </w:rPr>
        <w:t>Media Contact</w:t>
      </w:r>
    </w:p>
    <w:p w14:paraId="0797ADCC" w14:textId="77777777" w:rsidR="007A0E87" w:rsidRPr="00907AAD" w:rsidRDefault="007A0E87" w:rsidP="007A0E87">
      <w:pPr>
        <w:rPr>
          <w:rFonts w:asciiTheme="minorHAnsi" w:hAnsiTheme="minorHAnsi" w:cstheme="minorHAnsi"/>
          <w:b/>
          <w:bCs/>
        </w:rPr>
      </w:pPr>
      <w:r w:rsidRPr="00907AAD">
        <w:rPr>
          <w:rFonts w:asciiTheme="minorHAnsi" w:hAnsiTheme="minorHAnsi" w:cstheme="minorHAnsi"/>
          <w:b/>
          <w:bCs/>
        </w:rPr>
        <w:t>Camarco</w:t>
      </w:r>
    </w:p>
    <w:p w14:paraId="6CDD3026" w14:textId="6BFEE636" w:rsidR="004C0B5B" w:rsidRPr="00907AAD" w:rsidRDefault="00B35C55">
      <w:pPr>
        <w:rPr>
          <w:rFonts w:asciiTheme="minorHAnsi" w:hAnsiTheme="minorHAnsi" w:cstheme="minorHAnsi"/>
        </w:rPr>
      </w:pPr>
      <w:r w:rsidRPr="00907AAD">
        <w:rPr>
          <w:rFonts w:asciiTheme="minorHAnsi" w:hAnsiTheme="minorHAnsi" w:cstheme="minorHAnsi"/>
        </w:rPr>
        <w:t xml:space="preserve">Ed Gascoigne-Pees / Julia Tilley +44 (0)20 3781 8339, </w:t>
      </w:r>
      <w:hyperlink r:id="rId12" w:history="1">
        <w:r w:rsidRPr="00907AAD">
          <w:rPr>
            <w:rStyle w:val="Hyperlink"/>
            <w:rFonts w:asciiTheme="minorHAnsi" w:hAnsiTheme="minorHAnsi" w:cstheme="minorHAnsi"/>
          </w:rPr>
          <w:t>media-pershingsquareholdings@camarco.co.uk</w:t>
        </w:r>
      </w:hyperlink>
      <w:r w:rsidRPr="00907AAD">
        <w:rPr>
          <w:rFonts w:asciiTheme="minorHAnsi" w:hAnsiTheme="minorHAnsi" w:cstheme="minorHAnsi"/>
        </w:rPr>
        <w:t xml:space="preserve"> </w:t>
      </w:r>
      <w:bookmarkEnd w:id="0"/>
    </w:p>
    <w:sectPr w:rsidR="004C0B5B" w:rsidRPr="00907AA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3AD96" w14:textId="77777777" w:rsidR="0050457C" w:rsidRDefault="0050457C" w:rsidP="00BA130A">
      <w:r>
        <w:separator/>
      </w:r>
    </w:p>
  </w:endnote>
  <w:endnote w:type="continuationSeparator" w:id="0">
    <w:p w14:paraId="544B1530" w14:textId="77777777" w:rsidR="0050457C" w:rsidRDefault="0050457C" w:rsidP="00BA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345F" w14:textId="77777777" w:rsidR="00E66E51" w:rsidRDefault="00E66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D29B" w14:textId="342C14F6" w:rsidR="00E66E51" w:rsidRPr="003F58DA" w:rsidRDefault="003F58DA" w:rsidP="003F58DA">
    <w:pPr>
      <w:pStyle w:val="Footer"/>
      <w:jc w:val="right"/>
      <w:rPr>
        <w:rFonts w:ascii="Times New Roman" w:hAnsi="Times New Roman" w:cs="Times New Roman"/>
        <w:sz w:val="16"/>
      </w:rPr>
    </w:pPr>
    <w:r>
      <w:rPr>
        <w:rFonts w:ascii="Times New Roman" w:hAnsi="Times New Roman" w:cs="Times New Roman"/>
        <w:sz w:val="16"/>
      </w:rPr>
      <w:fldChar w:fldCharType="begin"/>
    </w:r>
    <w:r>
      <w:rPr>
        <w:rFonts w:ascii="Times New Roman" w:hAnsi="Times New Roman" w:cs="Times New Roman"/>
        <w:sz w:val="16"/>
      </w:rPr>
      <w:instrText xml:space="preserve"> DOCPROPERTY "YCFooter" </w:instrText>
    </w:r>
    <w:r>
      <w:rPr>
        <w:rFonts w:ascii="Times New Roman" w:hAnsi="Times New Roman" w:cs="Times New Roman"/>
        <w:sz w:val="16"/>
      </w:rPr>
      <w:fldChar w:fldCharType="separate"/>
    </w:r>
    <w:r>
      <w:rPr>
        <w:rFonts w:ascii="Times New Roman" w:hAnsi="Times New Roman" w:cs="Times New Roman"/>
        <w:sz w:val="16"/>
      </w:rPr>
      <w:t>430842.1</w:t>
    </w:r>
    <w:r>
      <w:rPr>
        <w:rFonts w:ascii="Times New Roman" w:hAnsi="Times New Roman" w:cs="Times New Roman"/>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F885" w14:textId="77777777" w:rsidR="00E66E51" w:rsidRDefault="00E66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7FE1" w14:textId="77777777" w:rsidR="0050457C" w:rsidRDefault="0050457C" w:rsidP="00BA130A">
      <w:r>
        <w:separator/>
      </w:r>
    </w:p>
  </w:footnote>
  <w:footnote w:type="continuationSeparator" w:id="0">
    <w:p w14:paraId="1C195C33" w14:textId="77777777" w:rsidR="0050457C" w:rsidRDefault="0050457C" w:rsidP="00BA130A">
      <w:r>
        <w:continuationSeparator/>
      </w:r>
    </w:p>
  </w:footnote>
  <w:footnote w:id="1">
    <w:p w14:paraId="61DDFBA0" w14:textId="77777777" w:rsidR="00CA3538" w:rsidRPr="00C73A20" w:rsidRDefault="00CA3538" w:rsidP="00CA3538">
      <w:pPr>
        <w:pStyle w:val="FootnoteText"/>
        <w:rPr>
          <w:sz w:val="16"/>
          <w:szCs w:val="16"/>
        </w:rPr>
      </w:pPr>
      <w:r w:rsidRPr="00C73A20">
        <w:rPr>
          <w:rStyle w:val="FootnoteReference"/>
          <w:sz w:val="16"/>
          <w:szCs w:val="16"/>
        </w:rPr>
        <w:footnoteRef/>
      </w:r>
      <w:r w:rsidRPr="00C73A20">
        <w:rPr>
          <w:sz w:val="16"/>
          <w:szCs w:val="16"/>
        </w:rPr>
        <w:t xml:space="preserve"> The dates in the table may change at the Board’s discretion and each dividend will be subject to certain conditions being satisfied.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6922" w14:textId="77777777" w:rsidR="00E66E51" w:rsidRDefault="00E66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199F" w14:textId="77777777" w:rsidR="00E66E51" w:rsidRDefault="00E66E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42C5" w14:textId="77777777" w:rsidR="00E66E51" w:rsidRDefault="00E66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83EC8"/>
    <w:multiLevelType w:val="hybridMultilevel"/>
    <w:tmpl w:val="9AE8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87"/>
    <w:rsid w:val="00007964"/>
    <w:rsid w:val="0005142A"/>
    <w:rsid w:val="00071581"/>
    <w:rsid w:val="00084467"/>
    <w:rsid w:val="000910C9"/>
    <w:rsid w:val="0009621C"/>
    <w:rsid w:val="000D5563"/>
    <w:rsid w:val="000D76A5"/>
    <w:rsid w:val="00110EA7"/>
    <w:rsid w:val="00166094"/>
    <w:rsid w:val="00167818"/>
    <w:rsid w:val="00193033"/>
    <w:rsid w:val="001A1155"/>
    <w:rsid w:val="001B6095"/>
    <w:rsid w:val="001F0A55"/>
    <w:rsid w:val="002009EC"/>
    <w:rsid w:val="00217600"/>
    <w:rsid w:val="00231EDF"/>
    <w:rsid w:val="002432DE"/>
    <w:rsid w:val="00250AC9"/>
    <w:rsid w:val="002656B9"/>
    <w:rsid w:val="0028130F"/>
    <w:rsid w:val="002939B6"/>
    <w:rsid w:val="002B7E68"/>
    <w:rsid w:val="002E2978"/>
    <w:rsid w:val="003046E2"/>
    <w:rsid w:val="003171AB"/>
    <w:rsid w:val="00324E6D"/>
    <w:rsid w:val="00374970"/>
    <w:rsid w:val="0039454D"/>
    <w:rsid w:val="003A0787"/>
    <w:rsid w:val="003F58DA"/>
    <w:rsid w:val="00403FF6"/>
    <w:rsid w:val="00413BA5"/>
    <w:rsid w:val="004269EE"/>
    <w:rsid w:val="00442055"/>
    <w:rsid w:val="004431E6"/>
    <w:rsid w:val="00474929"/>
    <w:rsid w:val="00474B57"/>
    <w:rsid w:val="004A4A03"/>
    <w:rsid w:val="004C0B5B"/>
    <w:rsid w:val="004E51A8"/>
    <w:rsid w:val="004F0D7D"/>
    <w:rsid w:val="0050457C"/>
    <w:rsid w:val="005066BC"/>
    <w:rsid w:val="00564A30"/>
    <w:rsid w:val="00565C5D"/>
    <w:rsid w:val="005A0CCE"/>
    <w:rsid w:val="005B09E3"/>
    <w:rsid w:val="005B76A9"/>
    <w:rsid w:val="005C5016"/>
    <w:rsid w:val="006104B2"/>
    <w:rsid w:val="00650197"/>
    <w:rsid w:val="0065241C"/>
    <w:rsid w:val="006A1C31"/>
    <w:rsid w:val="006A3741"/>
    <w:rsid w:val="006D0622"/>
    <w:rsid w:val="006F2F73"/>
    <w:rsid w:val="006F55D6"/>
    <w:rsid w:val="0071471B"/>
    <w:rsid w:val="00726180"/>
    <w:rsid w:val="00730A87"/>
    <w:rsid w:val="007432EB"/>
    <w:rsid w:val="00750AF3"/>
    <w:rsid w:val="00762AEB"/>
    <w:rsid w:val="00767EE6"/>
    <w:rsid w:val="00786A4D"/>
    <w:rsid w:val="007A0E87"/>
    <w:rsid w:val="007A1ADC"/>
    <w:rsid w:val="007B1DF2"/>
    <w:rsid w:val="007D4D8A"/>
    <w:rsid w:val="0080586C"/>
    <w:rsid w:val="0081220C"/>
    <w:rsid w:val="00860814"/>
    <w:rsid w:val="008613AB"/>
    <w:rsid w:val="0086622B"/>
    <w:rsid w:val="008B449B"/>
    <w:rsid w:val="008D18BF"/>
    <w:rsid w:val="008E2D25"/>
    <w:rsid w:val="00907AAD"/>
    <w:rsid w:val="00914971"/>
    <w:rsid w:val="0091629F"/>
    <w:rsid w:val="00920E50"/>
    <w:rsid w:val="00933263"/>
    <w:rsid w:val="00945A73"/>
    <w:rsid w:val="00957CC2"/>
    <w:rsid w:val="00977A8F"/>
    <w:rsid w:val="00992F41"/>
    <w:rsid w:val="009C5BC2"/>
    <w:rsid w:val="009D5EBE"/>
    <w:rsid w:val="009E333F"/>
    <w:rsid w:val="009F1CDD"/>
    <w:rsid w:val="009F1E17"/>
    <w:rsid w:val="009F4D20"/>
    <w:rsid w:val="00A22E8C"/>
    <w:rsid w:val="00A31260"/>
    <w:rsid w:val="00A33E53"/>
    <w:rsid w:val="00A4067A"/>
    <w:rsid w:val="00A74D28"/>
    <w:rsid w:val="00AD3F82"/>
    <w:rsid w:val="00AE35BB"/>
    <w:rsid w:val="00AF7A1A"/>
    <w:rsid w:val="00B35C55"/>
    <w:rsid w:val="00B54D55"/>
    <w:rsid w:val="00B75950"/>
    <w:rsid w:val="00BA130A"/>
    <w:rsid w:val="00BB2BD7"/>
    <w:rsid w:val="00BB339A"/>
    <w:rsid w:val="00BF33F4"/>
    <w:rsid w:val="00C02FF6"/>
    <w:rsid w:val="00C44CAF"/>
    <w:rsid w:val="00C57A88"/>
    <w:rsid w:val="00C60CEF"/>
    <w:rsid w:val="00C73A20"/>
    <w:rsid w:val="00C85552"/>
    <w:rsid w:val="00CA3538"/>
    <w:rsid w:val="00CC2B66"/>
    <w:rsid w:val="00CD2AB6"/>
    <w:rsid w:val="00D116C6"/>
    <w:rsid w:val="00D17FDB"/>
    <w:rsid w:val="00D23C22"/>
    <w:rsid w:val="00D32186"/>
    <w:rsid w:val="00DE30A9"/>
    <w:rsid w:val="00DF4C49"/>
    <w:rsid w:val="00E067C3"/>
    <w:rsid w:val="00E440D0"/>
    <w:rsid w:val="00E4617F"/>
    <w:rsid w:val="00E66E51"/>
    <w:rsid w:val="00EA6E7F"/>
    <w:rsid w:val="00EC1BC3"/>
    <w:rsid w:val="00EC2567"/>
    <w:rsid w:val="00ED2B3F"/>
    <w:rsid w:val="00EF6191"/>
    <w:rsid w:val="00EF6ED6"/>
    <w:rsid w:val="00F02C0C"/>
    <w:rsid w:val="00F0495A"/>
    <w:rsid w:val="00F6738C"/>
    <w:rsid w:val="00FF35E6"/>
    <w:rsid w:val="00FF5C51"/>
    <w:rsid w:val="00FF7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6B36C"/>
  <w15:chartTrackingRefBased/>
  <w15:docId w15:val="{D46690E1-6332-4187-85C5-F5B2969D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E87"/>
    <w:pPr>
      <w:spacing w:after="0" w:line="240" w:lineRule="auto"/>
    </w:pPr>
    <w:rPr>
      <w:rFonts w:ascii="Calibri" w:eastAsia="MS PGothic" w:hAnsi="Calibri" w:cs="MS PGothic"/>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0E87"/>
    <w:rPr>
      <w:color w:val="0000FF"/>
      <w:u w:val="single"/>
    </w:rPr>
  </w:style>
  <w:style w:type="character" w:styleId="UnresolvedMention">
    <w:name w:val="Unresolved Mention"/>
    <w:basedOn w:val="DefaultParagraphFont"/>
    <w:uiPriority w:val="99"/>
    <w:semiHidden/>
    <w:unhideWhenUsed/>
    <w:rsid w:val="00A22E8C"/>
    <w:rPr>
      <w:color w:val="605E5C"/>
      <w:shd w:val="clear" w:color="auto" w:fill="E1DFDD"/>
    </w:rPr>
  </w:style>
  <w:style w:type="character" w:styleId="FollowedHyperlink">
    <w:name w:val="FollowedHyperlink"/>
    <w:basedOn w:val="DefaultParagraphFont"/>
    <w:uiPriority w:val="99"/>
    <w:semiHidden/>
    <w:unhideWhenUsed/>
    <w:rsid w:val="00EF6191"/>
    <w:rPr>
      <w:color w:val="800080" w:themeColor="followedHyperlink"/>
      <w:u w:val="single"/>
    </w:rPr>
  </w:style>
  <w:style w:type="paragraph" w:styleId="FootnoteText">
    <w:name w:val="footnote text"/>
    <w:basedOn w:val="Normal"/>
    <w:link w:val="FootnoteTextChar"/>
    <w:uiPriority w:val="99"/>
    <w:semiHidden/>
    <w:unhideWhenUsed/>
    <w:rsid w:val="00EF6ED6"/>
    <w:rPr>
      <w:sz w:val="20"/>
      <w:szCs w:val="20"/>
    </w:rPr>
  </w:style>
  <w:style w:type="character" w:customStyle="1" w:styleId="FootnoteTextChar">
    <w:name w:val="Footnote Text Char"/>
    <w:basedOn w:val="DefaultParagraphFont"/>
    <w:link w:val="FootnoteText"/>
    <w:uiPriority w:val="99"/>
    <w:semiHidden/>
    <w:rsid w:val="00EF6ED6"/>
    <w:rPr>
      <w:rFonts w:ascii="Calibri" w:eastAsia="MS PGothic" w:hAnsi="Calibri" w:cs="MS PGothic"/>
      <w:sz w:val="20"/>
      <w:szCs w:val="20"/>
      <w:lang w:eastAsia="ja-JP"/>
    </w:rPr>
  </w:style>
  <w:style w:type="character" w:styleId="FootnoteReference">
    <w:name w:val="footnote reference"/>
    <w:basedOn w:val="DefaultParagraphFont"/>
    <w:uiPriority w:val="99"/>
    <w:semiHidden/>
    <w:unhideWhenUsed/>
    <w:rsid w:val="00EF6ED6"/>
    <w:rPr>
      <w:vertAlign w:val="superscript"/>
    </w:rPr>
  </w:style>
  <w:style w:type="paragraph" w:styleId="ListParagraph">
    <w:name w:val="List Paragraph"/>
    <w:basedOn w:val="Normal"/>
    <w:uiPriority w:val="34"/>
    <w:qFormat/>
    <w:rsid w:val="009F1E17"/>
    <w:pPr>
      <w:ind w:left="720"/>
      <w:contextualSpacing/>
    </w:pPr>
  </w:style>
  <w:style w:type="paragraph" w:styleId="Header">
    <w:name w:val="header"/>
    <w:basedOn w:val="Normal"/>
    <w:link w:val="HeaderChar"/>
    <w:uiPriority w:val="99"/>
    <w:unhideWhenUsed/>
    <w:rsid w:val="00E66E51"/>
    <w:pPr>
      <w:tabs>
        <w:tab w:val="center" w:pos="4680"/>
        <w:tab w:val="right" w:pos="9360"/>
      </w:tabs>
    </w:pPr>
  </w:style>
  <w:style w:type="character" w:customStyle="1" w:styleId="HeaderChar">
    <w:name w:val="Header Char"/>
    <w:basedOn w:val="DefaultParagraphFont"/>
    <w:link w:val="Header"/>
    <w:uiPriority w:val="99"/>
    <w:rsid w:val="00E66E51"/>
    <w:rPr>
      <w:rFonts w:ascii="Calibri" w:eastAsia="MS PGothic" w:hAnsi="Calibri" w:cs="MS PGothic"/>
      <w:lang w:eastAsia="ja-JP"/>
    </w:rPr>
  </w:style>
  <w:style w:type="paragraph" w:styleId="Footer">
    <w:name w:val="footer"/>
    <w:basedOn w:val="Normal"/>
    <w:link w:val="FooterChar"/>
    <w:uiPriority w:val="99"/>
    <w:unhideWhenUsed/>
    <w:rsid w:val="00E66E51"/>
    <w:pPr>
      <w:tabs>
        <w:tab w:val="center" w:pos="4680"/>
        <w:tab w:val="right" w:pos="9360"/>
      </w:tabs>
    </w:pPr>
  </w:style>
  <w:style w:type="character" w:customStyle="1" w:styleId="FooterChar">
    <w:name w:val="Footer Char"/>
    <w:basedOn w:val="DefaultParagraphFont"/>
    <w:link w:val="Footer"/>
    <w:uiPriority w:val="99"/>
    <w:rsid w:val="00E66E51"/>
    <w:rPr>
      <w:rFonts w:ascii="Calibri" w:eastAsia="MS PGothic" w:hAnsi="Calibri" w:cs="MS PGothic"/>
      <w:lang w:eastAsia="ja-JP"/>
    </w:rPr>
  </w:style>
  <w:style w:type="paragraph" w:styleId="Revision">
    <w:name w:val="Revision"/>
    <w:hidden/>
    <w:uiPriority w:val="99"/>
    <w:semiHidden/>
    <w:rsid w:val="0028130F"/>
    <w:pPr>
      <w:spacing w:after="0" w:line="240" w:lineRule="auto"/>
    </w:pPr>
    <w:rPr>
      <w:rFonts w:ascii="Calibri" w:eastAsia="MS PGothic" w:hAnsi="Calibri" w:cs="MS P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3924">
      <w:bodyDiv w:val="1"/>
      <w:marLeft w:val="0"/>
      <w:marRight w:val="0"/>
      <w:marTop w:val="0"/>
      <w:marBottom w:val="0"/>
      <w:divBdr>
        <w:top w:val="none" w:sz="0" w:space="0" w:color="auto"/>
        <w:left w:val="none" w:sz="0" w:space="0" w:color="auto"/>
        <w:bottom w:val="none" w:sz="0" w:space="0" w:color="auto"/>
        <w:right w:val="none" w:sz="0" w:space="0" w:color="auto"/>
      </w:divBdr>
    </w:div>
    <w:div w:id="387531512">
      <w:bodyDiv w:val="1"/>
      <w:marLeft w:val="0"/>
      <w:marRight w:val="0"/>
      <w:marTop w:val="0"/>
      <w:marBottom w:val="0"/>
      <w:divBdr>
        <w:top w:val="none" w:sz="0" w:space="0" w:color="auto"/>
        <w:left w:val="none" w:sz="0" w:space="0" w:color="auto"/>
        <w:bottom w:val="none" w:sz="0" w:space="0" w:color="auto"/>
        <w:right w:val="none" w:sz="0" w:space="0" w:color="auto"/>
      </w:divBdr>
    </w:div>
    <w:div w:id="394427852">
      <w:bodyDiv w:val="1"/>
      <w:marLeft w:val="0"/>
      <w:marRight w:val="0"/>
      <w:marTop w:val="0"/>
      <w:marBottom w:val="0"/>
      <w:divBdr>
        <w:top w:val="none" w:sz="0" w:space="0" w:color="auto"/>
        <w:left w:val="none" w:sz="0" w:space="0" w:color="auto"/>
        <w:bottom w:val="none" w:sz="0" w:space="0" w:color="auto"/>
        <w:right w:val="none" w:sz="0" w:space="0" w:color="auto"/>
      </w:divBdr>
    </w:div>
    <w:div w:id="1109855880">
      <w:bodyDiv w:val="1"/>
      <w:marLeft w:val="0"/>
      <w:marRight w:val="0"/>
      <w:marTop w:val="0"/>
      <w:marBottom w:val="0"/>
      <w:divBdr>
        <w:top w:val="none" w:sz="0" w:space="0" w:color="auto"/>
        <w:left w:val="none" w:sz="0" w:space="0" w:color="auto"/>
        <w:bottom w:val="none" w:sz="0" w:space="0" w:color="auto"/>
        <w:right w:val="none" w:sz="0" w:space="0" w:color="auto"/>
      </w:divBdr>
    </w:div>
    <w:div w:id="141265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pershingsquareholdings@camarco.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rshingsquareholdings.com/psh-dividend-informati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ershingsquareholdings.com/psh-dividend-inform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105109018CD04DA7602E90B4E4B097" ma:contentTypeVersion="13" ma:contentTypeDescription="Create a new document." ma:contentTypeScope="" ma:versionID="e311ecfe04a3a55368b9f7fa54fbb068">
  <xsd:schema xmlns:xsd="http://www.w3.org/2001/XMLSchema" xmlns:xs="http://www.w3.org/2001/XMLSchema" xmlns:p="http://schemas.microsoft.com/office/2006/metadata/properties" xmlns:ns3="c611b22e-7bc0-4b93-8273-3b1d37fb13f1" xmlns:ns4="bea404b7-54d9-4f8a-9fdd-8a4f359ba579" targetNamespace="http://schemas.microsoft.com/office/2006/metadata/properties" ma:root="true" ma:fieldsID="677411850c9b97e9542056b963ff84f4" ns3:_="" ns4:_="">
    <xsd:import namespace="c611b22e-7bc0-4b93-8273-3b1d37fb13f1"/>
    <xsd:import namespace="bea404b7-54d9-4f8a-9fdd-8a4f359ba5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1b22e-7bc0-4b93-8273-3b1d37fb1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a404b7-54d9-4f8a-9fdd-8a4f359ba5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8514C-C092-4130-B3E7-F3A8D5141C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72C95F-BC7E-4EE5-B815-A7C362B607AF}">
  <ds:schemaRefs>
    <ds:schemaRef ds:uri="http://schemas.microsoft.com/sharepoint/v3/contenttype/forms"/>
  </ds:schemaRefs>
</ds:datastoreItem>
</file>

<file path=customXml/itemProps3.xml><?xml version="1.0" encoding="utf-8"?>
<ds:datastoreItem xmlns:ds="http://schemas.openxmlformats.org/officeDocument/2006/customXml" ds:itemID="{1DD7D903-8572-448F-B1F6-CC6A002B0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1b22e-7bc0-4b93-8273-3b1d37fb13f1"/>
    <ds:schemaRef ds:uri="bea404b7-54d9-4f8a-9fdd-8a4f359ba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McGill</dc:creator>
  <cp:keywords/>
  <dc:description/>
  <cp:lastModifiedBy>Francis McGill</cp:lastModifiedBy>
  <cp:revision>4</cp:revision>
  <cp:lastPrinted>2020-11-01T16:30:00Z</cp:lastPrinted>
  <dcterms:created xsi:type="dcterms:W3CDTF">2022-01-24T17:53:00Z</dcterms:created>
  <dcterms:modified xsi:type="dcterms:W3CDTF">2022-02-01T22:11:00Z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mcgill@persq.com</vt:lpwstr>
  </property>
  <property fmtid="{D5CDD505-2E9C-101B-9397-08002B2CF9AE}" pid="5" name="MSIP_Label_07de791d-9b37-4fe4-af59-d63f7e92dd2b_SetDate">
    <vt:lpwstr>2019-07-09T17:50:45.6792668Z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ActionId">
    <vt:lpwstr>4d98b0e3-7483-489b-ad37-5692f794d0da</vt:lpwstr>
  </property>
  <property fmtid="{D5CDD505-2E9C-101B-9397-08002B2CF9AE}" pid="9" name="MSIP_Label_07de791d-9b37-4fe4-af59-d63f7e92dd2b_Extended_MSFT_Method">
    <vt:lpwstr>Automatic</vt:lpwstr>
  </property>
  <property fmtid="{D5CDD505-2E9C-101B-9397-08002B2CF9AE}" pid="10" name="MSIP_Label_ffc1e10f-3812-4a54-8543-7247091f4452_Enabled">
    <vt:lpwstr>True</vt:lpwstr>
  </property>
  <property fmtid="{D5CDD505-2E9C-101B-9397-08002B2CF9AE}" pid="11" name="MSIP_Label_ffc1e10f-3812-4a54-8543-7247091f4452_SiteId">
    <vt:lpwstr>103e854c-d5c8-41b6-b343-6f6e0ff67a69</vt:lpwstr>
  </property>
  <property fmtid="{D5CDD505-2E9C-101B-9397-08002B2CF9AE}" pid="12" name="MSIP_Label_ffc1e10f-3812-4a54-8543-7247091f4452_Owner">
    <vt:lpwstr>mcgill@persq.com</vt:lpwstr>
  </property>
  <property fmtid="{D5CDD505-2E9C-101B-9397-08002B2CF9AE}" pid="13" name="MSIP_Label_ffc1e10f-3812-4a54-8543-7247091f4452_SetDate">
    <vt:lpwstr>2019-07-09T17:50:45.6792668Z</vt:lpwstr>
  </property>
  <property fmtid="{D5CDD505-2E9C-101B-9397-08002B2CF9AE}" pid="14" name="MSIP_Label_ffc1e10f-3812-4a54-8543-7247091f4452_Name">
    <vt:lpwstr>PSCM TABLE Public</vt:lpwstr>
  </property>
  <property fmtid="{D5CDD505-2E9C-101B-9397-08002B2CF9AE}" pid="15" name="MSIP_Label_ffc1e10f-3812-4a54-8543-7247091f4452_Application">
    <vt:lpwstr>Microsoft Azure Information Protection</vt:lpwstr>
  </property>
  <property fmtid="{D5CDD505-2E9C-101B-9397-08002B2CF9AE}" pid="16" name="MSIP_Label_ffc1e10f-3812-4a54-8543-7247091f4452_ActionId">
    <vt:lpwstr>4d98b0e3-7483-489b-ad37-5692f794d0da</vt:lpwstr>
  </property>
  <property fmtid="{D5CDD505-2E9C-101B-9397-08002B2CF9AE}" pid="17" name="MSIP_Label_ffc1e10f-3812-4a54-8543-7247091f4452_Parent">
    <vt:lpwstr>07de791d-9b37-4fe4-af59-d63f7e92dd2b</vt:lpwstr>
  </property>
  <property fmtid="{D5CDD505-2E9C-101B-9397-08002B2CF9AE}" pid="18" name="MSIP_Label_ffc1e10f-3812-4a54-8543-7247091f4452_Extended_MSFT_Method">
    <vt:lpwstr>Automatic</vt:lpwstr>
  </property>
  <property fmtid="{D5CDD505-2E9C-101B-9397-08002B2CF9AE}" pid="19" name="Sensitivity">
    <vt:lpwstr>PERSQ PSCM TABLE Public</vt:lpwstr>
  </property>
  <property fmtid="{D5CDD505-2E9C-101B-9397-08002B2CF9AE}" pid="20" name="ContentTypeId">
    <vt:lpwstr>0x01010013105109018CD04DA7602E90B4E4B097</vt:lpwstr>
  </property>
  <property fmtid="{D5CDD505-2E9C-101B-9397-08002B2CF9AE}" pid="21" name="YCFooter">
    <vt:lpwstr>430842.1</vt:lpwstr>
  </property>
</Properties>
</file>