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4B09F" w14:textId="77777777" w:rsidR="00F758D3" w:rsidRDefault="00362C1E" w:rsidP="00F758D3">
      <w:pPr>
        <w:pStyle w:val="Heading2"/>
        <w:spacing w:before="0" w:beforeAutospacing="0" w:after="0" w:afterAutospacing="0"/>
        <w:jc w:val="center"/>
        <w:rPr>
          <w:rFonts w:eastAsia="Times New Roman"/>
          <w:sz w:val="22"/>
          <w:szCs w:val="22"/>
        </w:rPr>
      </w:pPr>
      <w:r w:rsidRPr="00F758D3">
        <w:rPr>
          <w:rFonts w:eastAsia="Times New Roman"/>
          <w:sz w:val="22"/>
          <w:szCs w:val="22"/>
        </w:rPr>
        <w:t xml:space="preserve">Pershing Square Holdings, Ltd. Releases Net Asset Value and </w:t>
      </w:r>
    </w:p>
    <w:p w14:paraId="4EDAE1F5" w14:textId="01F0FA73" w:rsidR="00362C1E" w:rsidRPr="00F758D3" w:rsidRDefault="00362C1E" w:rsidP="00F758D3">
      <w:pPr>
        <w:pStyle w:val="Heading2"/>
        <w:spacing w:before="0" w:beforeAutospacing="0" w:after="0" w:afterAutospacing="0"/>
        <w:jc w:val="center"/>
        <w:rPr>
          <w:rFonts w:eastAsia="Times New Roman"/>
          <w:sz w:val="22"/>
          <w:szCs w:val="22"/>
        </w:rPr>
      </w:pPr>
      <w:r w:rsidRPr="00F758D3">
        <w:rPr>
          <w:rFonts w:eastAsia="Times New Roman"/>
          <w:sz w:val="22"/>
          <w:szCs w:val="22"/>
        </w:rPr>
        <w:t xml:space="preserve">Year-To-Date Return </w:t>
      </w:r>
      <w:proofErr w:type="gramStart"/>
      <w:r w:rsidRPr="00F758D3">
        <w:rPr>
          <w:rFonts w:eastAsia="Times New Roman"/>
          <w:sz w:val="22"/>
          <w:szCs w:val="22"/>
        </w:rPr>
        <w:t>As</w:t>
      </w:r>
      <w:proofErr w:type="gramEnd"/>
      <w:r w:rsidRPr="00F758D3">
        <w:rPr>
          <w:rFonts w:eastAsia="Times New Roman"/>
          <w:sz w:val="22"/>
          <w:szCs w:val="22"/>
        </w:rPr>
        <w:t xml:space="preserve"> Of 29 March 2022</w:t>
      </w:r>
    </w:p>
    <w:p w14:paraId="0501626C" w14:textId="6BF8526B" w:rsidR="00AA4B0A" w:rsidRPr="00362C1E" w:rsidRDefault="00AA4B0A" w:rsidP="00362C1E">
      <w:pPr>
        <w:spacing w:after="0" w:line="240" w:lineRule="auto"/>
        <w:rPr>
          <w:rFonts w:ascii="Calibri" w:hAnsi="Calibri" w:cs="Calibri"/>
        </w:rPr>
      </w:pPr>
    </w:p>
    <w:p w14:paraId="0B943222" w14:textId="3A6C892F" w:rsidR="00362C1E" w:rsidRPr="00F758D3" w:rsidRDefault="00362C1E" w:rsidP="00F758D3">
      <w:pPr>
        <w:spacing w:after="0" w:line="240" w:lineRule="auto"/>
        <w:rPr>
          <w:rFonts w:ascii="Calibri" w:hAnsi="Calibri" w:cs="Calibri"/>
        </w:rPr>
      </w:pPr>
      <w:r w:rsidRPr="00362C1E">
        <w:rPr>
          <w:rFonts w:ascii="Calibri" w:hAnsi="Calibri" w:cs="Calibri"/>
        </w:rPr>
        <w:t>London, 29 March 2022 //-</w:t>
      </w:r>
      <w:r w:rsidR="00F758D3">
        <w:rPr>
          <w:rFonts w:ascii="Calibri" w:hAnsi="Calibri" w:cs="Calibri"/>
        </w:rPr>
        <w:t xml:space="preserve"> </w:t>
      </w:r>
      <w:r w:rsidRPr="00362C1E">
        <w:rPr>
          <w:rFonts w:ascii="Calibri" w:hAnsi="Calibri" w:cs="Calibri"/>
          <w:color w:val="000000"/>
        </w:rPr>
        <w:t>Pershing Square Holdings, Ltd. (LN:PSH) (LN:PSHD) (NA:PSH) today released its Net Asset Value (“NAV”) and performance returns on its</w:t>
      </w:r>
      <w:r w:rsidR="00F758D3">
        <w:rPr>
          <w:rFonts w:ascii="Calibri" w:hAnsi="Calibri" w:cs="Calibri"/>
          <w:color w:val="000000"/>
        </w:rPr>
        <w:t xml:space="preserve"> </w:t>
      </w:r>
      <w:r w:rsidRPr="00362C1E">
        <w:rPr>
          <w:rFonts w:ascii="Calibri" w:hAnsi="Calibri" w:cs="Calibri"/>
          <w:color w:val="000000"/>
        </w:rPr>
        <w:t>website, </w:t>
      </w:r>
      <w:hyperlink r:id="rId6" w:history="1">
        <w:r w:rsidR="00F758D3" w:rsidRPr="00635CAC">
          <w:rPr>
            <w:rStyle w:val="Hyperlink"/>
          </w:rPr>
          <w:t>https://pershingsquareholdings.com/company-reports/weekly-navs/</w:t>
        </w:r>
      </w:hyperlink>
      <w:r w:rsidR="00F758D3">
        <w:rPr>
          <w:color w:val="000000"/>
        </w:rPr>
        <w:t xml:space="preserve">. </w:t>
      </w:r>
      <w:r w:rsidRPr="00362C1E">
        <w:rPr>
          <w:rFonts w:ascii="Calibri" w:hAnsi="Calibri" w:cs="Calibri"/>
          <w:color w:val="000000"/>
        </w:rPr>
        <w:t>The NAV and returns were computed as of the close of business on</w:t>
      </w:r>
      <w:r w:rsidR="00F758D3">
        <w:rPr>
          <w:color w:val="000000"/>
        </w:rPr>
        <w:t xml:space="preserve"> 29 March 2022.</w:t>
      </w:r>
    </w:p>
    <w:p w14:paraId="35A36744" w14:textId="77777777" w:rsidR="00F758D3" w:rsidRPr="00362C1E" w:rsidRDefault="00F758D3" w:rsidP="00362C1E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4F540B68" w14:textId="7CD8E8EF" w:rsidR="00362C1E" w:rsidRDefault="00362C1E" w:rsidP="00362C1E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362C1E">
        <w:rPr>
          <w:color w:val="000000"/>
        </w:rPr>
        <w:t xml:space="preserve">PSH NAV per share as of close of business on </w:t>
      </w:r>
      <w:r w:rsidR="00AC64AC">
        <w:rPr>
          <w:color w:val="000000"/>
        </w:rPr>
        <w:t>29</w:t>
      </w:r>
      <w:r w:rsidR="00F758D3">
        <w:rPr>
          <w:color w:val="000000"/>
        </w:rPr>
        <w:t xml:space="preserve"> March </w:t>
      </w:r>
      <w:r w:rsidR="00F758D3" w:rsidRPr="00F758D3">
        <w:rPr>
          <w:color w:val="000000"/>
        </w:rPr>
        <w:t xml:space="preserve">2022 </w:t>
      </w:r>
      <w:r w:rsidRPr="00F758D3">
        <w:rPr>
          <w:color w:val="000000"/>
        </w:rPr>
        <w:t>was</w:t>
      </w:r>
      <w:r w:rsidR="00F26F02">
        <w:rPr>
          <w:color w:val="000000"/>
        </w:rPr>
        <w:t xml:space="preserve"> </w:t>
      </w:r>
      <w:r w:rsidR="00F26F02">
        <w:rPr>
          <w:b/>
          <w:bCs/>
          <w:color w:val="000000"/>
        </w:rPr>
        <w:t xml:space="preserve">57.49 </w:t>
      </w:r>
      <w:r w:rsidRPr="00F758D3">
        <w:rPr>
          <w:color w:val="000000"/>
        </w:rPr>
        <w:t>USD /</w:t>
      </w:r>
      <w:r w:rsidR="00F26F02">
        <w:rPr>
          <w:b/>
          <w:bCs/>
          <w:color w:val="000000"/>
        </w:rPr>
        <w:t xml:space="preserve">43.89 </w:t>
      </w:r>
      <w:r w:rsidRPr="00F758D3">
        <w:rPr>
          <w:color w:val="000000"/>
        </w:rPr>
        <w:t xml:space="preserve">GBP and year-to-date performance was </w:t>
      </w:r>
      <w:r w:rsidR="00F26F02">
        <w:rPr>
          <w:b/>
          <w:bCs/>
          <w:color w:val="000000"/>
        </w:rPr>
        <w:t>0.5</w:t>
      </w:r>
      <w:r w:rsidRPr="00F758D3">
        <w:rPr>
          <w:color w:val="000000"/>
        </w:rPr>
        <w:t>%.</w:t>
      </w:r>
    </w:p>
    <w:p w14:paraId="756E6853" w14:textId="77777777" w:rsidR="00AC64AC" w:rsidRPr="00362C1E" w:rsidRDefault="00AC64AC" w:rsidP="00362C1E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37A134D7" w14:textId="77777777" w:rsidR="00362C1E" w:rsidRPr="00362C1E" w:rsidRDefault="00362C1E" w:rsidP="00362C1E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362C1E">
        <w:rPr>
          <w:color w:val="000000"/>
        </w:rPr>
        <w:t xml:space="preserve">Performance is presented on a net-of-fees basis and reflects the deduction of, among other expenses: management fees, brokerage commissions, administrative </w:t>
      </w:r>
      <w:proofErr w:type="gramStart"/>
      <w:r w:rsidRPr="00362C1E">
        <w:rPr>
          <w:color w:val="000000"/>
        </w:rPr>
        <w:t>fees</w:t>
      </w:r>
      <w:proofErr w:type="gramEnd"/>
      <w:r w:rsidRPr="00362C1E">
        <w:rPr>
          <w:color w:val="000000"/>
        </w:rPr>
        <w:t xml:space="preserve"> and accrued performance fees, if any. The performance figure includes the reinvestment of all dividends, </w:t>
      </w:r>
      <w:proofErr w:type="gramStart"/>
      <w:r w:rsidRPr="00362C1E">
        <w:rPr>
          <w:color w:val="000000"/>
        </w:rPr>
        <w:t>interest</w:t>
      </w:r>
      <w:proofErr w:type="gramEnd"/>
      <w:r w:rsidRPr="00362C1E">
        <w:rPr>
          <w:color w:val="000000"/>
        </w:rPr>
        <w:t xml:space="preserve"> and capital gains. Depending on the timing of a specific investment, net performance for an individual investor may vary from the net performance as stated herein. Net performance is a geometrically linked time weighted calculation.</w:t>
      </w:r>
    </w:p>
    <w:p w14:paraId="3E74E323" w14:textId="5569B416" w:rsidR="00362C1E" w:rsidRDefault="00362C1E" w:rsidP="00362C1E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362C1E">
        <w:rPr>
          <w:color w:val="000000"/>
        </w:rPr>
        <w:t>Past performance is not necessarily indicative of future results. All investments involve risk including the loss of principal.</w:t>
      </w:r>
    </w:p>
    <w:p w14:paraId="4C3D35D4" w14:textId="77777777" w:rsidR="00662FC7" w:rsidRDefault="00662FC7" w:rsidP="00362C1E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2F8297B1" w14:textId="6C17FDE9" w:rsidR="00662FC7" w:rsidRDefault="00662FC7" w:rsidP="00362C1E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662FC7">
        <w:rPr>
          <w:color w:val="000000"/>
        </w:rPr>
        <w:t>Pershing Square Holdings is releasing this updated performance information in connection with a fixed income investor update hosted by RBC Capital Markets</w:t>
      </w:r>
      <w:r>
        <w:rPr>
          <w:color w:val="000000"/>
        </w:rPr>
        <w:t>.</w:t>
      </w:r>
    </w:p>
    <w:p w14:paraId="532E8F60" w14:textId="77777777" w:rsidR="00362C1E" w:rsidRPr="00362C1E" w:rsidRDefault="00362C1E" w:rsidP="00362C1E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253A970C" w14:textId="471D68A0" w:rsidR="00362C1E" w:rsidRDefault="00362C1E" w:rsidP="00362C1E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362C1E">
        <w:rPr>
          <w:b/>
          <w:bCs/>
          <w:color w:val="000000"/>
        </w:rPr>
        <w:t>About Pershing Square Holdings, Ltd.</w:t>
      </w:r>
      <w:r w:rsidRPr="00362C1E">
        <w:rPr>
          <w:b/>
          <w:bCs/>
          <w:color w:val="000000"/>
        </w:rPr>
        <w:br/>
      </w:r>
      <w:r w:rsidRPr="00362C1E">
        <w:rPr>
          <w:color w:val="000000"/>
        </w:rPr>
        <w:t>Pershing Square Holdings, Ltd. (LN:PSH) (LN:PSHD) (NA:PSH) is an investment holding company structured as a closed-ended fund.</w:t>
      </w:r>
    </w:p>
    <w:p w14:paraId="4E43A541" w14:textId="77777777" w:rsidR="00F758D3" w:rsidRPr="00362C1E" w:rsidRDefault="00F758D3" w:rsidP="00362C1E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53C17F53" w14:textId="77777777" w:rsidR="00362C1E" w:rsidRPr="00362C1E" w:rsidRDefault="00362C1E" w:rsidP="00362C1E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362C1E">
        <w:rPr>
          <w:color w:val="000000"/>
        </w:rPr>
        <w:t>Category: (</w:t>
      </w:r>
      <w:proofErr w:type="spellStart"/>
      <w:r w:rsidRPr="00362C1E">
        <w:rPr>
          <w:color w:val="000000"/>
        </w:rPr>
        <w:t>PSH:WeeklyNAV</w:t>
      </w:r>
      <w:proofErr w:type="spellEnd"/>
      <w:r w:rsidRPr="00362C1E">
        <w:rPr>
          <w:color w:val="000000"/>
        </w:rPr>
        <w:t>)</w:t>
      </w:r>
    </w:p>
    <w:p w14:paraId="413E766F" w14:textId="16689C8E" w:rsidR="00362C1E" w:rsidRPr="00362C1E" w:rsidRDefault="00362C1E" w:rsidP="00362C1E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362C1E">
        <w:rPr>
          <w:noProof/>
          <w:color w:val="000000"/>
        </w:rPr>
        <w:drawing>
          <wp:inline distT="0" distB="0" distL="0" distR="0" wp14:anchorId="27D4036D" wp14:editId="5FA6A083">
            <wp:extent cx="12700" cy="12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79C487" w14:textId="08B67358" w:rsidR="00362C1E" w:rsidRPr="00362C1E" w:rsidRDefault="00362C1E" w:rsidP="00362C1E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362C1E">
        <w:rPr>
          <w:b/>
          <w:bCs/>
          <w:color w:val="000000"/>
        </w:rPr>
        <w:t>Media</w:t>
      </w:r>
      <w:r w:rsidRPr="00362C1E">
        <w:rPr>
          <w:b/>
          <w:bCs/>
          <w:color w:val="000000"/>
        </w:rPr>
        <w:br/>
      </w:r>
      <w:r w:rsidRPr="00362C1E">
        <w:rPr>
          <w:color w:val="000000"/>
        </w:rPr>
        <w:t>Camarco</w:t>
      </w:r>
      <w:r w:rsidRPr="00362C1E">
        <w:rPr>
          <w:color w:val="000000"/>
        </w:rPr>
        <w:br/>
        <w:t>Ed Gascoigne-Pees / Julia Tilley +44 (0)20 3781 8339, </w:t>
      </w:r>
      <w:hyperlink r:id="rId9" w:history="1">
        <w:r w:rsidR="00F758D3" w:rsidRPr="00635CAC">
          <w:rPr>
            <w:rStyle w:val="Hyperlink"/>
          </w:rPr>
          <w:t>media-pershingsquareholdings@camarco.co.uk</w:t>
        </w:r>
      </w:hyperlink>
      <w:r w:rsidR="00F758D3">
        <w:rPr>
          <w:color w:val="000000"/>
        </w:rPr>
        <w:t xml:space="preserve"> </w:t>
      </w:r>
    </w:p>
    <w:p w14:paraId="693E238D" w14:textId="77777777" w:rsidR="00362C1E" w:rsidRPr="00362C1E" w:rsidRDefault="00362C1E" w:rsidP="00362C1E">
      <w:pPr>
        <w:spacing w:after="0" w:line="240" w:lineRule="auto"/>
        <w:rPr>
          <w:rFonts w:ascii="Calibri" w:hAnsi="Calibri" w:cs="Calibri"/>
        </w:rPr>
      </w:pPr>
    </w:p>
    <w:sectPr w:rsidR="00362C1E" w:rsidRPr="00362C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EDCD2" w14:textId="77777777" w:rsidR="006035EE" w:rsidRDefault="006035EE" w:rsidP="00F758D3">
      <w:pPr>
        <w:spacing w:after="0" w:line="240" w:lineRule="auto"/>
      </w:pPr>
      <w:r>
        <w:separator/>
      </w:r>
    </w:p>
  </w:endnote>
  <w:endnote w:type="continuationSeparator" w:id="0">
    <w:p w14:paraId="5415592E" w14:textId="77777777" w:rsidR="006035EE" w:rsidRDefault="006035EE" w:rsidP="00F75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AEEBE" w14:textId="77777777" w:rsidR="006035EE" w:rsidRDefault="006035EE" w:rsidP="00F758D3">
      <w:pPr>
        <w:spacing w:after="0" w:line="240" w:lineRule="auto"/>
      </w:pPr>
      <w:r>
        <w:separator/>
      </w:r>
    </w:p>
  </w:footnote>
  <w:footnote w:type="continuationSeparator" w:id="0">
    <w:p w14:paraId="3873388C" w14:textId="77777777" w:rsidR="006035EE" w:rsidRDefault="006035EE" w:rsidP="00F758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1E"/>
    <w:rsid w:val="00362C1E"/>
    <w:rsid w:val="006035EE"/>
    <w:rsid w:val="00662FC7"/>
    <w:rsid w:val="00927D07"/>
    <w:rsid w:val="00AA4B0A"/>
    <w:rsid w:val="00AC64AC"/>
    <w:rsid w:val="00B73809"/>
    <w:rsid w:val="00F26F02"/>
    <w:rsid w:val="00F7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103B3E2"/>
  <w15:chartTrackingRefBased/>
  <w15:docId w15:val="{F3166D5E-235F-470C-8AB5-D68C4697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362C1E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62C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2C1E"/>
    <w:rPr>
      <w:rFonts w:ascii="Calibri" w:hAnsi="Calibri" w:cs="Calibri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362C1E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362C1E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bw-source-text-wrapper">
    <w:name w:val="bw-source-text-wrapper"/>
    <w:basedOn w:val="DefaultParagraphFont"/>
    <w:rsid w:val="00362C1E"/>
  </w:style>
  <w:style w:type="character" w:styleId="UnresolvedMention">
    <w:name w:val="Unresolved Mention"/>
    <w:basedOn w:val="DefaultParagraphFont"/>
    <w:uiPriority w:val="99"/>
    <w:semiHidden/>
    <w:unhideWhenUsed/>
    <w:rsid w:val="00F758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9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gif@01D84372.8770348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ershingsquareholdings.com/company-reports/weekly-navs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media-pershingsquareholdings@camarco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McGill</dc:creator>
  <cp:keywords/>
  <dc:description/>
  <cp:lastModifiedBy>Mary Seo</cp:lastModifiedBy>
  <cp:revision>2</cp:revision>
  <dcterms:created xsi:type="dcterms:W3CDTF">2022-03-29T21:44:00Z</dcterms:created>
  <dcterms:modified xsi:type="dcterms:W3CDTF">2022-03-29T21:44:00Z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3156ad8-b84b-4966-82c5-1e7467809bbd_Enabled">
    <vt:lpwstr>true</vt:lpwstr>
  </property>
  <property fmtid="{D5CDD505-2E9C-101B-9397-08002B2CF9AE}" pid="3" name="MSIP_Label_83156ad8-b84b-4966-82c5-1e7467809bbd_SetDate">
    <vt:lpwstr>2022-03-29T21:46:19Z</vt:lpwstr>
  </property>
  <property fmtid="{D5CDD505-2E9C-101B-9397-08002B2CF9AE}" pid="4" name="MSIP_Label_83156ad8-b84b-4966-82c5-1e7467809bbd_Method">
    <vt:lpwstr>Privileged</vt:lpwstr>
  </property>
  <property fmtid="{D5CDD505-2E9C-101B-9397-08002B2CF9AE}" pid="5" name="MSIP_Label_83156ad8-b84b-4966-82c5-1e7467809bbd_Name">
    <vt:lpwstr>Do Not Encrypt_0</vt:lpwstr>
  </property>
  <property fmtid="{D5CDD505-2E9C-101B-9397-08002B2CF9AE}" pid="6" name="MSIP_Label_83156ad8-b84b-4966-82c5-1e7467809bbd_SiteId">
    <vt:lpwstr>103e854c-d5c8-41b6-b343-6f6e0ff67a69</vt:lpwstr>
  </property>
  <property fmtid="{D5CDD505-2E9C-101B-9397-08002B2CF9AE}" pid="7" name="MSIP_Label_83156ad8-b84b-4966-82c5-1e7467809bbd_ActionId">
    <vt:lpwstr>af272656-2922-4305-aa90-c8fc559c4751</vt:lpwstr>
  </property>
  <property fmtid="{D5CDD505-2E9C-101B-9397-08002B2CF9AE}" pid="8" name="MSIP_Label_83156ad8-b84b-4966-82c5-1e7467809bbd_ContentBits">
    <vt:lpwstr>0</vt:lpwstr>
  </property>
</Properties>
</file>