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8933" w14:textId="14195946" w:rsidR="00782BB4" w:rsidRPr="00BD3EF9" w:rsidRDefault="004E30A5" w:rsidP="00BD3EF9">
      <w:pPr>
        <w:spacing w:after="0" w:line="240" w:lineRule="auto"/>
        <w:jc w:val="center"/>
        <w:rPr>
          <w:b/>
        </w:rPr>
      </w:pPr>
      <w:r w:rsidRPr="004E30A5">
        <w:rPr>
          <w:b/>
        </w:rPr>
        <w:t>Pershing</w:t>
      </w:r>
      <w:r w:rsidR="00534892">
        <w:rPr>
          <w:b/>
        </w:rPr>
        <w:t xml:space="preserve"> </w:t>
      </w:r>
      <w:r w:rsidRPr="004E30A5">
        <w:rPr>
          <w:b/>
        </w:rPr>
        <w:t>Square</w:t>
      </w:r>
      <w:r w:rsidR="00534892">
        <w:rPr>
          <w:b/>
        </w:rPr>
        <w:t xml:space="preserve"> </w:t>
      </w:r>
      <w:r w:rsidRPr="004E30A5">
        <w:rPr>
          <w:b/>
        </w:rPr>
        <w:t>Holdings,</w:t>
      </w:r>
      <w:r w:rsidR="00534892">
        <w:rPr>
          <w:b/>
        </w:rPr>
        <w:t xml:space="preserve"> </w:t>
      </w:r>
      <w:r w:rsidRPr="004E30A5">
        <w:rPr>
          <w:b/>
        </w:rPr>
        <w:t>Ltd.</w:t>
      </w:r>
      <w:r w:rsidR="00534892">
        <w:rPr>
          <w:b/>
        </w:rPr>
        <w:t xml:space="preserve"> </w:t>
      </w:r>
      <w:r w:rsidRPr="004E30A5">
        <w:rPr>
          <w:b/>
        </w:rPr>
        <w:t>Announces</w:t>
      </w:r>
      <w:r w:rsidR="00534892">
        <w:rPr>
          <w:b/>
        </w:rPr>
        <w:t xml:space="preserve"> </w:t>
      </w:r>
      <w:r w:rsidRPr="004E30A5">
        <w:rPr>
          <w:b/>
        </w:rPr>
        <w:t>Transactions</w:t>
      </w:r>
      <w:r w:rsidR="00534892">
        <w:rPr>
          <w:b/>
        </w:rPr>
        <w:t xml:space="preserve"> </w:t>
      </w:r>
      <w:r w:rsidRPr="004E30A5">
        <w:rPr>
          <w:b/>
        </w:rPr>
        <w:t>in</w:t>
      </w:r>
      <w:r w:rsidR="00534892">
        <w:rPr>
          <w:b/>
        </w:rPr>
        <w:t xml:space="preserve"> </w:t>
      </w:r>
      <w:r w:rsidRPr="004E30A5">
        <w:rPr>
          <w:b/>
        </w:rPr>
        <w:t>Own</w:t>
      </w:r>
      <w:r w:rsidR="00534892">
        <w:rPr>
          <w:b/>
        </w:rPr>
        <w:t xml:space="preserve"> </w:t>
      </w:r>
      <w:r w:rsidRPr="004E30A5">
        <w:rPr>
          <w:b/>
        </w:rPr>
        <w:t>Shares</w:t>
      </w:r>
      <w:r w:rsidR="00534892">
        <w:rPr>
          <w:b/>
        </w:rPr>
        <w:t xml:space="preserve"> </w:t>
      </w:r>
      <w:r w:rsidR="006C2152" w:rsidRPr="006C2152">
        <w:rPr>
          <w:b/>
        </w:rPr>
        <w:t xml:space="preserve">- </w:t>
      </w:r>
      <w:r w:rsidR="004A374B">
        <w:rPr>
          <w:b/>
        </w:rPr>
        <w:t>14 November 2022</w:t>
      </w:r>
      <w:r w:rsidRPr="004E30A5">
        <w:rPr>
          <w:b/>
        </w:rPr>
        <w:cr/>
      </w:r>
    </w:p>
    <w:p w14:paraId="11845414" w14:textId="4CBEDFC4" w:rsidR="00782BB4" w:rsidRDefault="00782BB4" w:rsidP="004920FA">
      <w:pPr>
        <w:spacing w:after="0" w:line="240" w:lineRule="auto"/>
      </w:pPr>
      <w:r>
        <w:t>London,</w:t>
      </w:r>
      <w:r w:rsidR="00534892">
        <w:t xml:space="preserve"> </w:t>
      </w:r>
      <w:r w:rsidR="004A374B">
        <w:t>14 November 2022</w:t>
      </w:r>
      <w:r w:rsidR="00534892">
        <w:t xml:space="preserve"> </w:t>
      </w:r>
      <w:r>
        <w:t>//‐</w:t>
      </w:r>
      <w:r w:rsidR="00534892">
        <w:t xml:space="preserve"> </w:t>
      </w:r>
      <w:r>
        <w:t>Pershing</w:t>
      </w:r>
      <w:r w:rsidR="00534892">
        <w:t xml:space="preserve"> </w:t>
      </w:r>
      <w:r>
        <w:t>Square</w:t>
      </w:r>
      <w:r w:rsidR="00534892">
        <w:t xml:space="preserve"> </w:t>
      </w:r>
      <w:r>
        <w:t>Holdings,</w:t>
      </w:r>
      <w:r w:rsidR="00534892">
        <w:t xml:space="preserve"> </w:t>
      </w:r>
      <w:r>
        <w:t>Ltd.</w:t>
      </w:r>
      <w:r w:rsidR="00534892">
        <w:t xml:space="preserve"> </w:t>
      </w:r>
      <w:r>
        <w:t>(LN:PSH)</w:t>
      </w:r>
      <w:r w:rsidR="00534892">
        <w:t xml:space="preserve"> </w:t>
      </w:r>
      <w:r>
        <w:t>(LN:PSHD)</w:t>
      </w:r>
      <w:r w:rsidR="00534892">
        <w:t xml:space="preserve"> </w:t>
      </w:r>
      <w:r>
        <w:t>(NA:PSH)</w:t>
      </w:r>
      <w:r w:rsidR="00534892">
        <w:t xml:space="preserve"> </w:t>
      </w:r>
      <w:r>
        <w:t>(“PSH”)</w:t>
      </w:r>
      <w:r w:rsidR="00534892">
        <w:t xml:space="preserve"> </w:t>
      </w:r>
      <w:r>
        <w:t>today</w:t>
      </w:r>
      <w:r w:rsidR="00534892">
        <w:t xml:space="preserve"> </w:t>
      </w:r>
      <w:r w:rsidRPr="008D029D">
        <w:t>announced</w:t>
      </w:r>
      <w:r w:rsidR="00534892">
        <w:t xml:space="preserve"> </w:t>
      </w:r>
      <w:r w:rsidR="004E30A5">
        <w:t>that</w:t>
      </w:r>
      <w:r w:rsidR="00534892">
        <w:t xml:space="preserve"> </w:t>
      </w:r>
      <w:r w:rsidR="004E30A5">
        <w:t>it</w:t>
      </w:r>
      <w:r w:rsidR="00534892">
        <w:t xml:space="preserve"> </w:t>
      </w:r>
      <w:r w:rsidR="004E30A5">
        <w:t>has</w:t>
      </w:r>
      <w:r w:rsidR="00534892">
        <w:t xml:space="preserve"> </w:t>
      </w:r>
      <w:r w:rsidR="004E30A5">
        <w:t>purchased,</w:t>
      </w:r>
      <w:r w:rsidR="00534892">
        <w:t xml:space="preserve"> </w:t>
      </w:r>
      <w:r w:rsidR="004E30A5">
        <w:t>through</w:t>
      </w:r>
      <w:r w:rsidR="00534892">
        <w:t xml:space="preserve"> </w:t>
      </w:r>
      <w:r w:rsidR="004E30A5">
        <w:t>PSH’s</w:t>
      </w:r>
      <w:r w:rsidR="00534892">
        <w:t xml:space="preserve"> </w:t>
      </w:r>
      <w:r w:rsidR="004E30A5">
        <w:t>agent,</w:t>
      </w:r>
      <w:r w:rsidR="00534892">
        <w:t xml:space="preserve"> </w:t>
      </w:r>
      <w:r w:rsidR="004E30A5">
        <w:t>Jefferies</w:t>
      </w:r>
      <w:r w:rsidR="00534892">
        <w:t xml:space="preserve"> </w:t>
      </w:r>
      <w:r w:rsidR="004E30A5">
        <w:t>International</w:t>
      </w:r>
      <w:r w:rsidR="00534892">
        <w:t xml:space="preserve"> </w:t>
      </w:r>
      <w:r w:rsidR="004E30A5">
        <w:t>Limited</w:t>
      </w:r>
      <w:r w:rsidR="00534892">
        <w:t xml:space="preserve"> </w:t>
      </w:r>
      <w:r w:rsidR="004E30A5">
        <w:t>(“Jefferies”),</w:t>
      </w:r>
      <w:r w:rsidR="00534892">
        <w:t xml:space="preserve"> </w:t>
      </w:r>
      <w:r w:rsidR="004E30A5">
        <w:t>the</w:t>
      </w:r>
      <w:r w:rsidR="00534892">
        <w:t xml:space="preserve"> </w:t>
      </w:r>
      <w:r w:rsidR="004E30A5">
        <w:t>following</w:t>
      </w:r>
      <w:r w:rsidR="00534892">
        <w:t xml:space="preserve"> </w:t>
      </w:r>
      <w:r w:rsidR="004E30A5">
        <w:t>number</w:t>
      </w:r>
      <w:r w:rsidR="00534892">
        <w:t xml:space="preserve"> </w:t>
      </w:r>
      <w:r w:rsidR="004E30A5">
        <w:t>of</w:t>
      </w:r>
      <w:r w:rsidR="00534892">
        <w:t xml:space="preserve"> </w:t>
      </w:r>
      <w:r w:rsidR="004E30A5">
        <w:t>PSH’s</w:t>
      </w:r>
      <w:r w:rsidR="00534892">
        <w:t xml:space="preserve"> </w:t>
      </w:r>
      <w:r w:rsidR="004E30A5">
        <w:t>Public</w:t>
      </w:r>
      <w:r w:rsidR="00534892">
        <w:t xml:space="preserve"> </w:t>
      </w:r>
      <w:r w:rsidR="004E30A5">
        <w:t>Shares</w:t>
      </w:r>
      <w:r w:rsidR="00534892">
        <w:t xml:space="preserve"> </w:t>
      </w:r>
      <w:r w:rsidR="004E30A5">
        <w:t>of</w:t>
      </w:r>
      <w:r w:rsidR="00534892">
        <w:t xml:space="preserve"> </w:t>
      </w:r>
      <w:r w:rsidR="004E30A5">
        <w:t>no</w:t>
      </w:r>
      <w:r w:rsidR="00534892">
        <w:t xml:space="preserve"> </w:t>
      </w:r>
      <w:r w:rsidR="004E30A5">
        <w:t>par</w:t>
      </w:r>
      <w:r w:rsidR="00534892">
        <w:t xml:space="preserve"> </w:t>
      </w:r>
      <w:r w:rsidR="004E30A5">
        <w:t>value</w:t>
      </w:r>
      <w:r w:rsidR="00534892">
        <w:t xml:space="preserve"> </w:t>
      </w:r>
      <w:r w:rsidR="004E30A5">
        <w:t>(ISIN</w:t>
      </w:r>
      <w:r w:rsidR="00534892">
        <w:t xml:space="preserve"> </w:t>
      </w:r>
      <w:r w:rsidR="004E30A5">
        <w:t>Code:</w:t>
      </w:r>
      <w:r w:rsidR="00534892">
        <w:t xml:space="preserve"> </w:t>
      </w:r>
      <w:r w:rsidR="004E30A5">
        <w:t>GG00BPFJTF46)</w:t>
      </w:r>
      <w:r w:rsidR="00534892">
        <w:t xml:space="preserve"> </w:t>
      </w:r>
      <w:r w:rsidR="004E30A5">
        <w:t>(the</w:t>
      </w:r>
      <w:r w:rsidR="00534892">
        <w:t xml:space="preserve"> </w:t>
      </w:r>
      <w:r w:rsidR="004E30A5">
        <w:t>"Shares"):</w:t>
      </w:r>
      <w:r w:rsidR="004E30A5">
        <w:cr/>
      </w:r>
      <w:r w:rsidR="00534892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2975"/>
      </w:tblGrid>
      <w:tr w:rsidR="00CC3B36" w14:paraId="10A9106A" w14:textId="77777777" w:rsidTr="00F3766D">
        <w:trPr>
          <w:jc w:val="center"/>
        </w:trPr>
        <w:tc>
          <w:tcPr>
            <w:tcW w:w="6570" w:type="dxa"/>
            <w:gridSpan w:val="2"/>
          </w:tcPr>
          <w:p w14:paraId="19D161FE" w14:textId="64862A8A" w:rsidR="00CC3B36" w:rsidRPr="00275120" w:rsidRDefault="00CC3B36" w:rsidP="00CC3B36">
            <w:pPr>
              <w:jc w:val="center"/>
              <w:rPr>
                <w:b/>
                <w:bCs/>
              </w:rPr>
            </w:pPr>
            <w:r w:rsidRPr="0091450B">
              <w:rPr>
                <w:b/>
                <w:bCs/>
                <w:u w:val="single"/>
              </w:rPr>
              <w:t>Total Buyback</w:t>
            </w:r>
          </w:p>
        </w:tc>
      </w:tr>
      <w:tr w:rsidR="00CC3B36" w14:paraId="019DB9BC" w14:textId="77777777" w:rsidTr="004F37C5">
        <w:trPr>
          <w:jc w:val="center"/>
        </w:trPr>
        <w:tc>
          <w:tcPr>
            <w:tcW w:w="3595" w:type="dxa"/>
          </w:tcPr>
          <w:p w14:paraId="40E75C65" w14:textId="77777777" w:rsidR="00CC3B36" w:rsidRPr="00AE7FDD" w:rsidRDefault="00CC3B36" w:rsidP="00CC3B36">
            <w:pPr>
              <w:rPr>
                <w:b/>
                <w:bCs/>
              </w:rPr>
            </w:pPr>
          </w:p>
        </w:tc>
        <w:tc>
          <w:tcPr>
            <w:tcW w:w="2975" w:type="dxa"/>
          </w:tcPr>
          <w:p w14:paraId="06D056C7" w14:textId="77777777" w:rsidR="00CC3B36" w:rsidRPr="00275120" w:rsidRDefault="00CC3B36" w:rsidP="00CC3B36">
            <w:pPr>
              <w:rPr>
                <w:b/>
                <w:bCs/>
              </w:rPr>
            </w:pPr>
          </w:p>
        </w:tc>
      </w:tr>
      <w:tr w:rsidR="00CC3B36" w14:paraId="7CA106C6" w14:textId="77777777" w:rsidTr="004F37C5">
        <w:trPr>
          <w:jc w:val="center"/>
        </w:trPr>
        <w:tc>
          <w:tcPr>
            <w:tcW w:w="3595" w:type="dxa"/>
          </w:tcPr>
          <w:p w14:paraId="1AEAFF92" w14:textId="62D402CB" w:rsidR="00CC3B36" w:rsidRPr="00AE7FDD" w:rsidRDefault="00CC3B36" w:rsidP="00CC3B36">
            <w:pPr>
              <w:rPr>
                <w:b/>
                <w:bCs/>
              </w:rPr>
            </w:pPr>
            <w:r w:rsidRPr="0091450B">
              <w:t>Ticker:</w:t>
            </w:r>
          </w:p>
        </w:tc>
        <w:tc>
          <w:tcPr>
            <w:tcW w:w="2975" w:type="dxa"/>
          </w:tcPr>
          <w:p w14:paraId="445B4634" w14:textId="53032B4B" w:rsidR="00CC3B36" w:rsidRPr="00FD69ED" w:rsidRDefault="00FD69ED" w:rsidP="00CC3B36">
            <w:r>
              <w:t>PSH; PSHD</w:t>
            </w:r>
          </w:p>
        </w:tc>
      </w:tr>
      <w:tr w:rsidR="00CC3B36" w14:paraId="4AE683F7" w14:textId="77777777" w:rsidTr="004F37C5">
        <w:trPr>
          <w:jc w:val="center"/>
        </w:trPr>
        <w:tc>
          <w:tcPr>
            <w:tcW w:w="3595" w:type="dxa"/>
          </w:tcPr>
          <w:p w14:paraId="488DE632" w14:textId="06FF7601" w:rsidR="00CC3B36" w:rsidRPr="00AE7FDD" w:rsidRDefault="00CC3B36" w:rsidP="00CC3B36">
            <w:pPr>
              <w:rPr>
                <w:b/>
                <w:bCs/>
              </w:rPr>
            </w:pPr>
            <w:r w:rsidRPr="0091450B">
              <w:t>Date of Purchase:</w:t>
            </w:r>
          </w:p>
        </w:tc>
        <w:tc>
          <w:tcPr>
            <w:tcW w:w="2975" w:type="dxa"/>
          </w:tcPr>
          <w:p w14:paraId="06C4E735" w14:textId="3828273F" w:rsidR="00CC3B36" w:rsidRPr="00FD69ED" w:rsidRDefault="00FD69ED" w:rsidP="00CC3B36">
            <w:r w:rsidRPr="00FD69ED">
              <w:t>14 November 2022</w:t>
            </w:r>
          </w:p>
        </w:tc>
      </w:tr>
      <w:tr w:rsidR="00CC3B36" w14:paraId="224BF26C" w14:textId="77777777" w:rsidTr="004F37C5">
        <w:trPr>
          <w:jc w:val="center"/>
        </w:trPr>
        <w:tc>
          <w:tcPr>
            <w:tcW w:w="3595" w:type="dxa"/>
          </w:tcPr>
          <w:p w14:paraId="08617EEA" w14:textId="7CAAE326" w:rsidR="00CC3B36" w:rsidRPr="00AE7FDD" w:rsidRDefault="00CC3B36" w:rsidP="00CC3B36">
            <w:pPr>
              <w:rPr>
                <w:b/>
                <w:bCs/>
              </w:rPr>
            </w:pPr>
            <w:r w:rsidRPr="0091450B">
              <w:t>Number of Public Shares purchased:</w:t>
            </w:r>
          </w:p>
        </w:tc>
        <w:tc>
          <w:tcPr>
            <w:tcW w:w="2975" w:type="dxa"/>
          </w:tcPr>
          <w:p w14:paraId="1F4E84DE" w14:textId="726B0D65" w:rsidR="00CC3B36" w:rsidRPr="00FD69ED" w:rsidRDefault="00FD69ED" w:rsidP="00CC3B36">
            <w:r w:rsidRPr="00FD69ED">
              <w:t>84,059</w:t>
            </w:r>
            <w:r>
              <w:t xml:space="preserve"> Shares</w:t>
            </w:r>
          </w:p>
        </w:tc>
      </w:tr>
      <w:tr w:rsidR="00CC3B36" w14:paraId="058C2943" w14:textId="77777777" w:rsidTr="004F37C5">
        <w:trPr>
          <w:jc w:val="center"/>
        </w:trPr>
        <w:tc>
          <w:tcPr>
            <w:tcW w:w="3595" w:type="dxa"/>
          </w:tcPr>
          <w:p w14:paraId="569FCE6F" w14:textId="205D3F99" w:rsidR="00CC3B36" w:rsidRPr="00AE7FDD" w:rsidRDefault="00CC3B36" w:rsidP="00CC3B36">
            <w:pPr>
              <w:rPr>
                <w:b/>
                <w:bCs/>
              </w:rPr>
            </w:pPr>
            <w:r w:rsidRPr="0091450B">
              <w:t>Average Price Paid Per Share:</w:t>
            </w:r>
          </w:p>
        </w:tc>
        <w:tc>
          <w:tcPr>
            <w:tcW w:w="2975" w:type="dxa"/>
          </w:tcPr>
          <w:p w14:paraId="4BBF50D0" w14:textId="3710B69D" w:rsidR="00CC3B36" w:rsidRPr="00FD69ED" w:rsidRDefault="00FD69ED" w:rsidP="00CC3B36">
            <w:r>
              <w:t>34.34 USD</w:t>
            </w:r>
          </w:p>
        </w:tc>
      </w:tr>
      <w:tr w:rsidR="00CC3B36" w14:paraId="4486247F" w14:textId="77777777" w:rsidTr="004F37C5">
        <w:trPr>
          <w:jc w:val="center"/>
        </w:trPr>
        <w:tc>
          <w:tcPr>
            <w:tcW w:w="3595" w:type="dxa"/>
          </w:tcPr>
          <w:p w14:paraId="6D179FD1" w14:textId="77777777" w:rsidR="00CC3B36" w:rsidRPr="00AE7FDD" w:rsidRDefault="00CC3B36" w:rsidP="00CC3B36">
            <w:pPr>
              <w:rPr>
                <w:b/>
                <w:bCs/>
              </w:rPr>
            </w:pPr>
          </w:p>
        </w:tc>
        <w:tc>
          <w:tcPr>
            <w:tcW w:w="2975" w:type="dxa"/>
          </w:tcPr>
          <w:p w14:paraId="3E5B02C5" w14:textId="77777777" w:rsidR="00CC3B36" w:rsidRPr="00275120" w:rsidRDefault="00CC3B36" w:rsidP="00CC3B36">
            <w:pPr>
              <w:rPr>
                <w:b/>
                <w:bCs/>
              </w:rPr>
            </w:pPr>
          </w:p>
        </w:tc>
      </w:tr>
      <w:tr w:rsidR="00CC3B36" w14:paraId="4DCFCD55" w14:textId="77777777" w:rsidTr="00244A20">
        <w:trPr>
          <w:jc w:val="center"/>
        </w:trPr>
        <w:tc>
          <w:tcPr>
            <w:tcW w:w="6570" w:type="dxa"/>
            <w:gridSpan w:val="2"/>
          </w:tcPr>
          <w:p w14:paraId="5F976378" w14:textId="794CAA15" w:rsidR="00CC3B36" w:rsidRPr="00275120" w:rsidRDefault="00CC3B36" w:rsidP="00CC3B36">
            <w:pPr>
              <w:jc w:val="center"/>
              <w:rPr>
                <w:b/>
                <w:bCs/>
              </w:rPr>
            </w:pPr>
            <w:r w:rsidRPr="0024081A">
              <w:rPr>
                <w:b/>
                <w:bCs/>
                <w:u w:val="single"/>
              </w:rPr>
              <w:t>Buyback Breakdown by Trading Venue</w:t>
            </w:r>
          </w:p>
        </w:tc>
      </w:tr>
      <w:tr w:rsidR="00CC3B36" w14:paraId="3F3887FC" w14:textId="77777777" w:rsidTr="004F37C5">
        <w:trPr>
          <w:jc w:val="center"/>
        </w:trPr>
        <w:tc>
          <w:tcPr>
            <w:tcW w:w="3595" w:type="dxa"/>
          </w:tcPr>
          <w:p w14:paraId="2E84249B" w14:textId="77777777" w:rsidR="00CC3B36" w:rsidRPr="00AE7FDD" w:rsidRDefault="00CC3B36" w:rsidP="004920FA">
            <w:pPr>
              <w:rPr>
                <w:b/>
                <w:bCs/>
              </w:rPr>
            </w:pPr>
          </w:p>
        </w:tc>
        <w:tc>
          <w:tcPr>
            <w:tcW w:w="2975" w:type="dxa"/>
          </w:tcPr>
          <w:p w14:paraId="1E7D126C" w14:textId="77777777" w:rsidR="00CC3B36" w:rsidRPr="00275120" w:rsidRDefault="00CC3B36" w:rsidP="004920FA">
            <w:pPr>
              <w:rPr>
                <w:b/>
                <w:bCs/>
              </w:rPr>
            </w:pPr>
          </w:p>
        </w:tc>
      </w:tr>
      <w:tr w:rsidR="00AE7FDD" w14:paraId="2CE4AD70" w14:textId="77777777" w:rsidTr="004F37C5">
        <w:trPr>
          <w:jc w:val="center"/>
        </w:trPr>
        <w:tc>
          <w:tcPr>
            <w:tcW w:w="3595" w:type="dxa"/>
          </w:tcPr>
          <w:p w14:paraId="1C9A4222" w14:textId="77777777" w:rsidR="00AE7FDD" w:rsidRPr="00AE7FDD" w:rsidRDefault="00AE7FDD" w:rsidP="004920FA">
            <w:pPr>
              <w:rPr>
                <w:b/>
                <w:bCs/>
              </w:rPr>
            </w:pPr>
            <w:r w:rsidRPr="00AE7FDD">
              <w:rPr>
                <w:b/>
                <w:bCs/>
              </w:rPr>
              <w:t>Trading</w:t>
            </w:r>
            <w:r w:rsidR="00534892">
              <w:rPr>
                <w:b/>
                <w:bCs/>
              </w:rPr>
              <w:t xml:space="preserve"> </w:t>
            </w:r>
            <w:r w:rsidRPr="00AE7FDD">
              <w:rPr>
                <w:b/>
                <w:bCs/>
              </w:rPr>
              <w:t>Venue:</w:t>
            </w:r>
          </w:p>
        </w:tc>
        <w:tc>
          <w:tcPr>
            <w:tcW w:w="2975" w:type="dxa"/>
          </w:tcPr>
          <w:p w14:paraId="64E7D509" w14:textId="77777777" w:rsidR="00AE7FDD" w:rsidRPr="00275120" w:rsidRDefault="00AE7FDD" w:rsidP="004920FA">
            <w:pPr>
              <w:rPr>
                <w:b/>
                <w:bCs/>
              </w:rPr>
            </w:pPr>
            <w:r w:rsidRPr="00275120">
              <w:rPr>
                <w:b/>
                <w:bCs/>
              </w:rPr>
              <w:t>London</w:t>
            </w:r>
            <w:r w:rsidR="00534892">
              <w:rPr>
                <w:b/>
                <w:bCs/>
              </w:rPr>
              <w:t xml:space="preserve"> </w:t>
            </w:r>
            <w:r w:rsidRPr="00275120">
              <w:rPr>
                <w:b/>
                <w:bCs/>
              </w:rPr>
              <w:t>Stock</w:t>
            </w:r>
            <w:r w:rsidR="00534892">
              <w:rPr>
                <w:b/>
                <w:bCs/>
              </w:rPr>
              <w:t xml:space="preserve"> </w:t>
            </w:r>
            <w:r w:rsidRPr="00275120">
              <w:rPr>
                <w:b/>
                <w:bCs/>
              </w:rPr>
              <w:t>Exchange</w:t>
            </w:r>
          </w:p>
        </w:tc>
      </w:tr>
      <w:tr w:rsidR="00905171" w14:paraId="082FE4B0" w14:textId="77777777" w:rsidTr="004F37C5">
        <w:trPr>
          <w:jc w:val="center"/>
        </w:trPr>
        <w:tc>
          <w:tcPr>
            <w:tcW w:w="3595" w:type="dxa"/>
          </w:tcPr>
          <w:p w14:paraId="5BDE5C21" w14:textId="77777777" w:rsidR="00905171" w:rsidRPr="00905171" w:rsidRDefault="00534892" w:rsidP="004920FA">
            <w:r>
              <w:t xml:space="preserve">  </w:t>
            </w:r>
            <w:r w:rsidR="00905171">
              <w:t>Ticker:</w:t>
            </w:r>
          </w:p>
        </w:tc>
        <w:tc>
          <w:tcPr>
            <w:tcW w:w="2975" w:type="dxa"/>
          </w:tcPr>
          <w:p w14:paraId="7C8151E6" w14:textId="77777777" w:rsidR="00905171" w:rsidRDefault="00905171" w:rsidP="004920FA">
            <w:r>
              <w:t>PSH</w:t>
            </w:r>
            <w:r w:rsidR="00534892">
              <w:t xml:space="preserve"> </w:t>
            </w:r>
          </w:p>
        </w:tc>
      </w:tr>
      <w:tr w:rsidR="00AE7FDD" w14:paraId="66FAC6F7" w14:textId="77777777" w:rsidTr="004F37C5">
        <w:trPr>
          <w:jc w:val="center"/>
        </w:trPr>
        <w:tc>
          <w:tcPr>
            <w:tcW w:w="3595" w:type="dxa"/>
          </w:tcPr>
          <w:p w14:paraId="3064D86E" w14:textId="77777777" w:rsidR="00AE7FDD" w:rsidRDefault="00534892" w:rsidP="004920FA">
            <w:r>
              <w:t xml:space="preserve">  </w:t>
            </w:r>
            <w:r w:rsidR="00AE7FDD">
              <w:t>Date</w:t>
            </w:r>
            <w:r>
              <w:t xml:space="preserve"> </w:t>
            </w:r>
            <w:r w:rsidR="00AE7FDD">
              <w:t>of</w:t>
            </w:r>
            <w:r>
              <w:t xml:space="preserve"> </w:t>
            </w:r>
            <w:r w:rsidR="00AE7FDD">
              <w:t>Purchase:</w:t>
            </w:r>
          </w:p>
        </w:tc>
        <w:tc>
          <w:tcPr>
            <w:tcW w:w="2975" w:type="dxa"/>
          </w:tcPr>
          <w:p w14:paraId="27CFB90C" w14:textId="4DE20692" w:rsidR="00AE7FDD" w:rsidRPr="001D4101" w:rsidRDefault="004A374B" w:rsidP="004920FA">
            <w:r>
              <w:t>14 November 2022</w:t>
            </w:r>
          </w:p>
        </w:tc>
      </w:tr>
      <w:tr w:rsidR="00AE7FDD" w14:paraId="68DFC4D9" w14:textId="77777777" w:rsidTr="004F37C5">
        <w:trPr>
          <w:jc w:val="center"/>
        </w:trPr>
        <w:tc>
          <w:tcPr>
            <w:tcW w:w="3595" w:type="dxa"/>
          </w:tcPr>
          <w:p w14:paraId="3DAFE81E" w14:textId="77777777" w:rsidR="00AE7FDD" w:rsidRDefault="00534892" w:rsidP="004920FA">
            <w:r>
              <w:t xml:space="preserve">  </w:t>
            </w:r>
            <w:r w:rsidR="00AE7FDD">
              <w:t>Number</w:t>
            </w:r>
            <w:r>
              <w:t xml:space="preserve"> </w:t>
            </w:r>
            <w:r w:rsidR="00AE7FDD">
              <w:t>of</w:t>
            </w:r>
            <w:r>
              <w:t xml:space="preserve"> </w:t>
            </w:r>
            <w:r w:rsidR="00AE7FDD">
              <w:t>Public</w:t>
            </w:r>
            <w:r>
              <w:t xml:space="preserve"> </w:t>
            </w:r>
            <w:r w:rsidR="00AE7FDD">
              <w:t>Shares</w:t>
            </w:r>
            <w:r>
              <w:t xml:space="preserve"> </w:t>
            </w:r>
            <w:r w:rsidR="00AE7FDD">
              <w:t>purchased:</w:t>
            </w:r>
          </w:p>
        </w:tc>
        <w:tc>
          <w:tcPr>
            <w:tcW w:w="2975" w:type="dxa"/>
          </w:tcPr>
          <w:p w14:paraId="2068A071" w14:textId="0EDF27ED" w:rsidR="00AE7FDD" w:rsidRDefault="004A374B" w:rsidP="004920FA">
            <w:r>
              <w:t>54,825</w:t>
            </w:r>
            <w:r w:rsidR="00534892">
              <w:t xml:space="preserve"> </w:t>
            </w:r>
            <w:r w:rsidR="00AE7FDD">
              <w:t>Shares</w:t>
            </w:r>
          </w:p>
        </w:tc>
      </w:tr>
      <w:tr w:rsidR="00AE7FDD" w14:paraId="42083686" w14:textId="77777777" w:rsidTr="004F37C5">
        <w:trPr>
          <w:jc w:val="center"/>
        </w:trPr>
        <w:tc>
          <w:tcPr>
            <w:tcW w:w="3595" w:type="dxa"/>
          </w:tcPr>
          <w:p w14:paraId="6B8FA2B4" w14:textId="77777777" w:rsidR="00AE7FDD" w:rsidRDefault="00534892" w:rsidP="004920FA">
            <w:r>
              <w:t xml:space="preserve">  </w:t>
            </w:r>
            <w:r w:rsidR="00AE7FDD">
              <w:t>Highest</w:t>
            </w:r>
            <w:r>
              <w:t xml:space="preserve"> </w:t>
            </w:r>
            <w:r w:rsidR="00AE7FDD">
              <w:t>Price</w:t>
            </w:r>
            <w:r>
              <w:t xml:space="preserve"> </w:t>
            </w:r>
            <w:r w:rsidR="00AE7FDD">
              <w:t>Paid</w:t>
            </w:r>
            <w:r>
              <w:t xml:space="preserve"> </w:t>
            </w:r>
            <w:r w:rsidR="00AE7FDD">
              <w:t>Per</w:t>
            </w:r>
            <w:r>
              <w:t xml:space="preserve"> </w:t>
            </w:r>
            <w:r w:rsidR="00AE7FDD">
              <w:t>Share:</w:t>
            </w:r>
          </w:p>
        </w:tc>
        <w:tc>
          <w:tcPr>
            <w:tcW w:w="2975" w:type="dxa"/>
          </w:tcPr>
          <w:p w14:paraId="0061C67C" w14:textId="01DEA784" w:rsidR="00AE7FDD" w:rsidRDefault="004A374B" w:rsidP="004920FA">
            <w:r>
              <w:t>2,955</w:t>
            </w:r>
            <w:r w:rsidR="00534892">
              <w:t xml:space="preserve"> </w:t>
            </w:r>
            <w:r w:rsidR="005559E2">
              <w:t>pence</w:t>
            </w:r>
            <w:r w:rsidR="00534892">
              <w:t xml:space="preserve"> </w:t>
            </w:r>
            <w:r w:rsidR="00AE7FDD">
              <w:t>/</w:t>
            </w:r>
            <w:r w:rsidR="00534892">
              <w:t xml:space="preserve"> </w:t>
            </w:r>
            <w:r>
              <w:t>34.66</w:t>
            </w:r>
            <w:r w:rsidR="00534892">
              <w:t xml:space="preserve"> </w:t>
            </w:r>
            <w:r w:rsidR="00AE7FDD">
              <w:t>USD</w:t>
            </w:r>
          </w:p>
        </w:tc>
      </w:tr>
      <w:tr w:rsidR="00AE7FDD" w14:paraId="4588E363" w14:textId="77777777" w:rsidTr="004F37C5">
        <w:trPr>
          <w:jc w:val="center"/>
        </w:trPr>
        <w:tc>
          <w:tcPr>
            <w:tcW w:w="3595" w:type="dxa"/>
          </w:tcPr>
          <w:p w14:paraId="5020845A" w14:textId="77777777" w:rsidR="00AE7FDD" w:rsidRDefault="00534892" w:rsidP="004920FA">
            <w:r>
              <w:t xml:space="preserve">  </w:t>
            </w:r>
            <w:r w:rsidR="00AE7FDD">
              <w:t>Lowest</w:t>
            </w:r>
            <w:r>
              <w:t xml:space="preserve"> </w:t>
            </w:r>
            <w:r w:rsidR="00AE7FDD">
              <w:t>Price</w:t>
            </w:r>
            <w:r>
              <w:t xml:space="preserve"> </w:t>
            </w:r>
            <w:r w:rsidR="00AE7FDD">
              <w:t>Paid</w:t>
            </w:r>
            <w:r>
              <w:t xml:space="preserve"> </w:t>
            </w:r>
            <w:r w:rsidR="00AE7FDD">
              <w:t>Per</w:t>
            </w:r>
            <w:r>
              <w:t xml:space="preserve"> </w:t>
            </w:r>
            <w:r w:rsidR="00AE7FDD">
              <w:t>Share:</w:t>
            </w:r>
          </w:p>
        </w:tc>
        <w:tc>
          <w:tcPr>
            <w:tcW w:w="2975" w:type="dxa"/>
          </w:tcPr>
          <w:p w14:paraId="0A825879" w14:textId="04AA1F79" w:rsidR="00AE7FDD" w:rsidRDefault="004A374B" w:rsidP="004920FA">
            <w:r>
              <w:t>2,895</w:t>
            </w:r>
            <w:r w:rsidR="00534892">
              <w:t xml:space="preserve"> </w:t>
            </w:r>
            <w:r w:rsidR="005559E2">
              <w:t>pence</w:t>
            </w:r>
            <w:r w:rsidR="00534892">
              <w:t xml:space="preserve"> </w:t>
            </w:r>
            <w:r w:rsidR="00AE7FDD">
              <w:t>/</w:t>
            </w:r>
            <w:r w:rsidR="00534892">
              <w:t xml:space="preserve"> </w:t>
            </w:r>
            <w:r>
              <w:t>33.95</w:t>
            </w:r>
            <w:r w:rsidR="00534892">
              <w:t xml:space="preserve"> </w:t>
            </w:r>
            <w:r w:rsidR="00AE7FDD">
              <w:t>USD</w:t>
            </w:r>
          </w:p>
        </w:tc>
      </w:tr>
      <w:tr w:rsidR="00AE7FDD" w14:paraId="5F2CC22D" w14:textId="77777777" w:rsidTr="004F37C5">
        <w:trPr>
          <w:jc w:val="center"/>
        </w:trPr>
        <w:tc>
          <w:tcPr>
            <w:tcW w:w="3595" w:type="dxa"/>
          </w:tcPr>
          <w:p w14:paraId="2F88271B" w14:textId="77777777" w:rsidR="00AE7FDD" w:rsidRDefault="00534892" w:rsidP="004920FA">
            <w:r>
              <w:t xml:space="preserve">  </w:t>
            </w:r>
            <w:r w:rsidR="00AE7FDD">
              <w:t>Average</w:t>
            </w:r>
            <w:r>
              <w:t xml:space="preserve"> </w:t>
            </w:r>
            <w:r w:rsidR="00AE7FDD">
              <w:t>Price</w:t>
            </w:r>
            <w:r>
              <w:t xml:space="preserve"> </w:t>
            </w:r>
            <w:r w:rsidR="00AE7FDD">
              <w:t>Paid</w:t>
            </w:r>
            <w:r>
              <w:t xml:space="preserve"> </w:t>
            </w:r>
            <w:r w:rsidR="00AE7FDD">
              <w:t>Per</w:t>
            </w:r>
            <w:r>
              <w:t xml:space="preserve"> </w:t>
            </w:r>
            <w:r w:rsidR="00AE7FDD">
              <w:t>Share:</w:t>
            </w:r>
          </w:p>
        </w:tc>
        <w:tc>
          <w:tcPr>
            <w:tcW w:w="2975" w:type="dxa"/>
          </w:tcPr>
          <w:p w14:paraId="1550FDFE" w14:textId="6C80EAB3" w:rsidR="00AE7FDD" w:rsidRDefault="004A374B" w:rsidP="004920FA">
            <w:r>
              <w:t>2,929</w:t>
            </w:r>
            <w:r w:rsidR="00534892">
              <w:t xml:space="preserve"> </w:t>
            </w:r>
            <w:r w:rsidR="005559E2">
              <w:t>pence</w:t>
            </w:r>
            <w:r w:rsidR="00534892">
              <w:t xml:space="preserve"> </w:t>
            </w:r>
            <w:r w:rsidR="00AE7FDD">
              <w:t>/</w:t>
            </w:r>
            <w:r w:rsidR="00534892">
              <w:t xml:space="preserve"> </w:t>
            </w:r>
            <w:r>
              <w:t>34.35</w:t>
            </w:r>
            <w:r w:rsidR="00534892">
              <w:t xml:space="preserve"> </w:t>
            </w:r>
            <w:r w:rsidR="00AE7FDD">
              <w:t>USD</w:t>
            </w:r>
          </w:p>
        </w:tc>
      </w:tr>
      <w:tr w:rsidR="00905171" w14:paraId="2A843558" w14:textId="77777777" w:rsidTr="004F37C5">
        <w:trPr>
          <w:jc w:val="center"/>
        </w:trPr>
        <w:tc>
          <w:tcPr>
            <w:tcW w:w="3595" w:type="dxa"/>
          </w:tcPr>
          <w:p w14:paraId="53222E6F" w14:textId="77777777" w:rsidR="00905171" w:rsidRPr="001D4101" w:rsidRDefault="00905171" w:rsidP="004F37C5"/>
        </w:tc>
        <w:tc>
          <w:tcPr>
            <w:tcW w:w="2975" w:type="dxa"/>
          </w:tcPr>
          <w:p w14:paraId="615C3C5A" w14:textId="77777777" w:rsidR="00905171" w:rsidRDefault="00905171" w:rsidP="004F37C5"/>
        </w:tc>
      </w:tr>
      <w:tr w:rsidR="00905171" w14:paraId="047A932D" w14:textId="77777777" w:rsidTr="004F37C5">
        <w:trPr>
          <w:jc w:val="center"/>
        </w:trPr>
        <w:tc>
          <w:tcPr>
            <w:tcW w:w="3595" w:type="dxa"/>
          </w:tcPr>
          <w:p w14:paraId="2CFF32FB" w14:textId="77777777" w:rsidR="00905171" w:rsidRPr="00905171" w:rsidRDefault="00534892" w:rsidP="004F37C5">
            <w:r>
              <w:t xml:space="preserve">  </w:t>
            </w:r>
            <w:r w:rsidR="00905171" w:rsidRPr="00905171">
              <w:t>Ticker:</w:t>
            </w:r>
          </w:p>
        </w:tc>
        <w:tc>
          <w:tcPr>
            <w:tcW w:w="2975" w:type="dxa"/>
          </w:tcPr>
          <w:p w14:paraId="5553A1FF" w14:textId="77777777" w:rsidR="00905171" w:rsidRDefault="00905171" w:rsidP="004F37C5">
            <w:r>
              <w:t>PSHD</w:t>
            </w:r>
          </w:p>
        </w:tc>
      </w:tr>
      <w:tr w:rsidR="004F37C5" w14:paraId="794F1E77" w14:textId="77777777" w:rsidTr="004F37C5">
        <w:trPr>
          <w:jc w:val="center"/>
        </w:trPr>
        <w:tc>
          <w:tcPr>
            <w:tcW w:w="3595" w:type="dxa"/>
          </w:tcPr>
          <w:p w14:paraId="6D6CC929" w14:textId="77777777" w:rsidR="004F37C5" w:rsidRPr="001D4101" w:rsidRDefault="00534892" w:rsidP="004F37C5">
            <w:r>
              <w:t xml:space="preserve">  </w:t>
            </w:r>
            <w:r w:rsidR="004F37C5">
              <w:t>Date</w:t>
            </w:r>
            <w:r>
              <w:t xml:space="preserve"> </w:t>
            </w:r>
            <w:r w:rsidR="004F37C5">
              <w:t>of</w:t>
            </w:r>
            <w:r>
              <w:t xml:space="preserve"> </w:t>
            </w:r>
            <w:r w:rsidR="004F37C5">
              <w:t>Purchase:</w:t>
            </w:r>
          </w:p>
        </w:tc>
        <w:tc>
          <w:tcPr>
            <w:tcW w:w="2975" w:type="dxa"/>
          </w:tcPr>
          <w:p w14:paraId="016E235C" w14:textId="1C417D71" w:rsidR="004F37C5" w:rsidRDefault="004A374B" w:rsidP="004F37C5">
            <w:r>
              <w:t>14 November 2022</w:t>
            </w:r>
          </w:p>
        </w:tc>
      </w:tr>
      <w:tr w:rsidR="004F37C5" w14:paraId="76500142" w14:textId="77777777" w:rsidTr="004F37C5">
        <w:trPr>
          <w:jc w:val="center"/>
        </w:trPr>
        <w:tc>
          <w:tcPr>
            <w:tcW w:w="3595" w:type="dxa"/>
          </w:tcPr>
          <w:p w14:paraId="6B50B536" w14:textId="77777777" w:rsidR="004F37C5" w:rsidRPr="001D4101" w:rsidRDefault="00534892" w:rsidP="004F37C5">
            <w:r>
              <w:t xml:space="preserve">  </w:t>
            </w:r>
            <w:r w:rsidR="004F37C5">
              <w:t>Number</w:t>
            </w:r>
            <w:r>
              <w:t xml:space="preserve"> </w:t>
            </w:r>
            <w:r w:rsidR="004F37C5">
              <w:t>of</w:t>
            </w:r>
            <w:r>
              <w:t xml:space="preserve"> </w:t>
            </w:r>
            <w:r w:rsidR="004F37C5">
              <w:t>Public</w:t>
            </w:r>
            <w:r>
              <w:t xml:space="preserve"> </w:t>
            </w:r>
            <w:r w:rsidR="004F37C5">
              <w:t>Shares</w:t>
            </w:r>
            <w:r>
              <w:t xml:space="preserve"> </w:t>
            </w:r>
            <w:r w:rsidR="004F37C5">
              <w:t>purchased:</w:t>
            </w:r>
          </w:p>
        </w:tc>
        <w:tc>
          <w:tcPr>
            <w:tcW w:w="2975" w:type="dxa"/>
          </w:tcPr>
          <w:p w14:paraId="1244D946" w14:textId="3F3D4089" w:rsidR="004F37C5" w:rsidRDefault="004A374B" w:rsidP="004F37C5">
            <w:r>
              <w:t>11,183</w:t>
            </w:r>
            <w:r w:rsidR="00534892">
              <w:t xml:space="preserve"> </w:t>
            </w:r>
            <w:r w:rsidR="004F37C5">
              <w:t>Shares</w:t>
            </w:r>
          </w:p>
        </w:tc>
      </w:tr>
      <w:tr w:rsidR="004F37C5" w14:paraId="1C172CA3" w14:textId="77777777" w:rsidTr="004F37C5">
        <w:trPr>
          <w:jc w:val="center"/>
        </w:trPr>
        <w:tc>
          <w:tcPr>
            <w:tcW w:w="3595" w:type="dxa"/>
          </w:tcPr>
          <w:p w14:paraId="764D2EF8" w14:textId="77777777" w:rsidR="004F37C5" w:rsidRPr="001D4101" w:rsidRDefault="00534892" w:rsidP="004F37C5">
            <w:r>
              <w:t xml:space="preserve">  </w:t>
            </w:r>
            <w:r w:rsidR="004F37C5">
              <w:t>Highest</w:t>
            </w:r>
            <w:r>
              <w:t xml:space="preserve"> </w:t>
            </w:r>
            <w:r w:rsidR="004F37C5">
              <w:t>Price</w:t>
            </w:r>
            <w:r>
              <w:t xml:space="preserve"> </w:t>
            </w:r>
            <w:r w:rsidR="004F37C5">
              <w:t>Paid</w:t>
            </w:r>
            <w:r>
              <w:t xml:space="preserve"> </w:t>
            </w:r>
            <w:r w:rsidR="004F37C5">
              <w:t>Per</w:t>
            </w:r>
            <w:r>
              <w:t xml:space="preserve"> </w:t>
            </w:r>
            <w:r w:rsidR="004F37C5">
              <w:t>Share:</w:t>
            </w:r>
          </w:p>
        </w:tc>
        <w:tc>
          <w:tcPr>
            <w:tcW w:w="2975" w:type="dxa"/>
          </w:tcPr>
          <w:p w14:paraId="0A0FD2D0" w14:textId="28110740" w:rsidR="004F37C5" w:rsidRDefault="004A374B" w:rsidP="004F37C5">
            <w:r>
              <w:t>34.60</w:t>
            </w:r>
            <w:r w:rsidR="00534892">
              <w:t xml:space="preserve"> </w:t>
            </w:r>
            <w:r w:rsidR="004F37C5">
              <w:t>USD</w:t>
            </w:r>
          </w:p>
        </w:tc>
      </w:tr>
      <w:tr w:rsidR="004F37C5" w14:paraId="643DE287" w14:textId="77777777" w:rsidTr="004F37C5">
        <w:trPr>
          <w:jc w:val="center"/>
        </w:trPr>
        <w:tc>
          <w:tcPr>
            <w:tcW w:w="3595" w:type="dxa"/>
          </w:tcPr>
          <w:p w14:paraId="40183019" w14:textId="77777777" w:rsidR="004F37C5" w:rsidRPr="001D4101" w:rsidRDefault="00534892" w:rsidP="004F37C5">
            <w:r>
              <w:t xml:space="preserve">  </w:t>
            </w:r>
            <w:r w:rsidR="004F37C5">
              <w:t>Lowest</w:t>
            </w:r>
            <w:r>
              <w:t xml:space="preserve"> </w:t>
            </w:r>
            <w:r w:rsidR="004F37C5">
              <w:t>Price</w:t>
            </w:r>
            <w:r>
              <w:t xml:space="preserve"> </w:t>
            </w:r>
            <w:r w:rsidR="004F37C5">
              <w:t>Paid</w:t>
            </w:r>
            <w:r>
              <w:t xml:space="preserve"> </w:t>
            </w:r>
            <w:r w:rsidR="004F37C5">
              <w:t>Per</w:t>
            </w:r>
            <w:r>
              <w:t xml:space="preserve"> </w:t>
            </w:r>
            <w:r w:rsidR="004F37C5">
              <w:t>Share:</w:t>
            </w:r>
          </w:p>
        </w:tc>
        <w:tc>
          <w:tcPr>
            <w:tcW w:w="2975" w:type="dxa"/>
          </w:tcPr>
          <w:p w14:paraId="7AFA0279" w14:textId="3C18B458" w:rsidR="004F37C5" w:rsidRDefault="004A374B" w:rsidP="004F37C5">
            <w:r>
              <w:t>34.20</w:t>
            </w:r>
            <w:r w:rsidR="00534892">
              <w:t xml:space="preserve"> </w:t>
            </w:r>
            <w:r w:rsidR="004F37C5">
              <w:t>USD</w:t>
            </w:r>
          </w:p>
        </w:tc>
      </w:tr>
      <w:tr w:rsidR="004F37C5" w14:paraId="198431A4" w14:textId="77777777" w:rsidTr="004F37C5">
        <w:trPr>
          <w:jc w:val="center"/>
        </w:trPr>
        <w:tc>
          <w:tcPr>
            <w:tcW w:w="3595" w:type="dxa"/>
          </w:tcPr>
          <w:p w14:paraId="35283793" w14:textId="77777777" w:rsidR="004F37C5" w:rsidRPr="001D4101" w:rsidRDefault="00534892" w:rsidP="004F37C5">
            <w:r>
              <w:t xml:space="preserve">  </w:t>
            </w:r>
            <w:r w:rsidR="004F37C5">
              <w:t>Average</w:t>
            </w:r>
            <w:r>
              <w:t xml:space="preserve"> </w:t>
            </w:r>
            <w:r w:rsidR="004F37C5">
              <w:t>Price</w:t>
            </w:r>
            <w:r>
              <w:t xml:space="preserve"> </w:t>
            </w:r>
            <w:r w:rsidR="004F37C5">
              <w:t>Paid</w:t>
            </w:r>
            <w:r>
              <w:t xml:space="preserve"> </w:t>
            </w:r>
            <w:r w:rsidR="004F37C5">
              <w:t>Per</w:t>
            </w:r>
            <w:r>
              <w:t xml:space="preserve"> </w:t>
            </w:r>
            <w:r w:rsidR="004F37C5">
              <w:t>Share:</w:t>
            </w:r>
          </w:p>
        </w:tc>
        <w:tc>
          <w:tcPr>
            <w:tcW w:w="2975" w:type="dxa"/>
          </w:tcPr>
          <w:p w14:paraId="62E8D6C5" w14:textId="37C6CB36" w:rsidR="004F37C5" w:rsidRDefault="004A374B" w:rsidP="004F37C5">
            <w:r>
              <w:t>34.31</w:t>
            </w:r>
            <w:r w:rsidR="00534892">
              <w:t xml:space="preserve"> </w:t>
            </w:r>
            <w:r w:rsidR="004F37C5">
              <w:t>USD</w:t>
            </w:r>
          </w:p>
        </w:tc>
      </w:tr>
      <w:tr w:rsidR="004F37C5" w14:paraId="23EFA575" w14:textId="77777777" w:rsidTr="004F37C5">
        <w:trPr>
          <w:jc w:val="center"/>
        </w:trPr>
        <w:tc>
          <w:tcPr>
            <w:tcW w:w="3595" w:type="dxa"/>
          </w:tcPr>
          <w:p w14:paraId="7F710D88" w14:textId="77777777" w:rsidR="004F37C5" w:rsidRPr="001D4101" w:rsidRDefault="004F37C5" w:rsidP="004F37C5"/>
        </w:tc>
        <w:tc>
          <w:tcPr>
            <w:tcW w:w="2975" w:type="dxa"/>
          </w:tcPr>
          <w:p w14:paraId="2F211A03" w14:textId="77777777" w:rsidR="004F37C5" w:rsidRDefault="004F37C5" w:rsidP="004F37C5"/>
        </w:tc>
      </w:tr>
      <w:tr w:rsidR="004F37C5" w14:paraId="7BD5614E" w14:textId="77777777" w:rsidTr="004F37C5">
        <w:trPr>
          <w:jc w:val="center"/>
        </w:trPr>
        <w:tc>
          <w:tcPr>
            <w:tcW w:w="3595" w:type="dxa"/>
          </w:tcPr>
          <w:p w14:paraId="3BAB2E1B" w14:textId="77777777" w:rsidR="004F37C5" w:rsidRPr="00AE7FDD" w:rsidRDefault="004F37C5" w:rsidP="004F37C5">
            <w:pPr>
              <w:rPr>
                <w:b/>
                <w:bCs/>
              </w:rPr>
            </w:pPr>
            <w:r w:rsidRPr="00AE7FDD">
              <w:rPr>
                <w:b/>
                <w:bCs/>
              </w:rPr>
              <w:t>Trading</w:t>
            </w:r>
            <w:r w:rsidR="00534892">
              <w:rPr>
                <w:b/>
                <w:bCs/>
              </w:rPr>
              <w:t xml:space="preserve"> </w:t>
            </w:r>
            <w:r w:rsidRPr="00AE7FDD">
              <w:rPr>
                <w:b/>
                <w:bCs/>
              </w:rPr>
              <w:t>Venue:</w:t>
            </w:r>
          </w:p>
        </w:tc>
        <w:tc>
          <w:tcPr>
            <w:tcW w:w="2975" w:type="dxa"/>
          </w:tcPr>
          <w:p w14:paraId="311488EB" w14:textId="77777777" w:rsidR="004F37C5" w:rsidRPr="00275120" w:rsidRDefault="004F37C5" w:rsidP="004F37C5">
            <w:pPr>
              <w:rPr>
                <w:b/>
                <w:bCs/>
              </w:rPr>
            </w:pPr>
            <w:r w:rsidRPr="00275120">
              <w:rPr>
                <w:b/>
                <w:bCs/>
              </w:rPr>
              <w:t>Euronext</w:t>
            </w:r>
            <w:r w:rsidR="00534892">
              <w:rPr>
                <w:b/>
                <w:bCs/>
              </w:rPr>
              <w:t xml:space="preserve"> </w:t>
            </w:r>
            <w:r w:rsidRPr="00275120">
              <w:rPr>
                <w:b/>
                <w:bCs/>
              </w:rPr>
              <w:t>Amsterdam</w:t>
            </w:r>
          </w:p>
        </w:tc>
      </w:tr>
      <w:tr w:rsidR="00905171" w14:paraId="5B77B8D7" w14:textId="77777777" w:rsidTr="004F37C5">
        <w:trPr>
          <w:jc w:val="center"/>
        </w:trPr>
        <w:tc>
          <w:tcPr>
            <w:tcW w:w="3595" w:type="dxa"/>
          </w:tcPr>
          <w:p w14:paraId="4402E78B" w14:textId="77777777" w:rsidR="00905171" w:rsidRPr="00905171" w:rsidRDefault="00534892" w:rsidP="004F37C5">
            <w:r>
              <w:t xml:space="preserve">  </w:t>
            </w:r>
            <w:r w:rsidR="00905171" w:rsidRPr="00905171">
              <w:t>Ticker:</w:t>
            </w:r>
          </w:p>
        </w:tc>
        <w:tc>
          <w:tcPr>
            <w:tcW w:w="2975" w:type="dxa"/>
          </w:tcPr>
          <w:p w14:paraId="3E79A33A" w14:textId="77777777" w:rsidR="00905171" w:rsidRDefault="00905171" w:rsidP="004F37C5">
            <w:r>
              <w:t>PSH</w:t>
            </w:r>
          </w:p>
        </w:tc>
      </w:tr>
      <w:tr w:rsidR="004F37C5" w14:paraId="5EFB249D" w14:textId="77777777" w:rsidTr="004F37C5">
        <w:trPr>
          <w:jc w:val="center"/>
        </w:trPr>
        <w:tc>
          <w:tcPr>
            <w:tcW w:w="3595" w:type="dxa"/>
          </w:tcPr>
          <w:p w14:paraId="1AFB08F8" w14:textId="77777777" w:rsidR="004F37C5" w:rsidRDefault="00534892" w:rsidP="004F37C5">
            <w:r>
              <w:t xml:space="preserve">  </w:t>
            </w:r>
            <w:r w:rsidR="004F37C5">
              <w:t>Date</w:t>
            </w:r>
            <w:r>
              <w:t xml:space="preserve"> </w:t>
            </w:r>
            <w:r w:rsidR="004F37C5">
              <w:t>of</w:t>
            </w:r>
            <w:r>
              <w:t xml:space="preserve"> </w:t>
            </w:r>
            <w:r w:rsidR="004F37C5">
              <w:t>Purchase:</w:t>
            </w:r>
          </w:p>
        </w:tc>
        <w:tc>
          <w:tcPr>
            <w:tcW w:w="2975" w:type="dxa"/>
          </w:tcPr>
          <w:p w14:paraId="2B93C50C" w14:textId="26884D03" w:rsidR="004F37C5" w:rsidRDefault="004A374B" w:rsidP="004F37C5">
            <w:r>
              <w:t>14 November 2022</w:t>
            </w:r>
          </w:p>
        </w:tc>
      </w:tr>
      <w:tr w:rsidR="004F37C5" w14:paraId="25507550" w14:textId="77777777" w:rsidTr="004F37C5">
        <w:trPr>
          <w:jc w:val="center"/>
        </w:trPr>
        <w:tc>
          <w:tcPr>
            <w:tcW w:w="3595" w:type="dxa"/>
          </w:tcPr>
          <w:p w14:paraId="63B89145" w14:textId="77777777" w:rsidR="004F37C5" w:rsidRDefault="00534892" w:rsidP="004F37C5">
            <w:r>
              <w:t xml:space="preserve">  </w:t>
            </w:r>
            <w:r w:rsidR="004F37C5">
              <w:t>Number</w:t>
            </w:r>
            <w:r>
              <w:t xml:space="preserve"> </w:t>
            </w:r>
            <w:r w:rsidR="004F37C5">
              <w:t>of</w:t>
            </w:r>
            <w:r>
              <w:t xml:space="preserve"> </w:t>
            </w:r>
            <w:r w:rsidR="004F37C5">
              <w:t>Public</w:t>
            </w:r>
            <w:r>
              <w:t xml:space="preserve"> </w:t>
            </w:r>
            <w:r w:rsidR="004F37C5">
              <w:t>Shares</w:t>
            </w:r>
            <w:r>
              <w:t xml:space="preserve"> </w:t>
            </w:r>
            <w:r w:rsidR="004F37C5">
              <w:t>purchased:</w:t>
            </w:r>
          </w:p>
        </w:tc>
        <w:tc>
          <w:tcPr>
            <w:tcW w:w="2975" w:type="dxa"/>
          </w:tcPr>
          <w:p w14:paraId="3AA9F608" w14:textId="5C9054F4" w:rsidR="004F37C5" w:rsidRDefault="004A374B" w:rsidP="004F37C5">
            <w:r>
              <w:t>18,051</w:t>
            </w:r>
            <w:r w:rsidR="00534892">
              <w:t xml:space="preserve"> </w:t>
            </w:r>
            <w:r w:rsidR="004F37C5">
              <w:t>Shares</w:t>
            </w:r>
          </w:p>
        </w:tc>
      </w:tr>
      <w:tr w:rsidR="004F37C5" w14:paraId="2499B5EC" w14:textId="77777777" w:rsidTr="004F37C5">
        <w:trPr>
          <w:jc w:val="center"/>
        </w:trPr>
        <w:tc>
          <w:tcPr>
            <w:tcW w:w="3595" w:type="dxa"/>
          </w:tcPr>
          <w:p w14:paraId="1AB140D4" w14:textId="77777777" w:rsidR="004F37C5" w:rsidRDefault="00534892" w:rsidP="004F37C5">
            <w:r>
              <w:t xml:space="preserve">  </w:t>
            </w:r>
            <w:r w:rsidR="004F37C5">
              <w:t>Highest</w:t>
            </w:r>
            <w:r>
              <w:t xml:space="preserve"> </w:t>
            </w:r>
            <w:r w:rsidR="004F37C5">
              <w:t>Price</w:t>
            </w:r>
            <w:r>
              <w:t xml:space="preserve"> </w:t>
            </w:r>
            <w:r w:rsidR="004F37C5">
              <w:t>Paid</w:t>
            </w:r>
            <w:r>
              <w:t xml:space="preserve"> </w:t>
            </w:r>
            <w:r w:rsidR="004F37C5">
              <w:t>Per</w:t>
            </w:r>
            <w:r>
              <w:t xml:space="preserve"> </w:t>
            </w:r>
            <w:r w:rsidR="004F37C5">
              <w:t>Share:</w:t>
            </w:r>
          </w:p>
        </w:tc>
        <w:tc>
          <w:tcPr>
            <w:tcW w:w="2975" w:type="dxa"/>
          </w:tcPr>
          <w:p w14:paraId="1D10B26D" w14:textId="0A1B8E2F" w:rsidR="004F37C5" w:rsidRDefault="004A374B" w:rsidP="004F37C5">
            <w:r>
              <w:t>34.85</w:t>
            </w:r>
            <w:r w:rsidR="00534892">
              <w:t xml:space="preserve"> </w:t>
            </w:r>
            <w:r w:rsidR="004F37C5">
              <w:t>USD</w:t>
            </w:r>
          </w:p>
        </w:tc>
      </w:tr>
      <w:tr w:rsidR="004F37C5" w14:paraId="1B117AAE" w14:textId="77777777" w:rsidTr="004F37C5">
        <w:trPr>
          <w:jc w:val="center"/>
        </w:trPr>
        <w:tc>
          <w:tcPr>
            <w:tcW w:w="3595" w:type="dxa"/>
          </w:tcPr>
          <w:p w14:paraId="37E4ECA9" w14:textId="77777777" w:rsidR="004F37C5" w:rsidRDefault="00534892" w:rsidP="004F37C5">
            <w:r>
              <w:t xml:space="preserve">  </w:t>
            </w:r>
            <w:r w:rsidR="004F37C5">
              <w:t>Lowest</w:t>
            </w:r>
            <w:r>
              <w:t xml:space="preserve"> </w:t>
            </w:r>
            <w:r w:rsidR="004F37C5">
              <w:t>Price</w:t>
            </w:r>
            <w:r>
              <w:t xml:space="preserve"> </w:t>
            </w:r>
            <w:r w:rsidR="004F37C5">
              <w:t>Paid</w:t>
            </w:r>
            <w:r>
              <w:t xml:space="preserve"> </w:t>
            </w:r>
            <w:r w:rsidR="004F37C5">
              <w:t>Per</w:t>
            </w:r>
            <w:r>
              <w:t xml:space="preserve"> </w:t>
            </w:r>
            <w:r w:rsidR="004F37C5">
              <w:t>Share:</w:t>
            </w:r>
          </w:p>
        </w:tc>
        <w:tc>
          <w:tcPr>
            <w:tcW w:w="2975" w:type="dxa"/>
          </w:tcPr>
          <w:p w14:paraId="6457E5A3" w14:textId="07BC6155" w:rsidR="004F37C5" w:rsidRDefault="004A374B" w:rsidP="004F37C5">
            <w:r>
              <w:t>34.10</w:t>
            </w:r>
            <w:r w:rsidR="00534892">
              <w:t xml:space="preserve"> </w:t>
            </w:r>
            <w:r w:rsidR="004F37C5">
              <w:t>USD</w:t>
            </w:r>
          </w:p>
        </w:tc>
      </w:tr>
      <w:tr w:rsidR="004F37C5" w14:paraId="12487AF9" w14:textId="77777777" w:rsidTr="004F37C5">
        <w:trPr>
          <w:jc w:val="center"/>
        </w:trPr>
        <w:tc>
          <w:tcPr>
            <w:tcW w:w="3595" w:type="dxa"/>
          </w:tcPr>
          <w:p w14:paraId="089C1E3C" w14:textId="77777777" w:rsidR="004F37C5" w:rsidRDefault="00534892" w:rsidP="004F37C5">
            <w:r>
              <w:t xml:space="preserve">  </w:t>
            </w:r>
            <w:r w:rsidR="004F37C5">
              <w:t>Average</w:t>
            </w:r>
            <w:r>
              <w:t xml:space="preserve"> </w:t>
            </w:r>
            <w:r w:rsidR="004F37C5">
              <w:t>Price</w:t>
            </w:r>
            <w:r>
              <w:t xml:space="preserve"> </w:t>
            </w:r>
            <w:r w:rsidR="004F37C5">
              <w:t>Paid</w:t>
            </w:r>
            <w:r>
              <w:t xml:space="preserve"> </w:t>
            </w:r>
            <w:r w:rsidR="004F37C5">
              <w:t>Per</w:t>
            </w:r>
            <w:r>
              <w:t xml:space="preserve"> </w:t>
            </w:r>
            <w:r w:rsidR="004F37C5">
              <w:t>Share:</w:t>
            </w:r>
          </w:p>
        </w:tc>
        <w:tc>
          <w:tcPr>
            <w:tcW w:w="2975" w:type="dxa"/>
          </w:tcPr>
          <w:p w14:paraId="6840A009" w14:textId="7BC8FC82" w:rsidR="004F37C5" w:rsidRDefault="004A374B" w:rsidP="004F37C5">
            <w:r>
              <w:t>34.34</w:t>
            </w:r>
            <w:r w:rsidR="00534892">
              <w:t xml:space="preserve"> </w:t>
            </w:r>
            <w:r w:rsidR="004F37C5">
              <w:t>USD</w:t>
            </w:r>
          </w:p>
        </w:tc>
      </w:tr>
    </w:tbl>
    <w:p w14:paraId="01A2660C" w14:textId="77777777" w:rsidR="00F77435" w:rsidRDefault="00F77435" w:rsidP="00AE7FDD">
      <w:pPr>
        <w:spacing w:after="0" w:line="240" w:lineRule="auto"/>
      </w:pPr>
    </w:p>
    <w:p w14:paraId="4E3187B1" w14:textId="49B0970D" w:rsidR="00F77435" w:rsidRPr="00145436" w:rsidRDefault="00F77435" w:rsidP="00F77435">
      <w:pPr>
        <w:spacing w:after="0" w:line="240" w:lineRule="auto"/>
      </w:pPr>
      <w:r w:rsidRPr="00145436">
        <w:t>PSH</w:t>
      </w:r>
      <w:r w:rsidR="00534892">
        <w:t xml:space="preserve"> </w:t>
      </w:r>
      <w:r w:rsidR="00173E13">
        <w:t>will hold</w:t>
      </w:r>
      <w:r w:rsidR="00534892">
        <w:t xml:space="preserve"> </w:t>
      </w:r>
      <w:r w:rsidRPr="00145436">
        <w:t>these</w:t>
      </w:r>
      <w:r w:rsidR="00534892">
        <w:t xml:space="preserve"> </w:t>
      </w:r>
      <w:r w:rsidRPr="00145436">
        <w:t>Public</w:t>
      </w:r>
      <w:r w:rsidR="00534892">
        <w:t xml:space="preserve"> </w:t>
      </w:r>
      <w:r w:rsidRPr="00145436">
        <w:t>Shares</w:t>
      </w:r>
      <w:r w:rsidR="00173E13">
        <w:t xml:space="preserve"> in Treasury</w:t>
      </w:r>
      <w:r w:rsidRPr="00145436">
        <w:t>.</w:t>
      </w:r>
      <w:r w:rsidR="00534892">
        <w:t xml:space="preserve"> </w:t>
      </w:r>
      <w:r w:rsidRPr="00145436">
        <w:t>The</w:t>
      </w:r>
      <w:r w:rsidR="00534892">
        <w:t xml:space="preserve"> </w:t>
      </w:r>
      <w:r w:rsidRPr="00145436">
        <w:t>net</w:t>
      </w:r>
      <w:r w:rsidR="00534892">
        <w:t xml:space="preserve"> </w:t>
      </w:r>
      <w:r w:rsidRPr="00145436">
        <w:t>asset</w:t>
      </w:r>
      <w:r w:rsidR="00534892">
        <w:t xml:space="preserve"> </w:t>
      </w:r>
      <w:r w:rsidRPr="00145436">
        <w:t>value</w:t>
      </w:r>
      <w:r w:rsidR="00534892">
        <w:t xml:space="preserve"> </w:t>
      </w:r>
      <w:r w:rsidRPr="00145436">
        <w:t>per</w:t>
      </w:r>
      <w:r w:rsidR="00534892">
        <w:t xml:space="preserve"> </w:t>
      </w:r>
      <w:r w:rsidRPr="00145436">
        <w:t>Public</w:t>
      </w:r>
      <w:r w:rsidR="00534892">
        <w:t xml:space="preserve"> </w:t>
      </w:r>
      <w:r w:rsidRPr="00145436">
        <w:t>Share</w:t>
      </w:r>
      <w:r w:rsidR="00534892">
        <w:t xml:space="preserve"> </w:t>
      </w:r>
      <w:r w:rsidRPr="00145436">
        <w:t>related</w:t>
      </w:r>
      <w:r w:rsidR="00534892">
        <w:t xml:space="preserve"> </w:t>
      </w:r>
      <w:r w:rsidRPr="00145436">
        <w:t>to</w:t>
      </w:r>
      <w:r w:rsidR="00534892">
        <w:t xml:space="preserve"> </w:t>
      </w:r>
      <w:r w:rsidRPr="00145436">
        <w:t>this</w:t>
      </w:r>
      <w:r w:rsidR="00534892">
        <w:t xml:space="preserve"> </w:t>
      </w:r>
      <w:r w:rsidRPr="00145436">
        <w:t>buyback</w:t>
      </w:r>
      <w:r w:rsidR="00534892">
        <w:t xml:space="preserve"> </w:t>
      </w:r>
      <w:r w:rsidRPr="00145436">
        <w:t>is</w:t>
      </w:r>
      <w:r w:rsidR="00534892">
        <w:t xml:space="preserve"> </w:t>
      </w:r>
      <w:r w:rsidR="004A374B">
        <w:t>49.62</w:t>
      </w:r>
      <w:r w:rsidR="00534892">
        <w:t xml:space="preserve"> </w:t>
      </w:r>
      <w:r w:rsidRPr="00145436">
        <w:t>USD</w:t>
      </w:r>
      <w:r w:rsidR="00534892">
        <w:t xml:space="preserve"> </w:t>
      </w:r>
      <w:r w:rsidRPr="00145436">
        <w:t>/</w:t>
      </w:r>
      <w:r w:rsidR="00534892">
        <w:t xml:space="preserve"> </w:t>
      </w:r>
      <w:r w:rsidR="004A374B">
        <w:t>43.02</w:t>
      </w:r>
      <w:r w:rsidR="00534892">
        <w:t xml:space="preserve"> </w:t>
      </w:r>
      <w:r w:rsidRPr="00145436">
        <w:t>GBP</w:t>
      </w:r>
      <w:r w:rsidR="00534892">
        <w:t xml:space="preserve"> </w:t>
      </w:r>
      <w:r w:rsidRPr="00145436">
        <w:t>which</w:t>
      </w:r>
      <w:r w:rsidR="00534892">
        <w:t xml:space="preserve"> </w:t>
      </w:r>
      <w:r w:rsidRPr="00145436">
        <w:t>was</w:t>
      </w:r>
      <w:r w:rsidR="00534892">
        <w:t xml:space="preserve"> </w:t>
      </w:r>
      <w:r w:rsidRPr="00145436">
        <w:t>calculated</w:t>
      </w:r>
      <w:r w:rsidR="00534892">
        <w:t xml:space="preserve"> </w:t>
      </w:r>
      <w:r w:rsidRPr="00145436">
        <w:t>as</w:t>
      </w:r>
      <w:r w:rsidR="00534892">
        <w:t xml:space="preserve"> </w:t>
      </w:r>
      <w:r w:rsidRPr="00145436">
        <w:t>of</w:t>
      </w:r>
      <w:r w:rsidR="00534892">
        <w:t xml:space="preserve"> </w:t>
      </w:r>
      <w:r w:rsidR="004A374B">
        <w:t>8 November 2022</w:t>
      </w:r>
      <w:r w:rsidRPr="00145436">
        <w:t>.</w:t>
      </w:r>
      <w:r w:rsidR="00534892">
        <w:t xml:space="preserve"> </w:t>
      </w:r>
      <w:r>
        <w:t>After</w:t>
      </w:r>
      <w:r w:rsidR="00534892">
        <w:t xml:space="preserve"> </w:t>
      </w:r>
      <w:r>
        <w:t>giving</w:t>
      </w:r>
      <w:r w:rsidR="00534892">
        <w:t xml:space="preserve"> </w:t>
      </w:r>
      <w:r>
        <w:t>effect</w:t>
      </w:r>
      <w:r w:rsidR="00534892">
        <w:t xml:space="preserve"> </w:t>
      </w:r>
      <w:r>
        <w:t>to</w:t>
      </w:r>
      <w:r w:rsidR="00534892">
        <w:t xml:space="preserve"> </w:t>
      </w:r>
      <w:r w:rsidRPr="00145436">
        <w:t>the</w:t>
      </w:r>
      <w:r w:rsidR="00534892">
        <w:t xml:space="preserve"> </w:t>
      </w:r>
      <w:r w:rsidRPr="00145436">
        <w:t>above</w:t>
      </w:r>
      <w:r w:rsidR="00534892">
        <w:t xml:space="preserve"> </w:t>
      </w:r>
      <w:r w:rsidRPr="00145436">
        <w:t>buyback,</w:t>
      </w:r>
      <w:r w:rsidR="00534892">
        <w:t xml:space="preserve"> </w:t>
      </w:r>
      <w:r w:rsidRPr="00145436">
        <w:t>PSH</w:t>
      </w:r>
      <w:r w:rsidR="00534892">
        <w:t xml:space="preserve"> </w:t>
      </w:r>
      <w:r w:rsidRPr="00145436">
        <w:t>has</w:t>
      </w:r>
      <w:r w:rsidR="00534892">
        <w:t xml:space="preserve"> </w:t>
      </w:r>
      <w:r w:rsidR="004A374B">
        <w:t>192,235,019</w:t>
      </w:r>
      <w:r w:rsidR="00534892">
        <w:t xml:space="preserve"> </w:t>
      </w:r>
      <w:r w:rsidRPr="00145436">
        <w:t>Public</w:t>
      </w:r>
      <w:r w:rsidR="00534892">
        <w:t xml:space="preserve"> </w:t>
      </w:r>
      <w:r w:rsidRPr="00145436">
        <w:t>Shares</w:t>
      </w:r>
      <w:r w:rsidR="00534892">
        <w:t xml:space="preserve"> </w:t>
      </w:r>
      <w:r w:rsidRPr="00145436">
        <w:t>outstanding</w:t>
      </w:r>
      <w:r w:rsidRPr="001D4101">
        <w:t>.</w:t>
      </w:r>
      <w:r w:rsidR="00534892" w:rsidRPr="001D4101">
        <w:t xml:space="preserve"> </w:t>
      </w:r>
      <w:r w:rsidR="00173E13" w:rsidRPr="001D4101">
        <w:t xml:space="preserve">Excluded from the shares outstanding are </w:t>
      </w:r>
      <w:r w:rsidR="004A374B">
        <w:t>18,721,731</w:t>
      </w:r>
      <w:r w:rsidR="00173E13" w:rsidRPr="001D4101">
        <w:t xml:space="preserve"> Public Shares held in Treasury. </w:t>
      </w:r>
      <w:r w:rsidR="00B07149">
        <w:t>The</w:t>
      </w:r>
      <w:r w:rsidR="00534892">
        <w:t xml:space="preserve"> </w:t>
      </w:r>
      <w:r w:rsidR="00B07149">
        <w:t>prices</w:t>
      </w:r>
      <w:r w:rsidR="00534892">
        <w:t xml:space="preserve"> </w:t>
      </w:r>
      <w:r w:rsidR="00B07149">
        <w:t>per</w:t>
      </w:r>
      <w:r w:rsidR="00534892">
        <w:t xml:space="preserve"> </w:t>
      </w:r>
      <w:r w:rsidR="00B07149">
        <w:t>Public</w:t>
      </w:r>
      <w:r w:rsidR="00534892">
        <w:t xml:space="preserve"> </w:t>
      </w:r>
      <w:r w:rsidR="00B07149">
        <w:t>Share</w:t>
      </w:r>
      <w:r w:rsidR="00534892">
        <w:t xml:space="preserve"> </w:t>
      </w:r>
      <w:r w:rsidR="00B07149">
        <w:t>were</w:t>
      </w:r>
      <w:r w:rsidR="00534892">
        <w:t xml:space="preserve"> </w:t>
      </w:r>
      <w:r w:rsidR="00B07149">
        <w:t>calculated</w:t>
      </w:r>
      <w:r w:rsidR="00534892">
        <w:t xml:space="preserve"> </w:t>
      </w:r>
      <w:r w:rsidR="00B07149">
        <w:t>by</w:t>
      </w:r>
      <w:r w:rsidR="00534892">
        <w:t xml:space="preserve"> </w:t>
      </w:r>
      <w:r w:rsidR="00B07149">
        <w:t>Jefferies.</w:t>
      </w:r>
      <w:r w:rsidR="00534892">
        <w:t xml:space="preserve"> </w:t>
      </w:r>
    </w:p>
    <w:p w14:paraId="5D2F6705" w14:textId="77777777" w:rsidR="00AE7FDD" w:rsidRPr="00AE7FDD" w:rsidRDefault="00AE7FDD" w:rsidP="00AE7FDD">
      <w:pPr>
        <w:spacing w:after="0" w:line="240" w:lineRule="auto"/>
        <w:rPr>
          <w:lang w:val="nl-NL"/>
        </w:rPr>
      </w:pPr>
    </w:p>
    <w:p w14:paraId="7E900853" w14:textId="77777777" w:rsidR="004920FA" w:rsidRDefault="00AE7FDD" w:rsidP="00AE7FDD">
      <w:pPr>
        <w:spacing w:after="0" w:line="240" w:lineRule="auto"/>
        <w:rPr>
          <w:lang w:val="nl-NL"/>
        </w:rPr>
      </w:pPr>
      <w:r w:rsidRPr="00AE7FDD">
        <w:rPr>
          <w:lang w:val="nl-NL"/>
        </w:rPr>
        <w:t>The</w:t>
      </w:r>
      <w:r w:rsidR="00534892">
        <w:rPr>
          <w:lang w:val="nl-NL"/>
        </w:rPr>
        <w:t xml:space="preserve"> </w:t>
      </w:r>
      <w:r w:rsidR="006B17A7">
        <w:rPr>
          <w:lang w:val="nl-NL"/>
        </w:rPr>
        <w:t>one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special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voting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share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(held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by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PS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Holdings</w:t>
      </w:r>
      <w:r w:rsidR="007555DB">
        <w:rPr>
          <w:lang w:val="nl-NL"/>
        </w:rPr>
        <w:t xml:space="preserve"> </w:t>
      </w:r>
      <w:r w:rsidRPr="00AE7FDD">
        <w:rPr>
          <w:lang w:val="nl-NL"/>
        </w:rPr>
        <w:t>Independent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Voting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Company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Limited)</w:t>
      </w:r>
      <w:r w:rsidR="00534892">
        <w:rPr>
          <w:lang w:val="nl-NL"/>
        </w:rPr>
        <w:t xml:space="preserve"> </w:t>
      </w:r>
      <w:r w:rsidR="007555DB">
        <w:rPr>
          <w:lang w:val="nl-NL"/>
        </w:rPr>
        <w:t>has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not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been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affected.</w:t>
      </w:r>
    </w:p>
    <w:p w14:paraId="769C4C5D" w14:textId="77777777" w:rsidR="00972D01" w:rsidRDefault="00972D01" w:rsidP="00782BB4">
      <w:pPr>
        <w:spacing w:after="0" w:line="240" w:lineRule="auto"/>
      </w:pPr>
    </w:p>
    <w:p w14:paraId="652A817F" w14:textId="77777777" w:rsidR="00782BB4" w:rsidRPr="005219EA" w:rsidRDefault="00782BB4" w:rsidP="00782BB4">
      <w:pPr>
        <w:spacing w:after="0" w:line="240" w:lineRule="auto"/>
        <w:rPr>
          <w:b/>
        </w:rPr>
      </w:pPr>
      <w:r w:rsidRPr="005219EA">
        <w:rPr>
          <w:b/>
        </w:rPr>
        <w:t>About</w:t>
      </w:r>
      <w:r w:rsidR="00534892">
        <w:rPr>
          <w:b/>
        </w:rPr>
        <w:t xml:space="preserve"> </w:t>
      </w:r>
      <w:r w:rsidRPr="005219EA">
        <w:rPr>
          <w:b/>
        </w:rPr>
        <w:t>Pershing</w:t>
      </w:r>
      <w:r w:rsidR="00534892">
        <w:rPr>
          <w:b/>
        </w:rPr>
        <w:t xml:space="preserve"> </w:t>
      </w:r>
      <w:r w:rsidRPr="005219EA">
        <w:rPr>
          <w:b/>
        </w:rPr>
        <w:t>Square</w:t>
      </w:r>
      <w:r w:rsidR="00534892">
        <w:rPr>
          <w:b/>
        </w:rPr>
        <w:t xml:space="preserve"> </w:t>
      </w:r>
      <w:r w:rsidRPr="005219EA">
        <w:rPr>
          <w:b/>
        </w:rPr>
        <w:t>Holdings,</w:t>
      </w:r>
      <w:r w:rsidR="00534892">
        <w:rPr>
          <w:b/>
        </w:rPr>
        <w:t xml:space="preserve"> </w:t>
      </w:r>
      <w:r w:rsidRPr="005219EA">
        <w:rPr>
          <w:b/>
        </w:rPr>
        <w:t>Ltd.</w:t>
      </w:r>
      <w:r w:rsidR="00534892">
        <w:rPr>
          <w:b/>
        </w:rPr>
        <w:t xml:space="preserve">   </w:t>
      </w:r>
    </w:p>
    <w:p w14:paraId="2AB6CCC4" w14:textId="77777777" w:rsidR="00782BB4" w:rsidRDefault="00782BB4" w:rsidP="00782BB4">
      <w:pPr>
        <w:spacing w:after="0" w:line="240" w:lineRule="auto"/>
      </w:pPr>
      <w:r w:rsidRPr="005219EA">
        <w:lastRenderedPageBreak/>
        <w:t>Pershing</w:t>
      </w:r>
      <w:r w:rsidR="00534892">
        <w:t xml:space="preserve"> </w:t>
      </w:r>
      <w:r w:rsidRPr="005219EA">
        <w:t>Square</w:t>
      </w:r>
      <w:r w:rsidR="00534892">
        <w:t xml:space="preserve"> </w:t>
      </w:r>
      <w:r w:rsidRPr="005219EA">
        <w:t>Holdings,</w:t>
      </w:r>
      <w:r w:rsidR="00534892">
        <w:t xml:space="preserve"> </w:t>
      </w:r>
      <w:r w:rsidRPr="005219EA">
        <w:t>Ltd.</w:t>
      </w:r>
      <w:r w:rsidR="00534892">
        <w:t xml:space="preserve"> </w:t>
      </w:r>
      <w:r w:rsidRPr="005219EA">
        <w:t>(LN:PSH)</w:t>
      </w:r>
      <w:r w:rsidR="00534892">
        <w:t xml:space="preserve"> </w:t>
      </w:r>
      <w:r w:rsidRPr="005219EA">
        <w:t>(LN:PSHD)</w:t>
      </w:r>
      <w:r w:rsidR="00534892">
        <w:t xml:space="preserve"> </w:t>
      </w:r>
      <w:r w:rsidRPr="005219EA">
        <w:t>(NA:PSH)</w:t>
      </w:r>
      <w:r w:rsidR="00534892">
        <w:t xml:space="preserve"> </w:t>
      </w:r>
      <w:r w:rsidRPr="005219EA">
        <w:t>is</w:t>
      </w:r>
      <w:r w:rsidR="00534892">
        <w:t xml:space="preserve"> </w:t>
      </w:r>
      <w:r w:rsidRPr="005219EA">
        <w:t>an</w:t>
      </w:r>
      <w:r w:rsidR="00534892">
        <w:t xml:space="preserve"> </w:t>
      </w:r>
      <w:r w:rsidRPr="005219EA">
        <w:t>investment</w:t>
      </w:r>
      <w:r w:rsidR="00534892">
        <w:t xml:space="preserve"> </w:t>
      </w:r>
      <w:r w:rsidRPr="005219EA">
        <w:t>holding</w:t>
      </w:r>
      <w:r w:rsidR="00534892">
        <w:t xml:space="preserve"> </w:t>
      </w:r>
      <w:r w:rsidRPr="005219EA">
        <w:t>company</w:t>
      </w:r>
      <w:r w:rsidR="00534892">
        <w:t xml:space="preserve"> </w:t>
      </w:r>
      <w:r w:rsidRPr="005219EA">
        <w:t>structured</w:t>
      </w:r>
      <w:r w:rsidR="00534892">
        <w:t xml:space="preserve"> </w:t>
      </w:r>
      <w:r w:rsidRPr="005219EA">
        <w:t>as</w:t>
      </w:r>
      <w:r w:rsidR="00534892">
        <w:t xml:space="preserve"> </w:t>
      </w:r>
      <w:r w:rsidRPr="005219EA">
        <w:t>a</w:t>
      </w:r>
      <w:r w:rsidR="00534892">
        <w:t xml:space="preserve"> </w:t>
      </w:r>
      <w:r w:rsidRPr="005219EA">
        <w:t>closed-ended</w:t>
      </w:r>
      <w:r w:rsidR="00534892">
        <w:t xml:space="preserve"> </w:t>
      </w:r>
      <w:r w:rsidRPr="005219EA">
        <w:t>fund.</w:t>
      </w:r>
    </w:p>
    <w:p w14:paraId="41DA36B2" w14:textId="77777777" w:rsidR="004F0863" w:rsidRDefault="004F0863" w:rsidP="000E7B8B">
      <w:pPr>
        <w:pStyle w:val="Footer"/>
      </w:pPr>
    </w:p>
    <w:p w14:paraId="6B712D0B" w14:textId="77777777" w:rsidR="000E7B8B" w:rsidRPr="005921D8" w:rsidRDefault="000E7B8B" w:rsidP="000E7B8B">
      <w:pPr>
        <w:pStyle w:val="Footer"/>
      </w:pPr>
      <w:r w:rsidRPr="005921D8">
        <w:t>Category: (PSH:ShareRepurchases)</w:t>
      </w:r>
    </w:p>
    <w:p w14:paraId="6FD9EBCA" w14:textId="77777777" w:rsidR="00782BB4" w:rsidRDefault="00782BB4" w:rsidP="00782BB4">
      <w:pPr>
        <w:spacing w:after="0" w:line="240" w:lineRule="auto"/>
      </w:pPr>
    </w:p>
    <w:p w14:paraId="16379AB3" w14:textId="77777777" w:rsidR="00782BB4" w:rsidRPr="00C52B2F" w:rsidRDefault="00782BB4" w:rsidP="00782BB4">
      <w:pPr>
        <w:spacing w:after="0" w:line="240" w:lineRule="auto"/>
        <w:rPr>
          <w:b/>
        </w:rPr>
      </w:pPr>
      <w:r w:rsidRPr="00C52B2F">
        <w:rPr>
          <w:b/>
        </w:rPr>
        <w:t>Media</w:t>
      </w:r>
      <w:r w:rsidR="00534892">
        <w:rPr>
          <w:b/>
        </w:rPr>
        <w:t xml:space="preserve"> </w:t>
      </w:r>
      <w:r w:rsidRPr="00C52B2F">
        <w:rPr>
          <w:b/>
        </w:rPr>
        <w:t>Contact</w:t>
      </w:r>
      <w:r w:rsidR="00534892">
        <w:rPr>
          <w:b/>
        </w:rPr>
        <w:t xml:space="preserve"> </w:t>
      </w:r>
    </w:p>
    <w:p w14:paraId="6E36714F" w14:textId="77777777" w:rsidR="00782BB4" w:rsidRPr="00C52B2F" w:rsidRDefault="00782BB4" w:rsidP="00782BB4">
      <w:pPr>
        <w:spacing w:after="0" w:line="240" w:lineRule="auto"/>
        <w:rPr>
          <w:b/>
          <w:sz w:val="21"/>
          <w:szCs w:val="21"/>
        </w:rPr>
      </w:pPr>
      <w:r w:rsidRPr="00C52B2F">
        <w:rPr>
          <w:b/>
        </w:rPr>
        <w:t>Camarco</w:t>
      </w:r>
      <w:r w:rsidR="00534892">
        <w:rPr>
          <w:b/>
        </w:rPr>
        <w:t xml:space="preserve"> </w:t>
      </w:r>
    </w:p>
    <w:p w14:paraId="39A5CAF3" w14:textId="77777777" w:rsidR="000E25A4" w:rsidRDefault="00782BB4" w:rsidP="00B6755E">
      <w:pPr>
        <w:spacing w:after="0" w:line="240" w:lineRule="auto"/>
        <w:rPr>
          <w:sz w:val="21"/>
          <w:szCs w:val="21"/>
        </w:rPr>
      </w:pPr>
      <w:r w:rsidRPr="00C52B2F">
        <w:rPr>
          <w:sz w:val="21"/>
          <w:szCs w:val="21"/>
        </w:rPr>
        <w:t>Ed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Gascoigne-Pees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/</w:t>
      </w:r>
      <w:r w:rsidR="00534892">
        <w:rPr>
          <w:sz w:val="21"/>
          <w:szCs w:val="21"/>
        </w:rPr>
        <w:t xml:space="preserve"> </w:t>
      </w:r>
      <w:r w:rsidR="007555DB">
        <w:rPr>
          <w:sz w:val="21"/>
          <w:szCs w:val="21"/>
        </w:rPr>
        <w:t>Julia</w:t>
      </w:r>
      <w:r w:rsidR="00534892">
        <w:rPr>
          <w:sz w:val="21"/>
          <w:szCs w:val="21"/>
        </w:rPr>
        <w:t xml:space="preserve"> </w:t>
      </w:r>
      <w:r w:rsidR="007555DB">
        <w:rPr>
          <w:sz w:val="21"/>
          <w:szCs w:val="21"/>
        </w:rPr>
        <w:t>Tilley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+44</w:t>
      </w:r>
      <w:r w:rsidR="00534892">
        <w:rPr>
          <w:sz w:val="21"/>
          <w:szCs w:val="21"/>
        </w:rPr>
        <w:t xml:space="preserve"> </w:t>
      </w:r>
      <w:r w:rsidR="007555DB">
        <w:rPr>
          <w:sz w:val="21"/>
          <w:szCs w:val="21"/>
        </w:rPr>
        <w:t>(</w:t>
      </w:r>
      <w:r w:rsidRPr="00C52B2F">
        <w:rPr>
          <w:sz w:val="21"/>
          <w:szCs w:val="21"/>
        </w:rPr>
        <w:t>0</w:t>
      </w:r>
      <w:r w:rsidR="007555DB">
        <w:rPr>
          <w:sz w:val="21"/>
          <w:szCs w:val="21"/>
        </w:rPr>
        <w:t>)</w:t>
      </w:r>
      <w:r w:rsidRPr="00C52B2F">
        <w:rPr>
          <w:sz w:val="21"/>
          <w:szCs w:val="21"/>
        </w:rPr>
        <w:t>20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37</w:t>
      </w:r>
      <w:r w:rsidR="007555DB">
        <w:rPr>
          <w:sz w:val="21"/>
          <w:szCs w:val="21"/>
        </w:rPr>
        <w:t>81</w:t>
      </w:r>
      <w:r w:rsidR="00534892">
        <w:rPr>
          <w:sz w:val="21"/>
          <w:szCs w:val="21"/>
        </w:rPr>
        <w:t xml:space="preserve"> </w:t>
      </w:r>
      <w:r w:rsidR="007555DB">
        <w:rPr>
          <w:sz w:val="21"/>
          <w:szCs w:val="21"/>
        </w:rPr>
        <w:t>833</w:t>
      </w:r>
      <w:r w:rsidRPr="00C52B2F">
        <w:rPr>
          <w:sz w:val="21"/>
          <w:szCs w:val="21"/>
        </w:rPr>
        <w:t>9,</w:t>
      </w:r>
      <w:r w:rsidR="00534892">
        <w:rPr>
          <w:sz w:val="21"/>
          <w:szCs w:val="21"/>
        </w:rPr>
        <w:t xml:space="preserve"> </w:t>
      </w:r>
      <w:hyperlink r:id="rId10" w:history="1">
        <w:r w:rsidRPr="00C52B2F">
          <w:rPr>
            <w:rStyle w:val="Hyperlink"/>
            <w:sz w:val="21"/>
            <w:szCs w:val="21"/>
          </w:rPr>
          <w:t>media-pershingsquareholdings@camarco.co.uk</w:t>
        </w:r>
      </w:hyperlink>
    </w:p>
    <w:sectPr w:rsidR="000E25A4" w:rsidSect="004F0863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C3CC0" w14:textId="77777777" w:rsidR="004A374B" w:rsidRDefault="004A374B" w:rsidP="00782BB4">
      <w:pPr>
        <w:spacing w:after="0" w:line="240" w:lineRule="auto"/>
      </w:pPr>
      <w:r>
        <w:separator/>
      </w:r>
    </w:p>
  </w:endnote>
  <w:endnote w:type="continuationSeparator" w:id="0">
    <w:p w14:paraId="0B289938" w14:textId="77777777" w:rsidR="004A374B" w:rsidRDefault="004A374B" w:rsidP="0078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7B1CF" w14:textId="77777777" w:rsidR="004A374B" w:rsidRDefault="004A374B" w:rsidP="00782BB4">
      <w:pPr>
        <w:spacing w:after="0" w:line="240" w:lineRule="auto"/>
      </w:pPr>
      <w:r>
        <w:separator/>
      </w:r>
    </w:p>
  </w:footnote>
  <w:footnote w:type="continuationSeparator" w:id="0">
    <w:p w14:paraId="4E24A75F" w14:textId="77777777" w:rsidR="004A374B" w:rsidRDefault="004A374B" w:rsidP="00782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B4"/>
    <w:rsid w:val="000E25A4"/>
    <w:rsid w:val="000E7B8B"/>
    <w:rsid w:val="00103B58"/>
    <w:rsid w:val="001455D3"/>
    <w:rsid w:val="00173E13"/>
    <w:rsid w:val="001D4101"/>
    <w:rsid w:val="00223D77"/>
    <w:rsid w:val="002734F6"/>
    <w:rsid w:val="00275120"/>
    <w:rsid w:val="002827E0"/>
    <w:rsid w:val="002859D5"/>
    <w:rsid w:val="002978B6"/>
    <w:rsid w:val="002F6028"/>
    <w:rsid w:val="0030563C"/>
    <w:rsid w:val="00323CF8"/>
    <w:rsid w:val="0039112F"/>
    <w:rsid w:val="00455B0D"/>
    <w:rsid w:val="004920FA"/>
    <w:rsid w:val="004A374B"/>
    <w:rsid w:val="004B37BB"/>
    <w:rsid w:val="004E30A5"/>
    <w:rsid w:val="004F0863"/>
    <w:rsid w:val="004F37C5"/>
    <w:rsid w:val="0052026C"/>
    <w:rsid w:val="00534892"/>
    <w:rsid w:val="005559E2"/>
    <w:rsid w:val="005921D8"/>
    <w:rsid w:val="00621BFC"/>
    <w:rsid w:val="006B17A7"/>
    <w:rsid w:val="006C2152"/>
    <w:rsid w:val="007555DB"/>
    <w:rsid w:val="00782BB4"/>
    <w:rsid w:val="00790065"/>
    <w:rsid w:val="007E62D1"/>
    <w:rsid w:val="00856315"/>
    <w:rsid w:val="00905171"/>
    <w:rsid w:val="00972D01"/>
    <w:rsid w:val="00A57003"/>
    <w:rsid w:val="00A66469"/>
    <w:rsid w:val="00AB57B8"/>
    <w:rsid w:val="00AE7FDD"/>
    <w:rsid w:val="00B02BC7"/>
    <w:rsid w:val="00B07149"/>
    <w:rsid w:val="00B24336"/>
    <w:rsid w:val="00B61FB3"/>
    <w:rsid w:val="00B6755E"/>
    <w:rsid w:val="00B73809"/>
    <w:rsid w:val="00B80C8A"/>
    <w:rsid w:val="00BD3EF9"/>
    <w:rsid w:val="00C1204D"/>
    <w:rsid w:val="00C34901"/>
    <w:rsid w:val="00CA190B"/>
    <w:rsid w:val="00CC3B36"/>
    <w:rsid w:val="00D05087"/>
    <w:rsid w:val="00E32EE3"/>
    <w:rsid w:val="00F67094"/>
    <w:rsid w:val="00F77435"/>
    <w:rsid w:val="00F959B9"/>
    <w:rsid w:val="00FA5A05"/>
    <w:rsid w:val="00FC6740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63E61"/>
  <w15:chartTrackingRefBased/>
  <w15:docId w15:val="{BFA2F8F9-FD8D-448D-87F1-0734FB71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B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2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D0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8B6"/>
  </w:style>
  <w:style w:type="paragraph" w:styleId="Footer">
    <w:name w:val="footer"/>
    <w:basedOn w:val="Normal"/>
    <w:link w:val="FooterChar"/>
    <w:uiPriority w:val="99"/>
    <w:unhideWhenUsed/>
    <w:rsid w:val="0029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dia-pershingsquareholdings@camarco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B66D19A725F43B816724E8A118A3E" ma:contentTypeVersion="1760" ma:contentTypeDescription="Create a new document." ma:contentTypeScope="" ma:versionID="48dd7cf1e165a06f232648fc377d5729">
  <xsd:schema xmlns:xsd="http://www.w3.org/2001/XMLSchema" xmlns:xs="http://www.w3.org/2001/XMLSchema" xmlns:p="http://schemas.microsoft.com/office/2006/metadata/properties" xmlns:ns2="84c50e07-03df-45b3-9e01-cd9aac76a4bf" xmlns:ns3="2490d487-452e-402a-a8ec-0ba5dfd42afd" targetNamespace="http://schemas.microsoft.com/office/2006/metadata/properties" ma:root="true" ma:fieldsID="5970de6ef33fd286e49d0f1f84d2fd45" ns2:_="" ns3:_="">
    <xsd:import namespace="84c50e07-03df-45b3-9e01-cd9aac76a4bf"/>
    <xsd:import namespace="2490d487-452e-402a-a8ec-0ba5dfd42a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50e07-03df-45b3-9e01-cd9aac76a4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0d487-452e-402a-a8ec-0ba5dfd42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c50e07-03df-45b3-9e01-cd9aac76a4bf">EKK6TVZXWYAX-1228699760-96802</_dlc_DocId>
    <_dlc_DocIdUrl xmlns="84c50e07-03df-45b3-9e01-cd9aac76a4bf">
      <Url>https://persq.sharepoint.com/persqdocs/_layouts/15/DocIdRedir.aspx?ID=EKK6TVZXWYAX-1228699760-96802</Url>
      <Description>EKK6TVZXWYAX-1228699760-96802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409A88-353C-4B86-9166-2D6F9BC3A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50e07-03df-45b3-9e01-cd9aac76a4bf"/>
    <ds:schemaRef ds:uri="2490d487-452e-402a-a8ec-0ba5dfd42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DA993-B8F0-4D42-8616-BCB8303ACD84}">
  <ds:schemaRefs>
    <ds:schemaRef ds:uri="http://schemas.microsoft.com/office/2006/metadata/properties"/>
    <ds:schemaRef ds:uri="http://schemas.microsoft.com/office/infopath/2007/PartnerControls"/>
    <ds:schemaRef ds:uri="84c50e07-03df-45b3-9e01-cd9aac76a4bf"/>
  </ds:schemaRefs>
</ds:datastoreItem>
</file>

<file path=customXml/itemProps3.xml><?xml version="1.0" encoding="utf-8"?>
<ds:datastoreItem xmlns:ds="http://schemas.openxmlformats.org/officeDocument/2006/customXml" ds:itemID="{5FE1D44C-544A-421C-B30A-5E1D7FF5BB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980AC8-9EA1-4964-8144-9C4BAD9D4BE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SQL Server Service Account</dc:creator>
  <cp:keywords/>
  <dc:description/>
  <cp:lastModifiedBy>Mary Seo</cp:lastModifiedBy>
  <cp:revision>3</cp:revision>
  <cp:lastPrinted>2019-07-08T18:02:00Z</cp:lastPrinted>
  <dcterms:created xsi:type="dcterms:W3CDTF">2022-11-14T18:08:00Z</dcterms:created>
  <dcterms:modified xsi:type="dcterms:W3CDTF">2022-11-14T18:11:00Z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c1e10f-3812-4a54-8543-7247091f4452_Enabled">
    <vt:lpwstr>True</vt:lpwstr>
  </property>
  <property fmtid="{D5CDD505-2E9C-101B-9397-08002B2CF9AE}" pid="3" name="MSIP_Label_ffc1e10f-3812-4a54-8543-7247091f4452_SiteId">
    <vt:lpwstr>103e854c-d5c8-41b6-b343-6f6e0ff67a69</vt:lpwstr>
  </property>
  <property fmtid="{D5CDD505-2E9C-101B-9397-08002B2CF9AE}" pid="4" name="MSIP_Label_ffc1e10f-3812-4a54-8543-7247091f4452_Owner">
    <vt:lpwstr>mcgill@persq.com</vt:lpwstr>
  </property>
  <property fmtid="{D5CDD505-2E9C-101B-9397-08002B2CF9AE}" pid="5" name="MSIP_Label_ffc1e10f-3812-4a54-8543-7247091f4452_SetDate">
    <vt:lpwstr>2019-06-18T19:42:00.4613123Z</vt:lpwstr>
  </property>
  <property fmtid="{D5CDD505-2E9C-101B-9397-08002B2CF9AE}" pid="6" name="MSIP_Label_ffc1e10f-3812-4a54-8543-7247091f4452_Name">
    <vt:lpwstr>PSCM TABLE Public Decrypt</vt:lpwstr>
  </property>
  <property fmtid="{D5CDD505-2E9C-101B-9397-08002B2CF9AE}" pid="7" name="MSIP_Label_ffc1e10f-3812-4a54-8543-7247091f4452_Application">
    <vt:lpwstr>Microsoft Azure Information Protection</vt:lpwstr>
  </property>
  <property fmtid="{D5CDD505-2E9C-101B-9397-08002B2CF9AE}" pid="8" name="MSIP_Label_ffc1e10f-3812-4a54-8543-7247091f4452_ActionId">
    <vt:lpwstr>7ca9341c-208b-428d-a56a-f48e9ac5abd5</vt:lpwstr>
  </property>
  <property fmtid="{D5CDD505-2E9C-101B-9397-08002B2CF9AE}" pid="9" name="MSIP_Label_ffc1e10f-3812-4a54-8543-7247091f4452_Parent">
    <vt:lpwstr>07de791d-9b37-4fe4-af59-d63f7e92dd2b</vt:lpwstr>
  </property>
  <property fmtid="{D5CDD505-2E9C-101B-9397-08002B2CF9AE}" pid="10" name="MSIP_Label_ffc1e10f-3812-4a54-8543-7247091f4452_Extended_MSFT_Method">
    <vt:lpwstr>Automatic</vt:lpwstr>
  </property>
  <property fmtid="{D5CDD505-2E9C-101B-9397-08002B2CF9AE}" pid="11" name="ContentTypeId">
    <vt:lpwstr>0x010100F96B66D19A725F43B816724E8A118A3E</vt:lpwstr>
  </property>
  <property fmtid="{D5CDD505-2E9C-101B-9397-08002B2CF9AE}" pid="12" name="Order">
    <vt:r8>9680200</vt:r8>
  </property>
  <property fmtid="{D5CDD505-2E9C-101B-9397-08002B2CF9AE}" pid="13" name="_dlc_DocIdItemGuid">
    <vt:lpwstr>be08f373-b273-513e-b1db-f85d040c7dc0</vt:lpwstr>
  </property>
  <property fmtid="{D5CDD505-2E9C-101B-9397-08002B2CF9AE}" pid="14" name="MSIP_Label_83156ad8-b84b-4966-82c5-1e7467809bbd_Enabled">
    <vt:lpwstr>true</vt:lpwstr>
  </property>
  <property fmtid="{D5CDD505-2E9C-101B-9397-08002B2CF9AE}" pid="15" name="MSIP_Label_83156ad8-b84b-4966-82c5-1e7467809bbd_SetDate">
    <vt:lpwstr>2022-11-14T19:06:29Z</vt:lpwstr>
  </property>
  <property fmtid="{D5CDD505-2E9C-101B-9397-08002B2CF9AE}" pid="16" name="MSIP_Label_83156ad8-b84b-4966-82c5-1e7467809bbd_Method">
    <vt:lpwstr>Privileged</vt:lpwstr>
  </property>
  <property fmtid="{D5CDD505-2E9C-101B-9397-08002B2CF9AE}" pid="17" name="MSIP_Label_83156ad8-b84b-4966-82c5-1e7467809bbd_Name">
    <vt:lpwstr>Do Not Encrypt_0</vt:lpwstr>
  </property>
  <property fmtid="{D5CDD505-2E9C-101B-9397-08002B2CF9AE}" pid="18" name="MSIP_Label_83156ad8-b84b-4966-82c5-1e7467809bbd_SiteId">
    <vt:lpwstr>103e854c-d5c8-41b6-b343-6f6e0ff67a69</vt:lpwstr>
  </property>
  <property fmtid="{D5CDD505-2E9C-101B-9397-08002B2CF9AE}" pid="19" name="MSIP_Label_83156ad8-b84b-4966-82c5-1e7467809bbd_ActionId">
    <vt:lpwstr>d8ea8e6e-01c6-4ecf-8df4-e0020aeb07ca</vt:lpwstr>
  </property>
  <property fmtid="{D5CDD505-2E9C-101B-9397-08002B2CF9AE}" pid="20" name="MSIP_Label_83156ad8-b84b-4966-82c5-1e7467809bbd_ContentBits">
    <vt:lpwstr>0</vt:lpwstr>
  </property>
</Properties>
</file>