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F8CF" w14:textId="77777777" w:rsidR="003C16E9" w:rsidRDefault="00942B38" w:rsidP="004367D5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42B38">
        <w:rPr>
          <w:rFonts w:ascii="Calibri" w:hAnsi="Calibri" w:cs="Calibri"/>
          <w:b/>
          <w:bCs/>
          <w:color w:val="000000"/>
          <w:sz w:val="23"/>
          <w:szCs w:val="23"/>
        </w:rPr>
        <w:t xml:space="preserve">Pershing Square Holdings, Ltd. Holds Annual General Meeting and </w:t>
      </w:r>
    </w:p>
    <w:p w14:paraId="08AF120E" w14:textId="4216B399" w:rsidR="007D74A4" w:rsidRDefault="00942B38" w:rsidP="004367D5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42B38">
        <w:rPr>
          <w:rFonts w:ascii="Calibri" w:hAnsi="Calibri" w:cs="Calibri"/>
          <w:b/>
          <w:bCs/>
          <w:color w:val="000000"/>
          <w:sz w:val="23"/>
          <w:szCs w:val="23"/>
        </w:rPr>
        <w:t>Confirms Second</w:t>
      </w:r>
      <w:r w:rsidR="003C16E9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42B38">
        <w:rPr>
          <w:rFonts w:ascii="Calibri" w:hAnsi="Calibri" w:cs="Calibri"/>
          <w:b/>
          <w:bCs/>
          <w:color w:val="000000"/>
          <w:sz w:val="23"/>
          <w:szCs w:val="23"/>
        </w:rPr>
        <w:t>Quarter 202</w:t>
      </w:r>
      <w:r w:rsidR="002C5CAF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 w:rsidR="003C16E9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42B38">
        <w:rPr>
          <w:rFonts w:ascii="Calibri" w:hAnsi="Calibri" w:cs="Calibri"/>
          <w:b/>
          <w:bCs/>
          <w:color w:val="000000"/>
          <w:sz w:val="23"/>
          <w:szCs w:val="23"/>
        </w:rPr>
        <w:t>Dividend for Shareholders</w:t>
      </w:r>
    </w:p>
    <w:p w14:paraId="310CBBCA" w14:textId="77777777" w:rsidR="00942B38" w:rsidRPr="00C128CC" w:rsidRDefault="00942B38" w:rsidP="004367D5">
      <w:pPr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</w:p>
    <w:p w14:paraId="72D67550" w14:textId="7EA27EF4" w:rsidR="009D6167" w:rsidRDefault="00876F71" w:rsidP="004367D5">
      <w:pPr>
        <w:spacing w:after="0" w:line="240" w:lineRule="auto"/>
      </w:pPr>
      <w:r w:rsidRPr="00C128CC">
        <w:rPr>
          <w:rFonts w:ascii="Calibri" w:hAnsi="Calibri" w:cs="Calibri"/>
        </w:rPr>
        <w:t xml:space="preserve">London, </w:t>
      </w:r>
      <w:r w:rsidR="002578AF">
        <w:rPr>
          <w:rFonts w:ascii="Calibri" w:hAnsi="Calibri" w:cs="Calibri"/>
        </w:rPr>
        <w:t>3</w:t>
      </w:r>
      <w:r w:rsidR="00E93616" w:rsidRPr="00C128CC">
        <w:rPr>
          <w:rFonts w:ascii="Calibri" w:hAnsi="Calibri" w:cs="Calibri"/>
        </w:rPr>
        <w:t xml:space="preserve"> </w:t>
      </w:r>
      <w:r w:rsidR="00990E79">
        <w:rPr>
          <w:rFonts w:ascii="Calibri" w:hAnsi="Calibri" w:cs="Calibri"/>
        </w:rPr>
        <w:t xml:space="preserve">May </w:t>
      </w:r>
      <w:r w:rsidRPr="00C128CC">
        <w:rPr>
          <w:rFonts w:ascii="Calibri" w:hAnsi="Calibri" w:cs="Calibri"/>
        </w:rPr>
        <w:t>202</w:t>
      </w:r>
      <w:r w:rsidR="002C5CAF">
        <w:rPr>
          <w:rFonts w:ascii="Calibri" w:hAnsi="Calibri" w:cs="Calibri"/>
        </w:rPr>
        <w:t>3</w:t>
      </w:r>
      <w:r w:rsidRPr="00C128CC">
        <w:rPr>
          <w:rFonts w:ascii="Calibri" w:hAnsi="Calibri" w:cs="Calibri"/>
        </w:rPr>
        <w:t xml:space="preserve"> //‐ </w:t>
      </w:r>
      <w:r w:rsidR="00576CF7" w:rsidRPr="00C128CC">
        <w:rPr>
          <w:rFonts w:ascii="Calibri" w:hAnsi="Calibri" w:cs="Calibri"/>
        </w:rPr>
        <w:t>Pershing Square Holdings, Ltd. (</w:t>
      </w:r>
      <w:proofErr w:type="gramStart"/>
      <w:r w:rsidR="00576CF7" w:rsidRPr="00C128CC">
        <w:rPr>
          <w:rFonts w:ascii="Calibri" w:hAnsi="Calibri" w:cs="Calibri"/>
        </w:rPr>
        <w:t>LN:PSH</w:t>
      </w:r>
      <w:proofErr w:type="gramEnd"/>
      <w:r w:rsidR="00576CF7" w:rsidRPr="00C128CC">
        <w:rPr>
          <w:rFonts w:ascii="Calibri" w:hAnsi="Calibri" w:cs="Calibri"/>
        </w:rPr>
        <w:t xml:space="preserve">) (LN:PSHD) (NA:PSH) </w:t>
      </w:r>
      <w:r w:rsidR="003C16E9" w:rsidRPr="00A44F1D">
        <w:t xml:space="preserve">today held its Annual General Meeting of shareholders (“AGM”) </w:t>
      </w:r>
      <w:r w:rsidR="003C16E9" w:rsidRPr="002F4B78">
        <w:t xml:space="preserve">at </w:t>
      </w:r>
      <w:r w:rsidR="009D6167">
        <w:t xml:space="preserve">Trafalgar Court, Les </w:t>
      </w:r>
      <w:proofErr w:type="spellStart"/>
      <w:r w:rsidR="009D6167">
        <w:t>Banques</w:t>
      </w:r>
      <w:proofErr w:type="spellEnd"/>
      <w:r w:rsidR="009D6167">
        <w:t>, St. Peter Port,</w:t>
      </w:r>
    </w:p>
    <w:p w14:paraId="27F39DAD" w14:textId="62E9B1AD" w:rsidR="002D147E" w:rsidRDefault="009D6167" w:rsidP="004367D5">
      <w:pPr>
        <w:spacing w:after="0" w:line="240" w:lineRule="auto"/>
      </w:pPr>
      <w:r>
        <w:t>Guernsey, GY1 3QL</w:t>
      </w:r>
      <w:r w:rsidR="003C16E9" w:rsidRPr="00A44F1D">
        <w:t>. At the AGM, shareholders passed resolutions to:</w:t>
      </w:r>
      <w:r w:rsidR="003C16E9" w:rsidRPr="00547938">
        <w:t xml:space="preserve"> </w:t>
      </w:r>
      <w:r w:rsidR="003C16E9">
        <w:t>receive the</w:t>
      </w:r>
      <w:r w:rsidR="003C16E9" w:rsidRPr="00547938">
        <w:t xml:space="preserve"> annual report and the financial statements, re-appoint PSH’s auditor,</w:t>
      </w:r>
      <w:r w:rsidR="00CC7C43">
        <w:t xml:space="preserve"> authorize the Directors to determine the remuneration of the </w:t>
      </w:r>
      <w:r w:rsidR="004D7B68">
        <w:t>a</w:t>
      </w:r>
      <w:r w:rsidR="00CC7C43">
        <w:t>uditor</w:t>
      </w:r>
      <w:r w:rsidR="003C16E9" w:rsidRPr="00547938">
        <w:t>, re-elec</w:t>
      </w:r>
      <w:r w:rsidR="003C16E9">
        <w:t xml:space="preserve">t </w:t>
      </w:r>
      <w:r w:rsidR="003C16E9" w:rsidRPr="00547938">
        <w:t>PSH’s current directors</w:t>
      </w:r>
      <w:r w:rsidR="008147E0">
        <w:t>, renew</w:t>
      </w:r>
      <w:r w:rsidR="008147E0" w:rsidRPr="00547938">
        <w:t xml:space="preserve"> PSH’s share buyback authority,</w:t>
      </w:r>
      <w:r w:rsidR="008147E0">
        <w:t xml:space="preserve"> </w:t>
      </w:r>
      <w:r w:rsidR="008147E0" w:rsidRPr="0084599D">
        <w:t>permit the disapplication of shareholders’ pre-emption rights</w:t>
      </w:r>
      <w:r w:rsidR="008147E0" w:rsidRPr="00547938">
        <w:t xml:space="preserve"> for any share issuance of 10% or less</w:t>
      </w:r>
      <w:r w:rsidR="00342DB2">
        <w:t xml:space="preserve">, and </w:t>
      </w:r>
      <w:r w:rsidR="00342DB2" w:rsidRPr="00342DB2">
        <w:t xml:space="preserve">amend </w:t>
      </w:r>
      <w:r w:rsidR="00342DB2">
        <w:t xml:space="preserve">the </w:t>
      </w:r>
      <w:r w:rsidR="00342DB2" w:rsidRPr="00342DB2">
        <w:t>Articles in connection with the implementation of an ownership limit in respect of the Public Shares and voting rights</w:t>
      </w:r>
      <w:r w:rsidR="008147E0">
        <w:t xml:space="preserve">. </w:t>
      </w:r>
      <w:r w:rsidR="003C16E9">
        <w:t xml:space="preserve">All resolutions were passed on a poll. </w:t>
      </w:r>
    </w:p>
    <w:p w14:paraId="11D57EBE" w14:textId="77777777" w:rsidR="003C16E9" w:rsidRDefault="003C16E9" w:rsidP="004367D5">
      <w:pPr>
        <w:spacing w:after="0" w:line="240" w:lineRule="auto"/>
      </w:pPr>
    </w:p>
    <w:p w14:paraId="466BED8E" w14:textId="3EA440E5" w:rsidR="003C16E9" w:rsidRDefault="003C16E9" w:rsidP="004367D5">
      <w:pPr>
        <w:spacing w:after="0" w:line="240" w:lineRule="auto"/>
      </w:pPr>
      <w:r>
        <w:t xml:space="preserve">The specifics of those resolutions </w:t>
      </w:r>
      <w:r w:rsidR="000438B0">
        <w:t>can be</w:t>
      </w:r>
      <w:r>
        <w:t xml:space="preserve"> found in the Notice of Annual General Meeting available on the Company’s website: </w:t>
      </w:r>
      <w:hyperlink r:id="rId10" w:history="1">
        <w:r w:rsidRPr="00CF3F04">
          <w:rPr>
            <w:rStyle w:val="Hyperlink"/>
          </w:rPr>
          <w:t>https://pershingsquareholdings.com/company-reports/notices-shareholders/</w:t>
        </w:r>
      </w:hyperlink>
      <w:r>
        <w:t xml:space="preserve">. </w:t>
      </w:r>
    </w:p>
    <w:p w14:paraId="358532B5" w14:textId="77777777" w:rsidR="003C16E9" w:rsidRDefault="003C16E9" w:rsidP="004367D5">
      <w:pPr>
        <w:spacing w:after="0" w:line="240" w:lineRule="auto"/>
      </w:pPr>
    </w:p>
    <w:p w14:paraId="51F72697" w14:textId="4A0483C3" w:rsidR="003C16E9" w:rsidRDefault="003C16E9" w:rsidP="004367D5">
      <w:pPr>
        <w:spacing w:after="0" w:line="240" w:lineRule="auto"/>
      </w:pPr>
      <w:r w:rsidRPr="0081592B">
        <w:t>The results of the proxy voting of PSH’s Public Share are noted in the chart below. A vote withheld is not a vote in law and has not been counted in the votes for or against a resolution. PS Independent Voting Company Limited (“</w:t>
      </w:r>
      <w:proofErr w:type="spellStart"/>
      <w:r w:rsidRPr="0081592B">
        <w:t>VoteCo</w:t>
      </w:r>
      <w:proofErr w:type="spellEnd"/>
      <w:r w:rsidRPr="0081592B">
        <w:t xml:space="preserve">”) voted its Special Voting Share in </w:t>
      </w:r>
      <w:proofErr w:type="spellStart"/>
      <w:r w:rsidRPr="0081592B">
        <w:t>favour</w:t>
      </w:r>
      <w:proofErr w:type="spellEnd"/>
      <w:r w:rsidRPr="0081592B">
        <w:t xml:space="preserve"> of the resolutions. </w:t>
      </w:r>
      <w:proofErr w:type="spellStart"/>
      <w:r w:rsidR="00C07C5B" w:rsidRPr="009E69DC">
        <w:t>VoteCo</w:t>
      </w:r>
      <w:proofErr w:type="spellEnd"/>
      <w:r w:rsidR="00C07C5B" w:rsidRPr="009E69DC">
        <w:t xml:space="preserve"> is not permitted to vote on r</w:t>
      </w:r>
      <w:r w:rsidRPr="009E69DC">
        <w:t xml:space="preserve">esolutions 4 and </w:t>
      </w:r>
      <w:r w:rsidR="004D7B68" w:rsidRPr="009E69DC">
        <w:t>11</w:t>
      </w:r>
      <w:r w:rsidRPr="009E69DC">
        <w:t xml:space="preserve"> </w:t>
      </w:r>
      <w:r w:rsidR="00C07C5B" w:rsidRPr="009E69DC">
        <w:t>which are</w:t>
      </w:r>
      <w:r w:rsidRPr="009E69DC">
        <w:t xml:space="preserve"> Specified Matters for purposes of the UK Listing Rules</w:t>
      </w:r>
      <w:r w:rsidR="00C07C5B" w:rsidRPr="009E69DC">
        <w:t>.</w:t>
      </w:r>
      <w:r w:rsidRPr="0081592B">
        <w:t xml:space="preserve"> </w:t>
      </w:r>
    </w:p>
    <w:p w14:paraId="11904AB9" w14:textId="77777777" w:rsidR="003C16E9" w:rsidRDefault="003C16E9" w:rsidP="004367D5">
      <w:pPr>
        <w:spacing w:after="0" w:line="240" w:lineRule="auto"/>
      </w:pPr>
    </w:p>
    <w:tbl>
      <w:tblPr>
        <w:tblW w:w="8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1768"/>
        <w:gridCol w:w="1800"/>
        <w:gridCol w:w="1620"/>
      </w:tblGrid>
      <w:tr w:rsidR="003C16E9" w14:paraId="5319E824" w14:textId="77777777" w:rsidTr="00C151E0">
        <w:trPr>
          <w:trHeight w:val="31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42D8" w14:textId="77777777" w:rsidR="003C16E9" w:rsidRPr="000900CD" w:rsidRDefault="003C16E9" w:rsidP="004367D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1" w:name="RANGE!B1:E33"/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Resolution</w:t>
            </w:r>
            <w:bookmarkEnd w:id="1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35AD" w14:textId="77777777" w:rsidR="003C16E9" w:rsidRPr="000900CD" w:rsidRDefault="003C16E9" w:rsidP="004367D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For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C2C8E" w14:textId="77777777" w:rsidR="003C16E9" w:rsidRPr="000900CD" w:rsidRDefault="003C16E9" w:rsidP="004367D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Against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5FD0E" w14:textId="7B2F5A06" w:rsidR="003C16E9" w:rsidRPr="000900CD" w:rsidRDefault="003C16E9" w:rsidP="004367D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Vote</w:t>
            </w:r>
            <w:r w:rsidR="00E3364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Withheld</w:t>
            </w:r>
          </w:p>
        </w:tc>
      </w:tr>
      <w:tr w:rsidR="003C16E9" w14:paraId="1D9B176F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B86B2" w14:textId="30340C67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1: </w:t>
            </w:r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 r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eceive the annual report and the financial statements</w:t>
            </w:r>
          </w:p>
        </w:tc>
      </w:tr>
      <w:tr w:rsidR="00933E5C" w14:paraId="764AE4CE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BCB6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A8595" w14:textId="54937373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117,983,055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7B71" w14:textId="536FE782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3A7D9" w14:textId="53EDFECB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1,215</w:t>
            </w:r>
          </w:p>
        </w:tc>
      </w:tr>
      <w:tr w:rsidR="003C16E9" w14:paraId="40E39EDD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9CC9" w14:textId="77777777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Resolution 2: To re‐appoint the Company’s auditor</w:t>
            </w:r>
          </w:p>
        </w:tc>
      </w:tr>
      <w:tr w:rsidR="00933E5C" w14:paraId="5506A60D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267F0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A525B" w14:textId="2FBF7FE2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117,827,570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43C1" w14:textId="015B8301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155,476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FCA8" w14:textId="5913E153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1,229</w:t>
            </w:r>
          </w:p>
        </w:tc>
      </w:tr>
      <w:tr w:rsidR="003C16E9" w14:paraId="283764FA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2593" w14:textId="77777777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3: To </w:t>
            </w:r>
            <w:proofErr w:type="spellStart"/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authorise</w:t>
            </w:r>
            <w:proofErr w:type="spellEnd"/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the directors to determine the remuneration of the auditor</w:t>
            </w:r>
          </w:p>
        </w:tc>
      </w:tr>
      <w:tr w:rsidR="00933E5C" w14:paraId="179ACE63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985F0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Ordinary Resolution of all Voting Shares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2E18" w14:textId="15728D8F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116,016,761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90365" w14:textId="5E619B31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1,965,356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07C4" w14:textId="33309793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2,158</w:t>
            </w:r>
          </w:p>
        </w:tc>
      </w:tr>
      <w:tr w:rsidR="003C16E9" w14:paraId="0E3EAD6D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C59D3" w14:textId="77777777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Resolution 4: To re-elect Nicholas Botta as a Director</w:t>
            </w:r>
          </w:p>
        </w:tc>
      </w:tr>
      <w:tr w:rsidR="00933E5C" w14:paraId="4B14DEC5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FE3CD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the holders of Public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E199" w14:textId="3E45843A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115,285,629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9846" w14:textId="203BD077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2,695,384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B2A3" w14:textId="4DCE8C2B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3,262</w:t>
            </w:r>
          </w:p>
        </w:tc>
      </w:tr>
      <w:tr w:rsidR="003C16E9" w14:paraId="4392398B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3174F" w14:textId="254999D1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5: </w:t>
            </w:r>
            <w:r w:rsidR="009566C2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 re-elect Anne Farlow as a Director</w:t>
            </w:r>
          </w:p>
        </w:tc>
      </w:tr>
      <w:tr w:rsidR="00933E5C" w14:paraId="39BB5730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6F79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F56F8" w14:textId="7C5CE015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114,077,516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80BB0" w14:textId="4CC714FB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3,903,497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1D22" w14:textId="60F269FF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3,262</w:t>
            </w:r>
          </w:p>
        </w:tc>
      </w:tr>
      <w:tr w:rsidR="003C16E9" w14:paraId="7760B2D8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CA69D" w14:textId="08A988F7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6: To re-elect </w:t>
            </w:r>
            <w:r w:rsidR="00A07A80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Bronwyn Curtis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as a Director</w:t>
            </w:r>
          </w:p>
        </w:tc>
      </w:tr>
      <w:tr w:rsidR="00933E5C" w14:paraId="1F0284A0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F231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2708" w14:textId="2334DB9C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117,975,716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F2099" w14:textId="525EE91D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5,298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3406" w14:textId="10DEBEB0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3,261</w:t>
            </w:r>
          </w:p>
        </w:tc>
      </w:tr>
      <w:tr w:rsidR="003C16E9" w14:paraId="1D7AB59D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A50C" w14:textId="77777777" w:rsidR="00A95A34" w:rsidRPr="000900CD" w:rsidRDefault="00A95A34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3EA6BBAD" w14:textId="77B5D209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7: To </w:t>
            </w:r>
            <w:r w:rsidR="00692FBF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re-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elect </w:t>
            </w:r>
            <w:r w:rsidR="00692FBF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Andrew Henton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as a Director</w:t>
            </w:r>
          </w:p>
        </w:tc>
      </w:tr>
      <w:tr w:rsidR="00933E5C" w14:paraId="2A9D260A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12BE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9BA2C" w14:textId="71D5A3B8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116,210,114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7F7D6" w14:textId="753EB458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1,770,899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9C05" w14:textId="1005C5BD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3,262</w:t>
            </w:r>
          </w:p>
        </w:tc>
      </w:tr>
      <w:tr w:rsidR="003C16E9" w14:paraId="6002B7EB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717FE" w14:textId="77777777" w:rsidR="008841C2" w:rsidRPr="000900CD" w:rsidRDefault="008841C2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69C90647" w14:textId="607D3500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 xml:space="preserve">Resolution 8: To </w:t>
            </w:r>
            <w:r w:rsidR="00FD1A20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re-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elect </w:t>
            </w:r>
            <w:r w:rsidR="00692FBF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Tope Lawani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as a Director</w:t>
            </w:r>
          </w:p>
        </w:tc>
      </w:tr>
      <w:tr w:rsidR="00933E5C" w14:paraId="617EAEB6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6A250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BF24" w14:textId="53C5F52F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116,748,042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A8704" w14:textId="06778588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1,232,972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A9478" w14:textId="5BFD40D4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3,261</w:t>
            </w:r>
          </w:p>
        </w:tc>
      </w:tr>
      <w:tr w:rsidR="00F57E99" w14:paraId="11A1FDF8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2F3D" w14:textId="006D3F09" w:rsidR="00F57E99" w:rsidRPr="000900CD" w:rsidRDefault="00F57E9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9: To </w:t>
            </w:r>
            <w:r w:rsidR="00FD1A20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re-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elect </w:t>
            </w:r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Rupert Morley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as a Director</w:t>
            </w:r>
          </w:p>
        </w:tc>
      </w:tr>
      <w:tr w:rsidR="00933E5C" w14:paraId="3A3B7775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84BB6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6253" w14:textId="63A143E0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117,974,091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208DA" w14:textId="794E33E5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6,923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9965" w14:textId="274256D4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3,261</w:t>
            </w:r>
          </w:p>
        </w:tc>
      </w:tr>
      <w:tr w:rsidR="00F57E99" w14:paraId="007EE9F5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ABF70" w14:textId="75914A76" w:rsidR="00F57E99" w:rsidRPr="000900CD" w:rsidRDefault="00F57E9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</w:t>
            </w:r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To </w:t>
            </w:r>
            <w:r w:rsidR="00FD1A20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re-</w:t>
            </w:r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elect Tracy </w:t>
            </w:r>
            <w:proofErr w:type="spellStart"/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Palandjian</w:t>
            </w:r>
            <w:proofErr w:type="spellEnd"/>
            <w:r w:rsidR="00591AAD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as a Director</w:t>
            </w:r>
          </w:p>
        </w:tc>
      </w:tr>
      <w:tr w:rsidR="00933E5C" w14:paraId="0152CAB9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8D17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Ordinary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5DB5" w14:textId="063B4FB3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117,257,289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C4FD" w14:textId="6CE45AC5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258,207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0EC1" w14:textId="06D14C5E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468,779</w:t>
            </w:r>
          </w:p>
        </w:tc>
      </w:tr>
      <w:tr w:rsidR="003C16E9" w14:paraId="547070F9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16444" w14:textId="09E31793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Resolution </w:t>
            </w:r>
            <w:r w:rsidR="00F12B23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authorise</w:t>
            </w:r>
            <w:proofErr w:type="spellEnd"/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the Company to buy back shares</w:t>
            </w:r>
          </w:p>
        </w:tc>
      </w:tr>
      <w:tr w:rsidR="00933E5C" w14:paraId="1CD64491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AEC5A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Special Resolution of the holders of Public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A281D" w14:textId="0C6C2187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117,644,820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BE45" w14:textId="787EB755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338,134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D3FD2" w14:textId="7CE44192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1,321</w:t>
            </w:r>
          </w:p>
        </w:tc>
      </w:tr>
      <w:tr w:rsidR="003C16E9" w14:paraId="2485D643" w14:textId="77777777" w:rsidTr="00C151E0">
        <w:trPr>
          <w:trHeight w:val="31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12A04" w14:textId="24D2A256" w:rsidR="003C16E9" w:rsidRPr="000900CD" w:rsidRDefault="003C16E9" w:rsidP="004367D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Resolution 1</w:t>
            </w:r>
            <w:r w:rsidR="00F12B23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 permit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the disapplication of pre-emption rights</w:t>
            </w:r>
          </w:p>
        </w:tc>
      </w:tr>
      <w:tr w:rsidR="00933E5C" w14:paraId="1204DE46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99704" w14:textId="77777777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 xml:space="preserve">Special Resolution of all Voting Shares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343A6" w14:textId="0F8E6271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117,952,491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73749" w14:textId="501F98A3" w:rsidR="00933E5C" w:rsidRPr="000900CD" w:rsidRDefault="000F62A3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30,134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A849" w14:textId="68FBCD4B" w:rsidR="00933E5C" w:rsidRPr="000900CD" w:rsidRDefault="002578AF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1,650</w:t>
            </w:r>
          </w:p>
        </w:tc>
      </w:tr>
      <w:tr w:rsidR="00650636" w14:paraId="6C09F153" w14:textId="77777777" w:rsidTr="00650636">
        <w:trPr>
          <w:trHeight w:val="26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C2952" w14:textId="544175BB" w:rsidR="00650636" w:rsidRPr="000900CD" w:rsidRDefault="00650636" w:rsidP="0065063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Resolution 1</w:t>
            </w:r>
            <w:r w:rsidR="00D56D0A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E5343E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To </w:t>
            </w:r>
            <w:r w:rsidR="00D56D0A" w:rsidRPr="000900C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amend the Articles in connection with the implementation of an ownership limit in respect of the Public Shares and voting rights</w:t>
            </w:r>
          </w:p>
        </w:tc>
      </w:tr>
      <w:tr w:rsidR="00A61D8D" w14:paraId="49917B2C" w14:textId="77777777" w:rsidTr="005C0257">
        <w:trPr>
          <w:trHeight w:val="53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F46B" w14:textId="2A734081" w:rsidR="00A61D8D" w:rsidRPr="000900CD" w:rsidRDefault="00A61D8D" w:rsidP="00A61D8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Special Resolution of all Voting Shares and an Ordinary Resolution of the holders of Public Shares</w:t>
            </w:r>
          </w:p>
        </w:tc>
      </w:tr>
      <w:tr w:rsidR="00933E5C" w14:paraId="567A3FE1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B366F" w14:textId="6EAF9989" w:rsidR="00933E5C" w:rsidRPr="000900CD" w:rsidRDefault="00933E5C" w:rsidP="00933E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Special Resolution of all Voting Shares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3F72C" w14:textId="4F77ABBE" w:rsidR="00933E5C" w:rsidRPr="000900CD" w:rsidRDefault="00F0754C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109,057,996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E2B52" w14:textId="43987314" w:rsidR="00933E5C" w:rsidRPr="000900CD" w:rsidRDefault="00F0754C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758,894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0EEE9" w14:textId="3D3863CA" w:rsidR="00933E5C" w:rsidRPr="000900CD" w:rsidRDefault="00F0754C" w:rsidP="00933E5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8,624,496</w:t>
            </w:r>
          </w:p>
        </w:tc>
      </w:tr>
      <w:tr w:rsidR="003B4D98" w14:paraId="7E726BA5" w14:textId="77777777" w:rsidTr="00C151E0">
        <w:trPr>
          <w:trHeight w:val="53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45B5" w14:textId="7F25D948" w:rsidR="003B4D98" w:rsidRPr="000900CD" w:rsidRDefault="003B4D98" w:rsidP="003B4D9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900CD">
              <w:rPr>
                <w:rFonts w:ascii="Calibri" w:hAnsi="Calibri"/>
                <w:color w:val="000000"/>
                <w:sz w:val="20"/>
                <w:szCs w:val="20"/>
              </w:rPr>
              <w:t>Ordinary Resolution of Public Shares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F709" w14:textId="0187E582" w:rsidR="003B4D98" w:rsidRPr="000900CD" w:rsidRDefault="00F0754C" w:rsidP="003B4D9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116,912,590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FCA6" w14:textId="206E42CC" w:rsidR="003B4D98" w:rsidRPr="000900CD" w:rsidRDefault="00F0754C" w:rsidP="003B4D9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1,046,384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120C1" w14:textId="158A5071" w:rsidR="003B4D98" w:rsidRPr="000900CD" w:rsidRDefault="00F0754C" w:rsidP="003B4D9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754C">
              <w:rPr>
                <w:rFonts w:ascii="Calibri" w:hAnsi="Calibri"/>
                <w:color w:val="000000"/>
                <w:sz w:val="20"/>
                <w:szCs w:val="20"/>
              </w:rPr>
              <w:t>48,978</w:t>
            </w:r>
          </w:p>
        </w:tc>
      </w:tr>
    </w:tbl>
    <w:p w14:paraId="5FCFF0AE" w14:textId="77777777" w:rsidR="003C16E9" w:rsidRDefault="003C16E9" w:rsidP="004367D5">
      <w:pPr>
        <w:spacing w:after="0" w:line="240" w:lineRule="auto"/>
      </w:pPr>
    </w:p>
    <w:p w14:paraId="47512777" w14:textId="62915528" w:rsidR="003C16E9" w:rsidRDefault="005B41BD" w:rsidP="004367D5">
      <w:pPr>
        <w:spacing w:after="0" w:line="240" w:lineRule="auto"/>
      </w:pPr>
      <w:r w:rsidRPr="005B41BD">
        <w:t>Copies of the special resolutions passed at the AGM and the amended Articles have been submitted to the National Storage Mechanism and will shortly be available for inspection at</w:t>
      </w:r>
      <w:r>
        <w:t xml:space="preserve"> </w:t>
      </w:r>
      <w:hyperlink r:id="rId11" w:anchor="/nsm/nationalstoragemechanism" w:history="1">
        <w:r w:rsidR="003C16E9" w:rsidRPr="00CF3F04">
          <w:rPr>
            <w:rStyle w:val="Hyperlink"/>
          </w:rPr>
          <w:t>https://data.fca.org.uk/#/nsm/nationalstoragemechanism</w:t>
        </w:r>
      </w:hyperlink>
      <w:r w:rsidR="003C16E9">
        <w:t xml:space="preserve">. </w:t>
      </w:r>
    </w:p>
    <w:p w14:paraId="0F63DB6C" w14:textId="77777777" w:rsidR="003C16E9" w:rsidRDefault="003C16E9" w:rsidP="004367D5">
      <w:pPr>
        <w:spacing w:after="0" w:line="240" w:lineRule="auto"/>
      </w:pPr>
    </w:p>
    <w:p w14:paraId="04E573E3" w14:textId="22D44149" w:rsidR="003C16E9" w:rsidRDefault="003C16E9" w:rsidP="004367D5">
      <w:pPr>
        <w:spacing w:after="0" w:line="240" w:lineRule="auto"/>
      </w:pPr>
      <w:r w:rsidRPr="00D60F2A">
        <w:t>PSH also confirmed today that the next quarterly dividend of $</w:t>
      </w:r>
      <w:r w:rsidR="00384343" w:rsidRPr="00384343">
        <w:t xml:space="preserve">0.1307 </w:t>
      </w:r>
      <w:r w:rsidRPr="00D60F2A">
        <w:t>per Public Share, as previously announced, is payable as follows:</w:t>
      </w:r>
    </w:p>
    <w:p w14:paraId="6D261DF2" w14:textId="77777777" w:rsidR="005E23A3" w:rsidRDefault="005E23A3" w:rsidP="004367D5">
      <w:pPr>
        <w:spacing w:after="0" w:line="240" w:lineRule="auto"/>
        <w:rPr>
          <w:rFonts w:ascii="Calibri" w:hAnsi="Calibri" w:cs="Calibri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980"/>
        <w:gridCol w:w="1530"/>
        <w:gridCol w:w="1947"/>
        <w:gridCol w:w="2013"/>
      </w:tblGrid>
      <w:tr w:rsidR="005E23A3" w14:paraId="578579BD" w14:textId="77777777" w:rsidTr="00C151E0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6F16" w14:textId="77777777" w:rsidR="005E23A3" w:rsidRPr="000900CD" w:rsidRDefault="005E23A3" w:rsidP="00436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900CD">
              <w:rPr>
                <w:b/>
                <w:bCs/>
                <w:sz w:val="20"/>
                <w:szCs w:val="20"/>
              </w:rPr>
              <w:t>Record Date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62BA" w14:textId="77777777" w:rsidR="005E23A3" w:rsidRPr="000900CD" w:rsidRDefault="005E23A3" w:rsidP="00436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900CD">
              <w:rPr>
                <w:b/>
                <w:bCs/>
                <w:sz w:val="20"/>
                <w:szCs w:val="20"/>
              </w:rPr>
              <w:t>Payment Date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5B34" w14:textId="77777777" w:rsidR="005E23A3" w:rsidRPr="000900CD" w:rsidRDefault="005E23A3" w:rsidP="00436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900CD">
              <w:rPr>
                <w:b/>
                <w:bCs/>
                <w:sz w:val="20"/>
                <w:szCs w:val="20"/>
              </w:rPr>
              <w:t>USD Dividend Per Share</w:t>
            </w:r>
          </w:p>
        </w:tc>
        <w:tc>
          <w:tcPr>
            <w:tcW w:w="1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A75E" w14:textId="77777777" w:rsidR="005E23A3" w:rsidRPr="000900CD" w:rsidRDefault="005E23A3" w:rsidP="00436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900CD">
              <w:rPr>
                <w:b/>
                <w:bCs/>
                <w:sz w:val="20"/>
                <w:szCs w:val="20"/>
              </w:rPr>
              <w:t>DRIP Enrollment Deadline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93F2" w14:textId="77777777" w:rsidR="005E23A3" w:rsidRPr="000900CD" w:rsidRDefault="005E23A3" w:rsidP="00436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900CD">
              <w:rPr>
                <w:b/>
                <w:bCs/>
                <w:sz w:val="20"/>
                <w:szCs w:val="20"/>
              </w:rPr>
              <w:t>Currency Election Deadline</w:t>
            </w:r>
          </w:p>
        </w:tc>
      </w:tr>
      <w:tr w:rsidR="00A338DD" w14:paraId="4B147863" w14:textId="77777777" w:rsidTr="0071311B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24CC" w14:textId="576112E1" w:rsidR="00A338DD" w:rsidRPr="000900CD" w:rsidRDefault="00A338DD" w:rsidP="00A338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CD">
              <w:rPr>
                <w:rFonts w:ascii="Calibri" w:hAnsi="Calibri" w:cs="Calibri"/>
                <w:color w:val="000000"/>
                <w:sz w:val="20"/>
                <w:szCs w:val="20"/>
              </w:rPr>
              <w:t>19/5/2023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777C" w14:textId="17B312D6" w:rsidR="00A338DD" w:rsidRPr="000900CD" w:rsidRDefault="00A338DD" w:rsidP="00A338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CD">
              <w:rPr>
                <w:rFonts w:ascii="Calibri" w:hAnsi="Calibri" w:cs="Calibri"/>
                <w:color w:val="000000"/>
                <w:sz w:val="20"/>
                <w:szCs w:val="20"/>
              </w:rPr>
              <w:t>16/6/2023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8D8F" w14:textId="6128BE98" w:rsidR="00A338DD" w:rsidRPr="000900CD" w:rsidRDefault="00A338DD" w:rsidP="00A338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CD">
              <w:rPr>
                <w:rFonts w:ascii="Calibri" w:hAnsi="Calibri" w:cs="Calibri"/>
                <w:color w:val="000000"/>
                <w:sz w:val="20"/>
                <w:szCs w:val="20"/>
              </w:rPr>
              <w:t>$0.1307</w:t>
            </w:r>
          </w:p>
        </w:tc>
        <w:tc>
          <w:tcPr>
            <w:tcW w:w="1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AC06" w14:textId="647F4A33" w:rsidR="00A338DD" w:rsidRPr="000900CD" w:rsidRDefault="00A338DD" w:rsidP="00A338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CD">
              <w:rPr>
                <w:rFonts w:ascii="Calibri" w:hAnsi="Calibri" w:cs="Calibri"/>
                <w:color w:val="000000"/>
                <w:sz w:val="20"/>
                <w:szCs w:val="20"/>
              </w:rPr>
              <w:t>26/5/2023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2C70" w14:textId="16D6252A" w:rsidR="00A338DD" w:rsidRPr="000900CD" w:rsidRDefault="00A338DD" w:rsidP="00A338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CD">
              <w:rPr>
                <w:rFonts w:ascii="Calibri" w:hAnsi="Calibri" w:cs="Calibri"/>
                <w:color w:val="000000"/>
                <w:sz w:val="20"/>
                <w:szCs w:val="20"/>
              </w:rPr>
              <w:t>19/5/2023</w:t>
            </w:r>
          </w:p>
        </w:tc>
      </w:tr>
    </w:tbl>
    <w:p w14:paraId="3B8A2AA9" w14:textId="77777777" w:rsidR="005E23A3" w:rsidRDefault="005E23A3" w:rsidP="004367D5">
      <w:pPr>
        <w:spacing w:after="0" w:line="240" w:lineRule="auto"/>
        <w:rPr>
          <w:rFonts w:ascii="Calibri" w:hAnsi="Calibri" w:cs="Calibri"/>
        </w:rPr>
      </w:pPr>
    </w:p>
    <w:p w14:paraId="797032AA" w14:textId="6A57AE9E" w:rsidR="008D60DE" w:rsidRPr="00C128CC" w:rsidRDefault="008D60DE" w:rsidP="004367D5">
      <w:pPr>
        <w:spacing w:after="0" w:line="240" w:lineRule="auto"/>
        <w:rPr>
          <w:rFonts w:ascii="Calibri" w:hAnsi="Calibri" w:cs="Calibri"/>
        </w:rPr>
      </w:pPr>
      <w:r w:rsidRPr="00C128CC">
        <w:rPr>
          <w:rFonts w:ascii="Calibri" w:hAnsi="Calibri" w:cs="Calibri"/>
        </w:rPr>
        <w:t>A proportionate quarterly dividend will be paid to the Special Voting Share, based on its net asset value.</w:t>
      </w:r>
    </w:p>
    <w:p w14:paraId="6054A010" w14:textId="77777777" w:rsidR="008D60DE" w:rsidRPr="00C128CC" w:rsidRDefault="008D60DE" w:rsidP="004367D5">
      <w:pPr>
        <w:spacing w:after="0" w:line="240" w:lineRule="auto"/>
        <w:rPr>
          <w:rFonts w:ascii="Calibri" w:hAnsi="Calibri" w:cs="Calibri"/>
        </w:rPr>
      </w:pPr>
    </w:p>
    <w:p w14:paraId="4F7E65D8" w14:textId="11B41B93" w:rsidR="006015B1" w:rsidRPr="006015B1" w:rsidRDefault="006015B1" w:rsidP="006015B1">
      <w:pPr>
        <w:spacing w:after="0" w:line="240" w:lineRule="auto"/>
        <w:rPr>
          <w:rFonts w:ascii="Calibri" w:hAnsi="Calibri" w:cs="Calibri"/>
        </w:rPr>
      </w:pPr>
      <w:r w:rsidRPr="006015B1">
        <w:rPr>
          <w:rFonts w:ascii="Calibri" w:hAnsi="Calibri" w:cs="Calibri"/>
        </w:rPr>
        <w:t xml:space="preserve">Shareholders may automatically reinvest cash dividends into PSH Public Shares through a Dividend Reinvestment </w:t>
      </w:r>
      <w:proofErr w:type="spellStart"/>
      <w:r w:rsidRPr="006015B1">
        <w:rPr>
          <w:rFonts w:ascii="Calibri" w:hAnsi="Calibri" w:cs="Calibri"/>
        </w:rPr>
        <w:t>Programme</w:t>
      </w:r>
      <w:proofErr w:type="spellEnd"/>
      <w:r w:rsidRPr="006015B1">
        <w:rPr>
          <w:rFonts w:ascii="Calibri" w:hAnsi="Calibri" w:cs="Calibri"/>
        </w:rPr>
        <w:t xml:space="preserve"> (“DRIP”) whereby shares are purchased in the open market by the administrator of the DRIP. Details about the DRIP are available at </w:t>
      </w:r>
      <w:hyperlink r:id="rId12" w:history="1">
        <w:r w:rsidRPr="009F75FA">
          <w:rPr>
            <w:rStyle w:val="Hyperlink"/>
            <w:rFonts w:ascii="Calibri" w:hAnsi="Calibri" w:cs="Calibri"/>
          </w:rPr>
          <w:t>https://pershingsquareholdings.com/psh-dividend-information/</w:t>
        </w:r>
      </w:hyperlink>
      <w:r>
        <w:rPr>
          <w:rFonts w:ascii="Calibri" w:hAnsi="Calibri" w:cs="Calibri"/>
        </w:rPr>
        <w:t xml:space="preserve"> </w:t>
      </w:r>
      <w:r w:rsidRPr="006015B1">
        <w:rPr>
          <w:rFonts w:ascii="Calibri" w:hAnsi="Calibri" w:cs="Calibri"/>
        </w:rPr>
        <w:t>and through shareholders’ brokers.</w:t>
      </w:r>
    </w:p>
    <w:p w14:paraId="3F160242" w14:textId="77777777" w:rsidR="006015B1" w:rsidRPr="006015B1" w:rsidRDefault="006015B1" w:rsidP="006015B1">
      <w:pPr>
        <w:spacing w:after="0" w:line="240" w:lineRule="auto"/>
        <w:rPr>
          <w:rFonts w:ascii="Calibri" w:hAnsi="Calibri" w:cs="Calibri"/>
        </w:rPr>
      </w:pPr>
    </w:p>
    <w:p w14:paraId="1023CCB9" w14:textId="5EE11EB7" w:rsidR="004C0CA8" w:rsidRPr="008224D9" w:rsidRDefault="006015B1" w:rsidP="008224D9">
      <w:pPr>
        <w:spacing w:after="0" w:line="240" w:lineRule="auto"/>
        <w:rPr>
          <w:rFonts w:ascii="Calibri" w:hAnsi="Calibri" w:cs="Calibri"/>
        </w:rPr>
      </w:pPr>
      <w:r w:rsidRPr="006015B1">
        <w:rPr>
          <w:rFonts w:ascii="Calibri" w:hAnsi="Calibri" w:cs="Calibri"/>
        </w:rPr>
        <w:t xml:space="preserve">Dividends will be paid in US dollars unless a shareholder elects to be paid in GBP. Shareholders electing GBP dividends must do so no later than the Currency Election Deadline. Further details about the </w:t>
      </w:r>
      <w:r w:rsidRPr="008224D9">
        <w:rPr>
          <w:rFonts w:ascii="Calibri" w:hAnsi="Calibri" w:cs="Calibri"/>
        </w:rPr>
        <w:t xml:space="preserve">currency election are available at Pershing Square Holdings’ website </w:t>
      </w:r>
      <w:hyperlink r:id="rId13" w:history="1">
        <w:r w:rsidRPr="008224D9">
          <w:rPr>
            <w:rStyle w:val="Hyperlink"/>
            <w:rFonts w:ascii="Calibri" w:hAnsi="Calibri" w:cs="Calibri"/>
          </w:rPr>
          <w:t>https://pershingsquareholdings.com/psh-dividend-information/</w:t>
        </w:r>
      </w:hyperlink>
      <w:r w:rsidRPr="008224D9">
        <w:rPr>
          <w:rFonts w:ascii="Calibri" w:hAnsi="Calibri" w:cs="Calibri"/>
        </w:rPr>
        <w:t>.</w:t>
      </w:r>
    </w:p>
    <w:p w14:paraId="41C33607" w14:textId="77777777" w:rsidR="00A449CF" w:rsidRPr="008224D9" w:rsidRDefault="00A449CF" w:rsidP="008224D9">
      <w:pPr>
        <w:spacing w:after="0" w:line="240" w:lineRule="auto"/>
        <w:rPr>
          <w:rFonts w:ascii="Calibri" w:hAnsi="Calibri" w:cs="Calibri"/>
        </w:rPr>
      </w:pPr>
    </w:p>
    <w:p w14:paraId="60B927D4" w14:textId="77777777" w:rsidR="00A449CF" w:rsidRPr="008224D9" w:rsidRDefault="00A449CF" w:rsidP="00822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224D9">
        <w:rPr>
          <w:rFonts w:ascii="Calibri" w:hAnsi="Calibri" w:cs="Calibri"/>
          <w:b/>
          <w:bCs/>
          <w:color w:val="000000"/>
          <w:sz w:val="22"/>
          <w:szCs w:val="22"/>
        </w:rPr>
        <w:t>Additional Information</w:t>
      </w:r>
    </w:p>
    <w:p w14:paraId="34C2CC2E" w14:textId="77777777" w:rsidR="008224D9" w:rsidRPr="008224D9" w:rsidRDefault="008224D9" w:rsidP="00822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A39D458" w14:textId="77777777" w:rsidR="00A449CF" w:rsidRPr="008224D9" w:rsidRDefault="00A449CF" w:rsidP="00822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224D9">
        <w:rPr>
          <w:rFonts w:ascii="Calibri" w:hAnsi="Calibri" w:cs="Calibri"/>
          <w:color w:val="000000"/>
          <w:sz w:val="22"/>
          <w:szCs w:val="22"/>
        </w:rPr>
        <w:t>The payment of each dividend is subject to the Company being satisfied that the following conditions are met:</w:t>
      </w:r>
    </w:p>
    <w:p w14:paraId="57941620" w14:textId="77777777" w:rsidR="00A449CF" w:rsidRPr="008224D9" w:rsidRDefault="00A449CF" w:rsidP="008224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 w:rsidRPr="008224D9">
        <w:rPr>
          <w:rFonts w:ascii="Calibri" w:hAnsi="Calibri" w:cs="Calibri"/>
          <w:color w:val="000000"/>
        </w:rPr>
        <w:t>the Company will meet the solvency requirements under Companies (Guernsey) Law, immediately after the payment of the dividend;</w:t>
      </w:r>
    </w:p>
    <w:p w14:paraId="6721A184" w14:textId="77777777" w:rsidR="00A449CF" w:rsidRDefault="00A449CF" w:rsidP="008224D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 w:rsidRPr="008224D9">
        <w:rPr>
          <w:rFonts w:ascii="Calibri" w:hAnsi="Calibri" w:cs="Calibri"/>
          <w:color w:val="000000"/>
        </w:rPr>
        <w:t xml:space="preserve">the Company’s total indebtedness will be less than one-third of the Company’s total </w:t>
      </w:r>
      <w:proofErr w:type="spellStart"/>
      <w:r w:rsidRPr="008224D9">
        <w:rPr>
          <w:rFonts w:ascii="Calibri" w:hAnsi="Calibri" w:cs="Calibri"/>
          <w:color w:val="000000"/>
        </w:rPr>
        <w:t>capitalisation</w:t>
      </w:r>
      <w:proofErr w:type="spellEnd"/>
      <w:r w:rsidRPr="008224D9">
        <w:rPr>
          <w:rFonts w:ascii="Calibri" w:hAnsi="Calibri" w:cs="Calibri"/>
          <w:color w:val="000000"/>
        </w:rPr>
        <w:t xml:space="preserve"> after the payment of the relevant interim dividend.</w:t>
      </w:r>
    </w:p>
    <w:p w14:paraId="4D47707A" w14:textId="77777777" w:rsidR="008224D9" w:rsidRPr="008224D9" w:rsidRDefault="008224D9" w:rsidP="008224D9">
      <w:pPr>
        <w:shd w:val="clear" w:color="auto" w:fill="FFFFFF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103E2145" w14:textId="77777777" w:rsidR="00A449CF" w:rsidRPr="008224D9" w:rsidRDefault="00A449CF" w:rsidP="00822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224D9">
        <w:rPr>
          <w:rFonts w:ascii="Calibri" w:hAnsi="Calibri" w:cs="Calibri"/>
          <w:color w:val="000000"/>
          <w:sz w:val="22"/>
          <w:szCs w:val="22"/>
        </w:rPr>
        <w:t>The decision as to whether PSH pays a dividend in the future will be made by the PSH Board with the consent of the Investment Manager. While PSH intends to pay a quarterly dividend going forward, there is no guarantee that PSH will continue to do so. PSH’s Board’s decision to pay a dividend should not be interpreted to mean that PSH will be profitable in the future.</w:t>
      </w:r>
    </w:p>
    <w:p w14:paraId="558508CC" w14:textId="6BAF6A93" w:rsidR="00244880" w:rsidRPr="00C128CC" w:rsidRDefault="00244880" w:rsidP="004367D5">
      <w:pPr>
        <w:spacing w:after="0" w:line="240" w:lineRule="auto"/>
        <w:rPr>
          <w:rFonts w:ascii="Calibri" w:hAnsi="Calibri" w:cs="Calibri"/>
        </w:rPr>
      </w:pPr>
    </w:p>
    <w:p w14:paraId="4BD5C8A6" w14:textId="77777777" w:rsidR="00244880" w:rsidRPr="00C128CC" w:rsidRDefault="00244880" w:rsidP="004367D5">
      <w:pPr>
        <w:spacing w:after="0" w:line="240" w:lineRule="auto"/>
        <w:rPr>
          <w:rFonts w:ascii="Calibri" w:hAnsi="Calibri" w:cs="Calibri"/>
          <w:b/>
          <w:bCs/>
        </w:rPr>
      </w:pPr>
      <w:r w:rsidRPr="00C128CC">
        <w:rPr>
          <w:rFonts w:ascii="Calibri" w:hAnsi="Calibri" w:cs="Calibri"/>
          <w:b/>
          <w:bCs/>
        </w:rPr>
        <w:t>About Pershing Square Holdings, Ltd.</w:t>
      </w:r>
    </w:p>
    <w:p w14:paraId="26DCAE86" w14:textId="05D1AB6F" w:rsidR="00244880" w:rsidRDefault="00BE341B" w:rsidP="004367D5">
      <w:pPr>
        <w:spacing w:after="0" w:line="240" w:lineRule="auto"/>
        <w:rPr>
          <w:rFonts w:ascii="Calibri" w:hAnsi="Calibri" w:cs="Calibri"/>
        </w:rPr>
      </w:pPr>
      <w:r w:rsidRPr="00BE341B">
        <w:rPr>
          <w:rFonts w:ascii="Calibri" w:hAnsi="Calibri" w:cs="Calibri"/>
        </w:rPr>
        <w:t>Pershing Square Holdings, Ltd. (</w:t>
      </w:r>
      <w:proofErr w:type="gramStart"/>
      <w:r w:rsidRPr="00BE341B">
        <w:rPr>
          <w:rFonts w:ascii="Calibri" w:hAnsi="Calibri" w:cs="Calibri"/>
        </w:rPr>
        <w:t>LN:PSH</w:t>
      </w:r>
      <w:proofErr w:type="gramEnd"/>
      <w:r w:rsidRPr="00BE341B">
        <w:rPr>
          <w:rFonts w:ascii="Calibri" w:hAnsi="Calibri" w:cs="Calibri"/>
        </w:rPr>
        <w:t>) (LN:PSHD) (NA:PSH) is an investment holding company structured as a closed-ended fund.</w:t>
      </w:r>
    </w:p>
    <w:p w14:paraId="3F41A5D0" w14:textId="77777777" w:rsidR="00BE341B" w:rsidRPr="00C128CC" w:rsidRDefault="00BE341B" w:rsidP="004367D5">
      <w:pPr>
        <w:spacing w:after="0" w:line="240" w:lineRule="auto"/>
        <w:rPr>
          <w:rFonts w:ascii="Calibri" w:hAnsi="Calibri" w:cs="Calibri"/>
        </w:rPr>
      </w:pPr>
    </w:p>
    <w:p w14:paraId="7B200EB6" w14:textId="67EA3826" w:rsidR="00244880" w:rsidRPr="00C128CC" w:rsidRDefault="00244880" w:rsidP="004367D5">
      <w:pPr>
        <w:spacing w:after="0" w:line="240" w:lineRule="auto"/>
        <w:rPr>
          <w:rFonts w:ascii="Calibri" w:hAnsi="Calibri" w:cs="Calibri"/>
        </w:rPr>
      </w:pPr>
      <w:r w:rsidRPr="00C128CC">
        <w:rPr>
          <w:rFonts w:ascii="Calibri" w:hAnsi="Calibri" w:cs="Calibri"/>
        </w:rPr>
        <w:t>Category: (</w:t>
      </w:r>
      <w:proofErr w:type="spellStart"/>
      <w:proofErr w:type="gramStart"/>
      <w:r w:rsidRPr="00C128CC">
        <w:rPr>
          <w:rFonts w:ascii="Calibri" w:hAnsi="Calibri" w:cs="Calibri"/>
        </w:rPr>
        <w:t>PSH</w:t>
      </w:r>
      <w:r w:rsidR="008D60DE" w:rsidRPr="00C128CC">
        <w:rPr>
          <w:rFonts w:ascii="Calibri" w:hAnsi="Calibri" w:cs="Calibri"/>
        </w:rPr>
        <w:t>:CorporateActions</w:t>
      </w:r>
      <w:proofErr w:type="spellEnd"/>
      <w:proofErr w:type="gramEnd"/>
      <w:r w:rsidRPr="00C128CC">
        <w:rPr>
          <w:rFonts w:ascii="Calibri" w:hAnsi="Calibri" w:cs="Calibri"/>
        </w:rPr>
        <w:t>)</w:t>
      </w:r>
    </w:p>
    <w:p w14:paraId="17E159A0" w14:textId="77777777" w:rsidR="00244880" w:rsidRPr="00C128CC" w:rsidRDefault="00244880" w:rsidP="004367D5">
      <w:pPr>
        <w:spacing w:after="0" w:line="240" w:lineRule="auto"/>
        <w:rPr>
          <w:rFonts w:ascii="Calibri" w:hAnsi="Calibri" w:cs="Calibri"/>
        </w:rPr>
      </w:pPr>
    </w:p>
    <w:p w14:paraId="3B380C31" w14:textId="77777777" w:rsidR="00244880" w:rsidRPr="00C128CC" w:rsidRDefault="00244880" w:rsidP="004367D5">
      <w:pPr>
        <w:spacing w:after="0" w:line="240" w:lineRule="auto"/>
        <w:rPr>
          <w:rFonts w:ascii="Calibri" w:hAnsi="Calibri" w:cs="Calibri"/>
          <w:b/>
          <w:bCs/>
        </w:rPr>
      </w:pPr>
      <w:r w:rsidRPr="00C128CC">
        <w:rPr>
          <w:rFonts w:ascii="Calibri" w:hAnsi="Calibri" w:cs="Calibri"/>
          <w:b/>
          <w:bCs/>
        </w:rPr>
        <w:t>Media Contact</w:t>
      </w:r>
    </w:p>
    <w:p w14:paraId="70388F10" w14:textId="77777777" w:rsidR="00244880" w:rsidRPr="00C128CC" w:rsidRDefault="00244880" w:rsidP="004367D5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C128CC">
        <w:rPr>
          <w:rFonts w:ascii="Calibri" w:hAnsi="Calibri" w:cs="Calibri"/>
          <w:b/>
          <w:bCs/>
        </w:rPr>
        <w:t>Camarco</w:t>
      </w:r>
      <w:proofErr w:type="spellEnd"/>
    </w:p>
    <w:p w14:paraId="308A259B" w14:textId="2519EE5C" w:rsidR="004367D5" w:rsidRPr="00C128CC" w:rsidRDefault="006B6679">
      <w:pPr>
        <w:spacing w:after="0" w:line="240" w:lineRule="auto"/>
        <w:rPr>
          <w:rFonts w:ascii="Calibri" w:hAnsi="Calibri" w:cs="Calibri"/>
        </w:rPr>
      </w:pPr>
      <w:r w:rsidRPr="006B6679">
        <w:rPr>
          <w:rFonts w:ascii="Calibri" w:hAnsi="Calibri" w:cs="Calibri"/>
          <w:sz w:val="21"/>
          <w:szCs w:val="21"/>
        </w:rPr>
        <w:t>Ed Gascoigne-Pees / Julia Tilley +44 (0)20 3781 8339</w:t>
      </w:r>
      <w:r w:rsidR="00244880" w:rsidRPr="00C128CC">
        <w:rPr>
          <w:rFonts w:ascii="Calibri" w:hAnsi="Calibri" w:cs="Calibri"/>
          <w:sz w:val="21"/>
          <w:szCs w:val="21"/>
        </w:rPr>
        <w:t xml:space="preserve">, </w:t>
      </w:r>
      <w:hyperlink r:id="rId14" w:history="1">
        <w:r w:rsidR="00244880" w:rsidRPr="00C128CC">
          <w:rPr>
            <w:rStyle w:val="Hyperlink"/>
            <w:rFonts w:ascii="Calibri" w:hAnsi="Calibri" w:cs="Calibri"/>
            <w:sz w:val="21"/>
            <w:szCs w:val="21"/>
          </w:rPr>
          <w:t>Media-PershingSquareHoldings@camarco.co.uk</w:t>
        </w:r>
      </w:hyperlink>
      <w:r w:rsidR="00244880" w:rsidRPr="00C128CC">
        <w:rPr>
          <w:rFonts w:ascii="Calibri" w:hAnsi="Calibri" w:cs="Calibri"/>
          <w:sz w:val="21"/>
          <w:szCs w:val="21"/>
        </w:rPr>
        <w:t xml:space="preserve"> </w:t>
      </w:r>
    </w:p>
    <w:sectPr w:rsidR="004367D5" w:rsidRPr="00C1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E6914" w14:textId="77777777" w:rsidR="00C117E3" w:rsidRDefault="00C117E3" w:rsidP="00722770">
      <w:pPr>
        <w:spacing w:after="0" w:line="240" w:lineRule="auto"/>
      </w:pPr>
      <w:r>
        <w:separator/>
      </w:r>
    </w:p>
  </w:endnote>
  <w:endnote w:type="continuationSeparator" w:id="0">
    <w:p w14:paraId="49AAE857" w14:textId="77777777" w:rsidR="00C117E3" w:rsidRDefault="00C117E3" w:rsidP="0072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9F6D4" w14:textId="77777777" w:rsidR="00C117E3" w:rsidRDefault="00C117E3" w:rsidP="00722770">
      <w:pPr>
        <w:spacing w:after="0" w:line="240" w:lineRule="auto"/>
      </w:pPr>
      <w:r>
        <w:separator/>
      </w:r>
    </w:p>
  </w:footnote>
  <w:footnote w:type="continuationSeparator" w:id="0">
    <w:p w14:paraId="7CE93D99" w14:textId="77777777" w:rsidR="00C117E3" w:rsidRDefault="00C117E3" w:rsidP="0072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1D8A"/>
    <w:multiLevelType w:val="multilevel"/>
    <w:tmpl w:val="C15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BF14D0"/>
    <w:multiLevelType w:val="multilevel"/>
    <w:tmpl w:val="6566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5A2F94"/>
    <w:multiLevelType w:val="multilevel"/>
    <w:tmpl w:val="D7D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992766"/>
    <w:multiLevelType w:val="multilevel"/>
    <w:tmpl w:val="675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A3"/>
    <w:rsid w:val="00011733"/>
    <w:rsid w:val="00012913"/>
    <w:rsid w:val="000438B0"/>
    <w:rsid w:val="00052610"/>
    <w:rsid w:val="0007477C"/>
    <w:rsid w:val="00077EC1"/>
    <w:rsid w:val="000900CD"/>
    <w:rsid w:val="000C2D06"/>
    <w:rsid w:val="000C69F1"/>
    <w:rsid w:val="000F62A3"/>
    <w:rsid w:val="00140A93"/>
    <w:rsid w:val="001B50C7"/>
    <w:rsid w:val="001D47E1"/>
    <w:rsid w:val="001F7C17"/>
    <w:rsid w:val="0020512D"/>
    <w:rsid w:val="00244880"/>
    <w:rsid w:val="002578AF"/>
    <w:rsid w:val="00260E56"/>
    <w:rsid w:val="002B45F7"/>
    <w:rsid w:val="002C5CAF"/>
    <w:rsid w:val="002D147E"/>
    <w:rsid w:val="002F6232"/>
    <w:rsid w:val="00331D85"/>
    <w:rsid w:val="00342DB2"/>
    <w:rsid w:val="00384343"/>
    <w:rsid w:val="003B4D98"/>
    <w:rsid w:val="003C16E9"/>
    <w:rsid w:val="004001E8"/>
    <w:rsid w:val="004068D6"/>
    <w:rsid w:val="004367D5"/>
    <w:rsid w:val="004474D1"/>
    <w:rsid w:val="00477053"/>
    <w:rsid w:val="004B4C8D"/>
    <w:rsid w:val="004C0CA8"/>
    <w:rsid w:val="004D7B68"/>
    <w:rsid w:val="004E2053"/>
    <w:rsid w:val="005207CC"/>
    <w:rsid w:val="00576CF7"/>
    <w:rsid w:val="00587E66"/>
    <w:rsid w:val="00591AAD"/>
    <w:rsid w:val="005B0D22"/>
    <w:rsid w:val="005B41BD"/>
    <w:rsid w:val="005E23A3"/>
    <w:rsid w:val="006015B1"/>
    <w:rsid w:val="0061099E"/>
    <w:rsid w:val="006136C7"/>
    <w:rsid w:val="00614473"/>
    <w:rsid w:val="00623B4D"/>
    <w:rsid w:val="00633A00"/>
    <w:rsid w:val="00650636"/>
    <w:rsid w:val="00650961"/>
    <w:rsid w:val="00654CA6"/>
    <w:rsid w:val="0068758D"/>
    <w:rsid w:val="00692FBF"/>
    <w:rsid w:val="006B2E19"/>
    <w:rsid w:val="006B6679"/>
    <w:rsid w:val="006C1DDC"/>
    <w:rsid w:val="006D120A"/>
    <w:rsid w:val="00722770"/>
    <w:rsid w:val="007A7C21"/>
    <w:rsid w:val="007D27F7"/>
    <w:rsid w:val="007D74A4"/>
    <w:rsid w:val="007E0C02"/>
    <w:rsid w:val="007E5880"/>
    <w:rsid w:val="008101A8"/>
    <w:rsid w:val="008147E0"/>
    <w:rsid w:val="008224D9"/>
    <w:rsid w:val="00876F71"/>
    <w:rsid w:val="00882E81"/>
    <w:rsid w:val="008841C2"/>
    <w:rsid w:val="008A1B6E"/>
    <w:rsid w:val="008D15CF"/>
    <w:rsid w:val="008D60DE"/>
    <w:rsid w:val="009171A7"/>
    <w:rsid w:val="0093397B"/>
    <w:rsid w:val="00933E5C"/>
    <w:rsid w:val="00942B38"/>
    <w:rsid w:val="009566C2"/>
    <w:rsid w:val="00964090"/>
    <w:rsid w:val="00990E79"/>
    <w:rsid w:val="009D6167"/>
    <w:rsid w:val="009E48C7"/>
    <w:rsid w:val="009E69DC"/>
    <w:rsid w:val="00A07A80"/>
    <w:rsid w:val="00A15CA3"/>
    <w:rsid w:val="00A338DD"/>
    <w:rsid w:val="00A449CF"/>
    <w:rsid w:val="00A4595F"/>
    <w:rsid w:val="00A61D8D"/>
    <w:rsid w:val="00A95A34"/>
    <w:rsid w:val="00AF28CA"/>
    <w:rsid w:val="00AF472A"/>
    <w:rsid w:val="00AF79E1"/>
    <w:rsid w:val="00B0395C"/>
    <w:rsid w:val="00B448C8"/>
    <w:rsid w:val="00BE341B"/>
    <w:rsid w:val="00C01709"/>
    <w:rsid w:val="00C07C5B"/>
    <w:rsid w:val="00C117E3"/>
    <w:rsid w:val="00C128CC"/>
    <w:rsid w:val="00C60001"/>
    <w:rsid w:val="00CC7C43"/>
    <w:rsid w:val="00D33408"/>
    <w:rsid w:val="00D3660E"/>
    <w:rsid w:val="00D462FC"/>
    <w:rsid w:val="00D50B35"/>
    <w:rsid w:val="00D56D0A"/>
    <w:rsid w:val="00DA21E7"/>
    <w:rsid w:val="00E3364E"/>
    <w:rsid w:val="00E51D4C"/>
    <w:rsid w:val="00E5343E"/>
    <w:rsid w:val="00E86DCD"/>
    <w:rsid w:val="00E87EE3"/>
    <w:rsid w:val="00E922C1"/>
    <w:rsid w:val="00E93616"/>
    <w:rsid w:val="00EB716A"/>
    <w:rsid w:val="00F04998"/>
    <w:rsid w:val="00F0754C"/>
    <w:rsid w:val="00F12B23"/>
    <w:rsid w:val="00F57E99"/>
    <w:rsid w:val="00FD1A2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FC84F"/>
  <w15:chartTrackingRefBased/>
  <w15:docId w15:val="{85EBE603-E6CF-47DF-B5BD-E076721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880"/>
    <w:rPr>
      <w:color w:val="0000FF"/>
      <w:u w:val="single"/>
    </w:rPr>
  </w:style>
  <w:style w:type="table" w:styleId="TableGrid">
    <w:name w:val="Table Grid"/>
    <w:basedOn w:val="TableNormal"/>
    <w:uiPriority w:val="39"/>
    <w:rsid w:val="00F0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alignc">
    <w:name w:val="bwalignc"/>
    <w:basedOn w:val="Normal"/>
    <w:rsid w:val="00C1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cellpmargin">
    <w:name w:val="bwcellpmargin"/>
    <w:basedOn w:val="Normal"/>
    <w:rsid w:val="00C1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rshingsquareholdings.com/psh-dividend-inform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rshingsquareholdings.com/psh-dividend-inform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.fca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ershingsquareholdings.com/company-reports/notices-sharehold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ia-PershingSquareHoldings@camar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05109018CD04DA7602E90B4E4B097" ma:contentTypeVersion="12" ma:contentTypeDescription="Create a new document." ma:contentTypeScope="" ma:versionID="6c3fa26132dc13995de5ab6937787191">
  <xsd:schema xmlns:xsd="http://www.w3.org/2001/XMLSchema" xmlns:xs="http://www.w3.org/2001/XMLSchema" xmlns:p="http://schemas.microsoft.com/office/2006/metadata/properties" xmlns:ns3="c611b22e-7bc0-4b93-8273-3b1d37fb13f1" xmlns:ns4="bea404b7-54d9-4f8a-9fdd-8a4f359ba579" targetNamespace="http://schemas.microsoft.com/office/2006/metadata/properties" ma:root="true" ma:fieldsID="e9cdcbb1867aeb3ddbbf05a88e462a27" ns3:_="" ns4:_="">
    <xsd:import namespace="c611b22e-7bc0-4b93-8273-3b1d37fb13f1"/>
    <xsd:import namespace="bea404b7-54d9-4f8a-9fdd-8a4f359ba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b22e-7bc0-4b93-8273-3b1d37fb1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04b7-54d9-4f8a-9fdd-8a4f359ba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2B87C-6460-4617-A1EC-560397A2E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C6125-2C4C-4C37-B131-531F3725F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A1A01-EE7D-4426-93C7-72BD06E78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b22e-7bc0-4b93-8273-3b1d37fb13f1"/>
    <ds:schemaRef ds:uri="bea404b7-54d9-4f8a-9fdd-8a4f359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Rosemary Hau</cp:lastModifiedBy>
  <cp:revision>2</cp:revision>
  <dcterms:created xsi:type="dcterms:W3CDTF">2023-05-03T14:55:00Z</dcterms:created>
  <dcterms:modified xsi:type="dcterms:W3CDTF">2023-05-03T14:55:00Z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0x01010013105109018CD04DA7602E90B4E4B097</vt:lpwstr>
  </property>
  <property fmtid="{D5CDD505-2E9C-101B-9397-08002B2CF9AE}" pid="3" name="MSIP_Label_756f0b32-a912-43f4-93d5-78af500ff019_Enabled">
    <vt:lpwstr>True</vt:lpwstr>
  </property>
  <property fmtid="{D5CDD505-2E9C-101B-9397-08002B2CF9AE}" pid="4" name="MSIP_Label_756f0b32-a912-43f4-93d5-78af500ff019_SiteId">
    <vt:lpwstr>103e854c-d5c8-41b6-b343-6f6e0ff67a69</vt:lpwstr>
  </property>
  <property fmtid="{D5CDD505-2E9C-101B-9397-08002B2CF9AE}" pid="5" name="MSIP_Label_756f0b32-a912-43f4-93d5-78af500ff019_Owner">
    <vt:lpwstr>carpenter@persq.com</vt:lpwstr>
  </property>
  <property fmtid="{D5CDD505-2E9C-101B-9397-08002B2CF9AE}" pid="6" name="MSIP_Label_756f0b32-a912-43f4-93d5-78af500ff019_SetDate">
    <vt:lpwstr>2021-04-01T21:35:41.7414744Z</vt:lpwstr>
  </property>
  <property fmtid="{D5CDD505-2E9C-101B-9397-08002B2CF9AE}" pid="7" name="MSIP_Label_756f0b32-a912-43f4-93d5-78af500ff019_Name">
    <vt:lpwstr>Legal</vt:lpwstr>
  </property>
  <property fmtid="{D5CDD505-2E9C-101B-9397-08002B2CF9AE}" pid="8" name="MSIP_Label_756f0b32-a912-43f4-93d5-78af500ff019_Application">
    <vt:lpwstr>Microsoft Azure Information Protection</vt:lpwstr>
  </property>
  <property fmtid="{D5CDD505-2E9C-101B-9397-08002B2CF9AE}" pid="9" name="MSIP_Label_756f0b32-a912-43f4-93d5-78af500ff019_ActionId">
    <vt:lpwstr>8db9e941-4379-4877-9739-9bdc3f47f644</vt:lpwstr>
  </property>
  <property fmtid="{D5CDD505-2E9C-101B-9397-08002B2CF9AE}" pid="10" name="MSIP_Label_756f0b32-a912-43f4-93d5-78af500ff019_Extended_MSFT_Method">
    <vt:lpwstr>Automatic</vt:lpwstr>
  </property>
  <property fmtid="{D5CDD505-2E9C-101B-9397-08002B2CF9AE}" pid="11" name="MSIP_Label_f759cbcd-b1da-488d-858c-58a2eab0ff28_Enabled">
    <vt:lpwstr>True</vt:lpwstr>
  </property>
  <property fmtid="{D5CDD505-2E9C-101B-9397-08002B2CF9AE}" pid="12" name="MSIP_Label_f759cbcd-b1da-488d-858c-58a2eab0ff28_SiteId">
    <vt:lpwstr>103e854c-d5c8-41b6-b343-6f6e0ff67a69</vt:lpwstr>
  </property>
  <property fmtid="{D5CDD505-2E9C-101B-9397-08002B2CF9AE}" pid="13" name="MSIP_Label_f759cbcd-b1da-488d-858c-58a2eab0ff28_Owner">
    <vt:lpwstr>carpenter@persq.com</vt:lpwstr>
  </property>
  <property fmtid="{D5CDD505-2E9C-101B-9397-08002B2CF9AE}" pid="14" name="MSIP_Label_f759cbcd-b1da-488d-858c-58a2eab0ff28_SetDate">
    <vt:lpwstr>2021-04-01T21:35:41.7424702Z</vt:lpwstr>
  </property>
  <property fmtid="{D5CDD505-2E9C-101B-9397-08002B2CF9AE}" pid="15" name="MSIP_Label_f759cbcd-b1da-488d-858c-58a2eab0ff28_Name">
    <vt:lpwstr>To Be Encrypted</vt:lpwstr>
  </property>
  <property fmtid="{D5CDD505-2E9C-101B-9397-08002B2CF9AE}" pid="16" name="MSIP_Label_f759cbcd-b1da-488d-858c-58a2eab0ff28_Application">
    <vt:lpwstr>Microsoft Azure Information Protection</vt:lpwstr>
  </property>
  <property fmtid="{D5CDD505-2E9C-101B-9397-08002B2CF9AE}" pid="17" name="MSIP_Label_f759cbcd-b1da-488d-858c-58a2eab0ff28_ActionId">
    <vt:lpwstr>8db9e941-4379-4877-9739-9bdc3f47f644</vt:lpwstr>
  </property>
  <property fmtid="{D5CDD505-2E9C-101B-9397-08002B2CF9AE}" pid="18" name="MSIP_Label_f759cbcd-b1da-488d-858c-58a2eab0ff28_Parent">
    <vt:lpwstr>756f0b32-a912-43f4-93d5-78af500ff019</vt:lpwstr>
  </property>
  <property fmtid="{D5CDD505-2E9C-101B-9397-08002B2CF9AE}" pid="19" name="MSIP_Label_f759cbcd-b1da-488d-858c-58a2eab0ff28_Extended_MSFT_Method">
    <vt:lpwstr>Automatic</vt:lpwstr>
  </property>
  <property fmtid="{D5CDD505-2E9C-101B-9397-08002B2CF9AE}" pid="20" name="Sensitivity">
    <vt:lpwstr>Legal To Be Encrypted</vt:lpwstr>
  </property>
</Properties>
</file>