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41D" w:rsidRDefault="0018441D" w:rsidP="006D3295">
      <w:pPr>
        <w:rPr>
          <w:b/>
          <w:u w:val="single"/>
          <w:lang w:val="en-US"/>
        </w:rPr>
      </w:pPr>
      <w:r w:rsidRPr="0018441D">
        <w:rPr>
          <w:b/>
          <w:u w:val="single"/>
          <w:lang w:val="en-US"/>
        </w:rPr>
        <w:t>NOT FOR RELEASE, PUBLICATION OR DISTRIBUTION, DIRECTLY OR INDIRECTLY, IN OR INTO THE UNITED STATES, CAN</w:t>
      </w:r>
      <w:r>
        <w:rPr>
          <w:b/>
          <w:u w:val="single"/>
          <w:lang w:val="en-US"/>
        </w:rPr>
        <w:t>ADA, AUSTRALIA OR JAPAN.</w:t>
      </w:r>
    </w:p>
    <w:p w:rsidR="00974D79" w:rsidRDefault="00974D79" w:rsidP="006D3295">
      <w:pPr>
        <w:rPr>
          <w:b/>
          <w:u w:val="single"/>
          <w:lang w:val="en-US"/>
        </w:rPr>
      </w:pPr>
      <w:r w:rsidRPr="00974D79">
        <w:rPr>
          <w:b/>
          <w:u w:val="single"/>
          <w:lang w:val="en-US"/>
        </w:rPr>
        <w:t xml:space="preserve">Public disclosure of inside information in accordance with Article 17 MAR </w:t>
      </w:r>
    </w:p>
    <w:p w:rsidR="00974D79" w:rsidRDefault="00974D79" w:rsidP="006D3295">
      <w:pPr>
        <w:rPr>
          <w:b/>
          <w:u w:val="single"/>
          <w:lang w:val="en-US"/>
        </w:rPr>
      </w:pPr>
    </w:p>
    <w:p w:rsidR="00504B7E" w:rsidRPr="00504B7E" w:rsidRDefault="00504B7E" w:rsidP="00504B7E">
      <w:pPr>
        <w:rPr>
          <w:lang w:val="en-US"/>
        </w:rPr>
      </w:pPr>
      <w:r w:rsidRPr="00504B7E">
        <w:rPr>
          <w:b/>
          <w:lang w:val="en-US"/>
        </w:rPr>
        <w:t xml:space="preserve">SHOP APOTHEKE EUROPE to strengthen European market leadership through the acquisition of </w:t>
      </w:r>
      <w:r w:rsidR="00D97EDF">
        <w:rPr>
          <w:b/>
          <w:lang w:val="en-US"/>
        </w:rPr>
        <w:t>mail-order</w:t>
      </w:r>
      <w:r w:rsidRPr="00504B7E">
        <w:rPr>
          <w:b/>
          <w:lang w:val="en-US"/>
        </w:rPr>
        <w:t xml:space="preserve"> pharmacy Europa Apotheek.</w:t>
      </w:r>
    </w:p>
    <w:p w:rsidR="00C327DC" w:rsidRPr="00336734" w:rsidRDefault="00C327DC" w:rsidP="00504B7E">
      <w:pPr>
        <w:pStyle w:val="Listenabsatz"/>
        <w:numPr>
          <w:ilvl w:val="0"/>
          <w:numId w:val="1"/>
        </w:numPr>
        <w:rPr>
          <w:lang w:val="en-US"/>
        </w:rPr>
      </w:pPr>
      <w:r w:rsidRPr="00336734">
        <w:rPr>
          <w:lang w:val="en-US"/>
        </w:rPr>
        <w:t>Strengthening market leadership</w:t>
      </w:r>
      <w:r w:rsidR="008854B8" w:rsidRPr="00336734">
        <w:rPr>
          <w:lang w:val="en-US"/>
        </w:rPr>
        <w:t xml:space="preserve"> by creating Continental Europe’s largest and fastest growing fully integrated online pharmacy</w:t>
      </w:r>
      <w:r w:rsidR="00E70B5F">
        <w:rPr>
          <w:lang w:val="en-US"/>
        </w:rPr>
        <w:t>.</w:t>
      </w:r>
    </w:p>
    <w:p w:rsidR="00C327DC" w:rsidRDefault="006F0EB2" w:rsidP="006D3295">
      <w:pPr>
        <w:pStyle w:val="Listenabsatz"/>
        <w:numPr>
          <w:ilvl w:val="0"/>
          <w:numId w:val="1"/>
        </w:numPr>
        <w:rPr>
          <w:lang w:val="en-US"/>
        </w:rPr>
      </w:pPr>
      <w:r>
        <w:rPr>
          <w:lang w:val="en-US"/>
        </w:rPr>
        <w:t xml:space="preserve">Acquisition </w:t>
      </w:r>
      <w:r w:rsidR="00A51693">
        <w:rPr>
          <w:lang w:val="en-US"/>
        </w:rPr>
        <w:t>by way</w:t>
      </w:r>
      <w:r w:rsidR="0092219A">
        <w:rPr>
          <w:lang w:val="en-US"/>
        </w:rPr>
        <w:t xml:space="preserve"> </w:t>
      </w:r>
      <w:r>
        <w:rPr>
          <w:lang w:val="en-US"/>
        </w:rPr>
        <w:t xml:space="preserve">of </w:t>
      </w:r>
      <w:r w:rsidR="003A6365">
        <w:rPr>
          <w:lang w:val="en-US"/>
        </w:rPr>
        <w:t xml:space="preserve">an </w:t>
      </w:r>
      <w:r>
        <w:rPr>
          <w:lang w:val="en-US"/>
        </w:rPr>
        <w:t>all share transaction</w:t>
      </w:r>
      <w:r w:rsidR="00E70B5F">
        <w:rPr>
          <w:lang w:val="en-US"/>
        </w:rPr>
        <w:t>.</w:t>
      </w:r>
      <w:r w:rsidR="00C327DC" w:rsidRPr="00C327DC">
        <w:rPr>
          <w:lang w:val="en-US"/>
        </w:rPr>
        <w:t xml:space="preserve"> </w:t>
      </w:r>
    </w:p>
    <w:p w:rsidR="00C24597" w:rsidRPr="00C327DC" w:rsidRDefault="00C24597" w:rsidP="006D3295">
      <w:pPr>
        <w:pStyle w:val="Listenabsatz"/>
        <w:numPr>
          <w:ilvl w:val="0"/>
          <w:numId w:val="1"/>
        </w:numPr>
        <w:rPr>
          <w:lang w:val="en-US"/>
        </w:rPr>
      </w:pPr>
      <w:r>
        <w:rPr>
          <w:lang w:val="en-US"/>
        </w:rPr>
        <w:t>Increase</w:t>
      </w:r>
      <w:r w:rsidR="006B7E99">
        <w:rPr>
          <w:lang w:val="en-US"/>
        </w:rPr>
        <w:t>d s</w:t>
      </w:r>
      <w:r>
        <w:rPr>
          <w:lang w:val="en-US"/>
        </w:rPr>
        <w:t>ales-</w:t>
      </w:r>
      <w:r w:rsidR="006B7E99">
        <w:rPr>
          <w:lang w:val="en-US"/>
        </w:rPr>
        <w:t>g</w:t>
      </w:r>
      <w:r>
        <w:rPr>
          <w:lang w:val="en-US"/>
        </w:rPr>
        <w:t>uidance in the event of successful transaction</w:t>
      </w:r>
      <w:r w:rsidR="00E70B5F">
        <w:rPr>
          <w:lang w:val="en-US"/>
        </w:rPr>
        <w:t>.</w:t>
      </w:r>
      <w:r>
        <w:rPr>
          <w:lang w:val="en-US"/>
        </w:rPr>
        <w:t xml:space="preserve"> </w:t>
      </w:r>
    </w:p>
    <w:p w:rsidR="003A6365" w:rsidRDefault="00C327DC" w:rsidP="00884CE6">
      <w:pPr>
        <w:jc w:val="both"/>
        <w:rPr>
          <w:lang w:val="en-US"/>
        </w:rPr>
      </w:pPr>
      <w:r>
        <w:rPr>
          <w:lang w:val="en-US"/>
        </w:rPr>
        <w:t xml:space="preserve">Venlo, Cologne, </w:t>
      </w:r>
      <w:r w:rsidR="00D8514B">
        <w:rPr>
          <w:lang w:val="en-US"/>
        </w:rPr>
        <w:t>25</w:t>
      </w:r>
      <w:r w:rsidR="007B06F4">
        <w:rPr>
          <w:lang w:val="en-US"/>
        </w:rPr>
        <w:t xml:space="preserve"> </w:t>
      </w:r>
      <w:r>
        <w:rPr>
          <w:lang w:val="en-US"/>
        </w:rPr>
        <w:t xml:space="preserve">September 2017. SHOP APOTHEKE EUROPE N.V. </w:t>
      </w:r>
      <w:r w:rsidR="00AD1B02">
        <w:rPr>
          <w:lang w:val="en-US"/>
        </w:rPr>
        <w:t>(“</w:t>
      </w:r>
      <w:r w:rsidR="00E27353">
        <w:rPr>
          <w:lang w:val="en-US"/>
        </w:rPr>
        <w:t>Shop Apotheke</w:t>
      </w:r>
      <w:r w:rsidR="008B66AF">
        <w:rPr>
          <w:lang w:val="en-US"/>
        </w:rPr>
        <w:t>”</w:t>
      </w:r>
      <w:r w:rsidR="00AD1B02">
        <w:rPr>
          <w:lang w:val="en-US"/>
        </w:rPr>
        <w:t xml:space="preserve">) </w:t>
      </w:r>
      <w:r w:rsidR="00BF1569">
        <w:rPr>
          <w:lang w:val="en-US"/>
        </w:rPr>
        <w:t xml:space="preserve">takes over the </w:t>
      </w:r>
      <w:r w:rsidR="00E30CEB">
        <w:rPr>
          <w:lang w:val="en-US"/>
        </w:rPr>
        <w:t xml:space="preserve">mail-order </w:t>
      </w:r>
      <w:r w:rsidR="00BF1569">
        <w:rPr>
          <w:lang w:val="en-US"/>
        </w:rPr>
        <w:t xml:space="preserve">pharmacy </w:t>
      </w:r>
      <w:r w:rsidR="007B06F4">
        <w:rPr>
          <w:lang w:val="en-US"/>
        </w:rPr>
        <w:t xml:space="preserve">“Europa Apotheek” by acquiring its parent </w:t>
      </w:r>
      <w:r w:rsidR="00A51693">
        <w:rPr>
          <w:lang w:val="en-US"/>
        </w:rPr>
        <w:t xml:space="preserve">EHS </w:t>
      </w:r>
      <w:r w:rsidR="00BF1569">
        <w:rPr>
          <w:lang w:val="en-US"/>
        </w:rPr>
        <w:t xml:space="preserve">Europe Health Services </w:t>
      </w:r>
      <w:r w:rsidR="002535D4">
        <w:rPr>
          <w:lang w:val="en-US"/>
        </w:rPr>
        <w:t xml:space="preserve">B.V. </w:t>
      </w:r>
      <w:r w:rsidR="00E30CEB">
        <w:rPr>
          <w:lang w:val="en-US"/>
        </w:rPr>
        <w:t>(“EHS”)</w:t>
      </w:r>
      <w:r w:rsidR="00674BA2">
        <w:rPr>
          <w:lang w:val="en-US"/>
        </w:rPr>
        <w:t>.</w:t>
      </w:r>
      <w:r w:rsidR="007B06F4">
        <w:rPr>
          <w:lang w:val="en-US"/>
        </w:rPr>
        <w:t xml:space="preserve"> </w:t>
      </w:r>
      <w:r w:rsidR="00A51693">
        <w:rPr>
          <w:lang w:val="en-US"/>
        </w:rPr>
        <w:t>B</w:t>
      </w:r>
      <w:r>
        <w:rPr>
          <w:lang w:val="en-US"/>
        </w:rPr>
        <w:t>inding agreement</w:t>
      </w:r>
      <w:r w:rsidR="00A51693">
        <w:rPr>
          <w:lang w:val="en-US"/>
        </w:rPr>
        <w:t>s have been signed</w:t>
      </w:r>
      <w:r w:rsidR="00BF1569">
        <w:rPr>
          <w:lang w:val="en-US"/>
        </w:rPr>
        <w:t xml:space="preserve"> </w:t>
      </w:r>
      <w:r w:rsidR="00A51693">
        <w:rPr>
          <w:lang w:val="en-US"/>
        </w:rPr>
        <w:t xml:space="preserve">agreeing </w:t>
      </w:r>
      <w:r w:rsidR="00BF1569">
        <w:rPr>
          <w:lang w:val="en-US"/>
        </w:rPr>
        <w:t xml:space="preserve">that </w:t>
      </w:r>
      <w:r w:rsidR="00E27353">
        <w:rPr>
          <w:lang w:val="en-US"/>
        </w:rPr>
        <w:t xml:space="preserve">Shop Apotheke </w:t>
      </w:r>
      <w:r w:rsidR="00BF1569">
        <w:rPr>
          <w:lang w:val="en-US"/>
        </w:rPr>
        <w:t xml:space="preserve">will </w:t>
      </w:r>
      <w:r w:rsidR="00843EF7">
        <w:rPr>
          <w:lang w:val="en-US"/>
        </w:rPr>
        <w:t>acquire</w:t>
      </w:r>
      <w:r w:rsidR="00BF1569">
        <w:rPr>
          <w:lang w:val="en-US"/>
        </w:rPr>
        <w:t xml:space="preserve"> all shares </w:t>
      </w:r>
      <w:r w:rsidR="00843EF7">
        <w:rPr>
          <w:lang w:val="en-US"/>
        </w:rPr>
        <w:t>of</w:t>
      </w:r>
      <w:r w:rsidR="00BF1569">
        <w:rPr>
          <w:lang w:val="en-US"/>
        </w:rPr>
        <w:t xml:space="preserve"> </w:t>
      </w:r>
      <w:r w:rsidR="002535D4">
        <w:rPr>
          <w:lang w:val="en-US"/>
        </w:rPr>
        <w:t>EHS</w:t>
      </w:r>
      <w:r w:rsidR="00F10133" w:rsidDel="00A51693">
        <w:rPr>
          <w:lang w:val="en-US"/>
        </w:rPr>
        <w:t xml:space="preserve"> </w:t>
      </w:r>
      <w:r w:rsidR="00843EF7">
        <w:rPr>
          <w:lang w:val="en-US"/>
        </w:rPr>
        <w:t>by way of contribution in kind</w:t>
      </w:r>
      <w:r w:rsidR="00046F86">
        <w:rPr>
          <w:lang w:val="en-US"/>
        </w:rPr>
        <w:t xml:space="preserve"> of such shares</w:t>
      </w:r>
      <w:r w:rsidR="00A51693">
        <w:rPr>
          <w:lang w:val="en-US"/>
        </w:rPr>
        <w:t xml:space="preserve"> against issuance of new ordinary shares in </w:t>
      </w:r>
      <w:r w:rsidR="00E30CEB">
        <w:rPr>
          <w:lang w:val="en-US"/>
        </w:rPr>
        <w:t>Shop Apotheke</w:t>
      </w:r>
      <w:r w:rsidR="00843EF7">
        <w:rPr>
          <w:lang w:val="en-US"/>
        </w:rPr>
        <w:t>.</w:t>
      </w:r>
      <w:r w:rsidR="006F0EB2" w:rsidRPr="006F0EB2">
        <w:rPr>
          <w:lang w:val="en-US"/>
        </w:rPr>
        <w:t xml:space="preserve"> </w:t>
      </w:r>
      <w:r w:rsidR="00BF1569">
        <w:rPr>
          <w:lang w:val="en-US"/>
        </w:rPr>
        <w:t xml:space="preserve">Europa Apotheek is </w:t>
      </w:r>
      <w:r w:rsidR="006B7E99">
        <w:rPr>
          <w:lang w:val="en-US"/>
        </w:rPr>
        <w:t>a</w:t>
      </w:r>
      <w:r w:rsidR="006F0EB2" w:rsidRPr="006F0EB2">
        <w:rPr>
          <w:lang w:val="en-US"/>
        </w:rPr>
        <w:t xml:space="preserve"> </w:t>
      </w:r>
      <w:r w:rsidR="000C60EA">
        <w:rPr>
          <w:lang w:val="en-US"/>
        </w:rPr>
        <w:t>leading</w:t>
      </w:r>
      <w:r w:rsidR="006F0EB2" w:rsidRPr="006F0EB2">
        <w:rPr>
          <w:lang w:val="en-US"/>
        </w:rPr>
        <w:t xml:space="preserve"> </w:t>
      </w:r>
      <w:r w:rsidR="00E27353">
        <w:rPr>
          <w:lang w:val="en-US"/>
        </w:rPr>
        <w:t>mail-order</w:t>
      </w:r>
      <w:r w:rsidR="00E27353" w:rsidRPr="006F0EB2">
        <w:rPr>
          <w:lang w:val="en-US"/>
        </w:rPr>
        <w:t xml:space="preserve"> </w:t>
      </w:r>
      <w:r w:rsidR="006F0EB2" w:rsidRPr="006F0EB2">
        <w:rPr>
          <w:lang w:val="en-US"/>
        </w:rPr>
        <w:t>pharmac</w:t>
      </w:r>
      <w:r w:rsidR="006B7E99">
        <w:rPr>
          <w:lang w:val="en-US"/>
        </w:rPr>
        <w:t>y</w:t>
      </w:r>
      <w:r w:rsidR="006F0EB2" w:rsidRPr="006F0EB2">
        <w:rPr>
          <w:lang w:val="en-US"/>
        </w:rPr>
        <w:t xml:space="preserve"> in</w:t>
      </w:r>
      <w:r w:rsidR="006B7E99">
        <w:rPr>
          <w:lang w:val="en-US"/>
        </w:rPr>
        <w:t xml:space="preserve"> Continental</w:t>
      </w:r>
      <w:r w:rsidR="006F0EB2" w:rsidRPr="006F0EB2">
        <w:rPr>
          <w:lang w:val="en-US"/>
        </w:rPr>
        <w:t xml:space="preserve"> </w:t>
      </w:r>
      <w:r w:rsidR="007B06F4">
        <w:rPr>
          <w:lang w:val="en-US"/>
        </w:rPr>
        <w:t>Europe</w:t>
      </w:r>
      <w:r>
        <w:rPr>
          <w:lang w:val="en-US"/>
        </w:rPr>
        <w:t xml:space="preserve">. </w:t>
      </w:r>
      <w:r w:rsidR="00E30CEB">
        <w:rPr>
          <w:lang w:val="en-US"/>
        </w:rPr>
        <w:t>The group</w:t>
      </w:r>
      <w:r w:rsidR="00A51693" w:rsidDel="00A51693">
        <w:rPr>
          <w:lang w:val="en-US"/>
        </w:rPr>
        <w:t xml:space="preserve"> </w:t>
      </w:r>
      <w:r w:rsidR="003A6365">
        <w:rPr>
          <w:lang w:val="en-US"/>
        </w:rPr>
        <w:t xml:space="preserve">employs approximately 130 FTE and generated revenues </w:t>
      </w:r>
      <w:r w:rsidR="00AD1B02">
        <w:rPr>
          <w:lang w:val="en-US"/>
        </w:rPr>
        <w:t xml:space="preserve">of approximately </w:t>
      </w:r>
      <w:r w:rsidR="00E27353">
        <w:rPr>
          <w:lang w:val="en-US"/>
        </w:rPr>
        <w:t xml:space="preserve">EUR </w:t>
      </w:r>
      <w:r w:rsidR="00AD1B02">
        <w:rPr>
          <w:lang w:val="en-US"/>
        </w:rPr>
        <w:t>144m in 2016</w:t>
      </w:r>
      <w:r w:rsidR="000C2B01" w:rsidRPr="000C2B01">
        <w:rPr>
          <w:lang w:val="en-US"/>
        </w:rPr>
        <w:t xml:space="preserve"> </w:t>
      </w:r>
      <w:r w:rsidR="000C2B01">
        <w:rPr>
          <w:lang w:val="en-US"/>
        </w:rPr>
        <w:t xml:space="preserve">and of </w:t>
      </w:r>
      <w:r w:rsidR="00E27353">
        <w:rPr>
          <w:lang w:val="en-US"/>
        </w:rPr>
        <w:t xml:space="preserve">approximately EUR </w:t>
      </w:r>
      <w:r w:rsidR="000C2B01">
        <w:rPr>
          <w:lang w:val="en-US"/>
        </w:rPr>
        <w:t>81m in H1 2017</w:t>
      </w:r>
      <w:r w:rsidR="00B70296">
        <w:rPr>
          <w:lang w:val="en-US"/>
        </w:rPr>
        <w:t>.</w:t>
      </w:r>
      <w:r w:rsidR="002F3D99" w:rsidRPr="002F3D99">
        <w:rPr>
          <w:lang w:val="en-US"/>
        </w:rPr>
        <w:t xml:space="preserve"> </w:t>
      </w:r>
    </w:p>
    <w:p w:rsidR="00974D79" w:rsidRPr="00EA557B" w:rsidRDefault="00974D79" w:rsidP="00974D79">
      <w:pPr>
        <w:jc w:val="both"/>
        <w:rPr>
          <w:lang w:val="en-US"/>
        </w:rPr>
      </w:pPr>
      <w:r w:rsidRPr="000C34A2">
        <w:rPr>
          <w:lang w:val="en-GB"/>
        </w:rPr>
        <w:t xml:space="preserve">The business of Shop Apotheke </w:t>
      </w:r>
      <w:r>
        <w:rPr>
          <w:lang w:val="en-GB"/>
        </w:rPr>
        <w:t>has been carved out</w:t>
      </w:r>
      <w:r w:rsidRPr="000C34A2">
        <w:rPr>
          <w:lang w:val="en-GB"/>
        </w:rPr>
        <w:t xml:space="preserve"> from EHS prior to Shop Apotheke's initial public offering.</w:t>
      </w:r>
      <w:r>
        <w:rPr>
          <w:lang w:val="en-GB"/>
        </w:rPr>
        <w:t xml:space="preserve"> </w:t>
      </w:r>
      <w:r w:rsidRPr="00842AD6">
        <w:rPr>
          <w:lang w:val="en-US"/>
        </w:rPr>
        <w:t>Given the joint heritage</w:t>
      </w:r>
      <w:r>
        <w:rPr>
          <w:lang w:val="en-US"/>
        </w:rPr>
        <w:t xml:space="preserve"> with a partial overlap in ownership structure</w:t>
      </w:r>
      <w:r w:rsidRPr="00842AD6">
        <w:rPr>
          <w:lang w:val="en-US"/>
        </w:rPr>
        <w:t xml:space="preserve"> and </w:t>
      </w:r>
      <w:r>
        <w:rPr>
          <w:lang w:val="en-US"/>
        </w:rPr>
        <w:t xml:space="preserve">the </w:t>
      </w:r>
      <w:r w:rsidRPr="00842AD6">
        <w:rPr>
          <w:lang w:val="en-US"/>
        </w:rPr>
        <w:t>close</w:t>
      </w:r>
      <w:r>
        <w:rPr>
          <w:lang w:val="en-US"/>
        </w:rPr>
        <w:t xml:space="preserve"> operational</w:t>
      </w:r>
      <w:r w:rsidRPr="00842AD6">
        <w:rPr>
          <w:lang w:val="en-US"/>
        </w:rPr>
        <w:t xml:space="preserve"> cooperation between </w:t>
      </w:r>
      <w:r>
        <w:rPr>
          <w:lang w:val="en-US"/>
        </w:rPr>
        <w:t>both companies in Venlo, the Netherlands</w:t>
      </w:r>
      <w:r w:rsidRPr="00842AD6">
        <w:rPr>
          <w:lang w:val="en-US"/>
        </w:rPr>
        <w:t>, the integration process is expected to be very smooth</w:t>
      </w:r>
      <w:r>
        <w:rPr>
          <w:lang w:val="en-US"/>
        </w:rPr>
        <w:t xml:space="preserve">. In addition, </w:t>
      </w:r>
      <w:r w:rsidRPr="00336734">
        <w:rPr>
          <w:lang w:val="en-US"/>
        </w:rPr>
        <w:t xml:space="preserve">while the transaction rationale is focused on strengthening </w:t>
      </w:r>
      <w:r>
        <w:rPr>
          <w:lang w:val="en-US"/>
        </w:rPr>
        <w:t xml:space="preserve">its European </w:t>
      </w:r>
      <w:r w:rsidRPr="00336734">
        <w:rPr>
          <w:lang w:val="en-US"/>
        </w:rPr>
        <w:t xml:space="preserve">market leadership and capturing the Rx ecommerce opportunity as opposed to purely creating synergies, </w:t>
      </w:r>
      <w:r>
        <w:rPr>
          <w:lang w:val="en-US"/>
        </w:rPr>
        <w:t>Shop Apotheke</w:t>
      </w:r>
      <w:r w:rsidRPr="00336734">
        <w:rPr>
          <w:lang w:val="en-US"/>
        </w:rPr>
        <w:t xml:space="preserve"> </w:t>
      </w:r>
      <w:r>
        <w:rPr>
          <w:lang w:val="en-US"/>
        </w:rPr>
        <w:t xml:space="preserve">also </w:t>
      </w:r>
      <w:r w:rsidRPr="00336734">
        <w:rPr>
          <w:lang w:val="en-US"/>
        </w:rPr>
        <w:t xml:space="preserve">expects to benefit from </w:t>
      </w:r>
      <w:r>
        <w:rPr>
          <w:lang w:val="en-US"/>
        </w:rPr>
        <w:t xml:space="preserve">meaningful cost </w:t>
      </w:r>
      <w:r w:rsidRPr="00C24597">
        <w:rPr>
          <w:lang w:val="en-US"/>
        </w:rPr>
        <w:t>synergies</w:t>
      </w:r>
      <w:r>
        <w:rPr>
          <w:lang w:val="en-US"/>
        </w:rPr>
        <w:t>.</w:t>
      </w:r>
    </w:p>
    <w:p w:rsidR="003638CF" w:rsidRPr="00772AE9" w:rsidRDefault="00A51693" w:rsidP="0012319E">
      <w:pPr>
        <w:jc w:val="both"/>
        <w:rPr>
          <w:lang w:val="en-US"/>
        </w:rPr>
      </w:pPr>
      <w:r w:rsidRPr="00452C1F">
        <w:rPr>
          <w:lang w:val="en-US"/>
        </w:rPr>
        <w:t xml:space="preserve">Europa Apotheek </w:t>
      </w:r>
      <w:r w:rsidR="00161092">
        <w:rPr>
          <w:lang w:val="en-US"/>
        </w:rPr>
        <w:t xml:space="preserve">generates the majority of its revenues from Rx-related products whereas </w:t>
      </w:r>
      <w:r w:rsidR="00E27353">
        <w:rPr>
          <w:lang w:val="en-US"/>
        </w:rPr>
        <w:t>Shop Apotheke</w:t>
      </w:r>
      <w:r>
        <w:rPr>
          <w:lang w:val="en-US"/>
        </w:rPr>
        <w:t xml:space="preserve"> </w:t>
      </w:r>
      <w:r w:rsidR="006667BF">
        <w:rPr>
          <w:lang w:val="en-US"/>
        </w:rPr>
        <w:t>is focused on</w:t>
      </w:r>
      <w:r w:rsidR="00161092">
        <w:rPr>
          <w:lang w:val="en-US"/>
        </w:rPr>
        <w:t xml:space="preserve"> OTC </w:t>
      </w:r>
      <w:r w:rsidR="0012319E">
        <w:rPr>
          <w:lang w:val="en-US"/>
        </w:rPr>
        <w:t>(</w:t>
      </w:r>
      <w:r w:rsidR="0012319E" w:rsidRPr="0012319E">
        <w:rPr>
          <w:lang w:val="en-US"/>
        </w:rPr>
        <w:t>OTC = over the counter = non-prescription medications</w:t>
      </w:r>
      <w:r w:rsidR="0012319E">
        <w:rPr>
          <w:lang w:val="en-US"/>
        </w:rPr>
        <w:t>)</w:t>
      </w:r>
      <w:r w:rsidR="0012319E" w:rsidRPr="0012319E">
        <w:rPr>
          <w:lang w:val="en-US"/>
        </w:rPr>
        <w:t xml:space="preserve"> </w:t>
      </w:r>
      <w:r w:rsidR="00161092">
        <w:rPr>
          <w:lang w:val="en-US"/>
        </w:rPr>
        <w:t xml:space="preserve">and </w:t>
      </w:r>
      <w:r w:rsidR="004842F6">
        <w:rPr>
          <w:lang w:val="en-US"/>
        </w:rPr>
        <w:t>pharmacy related BPC</w:t>
      </w:r>
      <w:r w:rsidR="00161092">
        <w:rPr>
          <w:lang w:val="en-US"/>
        </w:rPr>
        <w:t xml:space="preserve"> products. </w:t>
      </w:r>
      <w:r w:rsidR="002F3D99">
        <w:rPr>
          <w:lang w:val="en-US"/>
        </w:rPr>
        <w:t>Thus, the resulting combination aims to</w:t>
      </w:r>
      <w:r w:rsidR="002F3D99" w:rsidRPr="00AD1B02">
        <w:rPr>
          <w:lang w:val="en-US"/>
        </w:rPr>
        <w:t xml:space="preserve"> create</w:t>
      </w:r>
      <w:r w:rsidR="00377005">
        <w:rPr>
          <w:lang w:val="en-US"/>
        </w:rPr>
        <w:t xml:space="preserve"> what </w:t>
      </w:r>
      <w:r w:rsidR="00C211BB">
        <w:rPr>
          <w:lang w:val="en-US"/>
        </w:rPr>
        <w:t>Shop Apotheke</w:t>
      </w:r>
      <w:r w:rsidR="00377005">
        <w:rPr>
          <w:lang w:val="en-US"/>
        </w:rPr>
        <w:t xml:space="preserve"> expects to be</w:t>
      </w:r>
      <w:r w:rsidR="002F3D99" w:rsidRPr="00AD1B02">
        <w:rPr>
          <w:lang w:val="en-US"/>
        </w:rPr>
        <w:t xml:space="preserve"> Continental Europe’s largest and fastest growing fully integrated online pharmacy</w:t>
      </w:r>
      <w:r w:rsidR="00B278EC">
        <w:rPr>
          <w:lang w:val="en-US"/>
        </w:rPr>
        <w:t>.</w:t>
      </w:r>
      <w:r w:rsidR="00141EC3">
        <w:rPr>
          <w:lang w:val="en-US"/>
        </w:rPr>
        <w:t xml:space="preserve"> </w:t>
      </w:r>
      <w:r w:rsidR="00E43221">
        <w:rPr>
          <w:lang w:val="en-US"/>
        </w:rPr>
        <w:t>P</w:t>
      </w:r>
      <w:r w:rsidR="002F3D99" w:rsidRPr="00452C1F">
        <w:rPr>
          <w:lang w:val="en-US"/>
        </w:rPr>
        <w:t>ro-forma sales</w:t>
      </w:r>
      <w:r w:rsidR="002F3D99">
        <w:rPr>
          <w:lang w:val="en-US"/>
        </w:rPr>
        <w:t xml:space="preserve"> </w:t>
      </w:r>
      <w:r w:rsidR="00843EF7">
        <w:rPr>
          <w:lang w:val="en-US"/>
        </w:rPr>
        <w:t>would</w:t>
      </w:r>
      <w:r w:rsidR="00B278EC">
        <w:rPr>
          <w:lang w:val="en-US"/>
        </w:rPr>
        <w:t xml:space="preserve"> </w:t>
      </w:r>
      <w:r w:rsidR="00E15A48">
        <w:rPr>
          <w:lang w:val="en-US"/>
        </w:rPr>
        <w:t xml:space="preserve">be expected to </w:t>
      </w:r>
      <w:r w:rsidR="00E43221">
        <w:rPr>
          <w:lang w:val="en-US"/>
        </w:rPr>
        <w:t xml:space="preserve">correspond </w:t>
      </w:r>
      <w:r w:rsidR="00B278EC">
        <w:rPr>
          <w:lang w:val="en-US"/>
        </w:rPr>
        <w:t>to circa EUR</w:t>
      </w:r>
      <w:r w:rsidR="00E15A48">
        <w:rPr>
          <w:lang w:val="en-US"/>
        </w:rPr>
        <w:t> </w:t>
      </w:r>
      <w:r w:rsidR="002F3D99" w:rsidRPr="00452C1F">
        <w:rPr>
          <w:lang w:val="en-US"/>
        </w:rPr>
        <w:t>31</w:t>
      </w:r>
      <w:r w:rsidR="00814A08">
        <w:rPr>
          <w:lang w:val="en-US"/>
        </w:rPr>
        <w:t>8</w:t>
      </w:r>
      <w:r w:rsidR="00D97EDF">
        <w:rPr>
          <w:lang w:val="en-US"/>
        </w:rPr>
        <w:t>m</w:t>
      </w:r>
      <w:bookmarkStart w:id="0" w:name="_GoBack"/>
      <w:bookmarkEnd w:id="0"/>
      <w:r w:rsidR="00B278EC">
        <w:rPr>
          <w:lang w:val="en-US"/>
        </w:rPr>
        <w:t xml:space="preserve"> </w:t>
      </w:r>
      <w:r w:rsidR="00C211BB">
        <w:rPr>
          <w:lang w:val="en-US"/>
        </w:rPr>
        <w:t xml:space="preserve">for </w:t>
      </w:r>
      <w:r w:rsidR="00B278EC" w:rsidRPr="00452C1F">
        <w:rPr>
          <w:lang w:val="en-US"/>
        </w:rPr>
        <w:t>2016</w:t>
      </w:r>
      <w:r w:rsidR="002F3D99" w:rsidRPr="00AD1B02">
        <w:rPr>
          <w:lang w:val="en-US"/>
        </w:rPr>
        <w:t>, offering customers a comprehensive product portfolio including OTC</w:t>
      </w:r>
      <w:r w:rsidR="006667BF">
        <w:rPr>
          <w:lang w:val="en-US"/>
        </w:rPr>
        <w:t>, Rx</w:t>
      </w:r>
      <w:r w:rsidR="002F3D99" w:rsidRPr="00AD1B02">
        <w:rPr>
          <w:lang w:val="en-US"/>
        </w:rPr>
        <w:t xml:space="preserve"> and pharmacy related BPC</w:t>
      </w:r>
      <w:r w:rsidR="002F3D99">
        <w:rPr>
          <w:lang w:val="en-US"/>
        </w:rPr>
        <w:t>.</w:t>
      </w:r>
    </w:p>
    <w:p w:rsidR="007809A3" w:rsidRPr="00452C1F" w:rsidRDefault="0082592D" w:rsidP="00504B7E">
      <w:pPr>
        <w:rPr>
          <w:lang w:val="en-US"/>
        </w:rPr>
      </w:pPr>
      <w:r w:rsidRPr="00C6665C">
        <w:rPr>
          <w:lang w:val="en-US"/>
        </w:rPr>
        <w:t xml:space="preserve">Shop Apotheke </w:t>
      </w:r>
      <w:r w:rsidR="007809A3" w:rsidRPr="00C6665C">
        <w:rPr>
          <w:lang w:val="en-US"/>
        </w:rPr>
        <w:t>will acquire all shares of Europa Apotheek in an all share transaction by way of contribution in kind of such shares against issuance of new ordinary shares in Shop Apotheke. Shareholders of Europa Apotheek will receive 2.724 (rounded) new Shop Apotheke shares for each Europa Apotheek share</w:t>
      </w:r>
      <w:r w:rsidR="00413043" w:rsidRPr="00C6665C">
        <w:rPr>
          <w:lang w:val="en-US"/>
        </w:rPr>
        <w:t>, valuing Europa Apotheek at approximately EUR 126m based on Shop Apotheke´s 3-month volume weighted average price (VWAP) of EUR 42.</w:t>
      </w:r>
      <w:r w:rsidR="00C6665C" w:rsidRPr="00C6665C">
        <w:rPr>
          <w:lang w:val="en-US"/>
        </w:rPr>
        <w:t>85</w:t>
      </w:r>
      <w:r w:rsidR="00413043" w:rsidRPr="00C6665C">
        <w:rPr>
          <w:lang w:val="en-US"/>
        </w:rPr>
        <w:t xml:space="preserve"> as</w:t>
      </w:r>
      <w:r w:rsidR="00413043">
        <w:rPr>
          <w:lang w:val="en-US"/>
        </w:rPr>
        <w:t xml:space="preserve"> of September 22, 2017.</w:t>
      </w:r>
      <w:r w:rsidR="00504B7E">
        <w:rPr>
          <w:lang w:val="en-US"/>
        </w:rPr>
        <w:t xml:space="preserve"> </w:t>
      </w:r>
      <w:r w:rsidR="007809A3">
        <w:rPr>
          <w:lang w:val="en-US"/>
        </w:rPr>
        <w:t xml:space="preserve">Shop Apotheke's managing board and supervisory board on the one hand, and the supervisory board on the other hand, each received a </w:t>
      </w:r>
      <w:r w:rsidR="007809A3" w:rsidRPr="00972F0F">
        <w:rPr>
          <w:lang w:val="en-US"/>
        </w:rPr>
        <w:t xml:space="preserve">fairness opinion </w:t>
      </w:r>
      <w:r w:rsidR="007809A3">
        <w:rPr>
          <w:lang w:val="en-US"/>
        </w:rPr>
        <w:t xml:space="preserve">from two internationally renowned investment banks </w:t>
      </w:r>
      <w:r w:rsidR="007809A3" w:rsidRPr="00814A08">
        <w:rPr>
          <w:lang w:val="en-US"/>
        </w:rPr>
        <w:t xml:space="preserve">to the effect that as of </w:t>
      </w:r>
      <w:r w:rsidR="007809A3">
        <w:rPr>
          <w:lang w:val="en-US"/>
        </w:rPr>
        <w:t xml:space="preserve">the date of the opinion </w:t>
      </w:r>
      <w:r w:rsidR="007809A3" w:rsidRPr="00814A08">
        <w:rPr>
          <w:lang w:val="en-US"/>
        </w:rPr>
        <w:t xml:space="preserve">the exchange ratio </w:t>
      </w:r>
      <w:r w:rsidR="007809A3">
        <w:rPr>
          <w:lang w:val="en-US"/>
        </w:rPr>
        <w:t xml:space="preserve">was </w:t>
      </w:r>
      <w:r w:rsidR="007809A3" w:rsidRPr="00814A08">
        <w:rPr>
          <w:lang w:val="en-US"/>
        </w:rPr>
        <w:t>fair, from a financial point of view, to</w:t>
      </w:r>
      <w:r w:rsidR="007809A3">
        <w:rPr>
          <w:lang w:val="en-US"/>
        </w:rPr>
        <w:t xml:space="preserve"> Shop Apotheke</w:t>
      </w:r>
      <w:r w:rsidR="007809A3" w:rsidRPr="00972F0F">
        <w:rPr>
          <w:lang w:val="en-US"/>
        </w:rPr>
        <w:t>.</w:t>
      </w:r>
    </w:p>
    <w:p w:rsidR="00452C1F" w:rsidRPr="00452C1F" w:rsidRDefault="00452C1F" w:rsidP="006017CD">
      <w:pPr>
        <w:jc w:val="both"/>
        <w:rPr>
          <w:lang w:val="en-US"/>
        </w:rPr>
      </w:pPr>
      <w:r w:rsidRPr="00452C1F">
        <w:rPr>
          <w:lang w:val="en-US"/>
        </w:rPr>
        <w:t xml:space="preserve">Moreover, all </w:t>
      </w:r>
      <w:r w:rsidR="00046F86">
        <w:rPr>
          <w:lang w:val="en-US"/>
        </w:rPr>
        <w:t>new</w:t>
      </w:r>
      <w:r w:rsidR="00C211BB">
        <w:rPr>
          <w:lang w:val="en-US"/>
        </w:rPr>
        <w:t>ly</w:t>
      </w:r>
      <w:r w:rsidR="00046F86">
        <w:rPr>
          <w:lang w:val="en-US"/>
        </w:rPr>
        <w:t xml:space="preserve"> </w:t>
      </w:r>
      <w:r w:rsidR="00B845E2">
        <w:rPr>
          <w:lang w:val="en-US"/>
        </w:rPr>
        <w:t xml:space="preserve">issued </w:t>
      </w:r>
      <w:r w:rsidRPr="00452C1F">
        <w:rPr>
          <w:lang w:val="en-US"/>
        </w:rPr>
        <w:t xml:space="preserve">shares </w:t>
      </w:r>
      <w:r w:rsidR="00B845E2">
        <w:rPr>
          <w:lang w:val="en-US"/>
        </w:rPr>
        <w:t xml:space="preserve">of </w:t>
      </w:r>
      <w:r w:rsidR="00C211BB">
        <w:rPr>
          <w:lang w:val="en-US"/>
        </w:rPr>
        <w:t>Shop Apotheke</w:t>
      </w:r>
      <w:r w:rsidR="00B845E2">
        <w:rPr>
          <w:lang w:val="en-US"/>
        </w:rPr>
        <w:t xml:space="preserve"> </w:t>
      </w:r>
      <w:r w:rsidR="00046F86">
        <w:rPr>
          <w:lang w:val="en-US"/>
        </w:rPr>
        <w:t xml:space="preserve">in connection with </w:t>
      </w:r>
      <w:r w:rsidRPr="00452C1F">
        <w:rPr>
          <w:lang w:val="en-US"/>
        </w:rPr>
        <w:t xml:space="preserve">the </w:t>
      </w:r>
      <w:r w:rsidR="00B845E2">
        <w:rPr>
          <w:lang w:val="en-US"/>
        </w:rPr>
        <w:t>t</w:t>
      </w:r>
      <w:r w:rsidRPr="00452C1F">
        <w:rPr>
          <w:lang w:val="en-US"/>
        </w:rPr>
        <w:t>ransaction will be subject to a lock-up period of 180 days</w:t>
      </w:r>
      <w:r w:rsidR="00A90CEE">
        <w:rPr>
          <w:lang w:val="en-US"/>
        </w:rPr>
        <w:t xml:space="preserve"> </w:t>
      </w:r>
      <w:r w:rsidR="00A90CEE" w:rsidRPr="00FB4E43">
        <w:rPr>
          <w:lang w:val="en-US"/>
        </w:rPr>
        <w:t xml:space="preserve">and will be admitted to trading within </w:t>
      </w:r>
      <w:r w:rsidR="00035F17">
        <w:rPr>
          <w:lang w:val="en-US"/>
        </w:rPr>
        <w:t>12</w:t>
      </w:r>
      <w:r w:rsidR="00035F17" w:rsidRPr="00FB4E43">
        <w:rPr>
          <w:lang w:val="en-US"/>
        </w:rPr>
        <w:t xml:space="preserve"> </w:t>
      </w:r>
      <w:r w:rsidR="00A90CEE" w:rsidRPr="00FB4E43">
        <w:rPr>
          <w:lang w:val="en-US"/>
        </w:rPr>
        <w:t>months on the basis of a securities prospectus to be published</w:t>
      </w:r>
      <w:r w:rsidRPr="00452C1F">
        <w:rPr>
          <w:lang w:val="en-US"/>
        </w:rPr>
        <w:t>.</w:t>
      </w:r>
      <w:r w:rsidR="00DC2964">
        <w:rPr>
          <w:lang w:val="en-US"/>
        </w:rPr>
        <w:t xml:space="preserve"> </w:t>
      </w:r>
      <w:r w:rsidR="00B845E2">
        <w:rPr>
          <w:lang w:val="en-US"/>
        </w:rPr>
        <w:t>Completion of the t</w:t>
      </w:r>
      <w:r w:rsidRPr="00452C1F">
        <w:rPr>
          <w:lang w:val="en-US"/>
        </w:rPr>
        <w:t>rans</w:t>
      </w:r>
      <w:r>
        <w:rPr>
          <w:lang w:val="en-US"/>
        </w:rPr>
        <w:t xml:space="preserve">action is </w:t>
      </w:r>
      <w:r w:rsidR="00B845E2">
        <w:rPr>
          <w:lang w:val="en-US"/>
        </w:rPr>
        <w:t xml:space="preserve">subject to </w:t>
      </w:r>
      <w:r w:rsidR="00C211BB">
        <w:rPr>
          <w:lang w:val="en-US"/>
        </w:rPr>
        <w:t xml:space="preserve">customary conditions precedent, </w:t>
      </w:r>
      <w:r w:rsidR="00035F17">
        <w:rPr>
          <w:lang w:val="en-US"/>
        </w:rPr>
        <w:t xml:space="preserve">in particular, </w:t>
      </w:r>
      <w:r w:rsidR="00C211BB">
        <w:rPr>
          <w:lang w:val="en-US"/>
        </w:rPr>
        <w:t xml:space="preserve">the </w:t>
      </w:r>
      <w:r w:rsidR="00B845E2">
        <w:rPr>
          <w:lang w:val="en-US"/>
        </w:rPr>
        <w:t xml:space="preserve">approval of the transaction by the general meeting of </w:t>
      </w:r>
      <w:r w:rsidR="00633EF6">
        <w:rPr>
          <w:lang w:val="en-US"/>
        </w:rPr>
        <w:t xml:space="preserve">shareholders of </w:t>
      </w:r>
      <w:r w:rsidR="00C211BB">
        <w:rPr>
          <w:lang w:val="en-US"/>
        </w:rPr>
        <w:t>Shop Apotheke</w:t>
      </w:r>
      <w:r w:rsidRPr="00452C1F">
        <w:rPr>
          <w:lang w:val="en-US"/>
        </w:rPr>
        <w:t xml:space="preserve">. </w:t>
      </w:r>
      <w:r w:rsidR="00D964AA">
        <w:rPr>
          <w:lang w:val="en-US"/>
        </w:rPr>
        <w:t>A</w:t>
      </w:r>
      <w:r w:rsidR="00035F17">
        <w:rPr>
          <w:lang w:val="en-US"/>
        </w:rPr>
        <w:t>n</w:t>
      </w:r>
      <w:r w:rsidR="00D964AA">
        <w:rPr>
          <w:lang w:val="en-US"/>
        </w:rPr>
        <w:t xml:space="preserve"> </w:t>
      </w:r>
      <w:r w:rsidRPr="00452C1F">
        <w:rPr>
          <w:lang w:val="en-US"/>
        </w:rPr>
        <w:t xml:space="preserve">extraordinary general meeting </w:t>
      </w:r>
      <w:r w:rsidR="00B845E2">
        <w:rPr>
          <w:lang w:val="en-US"/>
        </w:rPr>
        <w:t xml:space="preserve">of </w:t>
      </w:r>
      <w:r w:rsidR="00C211BB">
        <w:rPr>
          <w:lang w:val="en-US"/>
        </w:rPr>
        <w:t>Shop Apotheke</w:t>
      </w:r>
      <w:r w:rsidR="00B845E2">
        <w:rPr>
          <w:lang w:val="en-US"/>
        </w:rPr>
        <w:t xml:space="preserve"> </w:t>
      </w:r>
      <w:r w:rsidR="00B845E2" w:rsidRPr="00B845E2">
        <w:rPr>
          <w:lang w:val="en-US"/>
        </w:rPr>
        <w:t xml:space="preserve">will be held for </w:t>
      </w:r>
      <w:r w:rsidR="00B845E2" w:rsidRPr="00B845E2">
        <w:rPr>
          <w:lang w:val="en-US"/>
        </w:rPr>
        <w:lastRenderedPageBreak/>
        <w:t>the purpose of, among other things, facilitating a shareholder decision on the proposed acquisition of</w:t>
      </w:r>
      <w:r w:rsidR="00B845E2">
        <w:rPr>
          <w:lang w:val="en-US"/>
        </w:rPr>
        <w:t xml:space="preserve"> Europa Apotheek</w:t>
      </w:r>
      <w:r w:rsidR="00D964AA">
        <w:rPr>
          <w:lang w:val="en-US"/>
        </w:rPr>
        <w:t>.</w:t>
      </w:r>
    </w:p>
    <w:p w:rsidR="00C24597" w:rsidRDefault="00C24597" w:rsidP="006017CD">
      <w:pPr>
        <w:jc w:val="both"/>
        <w:rPr>
          <w:lang w:val="en-US"/>
        </w:rPr>
      </w:pPr>
      <w:r w:rsidRPr="00C24597">
        <w:rPr>
          <w:lang w:val="en-US"/>
        </w:rPr>
        <w:t xml:space="preserve">Subject to the successful </w:t>
      </w:r>
      <w:r>
        <w:rPr>
          <w:lang w:val="en-US"/>
        </w:rPr>
        <w:t>completion</w:t>
      </w:r>
      <w:r w:rsidRPr="00C24597">
        <w:rPr>
          <w:lang w:val="en-US"/>
        </w:rPr>
        <w:t xml:space="preserve"> of the acquisition and taking into account the consolidation of Europa Apotheek from </w:t>
      </w:r>
      <w:r w:rsidR="00F2561F">
        <w:rPr>
          <w:lang w:val="en-US"/>
        </w:rPr>
        <w:t>November</w:t>
      </w:r>
      <w:r w:rsidRPr="00C24597">
        <w:rPr>
          <w:lang w:val="en-US"/>
        </w:rPr>
        <w:t xml:space="preserve"> 2017, the </w:t>
      </w:r>
      <w:r w:rsidR="00046F86">
        <w:rPr>
          <w:lang w:val="en-US"/>
        </w:rPr>
        <w:t>managing</w:t>
      </w:r>
      <w:r w:rsidR="00046F86" w:rsidRPr="00C24597">
        <w:rPr>
          <w:lang w:val="en-US"/>
        </w:rPr>
        <w:t xml:space="preserve"> </w:t>
      </w:r>
      <w:r w:rsidR="006415E4" w:rsidRPr="00C24597">
        <w:rPr>
          <w:lang w:val="en-US"/>
        </w:rPr>
        <w:t xml:space="preserve">board </w:t>
      </w:r>
      <w:r w:rsidR="00035F17">
        <w:rPr>
          <w:lang w:val="en-US"/>
        </w:rPr>
        <w:t>would</w:t>
      </w:r>
      <w:r w:rsidR="00035F17" w:rsidRPr="00C24597">
        <w:rPr>
          <w:lang w:val="en-US"/>
        </w:rPr>
        <w:t xml:space="preserve"> </w:t>
      </w:r>
      <w:r w:rsidRPr="00C24597">
        <w:rPr>
          <w:lang w:val="en-US"/>
        </w:rPr>
        <w:t xml:space="preserve">increase the forecast for the </w:t>
      </w:r>
      <w:r w:rsidR="006415E4">
        <w:rPr>
          <w:lang w:val="en-US"/>
        </w:rPr>
        <w:t>g</w:t>
      </w:r>
      <w:r w:rsidRPr="00C24597">
        <w:rPr>
          <w:lang w:val="en-US"/>
        </w:rPr>
        <w:t>roup'</w:t>
      </w:r>
      <w:r>
        <w:rPr>
          <w:lang w:val="en-US"/>
        </w:rPr>
        <w:t>s sales growth from currently +45% to +55% to +</w:t>
      </w:r>
      <w:r w:rsidR="006B7E99">
        <w:rPr>
          <w:lang w:val="en-US"/>
        </w:rPr>
        <w:t>55</w:t>
      </w:r>
      <w:r>
        <w:rPr>
          <w:lang w:val="en-US"/>
        </w:rPr>
        <w:t>% to +</w:t>
      </w:r>
      <w:r w:rsidRPr="00C24597">
        <w:rPr>
          <w:lang w:val="en-US"/>
        </w:rPr>
        <w:t>65%</w:t>
      </w:r>
      <w:r w:rsidR="00D964AA">
        <w:rPr>
          <w:lang w:val="en-US"/>
        </w:rPr>
        <w:t>.</w:t>
      </w:r>
      <w:r w:rsidR="00555904">
        <w:rPr>
          <w:lang w:val="en-US"/>
        </w:rPr>
        <w:t xml:space="preserve"> </w:t>
      </w:r>
      <w:r w:rsidRPr="00C24597">
        <w:rPr>
          <w:lang w:val="en-US"/>
        </w:rPr>
        <w:t xml:space="preserve">The forecast for the consolidated EBITDA margin </w:t>
      </w:r>
      <w:r w:rsidR="00F2561F">
        <w:rPr>
          <w:lang w:val="en-US"/>
        </w:rPr>
        <w:t xml:space="preserve">before one-off transactions costs </w:t>
      </w:r>
      <w:r w:rsidR="0012319E">
        <w:rPr>
          <w:lang w:val="en-US"/>
        </w:rPr>
        <w:t>remains at</w:t>
      </w:r>
      <w:r w:rsidR="0012319E" w:rsidRPr="00C24597">
        <w:rPr>
          <w:lang w:val="en-US"/>
        </w:rPr>
        <w:t xml:space="preserve"> </w:t>
      </w:r>
      <w:r w:rsidRPr="00C24597">
        <w:rPr>
          <w:lang w:val="en-US"/>
        </w:rPr>
        <w:t>-2.0% to -</w:t>
      </w:r>
      <w:r>
        <w:rPr>
          <w:lang w:val="en-US"/>
        </w:rPr>
        <w:t>3</w:t>
      </w:r>
      <w:r w:rsidRPr="00C24597">
        <w:rPr>
          <w:lang w:val="en-US"/>
        </w:rPr>
        <w:t>.0%</w:t>
      </w:r>
      <w:r w:rsidR="00D43720">
        <w:rPr>
          <w:lang w:val="en-US"/>
        </w:rPr>
        <w:t>.</w:t>
      </w:r>
      <w:r w:rsidR="00843EF7">
        <w:rPr>
          <w:lang w:val="en-US"/>
        </w:rPr>
        <w:t xml:space="preserve"> </w:t>
      </w:r>
    </w:p>
    <w:p w:rsidR="0018441D" w:rsidRDefault="0018441D" w:rsidP="006017CD">
      <w:pPr>
        <w:jc w:val="both"/>
        <w:rPr>
          <w:lang w:val="en-US"/>
        </w:rPr>
      </w:pPr>
      <w:r>
        <w:rPr>
          <w:lang w:val="en-US"/>
        </w:rPr>
        <w:t>***</w:t>
      </w:r>
    </w:p>
    <w:p w:rsidR="0018441D" w:rsidRPr="0018441D" w:rsidRDefault="0018441D" w:rsidP="0018441D">
      <w:pPr>
        <w:jc w:val="both"/>
        <w:rPr>
          <w:lang w:val="en-GB"/>
        </w:rPr>
      </w:pPr>
      <w:r w:rsidRPr="0018441D">
        <w:rPr>
          <w:lang w:val="en-GB"/>
        </w:rPr>
        <w:t>This p</w:t>
      </w:r>
      <w:r>
        <w:rPr>
          <w:lang w:val="en-GB"/>
        </w:rPr>
        <w:t>ublication is an advertisement.</w:t>
      </w:r>
    </w:p>
    <w:p w:rsidR="0018441D" w:rsidRPr="0018441D" w:rsidRDefault="0018441D" w:rsidP="0018441D">
      <w:pPr>
        <w:jc w:val="both"/>
        <w:rPr>
          <w:lang w:val="en-GB"/>
        </w:rPr>
      </w:pPr>
      <w:r w:rsidRPr="0018441D">
        <w:rPr>
          <w:lang w:val="en-GB"/>
        </w:rPr>
        <w:t>This communication constitutes neither an offer to sell nor a solicitation to buy securities of Shop Apotheke Europe N.V. in any jurisdiction This is not a securities prospectus. Any public offering will be made solely by means of, and on the basis of, a securities prospectus, which will include detailed information about Shop Apotheke Europe N.V. An investment decision regarding the securities of Shop Apotheke Europe N.V. should only be made on the basis of the securities prospectus. Any securities prospectus will be published promptly upon approval by the Autoriteit Financiële Markten (AFM) and posted on http://shop-apotheke-eu</w:t>
      </w:r>
      <w:r>
        <w:rPr>
          <w:lang w:val="en-GB"/>
        </w:rPr>
        <w:t>rope.com/de/investorrelations/.</w:t>
      </w:r>
    </w:p>
    <w:p w:rsidR="0018441D" w:rsidRDefault="0018441D" w:rsidP="006017CD">
      <w:pPr>
        <w:jc w:val="both"/>
        <w:rPr>
          <w:lang w:val="en-US"/>
        </w:rPr>
      </w:pPr>
      <w:r w:rsidRPr="0018441D">
        <w:rPr>
          <w:lang w:val="en-US"/>
        </w:rPr>
        <w:t xml:space="preserve">This communication does not constitute or form part of an offer of securities for sale or solicitation of an offer to purchase securities in the United States, Canada, Australia, Japan or in any other jurisdiction in which such offer may be restricted. The securities referred to in this communication have not been, and will not be, registered under the US Securities Act of 1933, as amended (the "Securities Act"), and may not be offered or sold in the United States, except on the basis of an applicable exemption from registration or in a transaction not subject to registration under the Securities Act. There will be no public offering of securities in the </w:t>
      </w:r>
      <w:r>
        <w:rPr>
          <w:lang w:val="en-US"/>
        </w:rPr>
        <w:t>United States or anywhere else.</w:t>
      </w:r>
    </w:p>
    <w:p w:rsidR="0018441D" w:rsidRDefault="0018441D" w:rsidP="006017CD">
      <w:pPr>
        <w:jc w:val="both"/>
        <w:rPr>
          <w:lang w:val="en-GB"/>
        </w:rPr>
      </w:pPr>
      <w:r w:rsidRPr="0018441D">
        <w:rPr>
          <w:lang w:val="en-GB"/>
        </w:rPr>
        <w:t>In the United Kingdom, this communication is directed only at persons who: (i) are qualified investors within the meaning of the Financial Services and Markets Act 2000 (as amended) and any relevant implementing measures and/or (ii) are outside the United Kingdom or (iii) have professional experience in matters relating to investments and fall within the definition of "investment professionals" contained in article 19 (5) of the Financial Services and Markets Act 2000 (Financial Promotion) Order 2005 (as amended) (the "Order") or are persons falling within article 49 (2)(a) to (d) (high net worth companies, unincorporated associations, etc.) of the Order, or fall within another exemption to the Order (all such persons referred to in (i) to (iii) above together being referred to as "Relevant Persons"). Any person who is not a Relevant Person must not act or rely on this communication or any of its contents. Any investment or investment activity to which this communication relates is available only to Relevant Persons and will be engaged in only with Relev</w:t>
      </w:r>
      <w:r>
        <w:rPr>
          <w:lang w:val="en-GB"/>
        </w:rPr>
        <w:t>ant Persons.</w:t>
      </w:r>
    </w:p>
    <w:p w:rsidR="0018441D" w:rsidRPr="0018441D" w:rsidRDefault="0018441D" w:rsidP="0018441D">
      <w:pPr>
        <w:jc w:val="both"/>
        <w:rPr>
          <w:lang w:val="en-GB"/>
        </w:rPr>
      </w:pPr>
      <w:r w:rsidRPr="0018441D">
        <w:rPr>
          <w:lang w:val="en-GB"/>
        </w:rPr>
        <w:t>Statements contained herein may constitute "forward-looking statements." Forward-looking statements are generally identifiable by the use of the words "may", "will", "should", "plan", "expect", "anticipate", "estimate," "believe", "intend", "project", "goal" or "target" or the negative of these words or other variations on these words or comparable terminology.</w:t>
      </w:r>
    </w:p>
    <w:p w:rsidR="0018441D" w:rsidRPr="0018441D" w:rsidRDefault="0018441D" w:rsidP="0018441D">
      <w:pPr>
        <w:jc w:val="both"/>
        <w:rPr>
          <w:lang w:val="en-GB"/>
        </w:rPr>
      </w:pPr>
      <w:r w:rsidRPr="0018441D">
        <w:rPr>
          <w:lang w:val="en-GB"/>
        </w:rPr>
        <w:t xml:space="preserve">Forward-looking statements are based on current expectations and involve a number of known and unknown risks, uncertainties and other factors that could cause the Group´s or its industry`s actual results, levels of activity, performance or achievements to be materially different from any future results, levels of activity, performance or achievements expressed or implied by such forward-looking statements. You should not place undue reliance on forward-looking statements and the Group does </w:t>
      </w:r>
      <w:r w:rsidRPr="0018441D">
        <w:rPr>
          <w:lang w:val="en-GB"/>
        </w:rPr>
        <w:lastRenderedPageBreak/>
        <w:t>not undertake publicly to update or revise any forward-looking statement that may be made herein, whether as a result of new informati</w:t>
      </w:r>
      <w:r>
        <w:rPr>
          <w:lang w:val="en-GB"/>
        </w:rPr>
        <w:t>on, future events or otherwise.</w:t>
      </w:r>
    </w:p>
    <w:sectPr w:rsidR="0018441D" w:rsidRPr="0018441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66" w:rsidRDefault="006F5E66" w:rsidP="0071565B">
      <w:pPr>
        <w:spacing w:after="0" w:line="240" w:lineRule="auto"/>
      </w:pPr>
      <w:r>
        <w:separator/>
      </w:r>
    </w:p>
  </w:endnote>
  <w:endnote w:type="continuationSeparator" w:id="0">
    <w:p w:rsidR="006F5E66" w:rsidRDefault="006F5E66" w:rsidP="0071565B">
      <w:pPr>
        <w:spacing w:after="0" w:line="240" w:lineRule="auto"/>
      </w:pPr>
      <w:r>
        <w:continuationSeparator/>
      </w:r>
    </w:p>
  </w:endnote>
  <w:endnote w:type="continuationNotice" w:id="1">
    <w:p w:rsidR="006F5E66" w:rsidRDefault="006F5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E66" w:rsidRDefault="006F5E66" w:rsidP="0071565B">
      <w:pPr>
        <w:spacing w:after="0" w:line="240" w:lineRule="auto"/>
      </w:pPr>
      <w:r>
        <w:separator/>
      </w:r>
    </w:p>
  </w:footnote>
  <w:footnote w:type="continuationSeparator" w:id="0">
    <w:p w:rsidR="006F5E66" w:rsidRDefault="006F5E66" w:rsidP="0071565B">
      <w:pPr>
        <w:spacing w:after="0" w:line="240" w:lineRule="auto"/>
      </w:pPr>
      <w:r>
        <w:continuationSeparator/>
      </w:r>
    </w:p>
  </w:footnote>
  <w:footnote w:type="continuationNotice" w:id="1">
    <w:p w:rsidR="006F5E66" w:rsidRDefault="006F5E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65B" w:rsidRDefault="0071565B">
    <w:pPr>
      <w:pStyle w:val="Kopfzeile"/>
      <w:rPr>
        <w:lang w:val="en-US"/>
      </w:rPr>
    </w:pPr>
  </w:p>
  <w:p w:rsidR="002B6E60" w:rsidRPr="0071565B" w:rsidRDefault="002B6E60">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43A8B"/>
    <w:multiLevelType w:val="hybridMultilevel"/>
    <w:tmpl w:val="588E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 w:name="DocStatus" w:val="true"/>
  </w:docVars>
  <w:rsids>
    <w:rsidRoot w:val="00EB6364"/>
    <w:rsid w:val="00004E37"/>
    <w:rsid w:val="00021377"/>
    <w:rsid w:val="00035F17"/>
    <w:rsid w:val="00046F86"/>
    <w:rsid w:val="00057295"/>
    <w:rsid w:val="000578C2"/>
    <w:rsid w:val="00097EB5"/>
    <w:rsid w:val="000B4B89"/>
    <w:rsid w:val="000C2B01"/>
    <w:rsid w:val="000C34A2"/>
    <w:rsid w:val="000C60EA"/>
    <w:rsid w:val="00110177"/>
    <w:rsid w:val="0012319E"/>
    <w:rsid w:val="00137ED1"/>
    <w:rsid w:val="00141EC3"/>
    <w:rsid w:val="001508FD"/>
    <w:rsid w:val="00161092"/>
    <w:rsid w:val="00180A98"/>
    <w:rsid w:val="00181C03"/>
    <w:rsid w:val="0018441D"/>
    <w:rsid w:val="001E0AE7"/>
    <w:rsid w:val="001E67E7"/>
    <w:rsid w:val="001F4E17"/>
    <w:rsid w:val="00201952"/>
    <w:rsid w:val="00204A62"/>
    <w:rsid w:val="00213B3A"/>
    <w:rsid w:val="002151D4"/>
    <w:rsid w:val="00241868"/>
    <w:rsid w:val="002535D4"/>
    <w:rsid w:val="00267113"/>
    <w:rsid w:val="00284D56"/>
    <w:rsid w:val="00293153"/>
    <w:rsid w:val="0029404B"/>
    <w:rsid w:val="002B6E60"/>
    <w:rsid w:val="002C52E4"/>
    <w:rsid w:val="002D5D93"/>
    <w:rsid w:val="002F3D99"/>
    <w:rsid w:val="00336734"/>
    <w:rsid w:val="0036087B"/>
    <w:rsid w:val="003638CF"/>
    <w:rsid w:val="00377005"/>
    <w:rsid w:val="003A6365"/>
    <w:rsid w:val="003B3F0E"/>
    <w:rsid w:val="003D67C8"/>
    <w:rsid w:val="00413043"/>
    <w:rsid w:val="00436CA9"/>
    <w:rsid w:val="004430E7"/>
    <w:rsid w:val="00444BF8"/>
    <w:rsid w:val="00450FEE"/>
    <w:rsid w:val="00452C1F"/>
    <w:rsid w:val="00477E82"/>
    <w:rsid w:val="004842F6"/>
    <w:rsid w:val="004A3570"/>
    <w:rsid w:val="004A6D59"/>
    <w:rsid w:val="004D55DD"/>
    <w:rsid w:val="00504B7E"/>
    <w:rsid w:val="00555904"/>
    <w:rsid w:val="00565135"/>
    <w:rsid w:val="005864A1"/>
    <w:rsid w:val="00593816"/>
    <w:rsid w:val="005A2533"/>
    <w:rsid w:val="005A359D"/>
    <w:rsid w:val="005B185C"/>
    <w:rsid w:val="005D6D21"/>
    <w:rsid w:val="005E3E87"/>
    <w:rsid w:val="006017CD"/>
    <w:rsid w:val="0062193E"/>
    <w:rsid w:val="0062750C"/>
    <w:rsid w:val="00633EF6"/>
    <w:rsid w:val="006415E4"/>
    <w:rsid w:val="00665509"/>
    <w:rsid w:val="006667BF"/>
    <w:rsid w:val="00674BA2"/>
    <w:rsid w:val="00683627"/>
    <w:rsid w:val="006839B2"/>
    <w:rsid w:val="00693EB2"/>
    <w:rsid w:val="006B10F9"/>
    <w:rsid w:val="006B7E99"/>
    <w:rsid w:val="006D3295"/>
    <w:rsid w:val="006D3298"/>
    <w:rsid w:val="006F0EB2"/>
    <w:rsid w:val="006F4ED3"/>
    <w:rsid w:val="006F5E66"/>
    <w:rsid w:val="00705225"/>
    <w:rsid w:val="0071565B"/>
    <w:rsid w:val="007170C3"/>
    <w:rsid w:val="00733C15"/>
    <w:rsid w:val="00772AE9"/>
    <w:rsid w:val="007809A3"/>
    <w:rsid w:val="007838DF"/>
    <w:rsid w:val="007A4559"/>
    <w:rsid w:val="007A7D49"/>
    <w:rsid w:val="007B06F4"/>
    <w:rsid w:val="007C1597"/>
    <w:rsid w:val="00800768"/>
    <w:rsid w:val="00801223"/>
    <w:rsid w:val="00801540"/>
    <w:rsid w:val="00810271"/>
    <w:rsid w:val="00811AF2"/>
    <w:rsid w:val="00814A08"/>
    <w:rsid w:val="0082592D"/>
    <w:rsid w:val="008318A5"/>
    <w:rsid w:val="00836F74"/>
    <w:rsid w:val="00842AD6"/>
    <w:rsid w:val="00843EF7"/>
    <w:rsid w:val="00875ED1"/>
    <w:rsid w:val="00882742"/>
    <w:rsid w:val="00884CE6"/>
    <w:rsid w:val="008854B8"/>
    <w:rsid w:val="008B52A5"/>
    <w:rsid w:val="008B66AF"/>
    <w:rsid w:val="008C2621"/>
    <w:rsid w:val="008C7105"/>
    <w:rsid w:val="008D1CE5"/>
    <w:rsid w:val="008D25F8"/>
    <w:rsid w:val="008D2B6F"/>
    <w:rsid w:val="008E7EEE"/>
    <w:rsid w:val="00907154"/>
    <w:rsid w:val="0092193C"/>
    <w:rsid w:val="0092219A"/>
    <w:rsid w:val="00947664"/>
    <w:rsid w:val="00964C97"/>
    <w:rsid w:val="00972F0F"/>
    <w:rsid w:val="00974D79"/>
    <w:rsid w:val="00977222"/>
    <w:rsid w:val="009B744E"/>
    <w:rsid w:val="009F1129"/>
    <w:rsid w:val="00A20BC3"/>
    <w:rsid w:val="00A26F34"/>
    <w:rsid w:val="00A36198"/>
    <w:rsid w:val="00A51693"/>
    <w:rsid w:val="00A53DA3"/>
    <w:rsid w:val="00A630DF"/>
    <w:rsid w:val="00A90CEE"/>
    <w:rsid w:val="00AD1A24"/>
    <w:rsid w:val="00AD1B02"/>
    <w:rsid w:val="00AF1B3F"/>
    <w:rsid w:val="00B25E20"/>
    <w:rsid w:val="00B278EC"/>
    <w:rsid w:val="00B51379"/>
    <w:rsid w:val="00B70296"/>
    <w:rsid w:val="00B71442"/>
    <w:rsid w:val="00B845E2"/>
    <w:rsid w:val="00BC6302"/>
    <w:rsid w:val="00BF1569"/>
    <w:rsid w:val="00C14318"/>
    <w:rsid w:val="00C1491C"/>
    <w:rsid w:val="00C211BB"/>
    <w:rsid w:val="00C21A07"/>
    <w:rsid w:val="00C24597"/>
    <w:rsid w:val="00C255B7"/>
    <w:rsid w:val="00C327DC"/>
    <w:rsid w:val="00C36246"/>
    <w:rsid w:val="00C57E0F"/>
    <w:rsid w:val="00C61558"/>
    <w:rsid w:val="00C6665C"/>
    <w:rsid w:val="00C722BA"/>
    <w:rsid w:val="00C85109"/>
    <w:rsid w:val="00C91C02"/>
    <w:rsid w:val="00C9468A"/>
    <w:rsid w:val="00CC6E26"/>
    <w:rsid w:val="00D063B4"/>
    <w:rsid w:val="00D207B8"/>
    <w:rsid w:val="00D37758"/>
    <w:rsid w:val="00D43720"/>
    <w:rsid w:val="00D7201B"/>
    <w:rsid w:val="00D83A1A"/>
    <w:rsid w:val="00D8514B"/>
    <w:rsid w:val="00D964AA"/>
    <w:rsid w:val="00D97EDF"/>
    <w:rsid w:val="00DC2964"/>
    <w:rsid w:val="00E15A48"/>
    <w:rsid w:val="00E27353"/>
    <w:rsid w:val="00E30CEB"/>
    <w:rsid w:val="00E43221"/>
    <w:rsid w:val="00E62187"/>
    <w:rsid w:val="00E70B5F"/>
    <w:rsid w:val="00E87F75"/>
    <w:rsid w:val="00E95131"/>
    <w:rsid w:val="00E96068"/>
    <w:rsid w:val="00E9725E"/>
    <w:rsid w:val="00EA557B"/>
    <w:rsid w:val="00EB28F9"/>
    <w:rsid w:val="00EB6364"/>
    <w:rsid w:val="00EC0F2A"/>
    <w:rsid w:val="00ED2147"/>
    <w:rsid w:val="00F0482C"/>
    <w:rsid w:val="00F10133"/>
    <w:rsid w:val="00F139E7"/>
    <w:rsid w:val="00F2561F"/>
    <w:rsid w:val="00F77CF4"/>
    <w:rsid w:val="00F84FDA"/>
    <w:rsid w:val="00F92E70"/>
    <w:rsid w:val="00FB4E43"/>
    <w:rsid w:val="00FC75FA"/>
    <w:rsid w:val="00FC7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4C004C-D2D9-42E8-8BAE-6E52C9B1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2742"/>
    <w:pPr>
      <w:ind w:left="720"/>
      <w:contextualSpacing/>
    </w:pPr>
  </w:style>
  <w:style w:type="character" w:styleId="Kommentarzeichen">
    <w:name w:val="annotation reference"/>
    <w:basedOn w:val="Absatz-Standardschriftart"/>
    <w:uiPriority w:val="99"/>
    <w:semiHidden/>
    <w:unhideWhenUsed/>
    <w:rsid w:val="00EA557B"/>
    <w:rPr>
      <w:sz w:val="16"/>
      <w:szCs w:val="16"/>
    </w:rPr>
  </w:style>
  <w:style w:type="paragraph" w:styleId="Kommentartext">
    <w:name w:val="annotation text"/>
    <w:basedOn w:val="Standard"/>
    <w:link w:val="KommentartextZchn"/>
    <w:uiPriority w:val="99"/>
    <w:semiHidden/>
    <w:unhideWhenUsed/>
    <w:rsid w:val="00EA55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A557B"/>
    <w:rPr>
      <w:sz w:val="20"/>
      <w:szCs w:val="20"/>
    </w:rPr>
  </w:style>
  <w:style w:type="paragraph" w:styleId="Kommentarthema">
    <w:name w:val="annotation subject"/>
    <w:basedOn w:val="Kommentartext"/>
    <w:next w:val="Kommentartext"/>
    <w:link w:val="KommentarthemaZchn"/>
    <w:uiPriority w:val="99"/>
    <w:semiHidden/>
    <w:unhideWhenUsed/>
    <w:rsid w:val="00EA557B"/>
    <w:rPr>
      <w:b/>
      <w:bCs/>
    </w:rPr>
  </w:style>
  <w:style w:type="character" w:customStyle="1" w:styleId="KommentarthemaZchn">
    <w:name w:val="Kommentarthema Zchn"/>
    <w:basedOn w:val="KommentartextZchn"/>
    <w:link w:val="Kommentarthema"/>
    <w:uiPriority w:val="99"/>
    <w:semiHidden/>
    <w:rsid w:val="00EA557B"/>
    <w:rPr>
      <w:b/>
      <w:bCs/>
      <w:sz w:val="20"/>
      <w:szCs w:val="20"/>
    </w:rPr>
  </w:style>
  <w:style w:type="paragraph" w:styleId="Sprechblasentext">
    <w:name w:val="Balloon Text"/>
    <w:basedOn w:val="Standard"/>
    <w:link w:val="SprechblasentextZchn"/>
    <w:uiPriority w:val="99"/>
    <w:semiHidden/>
    <w:unhideWhenUsed/>
    <w:rsid w:val="00EA55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557B"/>
    <w:rPr>
      <w:rFonts w:ascii="Tahoma" w:hAnsi="Tahoma" w:cs="Tahoma"/>
      <w:sz w:val="16"/>
      <w:szCs w:val="16"/>
    </w:rPr>
  </w:style>
  <w:style w:type="paragraph" w:customStyle="1" w:styleId="Default">
    <w:name w:val="Default"/>
    <w:rsid w:val="00452C1F"/>
    <w:pPr>
      <w:autoSpaceDE w:val="0"/>
      <w:autoSpaceDN w:val="0"/>
      <w:adjustRightInd w:val="0"/>
      <w:spacing w:after="0" w:line="240" w:lineRule="auto"/>
    </w:pPr>
    <w:rPr>
      <w:rFonts w:ascii="Symbol" w:hAnsi="Symbol" w:cs="Symbol"/>
      <w:color w:val="000000"/>
      <w:sz w:val="24"/>
      <w:szCs w:val="24"/>
      <w:lang w:val="en-US"/>
    </w:rPr>
  </w:style>
  <w:style w:type="paragraph" w:styleId="Kopfzeile">
    <w:name w:val="header"/>
    <w:basedOn w:val="Standard"/>
    <w:link w:val="KopfzeileZchn"/>
    <w:uiPriority w:val="99"/>
    <w:unhideWhenUsed/>
    <w:rsid w:val="0071565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71565B"/>
  </w:style>
  <w:style w:type="paragraph" w:styleId="Fuzeile">
    <w:name w:val="footer"/>
    <w:basedOn w:val="Standard"/>
    <w:link w:val="FuzeileZchn"/>
    <w:uiPriority w:val="99"/>
    <w:unhideWhenUsed/>
    <w:rsid w:val="0071565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15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61639">
      <w:bodyDiv w:val="1"/>
      <w:marLeft w:val="0"/>
      <w:marRight w:val="0"/>
      <w:marTop w:val="0"/>
      <w:marBottom w:val="0"/>
      <w:divBdr>
        <w:top w:val="none" w:sz="0" w:space="0" w:color="auto"/>
        <w:left w:val="none" w:sz="0" w:space="0" w:color="auto"/>
        <w:bottom w:val="none" w:sz="0" w:space="0" w:color="auto"/>
        <w:right w:val="none" w:sz="0" w:space="0" w:color="auto"/>
      </w:divBdr>
    </w:div>
    <w:div w:id="14116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SEIBOLSE</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980922</field>
    <field id="Library" dmfield="" type="string">FRALIB01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980922</field>
    <field id="FirstPageHeaded" dmfield="" type="">False</field>
    <field id="ContPage" dmfield="" type="">False</field>
    <field id="DraftSpacing" dmfield="" type="">False</field>
    <field id="DocID" dmfield="" type="">FRALIB01/SEIBOLSE/980922.1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6603D-168D-44FF-9B40-5E2DFCD9C198}">
  <ds:schemaRefs>
    <ds:schemaRef ds:uri="http://hoganlovells.com/word2010/custom"/>
  </ds:schemaRefs>
</ds:datastoreItem>
</file>

<file path=customXml/itemProps2.xml><?xml version="1.0" encoding="utf-8"?>
<ds:datastoreItem xmlns:ds="http://schemas.openxmlformats.org/officeDocument/2006/customXml" ds:itemID="{5E1826BE-7BCF-47FE-ADF4-A522C6F2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Citigroup</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Schnorrenberg</dc:creator>
  <cp:lastModifiedBy>Thomas Schnorrenberg</cp:lastModifiedBy>
  <cp:revision>9</cp:revision>
  <cp:lastPrinted>2017-09-05T13:58:00Z</cp:lastPrinted>
  <dcterms:created xsi:type="dcterms:W3CDTF">2017-09-22T07:29:00Z</dcterms:created>
  <dcterms:modified xsi:type="dcterms:W3CDTF">2017-09-24T20:32:00Z</dcterms:modified>
</cp:coreProperties>
</file>