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61" w:rsidRDefault="00AB224E">
      <w:pPr>
        <w:rPr>
          <w:rFonts w:ascii="Arial" w:hAnsi="Arial" w:cs="Arial"/>
          <w:b/>
          <w:bCs/>
          <w:color w:val="000000"/>
          <w:sz w:val="25"/>
          <w:szCs w:val="25"/>
          <w:shd w:val="clear" w:color="auto" w:fill="FFFFFF"/>
        </w:rPr>
      </w:pPr>
      <w:proofErr w:type="spellStart"/>
      <w:r>
        <w:rPr>
          <w:rFonts w:ascii="Arial" w:hAnsi="Arial" w:cs="Arial"/>
          <w:b/>
          <w:bCs/>
          <w:color w:val="000000"/>
          <w:sz w:val="25"/>
          <w:szCs w:val="25"/>
          <w:shd w:val="clear" w:color="auto" w:fill="FFFFFF"/>
        </w:rPr>
        <w:t>argenx</w:t>
      </w:r>
      <w:proofErr w:type="spellEnd"/>
      <w:r>
        <w:rPr>
          <w:rFonts w:ascii="Arial" w:hAnsi="Arial" w:cs="Arial"/>
          <w:b/>
          <w:bCs/>
          <w:color w:val="000000"/>
          <w:sz w:val="25"/>
          <w:szCs w:val="25"/>
          <w:shd w:val="clear" w:color="auto" w:fill="FFFFFF"/>
        </w:rPr>
        <w:t xml:space="preserve"> announces orphan drug designation for ARGX-113 for the treatment of myasthenia gravis in Europe</w:t>
      </w:r>
    </w:p>
    <w:p w:rsidR="00AB224E" w:rsidRDefault="00AB224E" w:rsidP="00AB224E">
      <w:pPr>
        <w:pStyle w:val="hugin"/>
        <w:rPr>
          <w:rFonts w:ascii="Arial" w:hAnsi="Arial" w:cs="Arial"/>
          <w:color w:val="000000"/>
          <w:sz w:val="20"/>
          <w:szCs w:val="20"/>
        </w:rPr>
      </w:pPr>
      <w:r>
        <w:rPr>
          <w:rFonts w:ascii="Arial" w:hAnsi="Arial" w:cs="Arial"/>
          <w:b/>
          <w:bCs/>
          <w:color w:val="000000"/>
          <w:sz w:val="20"/>
          <w:szCs w:val="20"/>
        </w:rPr>
        <w:t>March 26, 2018</w:t>
      </w:r>
    </w:p>
    <w:p w:rsidR="00AB224E" w:rsidRDefault="00AB224E" w:rsidP="00AB224E">
      <w:pPr>
        <w:pStyle w:val="hugin"/>
        <w:rPr>
          <w:rFonts w:ascii="Arial" w:hAnsi="Arial" w:cs="Arial"/>
          <w:color w:val="000000"/>
          <w:sz w:val="20"/>
          <w:szCs w:val="20"/>
        </w:rPr>
      </w:pPr>
      <w:r>
        <w:rPr>
          <w:rFonts w:ascii="Arial" w:hAnsi="Arial" w:cs="Arial"/>
          <w:b/>
          <w:bCs/>
          <w:color w:val="000000"/>
          <w:sz w:val="20"/>
          <w:szCs w:val="20"/>
        </w:rPr>
        <w:t>Breda, the Netherlands / Ghent, Belgium</w:t>
      </w:r>
      <w:r>
        <w:rPr>
          <w:rFonts w:ascii="Arial" w:hAnsi="Arial" w:cs="Arial"/>
          <w:color w:val="000000"/>
          <w:sz w:val="20"/>
          <w:szCs w:val="20"/>
        </w:rPr>
        <w:t xml:space="preserve"> -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(Euronext &amp; Nasdaq: ARGX), a clinical-stage biotechnology company developing a deep pipeline of differentiated antibody-based therapies for the treatment of severe autoimmune diseases and cancer, today announced that the European Commission (EC) has granted orphan status, based on the positive opinion of the European Medicines Agency (EMA), for the use of ARGX-113 for the treatment of myasthenia gravis (MG), adding to the orphan status already granted in the United States. </w:t>
      </w:r>
    </w:p>
    <w:p w:rsidR="00AB224E" w:rsidRDefault="00AB224E" w:rsidP="00AB224E">
      <w:pPr>
        <w:pStyle w:val="hugin"/>
        <w:rPr>
          <w:rFonts w:ascii="Arial" w:hAnsi="Arial" w:cs="Arial"/>
          <w:color w:val="000000"/>
          <w:sz w:val="20"/>
          <w:szCs w:val="20"/>
        </w:rPr>
      </w:pPr>
      <w:r>
        <w:rPr>
          <w:rFonts w:ascii="Arial" w:hAnsi="Arial" w:cs="Arial"/>
          <w:color w:val="000000"/>
          <w:sz w:val="20"/>
          <w:szCs w:val="20"/>
        </w:rPr>
        <w:t>MG is an autoimmune disorder associated with muscle weakness that is triggered by IgG auto-antibodies. These antibodies attack critical signaling proteins at the junction between nerve and muscle cells, thereby impairing their communications signals. There are limited effective and sustainable treatments for MG. ARGX-113 has the potential to eliminate patient symptoms while minimizing common side effects seen with current treatments by reducing the pathogenic IgG levels.</w:t>
      </w:r>
    </w:p>
    <w:p w:rsidR="00AB224E" w:rsidRDefault="00AB224E" w:rsidP="00AB224E">
      <w:pPr>
        <w:pStyle w:val="hugin"/>
        <w:rPr>
          <w:rFonts w:ascii="Arial" w:hAnsi="Arial" w:cs="Arial"/>
          <w:color w:val="000000"/>
          <w:sz w:val="20"/>
          <w:szCs w:val="20"/>
        </w:rPr>
      </w:pPr>
      <w:r>
        <w:rPr>
          <w:rFonts w:ascii="Arial" w:hAnsi="Arial" w:cs="Arial"/>
          <w:b/>
          <w:bCs/>
          <w:color w:val="000000"/>
          <w:sz w:val="20"/>
          <w:szCs w:val="20"/>
        </w:rPr>
        <w:t>About orphan drug designation</w:t>
      </w:r>
      <w:r>
        <w:rPr>
          <w:rFonts w:ascii="Arial" w:hAnsi="Arial" w:cs="Arial"/>
          <w:color w:val="000000"/>
          <w:sz w:val="20"/>
          <w:szCs w:val="20"/>
        </w:rPr>
        <w:br/>
        <w:t>Orphan drug status is granted by the EC to drugs that are intended for the treatment of life-threatening or chronically debilitating rare diseases, and the drug must demonstrate significant clinical benefit over existing treatments. The Orphan Drug Designation provides incentives for the sponsor from the European Union to develop a medicine for a rare disease, such as protocol assistance, reduced fees, and protection from competition once the medicinal product is placed on the market, including ten years of market exclusivity.</w:t>
      </w:r>
    </w:p>
    <w:p w:rsidR="00AB224E" w:rsidRDefault="00AB224E" w:rsidP="00AB224E">
      <w:pPr>
        <w:pStyle w:val="hugin"/>
        <w:rPr>
          <w:rFonts w:ascii="Arial" w:hAnsi="Arial" w:cs="Arial"/>
          <w:color w:val="000000"/>
          <w:sz w:val="20"/>
          <w:szCs w:val="20"/>
        </w:rPr>
      </w:pPr>
      <w:r>
        <w:rPr>
          <w:rFonts w:ascii="Arial" w:hAnsi="Arial" w:cs="Arial"/>
          <w:color w:val="000000"/>
          <w:sz w:val="20"/>
          <w:szCs w:val="20"/>
        </w:rPr>
        <w:t>The granting of an orphan designation request does not alter the standard regulatory requirements and process for obtaining marketing approval. Safety and effectiveness of a drug must be established through adequate and well-controlled studies.</w:t>
      </w:r>
    </w:p>
    <w:p w:rsidR="00AB224E" w:rsidRDefault="00AB224E" w:rsidP="00AB224E">
      <w:pPr>
        <w:pStyle w:val="hugin"/>
        <w:rPr>
          <w:rFonts w:ascii="Arial" w:hAnsi="Arial" w:cs="Arial"/>
          <w:color w:val="000000"/>
          <w:sz w:val="20"/>
          <w:szCs w:val="20"/>
        </w:rPr>
      </w:pPr>
      <w:r>
        <w:rPr>
          <w:rFonts w:ascii="Arial" w:hAnsi="Arial" w:cs="Arial"/>
          <w:b/>
          <w:bCs/>
          <w:color w:val="000000"/>
          <w:sz w:val="20"/>
          <w:szCs w:val="20"/>
        </w:rPr>
        <w:t>About ARGX-113</w:t>
      </w:r>
      <w:r>
        <w:rPr>
          <w:rFonts w:ascii="Arial" w:hAnsi="Arial" w:cs="Arial"/>
          <w:color w:val="000000"/>
          <w:sz w:val="20"/>
          <w:szCs w:val="20"/>
        </w:rPr>
        <w:br/>
      </w:r>
      <w:proofErr w:type="spellStart"/>
      <w:r>
        <w:rPr>
          <w:rFonts w:ascii="Arial" w:hAnsi="Arial" w:cs="Arial"/>
          <w:color w:val="000000"/>
          <w:sz w:val="20"/>
          <w:szCs w:val="20"/>
        </w:rPr>
        <w:t>ARGX-113</w:t>
      </w:r>
      <w:proofErr w:type="spellEnd"/>
      <w:r>
        <w:rPr>
          <w:rFonts w:ascii="Arial" w:hAnsi="Arial" w:cs="Arial"/>
          <w:color w:val="000000"/>
          <w:sz w:val="20"/>
          <w:szCs w:val="20"/>
        </w:rPr>
        <w:t xml:space="preserve"> is an investigational therapy for treatment of IgG-mediated autoimmune diseases. ARGX-113 is the Fc-portion of an antibody that has been modified by the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proprietary ABDEG(TM) technology to increase its affinity for </w:t>
      </w:r>
      <w:proofErr w:type="spellStart"/>
      <w:r>
        <w:rPr>
          <w:rFonts w:ascii="Arial" w:hAnsi="Arial" w:cs="Arial"/>
          <w:color w:val="000000"/>
          <w:sz w:val="20"/>
          <w:szCs w:val="20"/>
        </w:rPr>
        <w:t>FcRn</w:t>
      </w:r>
      <w:proofErr w:type="spellEnd"/>
      <w:r>
        <w:rPr>
          <w:rFonts w:ascii="Arial" w:hAnsi="Arial" w:cs="Arial"/>
          <w:color w:val="000000"/>
          <w:sz w:val="20"/>
          <w:szCs w:val="20"/>
        </w:rPr>
        <w:t xml:space="preserve"> beyond that of normal IgG antibodies. As a result, ARGX-113 blocks antibody recycling and leads to fast depletion of the autoimmune disease-causing IgG autoantibodies. The development work on ARGX-113 is done in close collaboration with Prof. E. Sally Ward (University of Texas Southwestern Medical and Texas A&amp;M University Health Science Center, a part of Texas A&amp;M University (TAMHSC)).</w:t>
      </w:r>
    </w:p>
    <w:p w:rsidR="00AB224E" w:rsidRDefault="00AB224E" w:rsidP="00AB224E">
      <w:pPr>
        <w:pStyle w:val="hugin"/>
        <w:rPr>
          <w:rFonts w:ascii="Arial" w:hAnsi="Arial" w:cs="Arial"/>
          <w:color w:val="000000"/>
          <w:sz w:val="20"/>
          <w:szCs w:val="20"/>
        </w:rPr>
      </w:pPr>
      <w:r>
        <w:rPr>
          <w:rFonts w:ascii="Arial" w:hAnsi="Arial" w:cs="Arial"/>
          <w:b/>
          <w:bCs/>
          <w:color w:val="000000"/>
          <w:sz w:val="20"/>
          <w:szCs w:val="20"/>
        </w:rPr>
        <w:t xml:space="preserve">About </w:t>
      </w:r>
      <w:proofErr w:type="spellStart"/>
      <w:r>
        <w:rPr>
          <w:rFonts w:ascii="Arial" w:hAnsi="Arial" w:cs="Arial"/>
          <w:b/>
          <w:bCs/>
          <w:color w:val="000000"/>
          <w:sz w:val="20"/>
          <w:szCs w:val="20"/>
        </w:rPr>
        <w:t>argenx</w:t>
      </w:r>
      <w:proofErr w:type="spellEnd"/>
      <w:r>
        <w:rPr>
          <w:rFonts w:ascii="Arial" w:hAnsi="Arial" w:cs="Arial"/>
          <w:color w:val="000000"/>
          <w:sz w:val="20"/>
          <w:szCs w:val="20"/>
        </w:rPr>
        <w:br/>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is a clinical-stage biotechnology company developing a deep pipeline of differentiated antibody-based therapies for the treatment of severe autoimmune diseases and cancer. We are focused on developing product candidates with the potential to be either first-in-class against novel targets or best-in-class against known, but complex, targets in order to treat diseases with a significant unmet medical need. Our ability to execute on this focus is enabled by our suite of differentiated technologies. Our SIMPLE Antibody(TM) Platform, based on the powerful llama immune system, allows us to exploit novel and complex targets, and our three antibody engineering technologies are designed to enable us to expand the therapeutic index of our product candidates. </w:t>
      </w:r>
      <w:r>
        <w:rPr>
          <w:rFonts w:ascii="Arial" w:hAnsi="Arial" w:cs="Arial"/>
          <w:color w:val="000000"/>
          <w:sz w:val="20"/>
          <w:szCs w:val="20"/>
        </w:rPr>
        <w:br/>
        <w:t>www.argenx.com     </w:t>
      </w:r>
      <w:r>
        <w:rPr>
          <w:rFonts w:ascii="Arial" w:hAnsi="Arial" w:cs="Arial"/>
          <w:color w:val="000000"/>
          <w:sz w:val="20"/>
          <w:szCs w:val="20"/>
        </w:rPr>
        <w:br/>
      </w:r>
      <w:r>
        <w:rPr>
          <w:rFonts w:ascii="Arial" w:hAnsi="Arial" w:cs="Arial"/>
          <w:b/>
          <w:bCs/>
          <w:color w:val="000000"/>
          <w:sz w:val="20"/>
          <w:szCs w:val="20"/>
        </w:rPr>
        <w:br/>
        <w:t>For further information, please contact: </w:t>
      </w:r>
      <w:r>
        <w:rPr>
          <w:rFonts w:ascii="Arial" w:hAnsi="Arial" w:cs="Arial"/>
          <w:color w:val="000000"/>
          <w:sz w:val="20"/>
          <w:szCs w:val="20"/>
        </w:rPr>
        <w:br/>
        <w:t xml:space="preserve">Joke </w:t>
      </w:r>
      <w:proofErr w:type="spellStart"/>
      <w:r>
        <w:rPr>
          <w:rFonts w:ascii="Arial" w:hAnsi="Arial" w:cs="Arial"/>
          <w:color w:val="000000"/>
          <w:sz w:val="20"/>
          <w:szCs w:val="20"/>
        </w:rPr>
        <w:t>Comijn</w:t>
      </w:r>
      <w:proofErr w:type="spellEnd"/>
      <w:r>
        <w:rPr>
          <w:rFonts w:ascii="Arial" w:hAnsi="Arial" w:cs="Arial"/>
          <w:color w:val="000000"/>
          <w:sz w:val="20"/>
          <w:szCs w:val="20"/>
        </w:rPr>
        <w:t>, Corporate Communications &amp; IR Manager</w:t>
      </w:r>
      <w:r>
        <w:rPr>
          <w:rFonts w:ascii="Arial" w:hAnsi="Arial" w:cs="Arial"/>
          <w:color w:val="000000"/>
          <w:sz w:val="20"/>
          <w:szCs w:val="20"/>
        </w:rPr>
        <w:br/>
        <w:t>+32 (0)477 77 29 44</w:t>
      </w:r>
      <w:r>
        <w:rPr>
          <w:rFonts w:ascii="Arial" w:hAnsi="Arial" w:cs="Arial"/>
          <w:color w:val="000000"/>
          <w:sz w:val="20"/>
          <w:szCs w:val="20"/>
        </w:rPr>
        <w:br/>
      </w:r>
      <w:r>
        <w:rPr>
          <w:rFonts w:ascii="Arial" w:hAnsi="Arial" w:cs="Arial"/>
          <w:color w:val="000000"/>
          <w:sz w:val="20"/>
          <w:szCs w:val="20"/>
        </w:rPr>
        <w:lastRenderedPageBreak/>
        <w:t>+32 (0)9 310 34 19</w:t>
      </w:r>
      <w:r>
        <w:rPr>
          <w:rFonts w:ascii="Arial" w:hAnsi="Arial" w:cs="Arial"/>
          <w:color w:val="000000"/>
          <w:sz w:val="20"/>
          <w:szCs w:val="20"/>
        </w:rPr>
        <w:br/>
        <w:t>info@argenx.com</w:t>
      </w:r>
    </w:p>
    <w:p w:rsidR="00AB224E" w:rsidRDefault="00AB224E" w:rsidP="00AB224E">
      <w:pPr>
        <w:pStyle w:val="hugin"/>
        <w:rPr>
          <w:rFonts w:ascii="Arial" w:hAnsi="Arial" w:cs="Arial"/>
          <w:color w:val="000000"/>
          <w:sz w:val="20"/>
          <w:szCs w:val="20"/>
        </w:rPr>
      </w:pPr>
      <w:r>
        <w:rPr>
          <w:rFonts w:ascii="Arial" w:hAnsi="Arial" w:cs="Arial"/>
          <w:color w:val="000000"/>
          <w:sz w:val="20"/>
          <w:szCs w:val="20"/>
        </w:rPr>
        <w:t xml:space="preserve">Beth </w:t>
      </w:r>
      <w:proofErr w:type="spellStart"/>
      <w:r>
        <w:rPr>
          <w:rFonts w:ascii="Arial" w:hAnsi="Arial" w:cs="Arial"/>
          <w:color w:val="000000"/>
          <w:sz w:val="20"/>
          <w:szCs w:val="20"/>
        </w:rPr>
        <w:t>DelGiacco</w:t>
      </w:r>
      <w:proofErr w:type="spellEnd"/>
      <w:r>
        <w:rPr>
          <w:rFonts w:ascii="Arial" w:hAnsi="Arial" w:cs="Arial"/>
          <w:color w:val="000000"/>
          <w:sz w:val="20"/>
          <w:szCs w:val="20"/>
        </w:rPr>
        <w:t xml:space="preserve"> (US IR)</w:t>
      </w:r>
      <w:r>
        <w:rPr>
          <w:rFonts w:ascii="Arial" w:hAnsi="Arial" w:cs="Arial"/>
          <w:color w:val="000000"/>
          <w:sz w:val="20"/>
          <w:szCs w:val="20"/>
        </w:rPr>
        <w:br/>
        <w:t>Stern Investor Relations</w:t>
      </w:r>
      <w:r>
        <w:rPr>
          <w:rFonts w:ascii="Arial" w:hAnsi="Arial" w:cs="Arial"/>
          <w:color w:val="000000"/>
          <w:sz w:val="20"/>
          <w:szCs w:val="20"/>
        </w:rPr>
        <w:br/>
        <w:t>+1 212 362 1200</w:t>
      </w:r>
      <w:r>
        <w:rPr>
          <w:rFonts w:ascii="Arial" w:hAnsi="Arial" w:cs="Arial"/>
          <w:color w:val="000000"/>
          <w:sz w:val="20"/>
          <w:szCs w:val="20"/>
        </w:rPr>
        <w:br/>
        <w:t>beth@sternir.com</w:t>
      </w:r>
    </w:p>
    <w:p w:rsidR="00AB224E" w:rsidRDefault="00AB224E" w:rsidP="00AB224E">
      <w:pPr>
        <w:pStyle w:val="hugin"/>
        <w:rPr>
          <w:rFonts w:ascii="Arial" w:hAnsi="Arial" w:cs="Arial"/>
          <w:color w:val="000000"/>
          <w:sz w:val="20"/>
          <w:szCs w:val="20"/>
        </w:rPr>
      </w:pPr>
      <w:r>
        <w:rPr>
          <w:rFonts w:ascii="Arial" w:hAnsi="Arial" w:cs="Arial"/>
          <w:b/>
          <w:bCs/>
          <w:i/>
          <w:iCs/>
          <w:color w:val="000000"/>
          <w:sz w:val="20"/>
          <w:szCs w:val="20"/>
        </w:rPr>
        <w:t>Forward-looking Statements</w:t>
      </w:r>
    </w:p>
    <w:p w:rsidR="00AB224E" w:rsidRDefault="00AB224E" w:rsidP="00AB224E">
      <w:pPr>
        <w:pStyle w:val="hugin"/>
        <w:rPr>
          <w:rFonts w:ascii="Arial" w:hAnsi="Arial" w:cs="Arial"/>
          <w:color w:val="000000"/>
          <w:sz w:val="20"/>
          <w:szCs w:val="20"/>
        </w:rPr>
      </w:pPr>
      <w:r>
        <w:rPr>
          <w:rFonts w:ascii="Arial" w:hAnsi="Arial" w:cs="Arial"/>
          <w:i/>
          <w:iCs/>
          <w:color w:val="000000"/>
          <w:sz w:val="20"/>
          <w:szCs w:val="20"/>
        </w:rPr>
        <w:t xml:space="preserve">The contents of this announcement include statements that are, or may be deemed to be, "forward-looking statements." These forward-looking statements can be identified by the use of forward-looking terminology, including the terms "believes," "estimates," "anticipates," "expects," "intends," "may," "will," or "should," and include statements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makes concerning the intended results of its strategy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advancement of, and anticipated clinical development and regulatory milestones and plans related to ARGX-113. By their nature, forward-looking statements involve risks and uncertainties and readers are cautioned that any such forward-looking statements are not guarantees of future performance.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actual results may differ materially from those predicted by the forward-looking statements as a result of various important factors, including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expectations regarding its the inherent uncertainties associated with competitive developments, preclinical and clinical trial and product development activities and regulatory approval requirements;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reliance on collaborations with third parties; estimating the commercial potential of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product candidates;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and maintain protection of intellectual property for its technologies and drugs;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limited operating history;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additional funding for operations and to complete the development and commercialization of its product candidates. A further list and description of these risks, uncertainties and other risks can be found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U.S. Securities and Exchange Commission (SEC) filings and reports, including in the final prospectus related to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U.S. public offering filed with the SEC pursuant to Rule 424(b) of the Securities Act of 1933, as amended, as well as subsequent filings and reports filed by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with the SEC. Given these uncertainties, the reader is advised not to place any undue reliance on such forward-looking statements. These forward-looking statements speak only as of the date of publication of this document.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undertakes no obligation to publicly update or revise the information in this press release, including any forward-looking statements, except as may be required by law.</w:t>
      </w:r>
    </w:p>
    <w:p w:rsidR="00AB224E" w:rsidRDefault="00AB224E">
      <w:bookmarkStart w:id="0" w:name="_GoBack"/>
      <w:bookmarkEnd w:id="0"/>
    </w:p>
    <w:sectPr w:rsidR="00AB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4E"/>
    <w:rsid w:val="00AB224E"/>
    <w:rsid w:val="00F2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50E"/>
  <w15:chartTrackingRefBased/>
  <w15:docId w15:val="{526DAFF2-F078-409A-A13B-73A335EE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AB2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2018-03-26T06:16:00Z</dcterms:created>
  <dcterms:modified xsi:type="dcterms:W3CDTF">2018-03-26T06:16:00Z</dcterms:modified>
</cp:coreProperties>
</file>