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12B" w:rsidRDefault="00F52C40">
      <w:pPr>
        <w:rPr>
          <w:rFonts w:ascii="Arial" w:hAnsi="Arial" w:cs="Arial"/>
          <w:b/>
          <w:bCs/>
          <w:color w:val="333333"/>
          <w:sz w:val="16"/>
          <w:szCs w:val="16"/>
          <w:lang w:val="en-US"/>
        </w:rPr>
      </w:pPr>
      <w:proofErr w:type="spellStart"/>
      <w:proofErr w:type="gramStart"/>
      <w:r w:rsidRPr="00F52C40">
        <w:rPr>
          <w:rFonts w:ascii="Arial" w:hAnsi="Arial" w:cs="Arial"/>
          <w:b/>
          <w:bCs/>
          <w:color w:val="333333"/>
          <w:sz w:val="16"/>
          <w:szCs w:val="16"/>
          <w:lang w:val="en-US"/>
        </w:rPr>
        <w:t>argenx</w:t>
      </w:r>
      <w:proofErr w:type="spellEnd"/>
      <w:proofErr w:type="gramEnd"/>
      <w:r w:rsidRPr="00F52C40">
        <w:rPr>
          <w:rFonts w:ascii="Arial" w:hAnsi="Arial" w:cs="Arial"/>
          <w:b/>
          <w:bCs/>
          <w:color w:val="333333"/>
          <w:sz w:val="16"/>
          <w:szCs w:val="16"/>
          <w:lang w:val="en-US"/>
        </w:rPr>
        <w:t xml:space="preserve"> announces data from Phase 1 study of </w:t>
      </w:r>
      <w:proofErr w:type="spellStart"/>
      <w:r w:rsidRPr="00F52C40">
        <w:rPr>
          <w:rFonts w:ascii="Arial" w:hAnsi="Arial" w:cs="Arial"/>
          <w:b/>
          <w:bCs/>
          <w:color w:val="333333"/>
          <w:sz w:val="16"/>
          <w:szCs w:val="16"/>
          <w:lang w:val="en-US"/>
        </w:rPr>
        <w:t>efgartigimod</w:t>
      </w:r>
      <w:proofErr w:type="spellEnd"/>
      <w:r w:rsidRPr="00F52C40">
        <w:rPr>
          <w:rFonts w:ascii="Arial" w:hAnsi="Arial" w:cs="Arial"/>
          <w:b/>
          <w:bCs/>
          <w:color w:val="333333"/>
          <w:sz w:val="16"/>
          <w:szCs w:val="16"/>
          <w:lang w:val="en-US"/>
        </w:rPr>
        <w:t xml:space="preserve"> (ARGX-113) subcutaneous formulation demonstrating comparable characteristics to intravenous formulation</w:t>
      </w:r>
    </w:p>
    <w:p w:rsidR="00F52C40" w:rsidRDefault="00F52C40">
      <w:pPr>
        <w:rPr>
          <w:rFonts w:ascii="Arial" w:hAnsi="Arial" w:cs="Arial"/>
          <w:b/>
          <w:bCs/>
          <w:color w:val="333333"/>
          <w:sz w:val="16"/>
          <w:szCs w:val="16"/>
          <w:lang w:val="en-US"/>
        </w:rPr>
      </w:pPr>
    </w:p>
    <w:p w:rsidR="00F52C40" w:rsidRDefault="00F52C40" w:rsidP="00F52C40">
      <w:pPr>
        <w:pStyle w:val="hugin"/>
        <w:jc w:val="center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 -          Subcutaneous formulation offers potential for increased patient convenience and acceptance -  </w:t>
      </w:r>
    </w:p>
    <w:p w:rsidR="00F52C40" w:rsidRDefault="00F52C40" w:rsidP="00F52C40">
      <w:pPr>
        <w:pStyle w:val="hugin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June 14, 2018</w:t>
      </w:r>
    </w:p>
    <w:p w:rsidR="00F52C40" w:rsidRDefault="00F52C40" w:rsidP="00F52C40">
      <w:pPr>
        <w:pStyle w:val="hugin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Breda, the Netherlands/Ghent, Belgium</w:t>
      </w:r>
      <w:r>
        <w:rPr>
          <w:rFonts w:ascii="Arial" w:hAnsi="Arial" w:cs="Arial"/>
          <w:sz w:val="20"/>
          <w:szCs w:val="20"/>
          <w:lang w:val="en-US"/>
        </w:rPr>
        <w:t xml:space="preserve"> -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argenx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(Euronext &amp; Nasdaq: ARGX), a clinical-stage biotechnology company developing a deep pipeline of differentiated antibody-based therapies for the treatment of severe autoimmune diseases and cancer, today announced results from its Phase 1 clinical trial evaluating a subcutaneous (SC) formulation of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efgartigimod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(ARGX-113) in healthy volunteers. The data show that at the same dose level the SC formulation was comparable across key measures, including half-life, pharmacodynamics and tolerability, to the intravenous (IV) formulation used in clinical studies to date.</w:t>
      </w:r>
    </w:p>
    <w:p w:rsidR="00F52C40" w:rsidRDefault="00F52C40" w:rsidP="00F52C40">
      <w:pPr>
        <w:pStyle w:val="hugin"/>
        <w:rPr>
          <w:rFonts w:ascii="Arial" w:hAnsi="Arial" w:cs="Arial"/>
          <w:sz w:val="20"/>
          <w:szCs w:val="20"/>
          <w:lang w:val="en-US"/>
        </w:rPr>
      </w:pPr>
      <w:proofErr w:type="spellStart"/>
      <w:proofErr w:type="gramStart"/>
      <w:r>
        <w:rPr>
          <w:rFonts w:ascii="Arial" w:hAnsi="Arial" w:cs="Arial"/>
          <w:sz w:val="20"/>
          <w:szCs w:val="20"/>
          <w:lang w:val="en-US"/>
        </w:rPr>
        <w:t>argenx</w:t>
      </w:r>
      <w:proofErr w:type="spellEnd"/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intends to use the data from the Phase 1 study to further explore SC dosing schedules of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efgartigimod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as a more convenient administration option for patients, including the potential of a loading dose of IV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efgartigimod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followed by SC maintenance. </w:t>
      </w:r>
    </w:p>
    <w:p w:rsidR="00F52C40" w:rsidRDefault="00F52C40" w:rsidP="00F52C40">
      <w:pPr>
        <w:pStyle w:val="hugin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"We believe the development of a SC formulation could offer a more tailored therapy by providing flexible dosing options and greater convenience for patients. With a SC formulation, we also plan to explore the potential for an off-the-shelf delivery system using a fine bore needle size to allow patients additional optionality around administration," said Keith Woods, Chief Operating Officer at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argenx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"Based on the data presented today showing that SC dosing can maintain IgG suppression, we intend to further develop this product candidate within our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efgartigimod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portfolio."</w:t>
      </w:r>
    </w:p>
    <w:p w:rsidR="00F52C40" w:rsidRDefault="00F52C40" w:rsidP="00F52C40">
      <w:pPr>
        <w:pStyle w:val="hugin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The open-label, Phase 1 study enrolled 32 healthy volunteers and included three treatment arms: one each of single dose SC and IV </w:t>
      </w:r>
      <w:proofErr w:type="spellStart"/>
      <w:proofErr w:type="gramStart"/>
      <w:r>
        <w:rPr>
          <w:rFonts w:ascii="Arial" w:hAnsi="Arial" w:cs="Arial"/>
          <w:sz w:val="20"/>
          <w:szCs w:val="20"/>
          <w:lang w:val="en-US"/>
        </w:rPr>
        <w:t>efgartigimod</w:t>
      </w:r>
      <w:proofErr w:type="spellEnd"/>
      <w:r>
        <w:rPr>
          <w:rFonts w:ascii="Arial" w:hAnsi="Arial" w:cs="Arial"/>
          <w:sz w:val="20"/>
          <w:szCs w:val="20"/>
          <w:lang w:val="en-US"/>
        </w:rPr>
        <w:t>,</w:t>
      </w:r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and one evaluating an IV induction followed by a SC maintenance dose. In the single dose treatment arms, the data showed the SC formulation to have comparable half-life, pharmacodynamics and tolerability to the IV formulation, and a bioavailability of approximately 50%. In addition, initial IV dosing followed by weekly 300 mg (2 ml) SC administration of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efgartigimod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provided sufficient exposure to maintain IgG suppression at a steady state IgG reduction of approximately 50%. The data also suggest a favorable tolerability profile and no meaningful anti-drug antibody signals were reported. The SC formulation supports key manufacturing improvements, including a high product concentration (150mg/ml), low viscosity and optimal stability.</w:t>
      </w:r>
    </w:p>
    <w:p w:rsidR="00F52C40" w:rsidRDefault="00F52C40" w:rsidP="00F52C40">
      <w:pPr>
        <w:pStyle w:val="hugin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About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efgartigimod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Phase 2 Trials </w:t>
      </w:r>
      <w:r>
        <w:rPr>
          <w:rFonts w:ascii="Arial" w:hAnsi="Arial" w:cs="Arial"/>
          <w:sz w:val="20"/>
          <w:szCs w:val="20"/>
          <w:lang w:val="en-US"/>
        </w:rPr>
        <w:br/>
      </w:r>
      <w:proofErr w:type="spellStart"/>
      <w:r>
        <w:rPr>
          <w:rFonts w:ascii="Arial" w:hAnsi="Arial" w:cs="Arial"/>
          <w:sz w:val="20"/>
          <w:szCs w:val="20"/>
          <w:lang w:val="en-US"/>
        </w:rPr>
        <w:t>Efgartigimod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is currently being tested in two Phase 2 clinical trials for immune thrombocytopenia (ITP) and pemphigus vulgaris (PV). </w:t>
      </w:r>
      <w:proofErr w:type="spellStart"/>
      <w:proofErr w:type="gramStart"/>
      <w:r>
        <w:rPr>
          <w:rFonts w:ascii="Arial" w:hAnsi="Arial" w:cs="Arial"/>
          <w:sz w:val="20"/>
          <w:szCs w:val="20"/>
          <w:lang w:val="en-US"/>
        </w:rPr>
        <w:t>argenx</w:t>
      </w:r>
      <w:proofErr w:type="spellEnd"/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is also preparing for a potential Phase 3 clinical trial in myasthenia gravis (MG) using the IV formulation of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efgartigimod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In a Phase 2 clinical trial with MG patients, the IV formulation was well-tolerated and showed promising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pharmacodynamic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effects relating to speed, depth and duration of total IgG and pathogenic IgG reduction. </w:t>
      </w:r>
    </w:p>
    <w:p w:rsidR="00F52C40" w:rsidRDefault="00F52C40" w:rsidP="00F52C40">
      <w:pPr>
        <w:pStyle w:val="hugin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About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efgartigimod</w:t>
      </w:r>
      <w:proofErr w:type="spellEnd"/>
      <w:r>
        <w:rPr>
          <w:rFonts w:ascii="Arial" w:hAnsi="Arial" w:cs="Arial"/>
          <w:sz w:val="20"/>
          <w:szCs w:val="20"/>
          <w:lang w:val="en-US"/>
        </w:rPr>
        <w:br/>
      </w:r>
      <w:proofErr w:type="spellStart"/>
      <w:r>
        <w:rPr>
          <w:rFonts w:ascii="Arial" w:hAnsi="Arial" w:cs="Arial"/>
          <w:sz w:val="20"/>
          <w:szCs w:val="20"/>
          <w:lang w:val="en-US"/>
        </w:rPr>
        <w:t>Efgartigimod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(ARGX-113) is an investigational therapy for IgG-mediated autoimmune diseases and was designed to exploit the natural interaction between IgG antibodies and the recycling receptor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FcRn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Efgartigimod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is the Fc-portion of an antibody that has been modified by the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argenx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proprietary ABDEG(TM) technology to increase its affinity for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FcRn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beyond that of normal IgG antibodies. As a result,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efgartigimod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blocks antibody recycling through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FcRn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binding and leads to fast depletion of the autoimmune disease-causing IgG autoantibodies. The development work on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efgartigimod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is conducted in close collaboration with Prof. E. Sally Ward (University of Texas Southwestern Medical and Texas A&amp;M University Health Science Center, a part of Texas </w:t>
      </w:r>
      <w:proofErr w:type="gramStart"/>
      <w:r>
        <w:rPr>
          <w:rFonts w:ascii="Arial" w:hAnsi="Arial" w:cs="Arial"/>
          <w:sz w:val="20"/>
          <w:szCs w:val="20"/>
          <w:lang w:val="en-US"/>
        </w:rPr>
        <w:t>A&amp;M</w:t>
      </w:r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University (TAMHSC)).</w:t>
      </w:r>
    </w:p>
    <w:p w:rsidR="00F52C40" w:rsidRDefault="00F52C40" w:rsidP="00F52C40">
      <w:pPr>
        <w:pStyle w:val="hugin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About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argenx</w:t>
      </w:r>
      <w:proofErr w:type="spellEnd"/>
      <w:r>
        <w:rPr>
          <w:rFonts w:ascii="Arial" w:hAnsi="Arial" w:cs="Arial"/>
          <w:sz w:val="20"/>
          <w:szCs w:val="20"/>
          <w:lang w:val="en-US"/>
        </w:rPr>
        <w:br/>
      </w:r>
      <w:proofErr w:type="spellStart"/>
      <w:r>
        <w:rPr>
          <w:rFonts w:ascii="Arial" w:hAnsi="Arial" w:cs="Arial"/>
          <w:sz w:val="20"/>
          <w:szCs w:val="20"/>
          <w:lang w:val="en-US"/>
        </w:rPr>
        <w:t>argenx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is a clinical-stage biotechnology company developing a deep pipeline of differentiated antibody-based therapies for the treatment of severe auto-immune diseases and cancer. The </w:t>
      </w:r>
      <w:r>
        <w:rPr>
          <w:rFonts w:ascii="Arial" w:hAnsi="Arial" w:cs="Arial"/>
          <w:sz w:val="20"/>
          <w:szCs w:val="20"/>
          <w:lang w:val="en-US"/>
        </w:rPr>
        <w:lastRenderedPageBreak/>
        <w:t xml:space="preserve">company is focused on developing product candidates with the potential to be either first-in-class against novel targets or best-in-class against known, but complex, targets in order to treat diseases with a significant unmet medical need. </w:t>
      </w:r>
      <w:proofErr w:type="spellStart"/>
      <w:proofErr w:type="gramStart"/>
      <w:r>
        <w:rPr>
          <w:rFonts w:ascii="Arial" w:hAnsi="Arial" w:cs="Arial"/>
          <w:sz w:val="20"/>
          <w:szCs w:val="20"/>
          <w:lang w:val="en-US"/>
        </w:rPr>
        <w:t>argenx</w:t>
      </w:r>
      <w:proofErr w:type="spellEnd"/>
      <w:proofErr w:type="gramEnd"/>
      <w:r>
        <w:rPr>
          <w:rFonts w:ascii="Arial" w:hAnsi="Arial" w:cs="Arial"/>
          <w:sz w:val="20"/>
          <w:szCs w:val="20"/>
          <w:lang w:val="en-US"/>
        </w:rPr>
        <w:t xml:space="preserve">' ability to execute on this focus is enabled by its suite of differentiated technologies. The SIMPLE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Antibody</w:t>
      </w:r>
      <w:r>
        <w:rPr>
          <w:rFonts w:ascii="Arial" w:hAnsi="Arial" w:cs="Arial"/>
          <w:sz w:val="16"/>
          <w:szCs w:val="16"/>
          <w:vertAlign w:val="superscript"/>
          <w:lang w:val="en-US"/>
        </w:rPr>
        <w:t>TM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Platform, based on the powerful llama immune system, allows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argenx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to exploit novel and complex targets, and the three antibody engineering technologies are designed to enable the expansion of the therapeutic index of the company's product candidates.  </w:t>
      </w:r>
    </w:p>
    <w:p w:rsidR="00F52C40" w:rsidRDefault="00F52C40" w:rsidP="00F52C40">
      <w:pPr>
        <w:pStyle w:val="hugin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www.argenx.com</w:t>
      </w:r>
    </w:p>
    <w:p w:rsidR="00F52C40" w:rsidRDefault="00F52C40" w:rsidP="00F52C40">
      <w:pPr>
        <w:pStyle w:val="hugin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For further information, please contact: </w:t>
      </w:r>
    </w:p>
    <w:p w:rsidR="00F52C40" w:rsidRDefault="00F52C40" w:rsidP="00F52C40">
      <w:pPr>
        <w:pStyle w:val="hugin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Joke Comijn, Director Corporate Communications &amp; Investor Relations (EU</w:t>
      </w:r>
      <w:proofErr w:type="gramStart"/>
      <w:r>
        <w:rPr>
          <w:rFonts w:ascii="Arial" w:hAnsi="Arial" w:cs="Arial"/>
          <w:sz w:val="20"/>
          <w:szCs w:val="20"/>
          <w:lang w:val="en-US"/>
        </w:rPr>
        <w:t>)</w:t>
      </w:r>
      <w:proofErr w:type="gramEnd"/>
      <w:r>
        <w:rPr>
          <w:rFonts w:ascii="Arial" w:hAnsi="Arial" w:cs="Arial"/>
          <w:sz w:val="20"/>
          <w:szCs w:val="20"/>
          <w:lang w:val="en-US"/>
        </w:rPr>
        <w:br/>
        <w:t>+32 (0)477 77 29 44</w:t>
      </w:r>
      <w:r>
        <w:rPr>
          <w:rFonts w:ascii="Arial" w:hAnsi="Arial" w:cs="Arial"/>
          <w:sz w:val="20"/>
          <w:szCs w:val="20"/>
          <w:lang w:val="en-US"/>
        </w:rPr>
        <w:br/>
        <w:t>+32 (0)9 310 34 19</w:t>
      </w:r>
      <w:r>
        <w:rPr>
          <w:rFonts w:ascii="Arial" w:hAnsi="Arial" w:cs="Arial"/>
          <w:sz w:val="20"/>
          <w:szCs w:val="20"/>
          <w:lang w:val="en-US"/>
        </w:rPr>
        <w:br/>
        <w:t xml:space="preserve">info@argenx.com </w:t>
      </w:r>
    </w:p>
    <w:p w:rsidR="00F52C40" w:rsidRDefault="00F52C40" w:rsidP="00F52C40">
      <w:pPr>
        <w:pStyle w:val="hugin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Beth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DelGiacco</w:t>
      </w:r>
      <w:proofErr w:type="spellEnd"/>
      <w:r>
        <w:rPr>
          <w:rFonts w:ascii="Arial" w:hAnsi="Arial" w:cs="Arial"/>
          <w:sz w:val="20"/>
          <w:szCs w:val="20"/>
          <w:lang w:val="en-US"/>
        </w:rPr>
        <w:t>, VP Investor Relations (US</w:t>
      </w:r>
      <w:proofErr w:type="gramStart"/>
      <w:r>
        <w:rPr>
          <w:rFonts w:ascii="Arial" w:hAnsi="Arial" w:cs="Arial"/>
          <w:sz w:val="20"/>
          <w:szCs w:val="20"/>
          <w:lang w:val="en-US"/>
        </w:rPr>
        <w:t>)</w:t>
      </w:r>
      <w:proofErr w:type="gramEnd"/>
      <w:r>
        <w:rPr>
          <w:rFonts w:ascii="Arial" w:hAnsi="Arial" w:cs="Arial"/>
          <w:sz w:val="20"/>
          <w:szCs w:val="20"/>
          <w:lang w:val="en-US"/>
        </w:rPr>
        <w:br/>
        <w:t>+1 518 424 4980</w:t>
      </w:r>
      <w:r>
        <w:rPr>
          <w:rFonts w:ascii="Arial" w:hAnsi="Arial" w:cs="Arial"/>
          <w:sz w:val="20"/>
          <w:szCs w:val="20"/>
          <w:lang w:val="en-US"/>
        </w:rPr>
        <w:br/>
        <w:t xml:space="preserve">bdelgiacco@argenx.com </w:t>
      </w:r>
    </w:p>
    <w:p w:rsidR="00F52C40" w:rsidRDefault="00F52C40" w:rsidP="00F52C40">
      <w:pPr>
        <w:pStyle w:val="hugin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>Forward-looking Statements</w:t>
      </w:r>
    </w:p>
    <w:p w:rsidR="00F52C40" w:rsidRDefault="00F52C40" w:rsidP="00F52C40">
      <w:pPr>
        <w:pStyle w:val="hugin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i/>
          <w:iCs/>
          <w:sz w:val="20"/>
          <w:szCs w:val="20"/>
          <w:lang w:val="en-US"/>
        </w:rPr>
        <w:t xml:space="preserve">The contents of this announcement include statements that are, or may be deemed to be, "forward-looking statements." These forward-looking statements can be identified by the use of forward-looking terminology, including the terms "believes," "estimates," "anticipates," "expects," "intends," "may," "will," or "should," and include statements </w:t>
      </w:r>
      <w:proofErr w:type="spellStart"/>
      <w:r>
        <w:rPr>
          <w:rFonts w:ascii="Arial" w:hAnsi="Arial" w:cs="Arial"/>
          <w:i/>
          <w:iCs/>
          <w:sz w:val="20"/>
          <w:szCs w:val="20"/>
          <w:lang w:val="en-US"/>
        </w:rPr>
        <w:t>argenx</w:t>
      </w:r>
      <w:proofErr w:type="spellEnd"/>
      <w:r>
        <w:rPr>
          <w:rFonts w:ascii="Arial" w:hAnsi="Arial" w:cs="Arial"/>
          <w:i/>
          <w:iCs/>
          <w:sz w:val="20"/>
          <w:szCs w:val="20"/>
          <w:lang w:val="en-US"/>
        </w:rPr>
        <w:t xml:space="preserve"> makes concerning the intended results of its strategy and </w:t>
      </w:r>
      <w:proofErr w:type="spellStart"/>
      <w:r>
        <w:rPr>
          <w:rFonts w:ascii="Arial" w:hAnsi="Arial" w:cs="Arial"/>
          <w:i/>
          <w:iCs/>
          <w:sz w:val="20"/>
          <w:szCs w:val="20"/>
          <w:lang w:val="en-US"/>
        </w:rPr>
        <w:t>argenx's</w:t>
      </w:r>
      <w:proofErr w:type="spellEnd"/>
      <w:r>
        <w:rPr>
          <w:rFonts w:ascii="Arial" w:hAnsi="Arial" w:cs="Arial"/>
          <w:i/>
          <w:iCs/>
          <w:sz w:val="20"/>
          <w:szCs w:val="20"/>
          <w:lang w:val="en-US"/>
        </w:rPr>
        <w:t xml:space="preserve"> advancement of, and anticipated clinical development and regulatory milestones and plans, including the Phase 1 program to evaluate a subcutaneous formulation of </w:t>
      </w:r>
      <w:proofErr w:type="spellStart"/>
      <w:r>
        <w:rPr>
          <w:rFonts w:ascii="Arial" w:hAnsi="Arial" w:cs="Arial"/>
          <w:i/>
          <w:iCs/>
          <w:sz w:val="20"/>
          <w:szCs w:val="20"/>
          <w:lang w:val="en-US"/>
        </w:rPr>
        <w:t>efgartigimod</w:t>
      </w:r>
      <w:proofErr w:type="spellEnd"/>
      <w:r>
        <w:rPr>
          <w:rFonts w:ascii="Arial" w:hAnsi="Arial" w:cs="Arial"/>
          <w:i/>
          <w:iCs/>
          <w:sz w:val="20"/>
          <w:szCs w:val="20"/>
          <w:lang w:val="en-US"/>
        </w:rPr>
        <w:t xml:space="preserve"> (including additional dosing schedules), including its potential manufacturing characteristics and convenience of administration; the progress of its Phase 2 clinical trials of </w:t>
      </w:r>
      <w:proofErr w:type="spellStart"/>
      <w:r>
        <w:rPr>
          <w:rFonts w:ascii="Arial" w:hAnsi="Arial" w:cs="Arial"/>
          <w:i/>
          <w:iCs/>
          <w:sz w:val="20"/>
          <w:szCs w:val="20"/>
          <w:lang w:val="en-US"/>
        </w:rPr>
        <w:t>efgartigimod</w:t>
      </w:r>
      <w:proofErr w:type="spellEnd"/>
      <w:r>
        <w:rPr>
          <w:rFonts w:ascii="Arial" w:hAnsi="Arial" w:cs="Arial"/>
          <w:i/>
          <w:iCs/>
          <w:sz w:val="20"/>
          <w:szCs w:val="20"/>
          <w:lang w:val="en-US"/>
        </w:rPr>
        <w:t xml:space="preserve"> in ITP and PV; the potential of a Phase 3 clinical trial of </w:t>
      </w:r>
      <w:proofErr w:type="spellStart"/>
      <w:r>
        <w:rPr>
          <w:rFonts w:ascii="Arial" w:hAnsi="Arial" w:cs="Arial"/>
          <w:i/>
          <w:iCs/>
          <w:sz w:val="20"/>
          <w:szCs w:val="20"/>
          <w:lang w:val="en-US"/>
        </w:rPr>
        <w:t>efgartigimod</w:t>
      </w:r>
      <w:proofErr w:type="spellEnd"/>
      <w:r>
        <w:rPr>
          <w:rFonts w:ascii="Arial" w:hAnsi="Arial" w:cs="Arial"/>
          <w:i/>
          <w:iCs/>
          <w:sz w:val="20"/>
          <w:szCs w:val="20"/>
          <w:lang w:val="en-US"/>
        </w:rPr>
        <w:t xml:space="preserve"> in MG; the timing of expected data readouts related to </w:t>
      </w:r>
      <w:proofErr w:type="spellStart"/>
      <w:r>
        <w:rPr>
          <w:rFonts w:ascii="Arial" w:hAnsi="Arial" w:cs="Arial"/>
          <w:i/>
          <w:iCs/>
          <w:sz w:val="20"/>
          <w:szCs w:val="20"/>
          <w:lang w:val="en-US"/>
        </w:rPr>
        <w:t>efgartigimod</w:t>
      </w:r>
      <w:proofErr w:type="spellEnd"/>
      <w:r>
        <w:rPr>
          <w:rFonts w:ascii="Arial" w:hAnsi="Arial" w:cs="Arial"/>
          <w:i/>
          <w:iCs/>
          <w:sz w:val="20"/>
          <w:szCs w:val="20"/>
          <w:lang w:val="en-US"/>
        </w:rPr>
        <w:t xml:space="preserve">; and the commercial potential of </w:t>
      </w:r>
      <w:proofErr w:type="spellStart"/>
      <w:r>
        <w:rPr>
          <w:rFonts w:ascii="Arial" w:hAnsi="Arial" w:cs="Arial"/>
          <w:i/>
          <w:iCs/>
          <w:sz w:val="20"/>
          <w:szCs w:val="20"/>
          <w:lang w:val="en-US"/>
        </w:rPr>
        <w:t>efgartigimod</w:t>
      </w:r>
      <w:proofErr w:type="spellEnd"/>
      <w:r>
        <w:rPr>
          <w:rFonts w:ascii="Arial" w:hAnsi="Arial" w:cs="Arial"/>
          <w:i/>
          <w:iCs/>
          <w:sz w:val="20"/>
          <w:szCs w:val="20"/>
          <w:lang w:val="en-US"/>
        </w:rPr>
        <w:t xml:space="preserve">. By their nature, forward-looking statements involve risks and uncertainties and readers are cautioned that any such forward-looking statements are not guarantees of future performance. </w:t>
      </w:r>
      <w:proofErr w:type="spellStart"/>
      <w:r>
        <w:rPr>
          <w:rFonts w:ascii="Arial" w:hAnsi="Arial" w:cs="Arial"/>
          <w:i/>
          <w:iCs/>
          <w:sz w:val="20"/>
          <w:szCs w:val="20"/>
          <w:lang w:val="en-US"/>
        </w:rPr>
        <w:t>argenx's</w:t>
      </w:r>
      <w:proofErr w:type="spellEnd"/>
      <w:r>
        <w:rPr>
          <w:rFonts w:ascii="Arial" w:hAnsi="Arial" w:cs="Arial"/>
          <w:i/>
          <w:iCs/>
          <w:sz w:val="20"/>
          <w:szCs w:val="20"/>
          <w:lang w:val="en-US"/>
        </w:rPr>
        <w:t xml:space="preserve"> actual results may differ materially from those predicted by the forward-looking statements as a result of various important factors, including </w:t>
      </w:r>
      <w:proofErr w:type="spellStart"/>
      <w:r>
        <w:rPr>
          <w:rFonts w:ascii="Arial" w:hAnsi="Arial" w:cs="Arial"/>
          <w:i/>
          <w:iCs/>
          <w:sz w:val="20"/>
          <w:szCs w:val="20"/>
          <w:lang w:val="en-US"/>
        </w:rPr>
        <w:t>argenx's</w:t>
      </w:r>
      <w:proofErr w:type="spellEnd"/>
      <w:r>
        <w:rPr>
          <w:rFonts w:ascii="Arial" w:hAnsi="Arial" w:cs="Arial"/>
          <w:i/>
          <w:iCs/>
          <w:sz w:val="20"/>
          <w:szCs w:val="20"/>
          <w:lang w:val="en-US"/>
        </w:rPr>
        <w:t xml:space="preserve"> expectations regarding its the inherent uncertainties associated with competitive developments, preclinical and clinical trial and product development activities and regulatory approval requirements; </w:t>
      </w:r>
      <w:proofErr w:type="spellStart"/>
      <w:r>
        <w:rPr>
          <w:rFonts w:ascii="Arial" w:hAnsi="Arial" w:cs="Arial"/>
          <w:i/>
          <w:iCs/>
          <w:sz w:val="20"/>
          <w:szCs w:val="20"/>
          <w:lang w:val="en-US"/>
        </w:rPr>
        <w:t>argenx's</w:t>
      </w:r>
      <w:proofErr w:type="spellEnd"/>
      <w:r>
        <w:rPr>
          <w:rFonts w:ascii="Arial" w:hAnsi="Arial" w:cs="Arial"/>
          <w:i/>
          <w:iCs/>
          <w:sz w:val="20"/>
          <w:szCs w:val="20"/>
          <w:lang w:val="en-US"/>
        </w:rPr>
        <w:t xml:space="preserve"> reliance on collaborations with third parties; estimating the commercial potential of </w:t>
      </w:r>
      <w:proofErr w:type="spellStart"/>
      <w:r>
        <w:rPr>
          <w:rFonts w:ascii="Arial" w:hAnsi="Arial" w:cs="Arial"/>
          <w:i/>
          <w:iCs/>
          <w:sz w:val="20"/>
          <w:szCs w:val="20"/>
          <w:lang w:val="en-US"/>
        </w:rPr>
        <w:t>argenx's</w:t>
      </w:r>
      <w:proofErr w:type="spellEnd"/>
      <w:r>
        <w:rPr>
          <w:rFonts w:ascii="Arial" w:hAnsi="Arial" w:cs="Arial"/>
          <w:i/>
          <w:iCs/>
          <w:sz w:val="20"/>
          <w:szCs w:val="20"/>
          <w:lang w:val="en-US"/>
        </w:rPr>
        <w:t xml:space="preserve"> product candidates; </w:t>
      </w:r>
      <w:proofErr w:type="spellStart"/>
      <w:r>
        <w:rPr>
          <w:rFonts w:ascii="Arial" w:hAnsi="Arial" w:cs="Arial"/>
          <w:i/>
          <w:iCs/>
          <w:sz w:val="20"/>
          <w:szCs w:val="20"/>
          <w:lang w:val="en-US"/>
        </w:rPr>
        <w:t>argenx's</w:t>
      </w:r>
      <w:proofErr w:type="spellEnd"/>
      <w:r>
        <w:rPr>
          <w:rFonts w:ascii="Arial" w:hAnsi="Arial" w:cs="Arial"/>
          <w:i/>
          <w:iCs/>
          <w:sz w:val="20"/>
          <w:szCs w:val="20"/>
          <w:lang w:val="en-US"/>
        </w:rPr>
        <w:t xml:space="preserve"> ability to obtain and maintain protection of intellectual property for its technologies and drugs; </w:t>
      </w:r>
      <w:proofErr w:type="spellStart"/>
      <w:r>
        <w:rPr>
          <w:rFonts w:ascii="Arial" w:hAnsi="Arial" w:cs="Arial"/>
          <w:i/>
          <w:iCs/>
          <w:sz w:val="20"/>
          <w:szCs w:val="20"/>
          <w:lang w:val="en-US"/>
        </w:rPr>
        <w:t>argenx's</w:t>
      </w:r>
      <w:proofErr w:type="spellEnd"/>
      <w:r>
        <w:rPr>
          <w:rFonts w:ascii="Arial" w:hAnsi="Arial" w:cs="Arial"/>
          <w:i/>
          <w:iCs/>
          <w:sz w:val="20"/>
          <w:szCs w:val="20"/>
          <w:lang w:val="en-US"/>
        </w:rPr>
        <w:t xml:space="preserve"> limited operating history; and </w:t>
      </w:r>
      <w:proofErr w:type="spellStart"/>
      <w:r>
        <w:rPr>
          <w:rFonts w:ascii="Arial" w:hAnsi="Arial" w:cs="Arial"/>
          <w:i/>
          <w:iCs/>
          <w:sz w:val="20"/>
          <w:szCs w:val="20"/>
          <w:lang w:val="en-US"/>
        </w:rPr>
        <w:t>argenx's</w:t>
      </w:r>
      <w:proofErr w:type="spellEnd"/>
      <w:r>
        <w:rPr>
          <w:rFonts w:ascii="Arial" w:hAnsi="Arial" w:cs="Arial"/>
          <w:i/>
          <w:iCs/>
          <w:sz w:val="20"/>
          <w:szCs w:val="20"/>
          <w:lang w:val="en-US"/>
        </w:rPr>
        <w:t xml:space="preserve"> ability to obtain additional funding for operations and to complete the development and commercialization of its product candidates. A further list and description of these risks, uncertainties and other risks can be found in </w:t>
      </w:r>
      <w:proofErr w:type="spellStart"/>
      <w:r>
        <w:rPr>
          <w:rFonts w:ascii="Arial" w:hAnsi="Arial" w:cs="Arial"/>
          <w:i/>
          <w:iCs/>
          <w:sz w:val="20"/>
          <w:szCs w:val="20"/>
          <w:lang w:val="en-US"/>
        </w:rPr>
        <w:t>argenx's</w:t>
      </w:r>
      <w:proofErr w:type="spellEnd"/>
      <w:r>
        <w:rPr>
          <w:rFonts w:ascii="Arial" w:hAnsi="Arial" w:cs="Arial"/>
          <w:i/>
          <w:iCs/>
          <w:sz w:val="20"/>
          <w:szCs w:val="20"/>
          <w:lang w:val="en-US"/>
        </w:rPr>
        <w:t xml:space="preserve"> U.S. Securities and Exchange Commission (SEC) filings and reports, including in </w:t>
      </w:r>
      <w:proofErr w:type="spellStart"/>
      <w:r>
        <w:rPr>
          <w:rFonts w:ascii="Arial" w:hAnsi="Arial" w:cs="Arial"/>
          <w:i/>
          <w:iCs/>
          <w:sz w:val="20"/>
          <w:szCs w:val="20"/>
          <w:lang w:val="en-US"/>
        </w:rPr>
        <w:t>argenx's</w:t>
      </w:r>
      <w:proofErr w:type="spellEnd"/>
      <w:r>
        <w:rPr>
          <w:rFonts w:ascii="Arial" w:hAnsi="Arial" w:cs="Arial"/>
          <w:i/>
          <w:iCs/>
          <w:sz w:val="20"/>
          <w:szCs w:val="20"/>
          <w:lang w:val="en-US"/>
        </w:rPr>
        <w:t xml:space="preserve"> most recent annual report on Form 20-F filed with the SEC as well as subsequent filings and reports filed by </w:t>
      </w:r>
      <w:proofErr w:type="spellStart"/>
      <w:r>
        <w:rPr>
          <w:rFonts w:ascii="Arial" w:hAnsi="Arial" w:cs="Arial"/>
          <w:i/>
          <w:iCs/>
          <w:sz w:val="20"/>
          <w:szCs w:val="20"/>
          <w:lang w:val="en-US"/>
        </w:rPr>
        <w:t>argenx</w:t>
      </w:r>
      <w:proofErr w:type="spellEnd"/>
      <w:r>
        <w:rPr>
          <w:rFonts w:ascii="Arial" w:hAnsi="Arial" w:cs="Arial"/>
          <w:i/>
          <w:iCs/>
          <w:sz w:val="20"/>
          <w:szCs w:val="20"/>
          <w:lang w:val="en-US"/>
        </w:rPr>
        <w:t xml:space="preserve"> with the SEC. Given these uncertainties, the reader is advised not to place any undue reliance on such forward-looking statements. These forward-looking statements speak only as of the date of publication of this document. </w:t>
      </w:r>
      <w:proofErr w:type="spellStart"/>
      <w:proofErr w:type="gramStart"/>
      <w:r>
        <w:rPr>
          <w:rFonts w:ascii="Arial" w:hAnsi="Arial" w:cs="Arial"/>
          <w:i/>
          <w:iCs/>
          <w:sz w:val="20"/>
          <w:szCs w:val="20"/>
          <w:lang w:val="en-US"/>
        </w:rPr>
        <w:t>argenx</w:t>
      </w:r>
      <w:proofErr w:type="spellEnd"/>
      <w:proofErr w:type="gramEnd"/>
      <w:r>
        <w:rPr>
          <w:rFonts w:ascii="Arial" w:hAnsi="Arial" w:cs="Arial"/>
          <w:i/>
          <w:iCs/>
          <w:sz w:val="20"/>
          <w:szCs w:val="20"/>
          <w:lang w:val="en-US"/>
        </w:rPr>
        <w:t xml:space="preserve"> undertakes no obligation to publicly update or revise the information in this press release, including any forward-looking statements, except as may be required by law.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F52C40" w:rsidRPr="00F52C40" w:rsidRDefault="00F52C40">
      <w:pPr>
        <w:rPr>
          <w:lang w:val="en-US"/>
        </w:rPr>
      </w:pPr>
      <w:bookmarkStart w:id="0" w:name="_GoBack"/>
      <w:bookmarkEnd w:id="0"/>
    </w:p>
    <w:sectPr w:rsidR="00F52C40" w:rsidRPr="00F52C4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C40"/>
    <w:rsid w:val="00E6712B"/>
    <w:rsid w:val="00F5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ugin">
    <w:name w:val="hugin"/>
    <w:basedOn w:val="Normal"/>
    <w:rsid w:val="00F52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ugin">
    <w:name w:val="hugin"/>
    <w:basedOn w:val="Normal"/>
    <w:rsid w:val="00F52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1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1179</Words>
  <Characters>6490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Nasdaq OMX Group, Inc.</Company>
  <LinksUpToDate>false</LinksUpToDate>
  <CharactersWithSpaces>7654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Ringailė Rinkūnaitė</dc:creator>
  <cp:lastModifiedBy>Ringailė Rinkūnaitė</cp:lastModifiedBy>
  <cp:revision>1</cp:revision>
  <dcterms:created xsi:type="dcterms:W3CDTF">2018-06-14T05:03:00Z</dcterms:created>
  <dcterms:modified xsi:type="dcterms:W3CDTF">2018-06-14T05:04:00Z</dcterms:modified>
</cp:coreProperties>
</file>