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DA" w:rsidRDefault="003926DA" w:rsidP="003926DA">
      <w:pPr>
        <w:pStyle w:val="hugin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argenx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doses first patient in global Phase 3 registration trial of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efgartigimod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for the treatment of generalized myasthenia gravis</w:t>
      </w:r>
    </w:p>
    <w:p w:rsidR="003926DA" w:rsidRDefault="003926DA" w:rsidP="003926DA">
      <w:pPr>
        <w:pStyle w:val="hugin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>September 6, 2018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Breda, the Netherlands / Ghent, Belgium</w:t>
      </w:r>
      <w:r>
        <w:rPr>
          <w:rFonts w:ascii="Arial" w:hAnsi="Arial" w:cs="Arial"/>
          <w:color w:val="000000"/>
          <w:sz w:val="20"/>
          <w:szCs w:val="20"/>
        </w:rPr>
        <w:t xml:space="preserve"> 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argenx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(Euronext &amp; Nasdaq: ARGX), a clinical-stage biotechnology company developing a deep pipeline of differentiated antibody-based therapies for the treatment of severe autoimmune diseases and cancer, today announced the dosing of the first patient in a global Phase 3 registration trial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efgartigimod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(ARGX-113) in patients with generalized myasthenia gravis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gMG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).</w:t>
      </w:r>
    </w:p>
    <w:p w:rsidR="003926DA" w:rsidRDefault="003926DA" w:rsidP="003926DA">
      <w:pPr>
        <w:pStyle w:val="hugin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"The dosing of the first patient represents an important milestone in advancing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efgartigimod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towards registration with the hopes of providing more therapeutic options for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gMG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patients globally. With planned enrollment of 150 patients, this will be the broadest trial of its kind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gMG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and the first to address both acetylcholine receptor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AChR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autoantibody positive as well as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AChR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autoantibody negative patients like those with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MuSK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MG," commented Nicolas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Leupin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CMO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argenx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"Our Phase 2 results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gMG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demonstrated rapid and sustained benefits in disease scores, correlating with a fast and deep reduction of auto-antibodies and a favorable tolerability profile, which we will continue to study in the Phase 3 trial."</w:t>
      </w:r>
    </w:p>
    <w:p w:rsidR="003926DA" w:rsidRDefault="003926DA" w:rsidP="003926DA">
      <w:pPr>
        <w:pStyle w:val="hugin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randomized, double-blind, placebo-controlled, multicenter trial will enroll approximately 150 patients with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gMG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North America, Europe and Japan. The global Phase 3 trial will evaluate the efficacy of a 10 mg/kg intravenous (IV) dose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efgartigimod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over a 26-week period. The company expects to enroll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AChR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autoantibody positive patients and also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AChR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autoantibody negative patients whose disease is driven primarily by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MuSK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LRP4 autoantibodies. The decision to include both patient subgroups results from the significant IgG reductions seen across all four IgG isotypes in the Phase 2 MG trial and the Phase 1 healthy volunteer trial. Patients in the Phase 3 clinical trial will be able to roll over into an open-label extension trial for a period of one year. The primary endpoint of the trial is efficacy as assessed by the Myasthenia Gravis Activities of Daily Living (MG-ADL) score and secondary and other endpoints include additional efficacy, safety, tolerability, quality of life and impact on normal daily activities measures.</w:t>
      </w:r>
    </w:p>
    <w:p w:rsidR="003926DA" w:rsidRDefault="003926DA" w:rsidP="003926DA">
      <w:pPr>
        <w:pStyle w:val="hugin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 the Phase 2 clinical trial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efgartigimod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gMG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data showed clinical improvement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efgartigimod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over placebo results through the entire 11-week duration of the trial.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Efgartigimod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was well-tolerated in all patients, with most adverse events (AEs) characterized as mild and deemed unrelated to the study drug. No serious or severe AEs were reported.</w:t>
      </w:r>
    </w:p>
    <w:p w:rsidR="003926DA" w:rsidRDefault="003926DA" w:rsidP="003926DA">
      <w:pPr>
        <w:pStyle w:val="hugin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About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argenx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argenx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a clinical-stage biotechnology company developing a deep pipeline of differentiated antibody-based therapies for the treatment of severe auto-immune diseases and cancer. The company is focused on developing product candidates with the potential to be either first-in-class against novel targets or best-in-class against known, but complex, targets in order to treat diseases with a significant unmet medical need.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argenx's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ability to execute on this focus is enabled by its suite of differentiated technologies. The SIMPLE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Antibody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TM</w:t>
      </w:r>
      <w:r>
        <w:rPr>
          <w:rFonts w:ascii="Arial" w:hAnsi="Arial" w:cs="Arial"/>
          <w:color w:val="000000"/>
          <w:sz w:val="20"/>
          <w:szCs w:val="20"/>
        </w:rPr>
        <w:t>Platform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based on the powerful llama immune system, allows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argenx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to exploit novel and complex targets, and its three complementary Fc engineering technologies are designed to expand the therapeutic index of its product candidates.  </w:t>
      </w:r>
      <w:r>
        <w:rPr>
          <w:rFonts w:ascii="Arial" w:hAnsi="Arial" w:cs="Arial"/>
          <w:color w:val="000000"/>
          <w:sz w:val="20"/>
          <w:szCs w:val="20"/>
        </w:rPr>
        <w:br/>
        <w:t>www.argenx.com    </w:t>
      </w:r>
    </w:p>
    <w:p w:rsidR="003926DA" w:rsidRDefault="003926DA" w:rsidP="003926DA">
      <w:pPr>
        <w:pStyle w:val="hugin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For further information, please contact:</w:t>
      </w:r>
    </w:p>
    <w:p w:rsidR="003926DA" w:rsidRDefault="003926DA" w:rsidP="003926DA">
      <w:pPr>
        <w:pStyle w:val="hugin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Joke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Comijn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Director Corporate Communications &amp; Investor Relations (EU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+32 (0)477 77 29 44</w:t>
      </w:r>
      <w:r>
        <w:rPr>
          <w:rFonts w:ascii="Arial" w:hAnsi="Arial" w:cs="Arial"/>
          <w:color w:val="000000"/>
          <w:sz w:val="20"/>
          <w:szCs w:val="20"/>
        </w:rPr>
        <w:br/>
        <w:t>+32 (0)9 310 34 19</w:t>
      </w:r>
      <w:r>
        <w:rPr>
          <w:rFonts w:ascii="Arial" w:hAnsi="Arial" w:cs="Arial"/>
          <w:color w:val="000000"/>
          <w:sz w:val="20"/>
          <w:szCs w:val="20"/>
        </w:rPr>
        <w:br/>
        <w:t>info@argenx.com</w:t>
      </w:r>
    </w:p>
    <w:p w:rsidR="003926DA" w:rsidRDefault="003926DA" w:rsidP="003926DA">
      <w:pPr>
        <w:pStyle w:val="hugin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Beth DelGiacco, VP Investor Relations (US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+1 518 424 4980</w:t>
      </w:r>
      <w:r>
        <w:rPr>
          <w:rFonts w:ascii="Arial" w:hAnsi="Arial" w:cs="Arial"/>
          <w:color w:val="000000"/>
          <w:sz w:val="20"/>
          <w:szCs w:val="20"/>
        </w:rPr>
        <w:br/>
        <w:t>bdelgiacco@argenx.com</w:t>
      </w:r>
    </w:p>
    <w:p w:rsidR="003926DA" w:rsidRDefault="003926DA" w:rsidP="003926DA">
      <w:pPr>
        <w:pStyle w:val="hugin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Forward-looking Statements</w:t>
      </w:r>
    </w:p>
    <w:p w:rsidR="00F35D3D" w:rsidRPr="003926DA" w:rsidRDefault="003926DA" w:rsidP="003926DA">
      <w:pPr>
        <w:pStyle w:val="hugin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The contents of this announcement include statements that are, or may be deemed to be, "forward-looking statements." These forward-looking statements can be identified by the use of forward-looking terminology, including the terms "believes," "estimates," "anticipates," "expects," "intends," "may," "will," or "should," and include statements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argenx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makes concerning the intended results of its strategy and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argenx's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advancement of, and anticipated clinical development and regulatory milestones and plans, including the timing of planned clinical trials and expected data readouts, related to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efgartigimod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  By their nature, forward-looking statements involve risks and uncertainties and readers are cautioned that any such forward-looking statements are not guarantees of future performance.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argenx's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actual results may differ materially from those predicted by the forward-looking statements as a result of various important factors, including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argenx's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expectations regarding its the inherent uncertainties associated with competitive developments, preclinical and clinical trial and product development activities and regulatory approval requirements;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argenx's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reliance on collaborations with third parties; estimating the commercial potential of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argenx's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product candidates;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argenx's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ability to obtain and maintain protection of intellectual property for its technologies and drugs;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argenx's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limited operating history; and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argenx's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ability to obtain additional funding for operations and to complete the development and commercialization of its product candidates. A further list and description of these risks, uncertainties and other risks can be found in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argenx's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U.S. Securities and Exchange Commission (SEC) filings and reports, including in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argenx's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most recent annual report on Form 20-F filed with the SEC as well as subsequent filings and reports filed by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argenx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with the SEC. Given these uncertainties, the reader is advised not to place any undue reliance on such forward-looking statements. These forward-looking statements speak only as of the date of publication of this document.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argenx</w:t>
      </w:r>
      <w:proofErr w:type="spellEnd"/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undertakes no obligation to publicly update or revise the information in this press release, including any forward-looking statements, except as may be required by law.</w:t>
      </w:r>
    </w:p>
    <w:sectPr w:rsidR="00F35D3D" w:rsidRPr="0039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DA"/>
    <w:rsid w:val="003926DA"/>
    <w:rsid w:val="00F3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gin">
    <w:name w:val="hugin"/>
    <w:basedOn w:val="Normal"/>
    <w:rsid w:val="0039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gin">
    <w:name w:val="hugin"/>
    <w:basedOn w:val="Normal"/>
    <w:rsid w:val="0039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 Slepikaite</dc:creator>
  <cp:lastModifiedBy>Jurate Slepikaite</cp:lastModifiedBy>
  <cp:revision>1</cp:revision>
  <dcterms:created xsi:type="dcterms:W3CDTF">2018-09-06T05:11:00Z</dcterms:created>
  <dcterms:modified xsi:type="dcterms:W3CDTF">2018-09-06T05:11:00Z</dcterms:modified>
</cp:coreProperties>
</file>