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86EF" w14:textId="77777777" w:rsidR="00F45FEB" w:rsidRPr="00F45FEB" w:rsidRDefault="00F45FEB" w:rsidP="00F45FEB">
      <w:pPr>
        <w:spacing w:before="100" w:beforeAutospacing="1" w:after="100" w:afterAutospacing="1" w:line="240" w:lineRule="auto"/>
        <w:outlineLvl w:val="0"/>
        <w:rPr>
          <w:rFonts w:ascii="Arial" w:eastAsia="Times New Roman" w:hAnsi="Arial" w:cs="Arial"/>
          <w:color w:val="000000"/>
          <w:kern w:val="36"/>
          <w:sz w:val="36"/>
          <w:szCs w:val="36"/>
          <w14:ligatures w14:val="none"/>
        </w:rPr>
      </w:pPr>
      <w:proofErr w:type="spellStart"/>
      <w:r w:rsidRPr="00F45FEB">
        <w:rPr>
          <w:rFonts w:ascii="Arial" w:eastAsia="Times New Roman" w:hAnsi="Arial" w:cs="Arial"/>
          <w:color w:val="000000"/>
          <w:kern w:val="36"/>
          <w:sz w:val="36"/>
          <w:szCs w:val="36"/>
          <w14:ligatures w14:val="none"/>
        </w:rPr>
        <w:t>argenx</w:t>
      </w:r>
      <w:proofErr w:type="spellEnd"/>
      <w:r w:rsidRPr="00F45FEB">
        <w:rPr>
          <w:rFonts w:ascii="Arial" w:eastAsia="Times New Roman" w:hAnsi="Arial" w:cs="Arial"/>
          <w:color w:val="000000"/>
          <w:kern w:val="36"/>
          <w:sz w:val="36"/>
          <w:szCs w:val="36"/>
          <w14:ligatures w14:val="none"/>
        </w:rPr>
        <w:t xml:space="preserve"> Reports Topline Results from ADDRESS Study of Efgartigimod SC in Pemphigus</w:t>
      </w:r>
    </w:p>
    <w:p w14:paraId="798A4794"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p>
    <w:p w14:paraId="48E8E0EA" w14:textId="77777777" w:rsidR="00F45FEB" w:rsidRPr="00F45FEB" w:rsidRDefault="00F45FEB" w:rsidP="00F45FEB">
      <w:pPr>
        <w:numPr>
          <w:ilvl w:val="0"/>
          <w:numId w:val="1"/>
        </w:numPr>
        <w:spacing w:before="100" w:beforeAutospacing="1" w:line="240" w:lineRule="auto"/>
        <w:jc w:val="center"/>
        <w:rPr>
          <w:rFonts w:ascii="Arial" w:eastAsia="Times New Roman" w:hAnsi="Arial" w:cs="Arial"/>
          <w:color w:val="000000"/>
          <w:kern w:val="0"/>
          <w:sz w:val="23"/>
          <w:szCs w:val="23"/>
          <w14:ligatures w14:val="none"/>
        </w:rPr>
      </w:pPr>
      <w:r w:rsidRPr="00F45FEB">
        <w:rPr>
          <w:rFonts w:ascii="Arial" w:eastAsia="Times New Roman" w:hAnsi="Arial" w:cs="Arial"/>
          <w:i/>
          <w:iCs/>
          <w:color w:val="000000"/>
          <w:kern w:val="0"/>
          <w:sz w:val="23"/>
          <w:szCs w:val="23"/>
          <w14:ligatures w14:val="none"/>
        </w:rPr>
        <w:t xml:space="preserve">ADDRESS study did not meet primary or secondary </w:t>
      </w:r>
      <w:proofErr w:type="gramStart"/>
      <w:r w:rsidRPr="00F45FEB">
        <w:rPr>
          <w:rFonts w:ascii="Arial" w:eastAsia="Times New Roman" w:hAnsi="Arial" w:cs="Arial"/>
          <w:i/>
          <w:iCs/>
          <w:color w:val="000000"/>
          <w:kern w:val="0"/>
          <w:sz w:val="23"/>
          <w:szCs w:val="23"/>
          <w14:ligatures w14:val="none"/>
        </w:rPr>
        <w:t>endpoints</w:t>
      </w:r>
      <w:proofErr w:type="gramEnd"/>
    </w:p>
    <w:p w14:paraId="29095D6E" w14:textId="77777777" w:rsidR="00F45FEB" w:rsidRPr="00F45FEB" w:rsidRDefault="00F45FEB" w:rsidP="00F45FEB">
      <w:pPr>
        <w:numPr>
          <w:ilvl w:val="0"/>
          <w:numId w:val="1"/>
        </w:numPr>
        <w:spacing w:before="100" w:beforeAutospacing="1" w:line="240" w:lineRule="auto"/>
        <w:jc w:val="center"/>
        <w:rPr>
          <w:rFonts w:ascii="Arial" w:eastAsia="Times New Roman" w:hAnsi="Arial" w:cs="Arial"/>
          <w:color w:val="000000"/>
          <w:kern w:val="0"/>
          <w:sz w:val="23"/>
          <w:szCs w:val="23"/>
          <w14:ligatures w14:val="none"/>
        </w:rPr>
      </w:pPr>
      <w:r w:rsidRPr="00F45FEB">
        <w:rPr>
          <w:rFonts w:ascii="Arial" w:eastAsia="Times New Roman" w:hAnsi="Arial" w:cs="Arial"/>
          <w:i/>
          <w:iCs/>
          <w:color w:val="000000"/>
          <w:kern w:val="0"/>
          <w:sz w:val="23"/>
          <w:szCs w:val="23"/>
          <w14:ligatures w14:val="none"/>
        </w:rPr>
        <w:t xml:space="preserve">Pemphigus deprioritized as efgartigimod </w:t>
      </w:r>
      <w:proofErr w:type="gramStart"/>
      <w:r w:rsidRPr="00F45FEB">
        <w:rPr>
          <w:rFonts w:ascii="Arial" w:eastAsia="Times New Roman" w:hAnsi="Arial" w:cs="Arial"/>
          <w:i/>
          <w:iCs/>
          <w:color w:val="000000"/>
          <w:kern w:val="0"/>
          <w:sz w:val="23"/>
          <w:szCs w:val="23"/>
          <w14:ligatures w14:val="none"/>
        </w:rPr>
        <w:t>indication</w:t>
      </w:r>
      <w:proofErr w:type="gramEnd"/>
    </w:p>
    <w:p w14:paraId="6752186E" w14:textId="77777777" w:rsidR="00F45FEB" w:rsidRPr="00F45FEB" w:rsidRDefault="00F45FEB" w:rsidP="00F45FEB">
      <w:pPr>
        <w:numPr>
          <w:ilvl w:val="0"/>
          <w:numId w:val="1"/>
        </w:numPr>
        <w:spacing w:before="100" w:beforeAutospacing="1" w:line="240" w:lineRule="auto"/>
        <w:jc w:val="center"/>
        <w:rPr>
          <w:rFonts w:ascii="Arial" w:eastAsia="Times New Roman" w:hAnsi="Arial" w:cs="Arial"/>
          <w:color w:val="000000"/>
          <w:kern w:val="0"/>
          <w:sz w:val="23"/>
          <w:szCs w:val="23"/>
          <w14:ligatures w14:val="none"/>
        </w:rPr>
      </w:pPr>
      <w:r w:rsidRPr="00F45FEB">
        <w:rPr>
          <w:rFonts w:ascii="Arial" w:eastAsia="Times New Roman" w:hAnsi="Arial" w:cs="Arial"/>
          <w:i/>
          <w:iCs/>
          <w:color w:val="000000"/>
          <w:kern w:val="0"/>
          <w:sz w:val="23"/>
          <w:szCs w:val="23"/>
          <w14:ligatures w14:val="none"/>
        </w:rPr>
        <w:t xml:space="preserve">Update on BALLAD study GO/NO GO </w:t>
      </w:r>
      <w:proofErr w:type="gramStart"/>
      <w:r w:rsidRPr="00F45FEB">
        <w:rPr>
          <w:rFonts w:ascii="Arial" w:eastAsia="Times New Roman" w:hAnsi="Arial" w:cs="Arial"/>
          <w:i/>
          <w:iCs/>
          <w:color w:val="000000"/>
          <w:kern w:val="0"/>
          <w:sz w:val="23"/>
          <w:szCs w:val="23"/>
          <w14:ligatures w14:val="none"/>
        </w:rPr>
        <w:t>decision</w:t>
      </w:r>
      <w:proofErr w:type="gramEnd"/>
    </w:p>
    <w:p w14:paraId="53801B23" w14:textId="77777777" w:rsidR="00F45FEB" w:rsidRPr="00F45FEB" w:rsidRDefault="00F45FEB" w:rsidP="00F45FEB">
      <w:pPr>
        <w:numPr>
          <w:ilvl w:val="0"/>
          <w:numId w:val="1"/>
        </w:numPr>
        <w:spacing w:before="100" w:beforeAutospacing="1" w:line="240" w:lineRule="auto"/>
        <w:jc w:val="center"/>
        <w:rPr>
          <w:rFonts w:ascii="Arial" w:eastAsia="Times New Roman" w:hAnsi="Arial" w:cs="Arial"/>
          <w:color w:val="000000"/>
          <w:kern w:val="0"/>
          <w:sz w:val="23"/>
          <w:szCs w:val="23"/>
          <w14:ligatures w14:val="none"/>
        </w:rPr>
      </w:pPr>
      <w:r w:rsidRPr="00F45FEB">
        <w:rPr>
          <w:rFonts w:ascii="Arial" w:eastAsia="Times New Roman" w:hAnsi="Arial" w:cs="Arial"/>
          <w:i/>
          <w:iCs/>
          <w:color w:val="000000"/>
          <w:kern w:val="0"/>
          <w:sz w:val="23"/>
          <w:szCs w:val="23"/>
          <w14:ligatures w14:val="none"/>
        </w:rPr>
        <w:t>Conference call scheduled for today, December 20, 2023, at 8:30am ET (2:30pm CET)</w:t>
      </w:r>
    </w:p>
    <w:p w14:paraId="749DEC1F" w14:textId="77777777" w:rsidR="00F45FEB" w:rsidRPr="00F45FEB" w:rsidRDefault="00F45FEB" w:rsidP="00F45FEB">
      <w:pPr>
        <w:spacing w:before="100" w:beforeAutospacing="1" w:after="100" w:afterAutospacing="1" w:line="240" w:lineRule="auto"/>
        <w:jc w:val="center"/>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Regulated Information – Inside Information</w:t>
      </w:r>
    </w:p>
    <w:p w14:paraId="69785C5E"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December 20, 2023, 7:00am CET</w:t>
      </w:r>
    </w:p>
    <w:p w14:paraId="497C6CC5"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AMSTERDAM, THE NETHERLANDS </w:t>
      </w:r>
      <w:r w:rsidRPr="00F45FEB">
        <w:rPr>
          <w:rFonts w:ascii="Arial" w:eastAsia="Times New Roman" w:hAnsi="Arial" w:cs="Arial"/>
          <w:color w:val="000000"/>
          <w:kern w:val="0"/>
          <w:sz w:val="23"/>
          <w:szCs w:val="23"/>
          <w14:ligatures w14:val="none"/>
        </w:rPr>
        <w:t xml:space="preserve">—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SE (Euronext &amp; Nasdaq: ARGX), a global immunology company committed to improving the lives of people suffering from severe autoimmune diseases, today announced topline results from the ADDRESS study evaluating efgartigimod subcutaneous (SC) (efgartigimod alfa and hyaluronidase-</w:t>
      </w:r>
      <w:proofErr w:type="spellStart"/>
      <w:r w:rsidRPr="00F45FEB">
        <w:rPr>
          <w:rFonts w:ascii="Arial" w:eastAsia="Times New Roman" w:hAnsi="Arial" w:cs="Arial"/>
          <w:color w:val="000000"/>
          <w:kern w:val="0"/>
          <w:sz w:val="23"/>
          <w:szCs w:val="23"/>
          <w14:ligatures w14:val="none"/>
        </w:rPr>
        <w:t>qvfc</w:t>
      </w:r>
      <w:proofErr w:type="spellEnd"/>
      <w:r w:rsidRPr="00F45FEB">
        <w:rPr>
          <w:rFonts w:ascii="Arial" w:eastAsia="Times New Roman" w:hAnsi="Arial" w:cs="Arial"/>
          <w:color w:val="000000"/>
          <w:kern w:val="0"/>
          <w:sz w:val="23"/>
          <w:szCs w:val="23"/>
          <w14:ligatures w14:val="none"/>
        </w:rPr>
        <w:t>) in adults with pemphigus vulgaris (PV) and pemphigus foliaceus (PF). The ADDRESS results show the proportion of PV patients achieving the primary endpoint of complete remission on a minimal dose of steroids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was not significantly different between efgartigimod SC and placebo.</w:t>
      </w:r>
    </w:p>
    <w:p w14:paraId="4565AD9D"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will not pursue additional development in pemphigus and plans to prioritize clinical development of efgartigimod in its ongoing severe autoimmune indications.</w:t>
      </w:r>
    </w:p>
    <w:p w14:paraId="68C23706"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“We are disappointed by today’s results, particularly for pemphigus patients who have seen little innovation in this treatment space,” said Luc Truyen, M.D., Ph.D., Chief Medical Officer at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“At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we are in the business of transformation, providing new medicines that go beyond incremental benefit and raise the bar for what patients can expect from a treatment. While we will not move forward into pemphigus, our job today is the same as yesterday – continue to be execution-focused and data-driven, apply learnings across our ongoing development programs, and pursue optimal development of efgartigimod, </w:t>
      </w:r>
      <w:proofErr w:type="spellStart"/>
      <w:r w:rsidRPr="00F45FEB">
        <w:rPr>
          <w:rFonts w:ascii="Arial" w:eastAsia="Times New Roman" w:hAnsi="Arial" w:cs="Arial"/>
          <w:color w:val="000000"/>
          <w:kern w:val="0"/>
          <w:sz w:val="23"/>
          <w:szCs w:val="23"/>
          <w14:ligatures w14:val="none"/>
        </w:rPr>
        <w:t>empasiprubart</w:t>
      </w:r>
      <w:proofErr w:type="spellEnd"/>
      <w:r w:rsidRPr="00F45FEB">
        <w:rPr>
          <w:rFonts w:ascii="Arial" w:eastAsia="Times New Roman" w:hAnsi="Arial" w:cs="Arial"/>
          <w:color w:val="000000"/>
          <w:kern w:val="0"/>
          <w:sz w:val="23"/>
          <w:szCs w:val="23"/>
          <w14:ligatures w14:val="none"/>
        </w:rPr>
        <w:t xml:space="preserve"> and our earlier stage programs. 2023 was a remarkable year of growth for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across the business and we are poised to build on our success in 2024.</w:t>
      </w:r>
    </w:p>
    <w:p w14:paraId="7DC5DCF5"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“We are grateful to the pemphigus </w:t>
      </w:r>
      <w:proofErr w:type="gramStart"/>
      <w:r w:rsidRPr="00F45FEB">
        <w:rPr>
          <w:rFonts w:ascii="Arial" w:eastAsia="Times New Roman" w:hAnsi="Arial" w:cs="Arial"/>
          <w:color w:val="000000"/>
          <w:kern w:val="0"/>
          <w:sz w:val="23"/>
          <w:szCs w:val="23"/>
          <w14:ligatures w14:val="none"/>
        </w:rPr>
        <w:t>community</w:t>
      </w:r>
      <w:proofErr w:type="gramEnd"/>
      <w:r w:rsidRPr="00F45FEB">
        <w:rPr>
          <w:rFonts w:ascii="Arial" w:eastAsia="Times New Roman" w:hAnsi="Arial" w:cs="Arial"/>
          <w:color w:val="000000"/>
          <w:kern w:val="0"/>
          <w:sz w:val="23"/>
          <w:szCs w:val="23"/>
          <w14:ligatures w14:val="none"/>
        </w:rPr>
        <w:t xml:space="preserve"> and all involved in the ADDRESS study, including patients, healthcare professionals, and our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teams,” continued Dr. Truyen.</w:t>
      </w:r>
    </w:p>
    <w:p w14:paraId="2ABAA5E8"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ADDRESS Study Results</w:t>
      </w:r>
    </w:p>
    <w:p w14:paraId="557B7558"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The Phase 3 ADDRESS study enrolled 222 adult patients with newly diagnosed or relapsing moderate-to-severe PV (n=190) or PF (n=32). Patients were randomized to efgartigimod SC or placebo with both treatment groups receiving concomitant steroids at a </w:t>
      </w:r>
      <w:r w:rsidRPr="00F45FEB">
        <w:rPr>
          <w:rFonts w:ascii="Arial" w:eastAsia="Times New Roman" w:hAnsi="Arial" w:cs="Arial"/>
          <w:color w:val="000000"/>
          <w:kern w:val="0"/>
          <w:sz w:val="23"/>
          <w:szCs w:val="23"/>
          <w14:ligatures w14:val="none"/>
        </w:rPr>
        <w:lastRenderedPageBreak/>
        <w:t>starting dose of 0.5mg/kg, which is a lower dose than recommended by current treatment guidelines and was tapered according to protocol upon achievement of complete remission.</w:t>
      </w:r>
    </w:p>
    <w:p w14:paraId="7C51966B" w14:textId="77777777" w:rsidR="00F45FEB" w:rsidRPr="00F45FEB" w:rsidRDefault="00F45FEB" w:rsidP="00F45FEB">
      <w:pPr>
        <w:numPr>
          <w:ilvl w:val="0"/>
          <w:numId w:val="2"/>
        </w:numPr>
        <w:spacing w:before="100" w:beforeAutospacing="1" w:after="100" w:afterAutospacing="1" w:line="240" w:lineRule="auto"/>
        <w:jc w:val="both"/>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Consistent pharmacodynamic (PD) effect of efgartigimod SC</w:t>
      </w:r>
      <w:r w:rsidRPr="00F45FEB">
        <w:rPr>
          <w:rFonts w:ascii="Arial" w:eastAsia="Times New Roman" w:hAnsi="Arial" w:cs="Arial"/>
          <w:color w:val="000000"/>
          <w:kern w:val="0"/>
          <w:sz w:val="23"/>
          <w:szCs w:val="23"/>
          <w14:ligatures w14:val="none"/>
        </w:rPr>
        <w:t xml:space="preserve">: Treatment with efgartigimod SC led to total immunoglobulin G (IgG) and </w:t>
      </w:r>
      <w:proofErr w:type="spellStart"/>
      <w:r w:rsidRPr="00F45FEB">
        <w:rPr>
          <w:rFonts w:ascii="Arial" w:eastAsia="Times New Roman" w:hAnsi="Arial" w:cs="Arial"/>
          <w:color w:val="000000"/>
          <w:kern w:val="0"/>
          <w:sz w:val="23"/>
          <w:szCs w:val="23"/>
          <w14:ligatures w14:val="none"/>
        </w:rPr>
        <w:t>desmoglein</w:t>
      </w:r>
      <w:proofErr w:type="spellEnd"/>
      <w:r w:rsidRPr="00F45FEB">
        <w:rPr>
          <w:rFonts w:ascii="Arial" w:eastAsia="Times New Roman" w:hAnsi="Arial" w:cs="Arial"/>
          <w:color w:val="000000"/>
          <w:kern w:val="0"/>
          <w:sz w:val="23"/>
          <w:szCs w:val="23"/>
          <w14:ligatures w14:val="none"/>
        </w:rPr>
        <w:t xml:space="preserve"> autoantibody (DSG-1 and DSG-3) reductions up to 75%. The observed PD effect was consistent with previous clinical trials of efgartigimod.</w:t>
      </w:r>
    </w:p>
    <w:p w14:paraId="610484D3" w14:textId="77777777" w:rsidR="00F45FEB" w:rsidRPr="00F45FEB" w:rsidRDefault="00F45FEB" w:rsidP="00F45FEB">
      <w:pPr>
        <w:numPr>
          <w:ilvl w:val="0"/>
          <w:numId w:val="2"/>
        </w:numPr>
        <w:spacing w:before="100" w:beforeAutospacing="1" w:after="100" w:afterAutospacing="1" w:line="240" w:lineRule="auto"/>
        <w:jc w:val="both"/>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Unexpected PD effect of corticosteroids</w:t>
      </w:r>
      <w:r w:rsidRPr="00F45FEB">
        <w:rPr>
          <w:rFonts w:ascii="Arial" w:eastAsia="Times New Roman" w:hAnsi="Arial" w:cs="Arial"/>
          <w:color w:val="000000"/>
          <w:kern w:val="0"/>
          <w:sz w:val="23"/>
          <w:szCs w:val="23"/>
          <w14:ligatures w14:val="none"/>
        </w:rPr>
        <w:t xml:space="preserve">: There was a </w:t>
      </w:r>
      <w:proofErr w:type="gramStart"/>
      <w:r w:rsidRPr="00F45FEB">
        <w:rPr>
          <w:rFonts w:ascii="Arial" w:eastAsia="Times New Roman" w:hAnsi="Arial" w:cs="Arial"/>
          <w:color w:val="000000"/>
          <w:kern w:val="0"/>
          <w:sz w:val="23"/>
          <w:szCs w:val="23"/>
          <w14:ligatures w14:val="none"/>
        </w:rPr>
        <w:t>higher than expected</w:t>
      </w:r>
      <w:proofErr w:type="gramEnd"/>
      <w:r w:rsidRPr="00F45FEB">
        <w:rPr>
          <w:rFonts w:ascii="Arial" w:eastAsia="Times New Roman" w:hAnsi="Arial" w:cs="Arial"/>
          <w:color w:val="000000"/>
          <w:kern w:val="0"/>
          <w:sz w:val="23"/>
          <w:szCs w:val="23"/>
          <w14:ligatures w14:val="none"/>
        </w:rPr>
        <w:t xml:space="preserve"> response to background treatment with corticosteroids, which showed a reduction of DSG-1 and DSG-3 levels of up to 70% in the placebo arm and correlated to sustained clinical benefit. The level of autoantibody reduction driven by corticosteroids in both treatment arms was sufficient for patients to achieve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The significant PD effect of corticosteroids was specific to DSG-1 and DSG-3 autoantibodies, while the observed effect on total IgG reduction was in line with the literature (up to 10%).</w:t>
      </w:r>
    </w:p>
    <w:p w14:paraId="05687988" w14:textId="77777777" w:rsidR="00F45FEB" w:rsidRPr="00F45FEB" w:rsidRDefault="00F45FEB" w:rsidP="00F45FEB">
      <w:pPr>
        <w:numPr>
          <w:ilvl w:val="0"/>
          <w:numId w:val="2"/>
        </w:numPr>
        <w:spacing w:before="100" w:beforeAutospacing="1" w:after="100" w:afterAutospacing="1" w:line="240" w:lineRule="auto"/>
        <w:jc w:val="both"/>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Study did not meet primary endpoint</w:t>
      </w:r>
      <w:r w:rsidRPr="00F45FEB">
        <w:rPr>
          <w:rFonts w:ascii="Arial" w:eastAsia="Times New Roman" w:hAnsi="Arial" w:cs="Arial"/>
          <w:color w:val="000000"/>
          <w:kern w:val="0"/>
          <w:sz w:val="23"/>
          <w:szCs w:val="23"/>
          <w14:ligatures w14:val="none"/>
        </w:rPr>
        <w:t xml:space="preserve">: Treatment with efgartigimod SC led to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xml:space="preserve"> in 35.5% (44/124) of patients compared to 30.3% (20/66) with placebo (p=0.5956). Secondary endpoints were also not met, including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xml:space="preserve"> in the overall pemphigus population (PV and PF), cumulative dose of corticosteroids and time to disease control or complete </w:t>
      </w:r>
      <w:proofErr w:type="gramStart"/>
      <w:r w:rsidRPr="00F45FEB">
        <w:rPr>
          <w:rFonts w:ascii="Arial" w:eastAsia="Times New Roman" w:hAnsi="Arial" w:cs="Arial"/>
          <w:color w:val="000000"/>
          <w:kern w:val="0"/>
          <w:sz w:val="23"/>
          <w:szCs w:val="23"/>
          <w14:ligatures w14:val="none"/>
        </w:rPr>
        <w:t>remission</w:t>
      </w:r>
      <w:proofErr w:type="gramEnd"/>
    </w:p>
    <w:p w14:paraId="140B18F2" w14:textId="77777777" w:rsidR="00F45FEB" w:rsidRPr="00F45FEB" w:rsidRDefault="00F45FEB" w:rsidP="00F45FEB">
      <w:pPr>
        <w:numPr>
          <w:ilvl w:val="0"/>
          <w:numId w:val="2"/>
        </w:numPr>
        <w:spacing w:before="100" w:beforeAutospacing="1" w:after="100" w:afterAutospacing="1" w:line="240" w:lineRule="auto"/>
        <w:jc w:val="both"/>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Consistent and favorable safety profile</w:t>
      </w:r>
      <w:r w:rsidRPr="00F45FEB">
        <w:rPr>
          <w:rFonts w:ascii="Arial" w:eastAsia="Times New Roman" w:hAnsi="Arial" w:cs="Arial"/>
          <w:color w:val="000000"/>
          <w:kern w:val="0"/>
          <w:sz w:val="23"/>
          <w:szCs w:val="23"/>
          <w14:ligatures w14:val="none"/>
        </w:rPr>
        <w:t xml:space="preserve">: Efgartigimod SC was well-tolerated in ADDRESS. The observed safety and tolerability profile was consistent with other clinical trials and the confirmed safety profile of VYVGART and 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w:t>
      </w:r>
    </w:p>
    <w:p w14:paraId="08C8BAC8"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Update on BALLAD Study</w:t>
      </w:r>
      <w:r w:rsidRPr="00F45FEB">
        <w:rPr>
          <w:rFonts w:ascii="Arial" w:eastAsia="Times New Roman" w:hAnsi="Arial" w:cs="Arial"/>
          <w:color w:val="000000"/>
          <w:kern w:val="0"/>
          <w:sz w:val="23"/>
          <w:szCs w:val="23"/>
          <w14:ligatures w14:val="none"/>
        </w:rPr>
        <w:br/>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is reviewing the BALLAD study in light of the ADDRESS results and the comparable biology between pemphigus and bullous </w:t>
      </w:r>
      <w:proofErr w:type="gramStart"/>
      <w:r w:rsidRPr="00F45FEB">
        <w:rPr>
          <w:rFonts w:ascii="Arial" w:eastAsia="Times New Roman" w:hAnsi="Arial" w:cs="Arial"/>
          <w:color w:val="000000"/>
          <w:kern w:val="0"/>
          <w:sz w:val="23"/>
          <w:szCs w:val="23"/>
          <w14:ligatures w14:val="none"/>
        </w:rPr>
        <w:t>pemphigoid, and</w:t>
      </w:r>
      <w:proofErr w:type="gramEnd"/>
      <w:r w:rsidRPr="00F45FEB">
        <w:rPr>
          <w:rFonts w:ascii="Arial" w:eastAsia="Times New Roman" w:hAnsi="Arial" w:cs="Arial"/>
          <w:color w:val="000000"/>
          <w:kern w:val="0"/>
          <w:sz w:val="23"/>
          <w:szCs w:val="23"/>
          <w14:ligatures w14:val="none"/>
        </w:rPr>
        <w:t xml:space="preserve"> has decided not to make a GO/NO GO decision at this time but rather wait for learnings from all currently enrolled patients and consider a new trial design for the path forward.</w:t>
      </w:r>
    </w:p>
    <w:p w14:paraId="17B24D58"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Conference Call Details</w:t>
      </w:r>
      <w:r w:rsidRPr="00F45FEB">
        <w:rPr>
          <w:rFonts w:ascii="Arial" w:eastAsia="Times New Roman" w:hAnsi="Arial" w:cs="Arial"/>
          <w:color w:val="000000"/>
          <w:kern w:val="0"/>
          <w:sz w:val="23"/>
          <w:szCs w:val="23"/>
          <w14:ligatures w14:val="none"/>
        </w:rPr>
        <w:br/>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will host a conference call today at 2:30 pm CET (8:30am ET) to discuss the ADDRESS results. A webcast of the live call and replay may be accessed on the Investors section of the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website.</w:t>
      </w:r>
    </w:p>
    <w:p w14:paraId="2E4DF5C6"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Dial-in Numbers:</w:t>
      </w:r>
      <w:r w:rsidRPr="00F45FEB">
        <w:rPr>
          <w:rFonts w:ascii="Arial" w:eastAsia="Times New Roman" w:hAnsi="Arial" w:cs="Arial"/>
          <w:color w:val="000000"/>
          <w:kern w:val="0"/>
          <w:sz w:val="23"/>
          <w:szCs w:val="23"/>
          <w14:ligatures w14:val="none"/>
        </w:rPr>
        <w:br/>
      </w:r>
      <w:r w:rsidRPr="00F45FEB">
        <w:rPr>
          <w:rFonts w:ascii="Arial" w:eastAsia="Times New Roman" w:hAnsi="Arial" w:cs="Arial"/>
          <w:i/>
          <w:iCs/>
          <w:color w:val="000000"/>
          <w:kern w:val="0"/>
          <w:sz w:val="23"/>
          <w:szCs w:val="23"/>
          <w14:ligatures w14:val="none"/>
        </w:rPr>
        <w:t>Please dial in 15 minutes prior to the live call.</w:t>
      </w:r>
    </w:p>
    <w:tbl>
      <w:tblPr>
        <w:tblW w:w="21600" w:type="dxa"/>
        <w:tblCellMar>
          <w:top w:w="15" w:type="dxa"/>
          <w:left w:w="15" w:type="dxa"/>
          <w:bottom w:w="15" w:type="dxa"/>
          <w:right w:w="15" w:type="dxa"/>
        </w:tblCellMar>
        <w:tblLook w:val="04A0" w:firstRow="1" w:lastRow="0" w:firstColumn="1" w:lastColumn="0" w:noHBand="0" w:noVBand="1"/>
      </w:tblPr>
      <w:tblGrid>
        <w:gridCol w:w="11179"/>
        <w:gridCol w:w="10421"/>
      </w:tblGrid>
      <w:tr w:rsidR="00F45FEB" w:rsidRPr="00F45FEB" w14:paraId="76A37E6F" w14:textId="77777777" w:rsidTr="00F45FEB">
        <w:tc>
          <w:tcPr>
            <w:tcW w:w="0" w:type="auto"/>
            <w:hideMark/>
          </w:tcPr>
          <w:p w14:paraId="7FDA675F"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Belgium</w:t>
            </w:r>
          </w:p>
        </w:tc>
        <w:tc>
          <w:tcPr>
            <w:tcW w:w="0" w:type="auto"/>
            <w:hideMark/>
          </w:tcPr>
          <w:p w14:paraId="78BC9B6C"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32 800 50 201</w:t>
            </w:r>
          </w:p>
        </w:tc>
      </w:tr>
      <w:tr w:rsidR="00F45FEB" w:rsidRPr="00F45FEB" w14:paraId="46BF7DA0" w14:textId="77777777" w:rsidTr="00F45FEB">
        <w:tc>
          <w:tcPr>
            <w:tcW w:w="0" w:type="auto"/>
            <w:hideMark/>
          </w:tcPr>
          <w:p w14:paraId="7936606E"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France</w:t>
            </w:r>
          </w:p>
        </w:tc>
        <w:tc>
          <w:tcPr>
            <w:tcW w:w="0" w:type="auto"/>
            <w:hideMark/>
          </w:tcPr>
          <w:p w14:paraId="361E62C2"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33 800 943355</w:t>
            </w:r>
          </w:p>
        </w:tc>
      </w:tr>
      <w:tr w:rsidR="00F45FEB" w:rsidRPr="00F45FEB" w14:paraId="5B08CBA9" w14:textId="77777777" w:rsidTr="00F45FEB">
        <w:tc>
          <w:tcPr>
            <w:tcW w:w="0" w:type="auto"/>
            <w:hideMark/>
          </w:tcPr>
          <w:p w14:paraId="3B43321A"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Netherlands</w:t>
            </w:r>
          </w:p>
        </w:tc>
        <w:tc>
          <w:tcPr>
            <w:tcW w:w="0" w:type="auto"/>
            <w:hideMark/>
          </w:tcPr>
          <w:p w14:paraId="1BE5D428"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31 20 795 1090</w:t>
            </w:r>
          </w:p>
        </w:tc>
      </w:tr>
      <w:tr w:rsidR="00F45FEB" w:rsidRPr="00F45FEB" w14:paraId="4056E464" w14:textId="77777777" w:rsidTr="00F45FEB">
        <w:tc>
          <w:tcPr>
            <w:tcW w:w="0" w:type="auto"/>
            <w:hideMark/>
          </w:tcPr>
          <w:p w14:paraId="7B79F705"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United Kingdom  </w:t>
            </w:r>
          </w:p>
        </w:tc>
        <w:tc>
          <w:tcPr>
            <w:tcW w:w="0" w:type="auto"/>
            <w:hideMark/>
          </w:tcPr>
          <w:p w14:paraId="110678D9"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44 800 358 0970</w:t>
            </w:r>
          </w:p>
        </w:tc>
      </w:tr>
      <w:tr w:rsidR="00F45FEB" w:rsidRPr="00F45FEB" w14:paraId="439DFB7C" w14:textId="77777777" w:rsidTr="00F45FEB">
        <w:tc>
          <w:tcPr>
            <w:tcW w:w="0" w:type="auto"/>
            <w:hideMark/>
          </w:tcPr>
          <w:p w14:paraId="608495B6"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United States</w:t>
            </w:r>
          </w:p>
        </w:tc>
        <w:tc>
          <w:tcPr>
            <w:tcW w:w="0" w:type="auto"/>
            <w:hideMark/>
          </w:tcPr>
          <w:p w14:paraId="59704899"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1 888 415 4250</w:t>
            </w:r>
          </w:p>
        </w:tc>
      </w:tr>
      <w:tr w:rsidR="00F45FEB" w:rsidRPr="00F45FEB" w14:paraId="0451B95C" w14:textId="77777777" w:rsidTr="00F45FEB">
        <w:tc>
          <w:tcPr>
            <w:tcW w:w="0" w:type="auto"/>
            <w:hideMark/>
          </w:tcPr>
          <w:p w14:paraId="1EC59F16"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Japan</w:t>
            </w:r>
          </w:p>
        </w:tc>
        <w:tc>
          <w:tcPr>
            <w:tcW w:w="0" w:type="auto"/>
            <w:hideMark/>
          </w:tcPr>
          <w:p w14:paraId="1E74DD12"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81 3 4578 9081</w:t>
            </w:r>
          </w:p>
        </w:tc>
      </w:tr>
      <w:tr w:rsidR="00F45FEB" w:rsidRPr="00F45FEB" w14:paraId="73F002A8" w14:textId="77777777" w:rsidTr="00F45FEB">
        <w:tc>
          <w:tcPr>
            <w:tcW w:w="0" w:type="auto"/>
            <w:hideMark/>
          </w:tcPr>
          <w:p w14:paraId="4E40AC47"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Switzerland</w:t>
            </w:r>
          </w:p>
        </w:tc>
        <w:tc>
          <w:tcPr>
            <w:tcW w:w="0" w:type="auto"/>
            <w:hideMark/>
          </w:tcPr>
          <w:p w14:paraId="221DFFEE" w14:textId="77777777" w:rsidR="00F45FEB" w:rsidRPr="00F45FEB" w:rsidRDefault="00F45FEB" w:rsidP="00F45FEB">
            <w:pPr>
              <w:spacing w:after="0" w:line="240" w:lineRule="auto"/>
              <w:jc w:val="both"/>
              <w:rPr>
                <w:rFonts w:ascii="Times New Roman" w:eastAsia="Times New Roman" w:hAnsi="Times New Roman" w:cs="Times New Roman"/>
                <w:kern w:val="0"/>
                <w:sz w:val="24"/>
                <w:szCs w:val="24"/>
                <w14:ligatures w14:val="none"/>
              </w:rPr>
            </w:pPr>
            <w:r w:rsidRPr="00F45FEB">
              <w:rPr>
                <w:rFonts w:ascii="Times New Roman" w:eastAsia="Times New Roman" w:hAnsi="Times New Roman" w:cs="Times New Roman"/>
                <w:kern w:val="0"/>
                <w:sz w:val="24"/>
                <w:szCs w:val="24"/>
                <w14:ligatures w14:val="none"/>
              </w:rPr>
              <w:t>41 43 210 11 32</w:t>
            </w:r>
          </w:p>
        </w:tc>
      </w:tr>
    </w:tbl>
    <w:p w14:paraId="59A2E5E2"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About the ADDRESS Study</w:t>
      </w:r>
      <w:r w:rsidRPr="00F45FEB">
        <w:rPr>
          <w:rFonts w:ascii="Arial" w:eastAsia="Times New Roman" w:hAnsi="Arial" w:cs="Arial"/>
          <w:color w:val="000000"/>
          <w:kern w:val="0"/>
          <w:sz w:val="23"/>
          <w:szCs w:val="23"/>
          <w14:ligatures w14:val="none"/>
        </w:rPr>
        <w:br/>
        <w:t xml:space="preserve">The ADDRESS study was a randomized, double-blind, placebo-controlled, multicenter, </w:t>
      </w:r>
      <w:r w:rsidRPr="00F45FEB">
        <w:rPr>
          <w:rFonts w:ascii="Arial" w:eastAsia="Times New Roman" w:hAnsi="Arial" w:cs="Arial"/>
          <w:color w:val="000000"/>
          <w:kern w:val="0"/>
          <w:sz w:val="23"/>
          <w:szCs w:val="23"/>
          <w14:ligatures w14:val="none"/>
        </w:rPr>
        <w:lastRenderedPageBreak/>
        <w:t>global trial evaluating the efficacy and safety of efgartigimod SC (efgartigimod alfa and hyaluronidase-</w:t>
      </w:r>
      <w:proofErr w:type="spellStart"/>
      <w:r w:rsidRPr="00F45FEB">
        <w:rPr>
          <w:rFonts w:ascii="Arial" w:eastAsia="Times New Roman" w:hAnsi="Arial" w:cs="Arial"/>
          <w:color w:val="000000"/>
          <w:kern w:val="0"/>
          <w:sz w:val="23"/>
          <w:szCs w:val="23"/>
          <w14:ligatures w14:val="none"/>
        </w:rPr>
        <w:t>qvfc</w:t>
      </w:r>
      <w:proofErr w:type="spellEnd"/>
      <w:r w:rsidRPr="00F45FEB">
        <w:rPr>
          <w:rFonts w:ascii="Arial" w:eastAsia="Times New Roman" w:hAnsi="Arial" w:cs="Arial"/>
          <w:color w:val="000000"/>
          <w:kern w:val="0"/>
          <w:sz w:val="23"/>
          <w:szCs w:val="23"/>
          <w14:ligatures w14:val="none"/>
        </w:rPr>
        <w:t>) in adult patients with pemphigus. Enrolled patients had newly diagnosed or relapsing moderate-to-severe pemphigus vulgaris (PV) or pemphigus foliaceus (PF) with PDAI scores of ≥15. Patients were randomized in a 2:1 ratio to receive efgartigimod SC or placebo for a total of 30 weeks as part of the primary trial. All patients were on concomitant corticosteroids at a starting dose of 0.5mg/kg/day, which could be tapered according to protocol upon achievement of complete remission (PDAI = 0). The primary endpoint was measured by the proportion of PV patients who achieved sustained complete remission on a minimal dose of corticosteroids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xml:space="preserve">) within 30 weeks. Key secondary endpoints included proportion of overall population (PV and PF) who achieved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xml:space="preserve">, cumulative corticosteroid dose, and time to disease control and complete remission. At the end of the 30-week study, eligible patients entered a double-blind 8-week follow-up as part of the ADDRESS open-label extension study during which </w:t>
      </w:r>
      <w:proofErr w:type="spellStart"/>
      <w:r w:rsidRPr="00F45FEB">
        <w:rPr>
          <w:rFonts w:ascii="Arial" w:eastAsia="Times New Roman" w:hAnsi="Arial" w:cs="Arial"/>
          <w:color w:val="000000"/>
          <w:kern w:val="0"/>
          <w:sz w:val="23"/>
          <w:szCs w:val="23"/>
          <w14:ligatures w14:val="none"/>
        </w:rPr>
        <w:t>CRmin</w:t>
      </w:r>
      <w:proofErr w:type="spellEnd"/>
      <w:r w:rsidRPr="00F45FEB">
        <w:rPr>
          <w:rFonts w:ascii="Arial" w:eastAsia="Times New Roman" w:hAnsi="Arial" w:cs="Arial"/>
          <w:color w:val="000000"/>
          <w:kern w:val="0"/>
          <w:sz w:val="23"/>
          <w:szCs w:val="23"/>
          <w14:ligatures w14:val="none"/>
        </w:rPr>
        <w:t xml:space="preserve"> off treatment (efgartigimod SC or placebo) was assessed.</w:t>
      </w:r>
    </w:p>
    <w:p w14:paraId="5959FCDF"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About Pemphigus</w:t>
      </w:r>
      <w:r w:rsidRPr="00F45FEB">
        <w:rPr>
          <w:rFonts w:ascii="Arial" w:eastAsia="Times New Roman" w:hAnsi="Arial" w:cs="Arial"/>
          <w:color w:val="000000"/>
          <w:kern w:val="0"/>
          <w:sz w:val="23"/>
          <w:szCs w:val="23"/>
          <w14:ligatures w14:val="none"/>
        </w:rPr>
        <w:br/>
      </w:r>
      <w:proofErr w:type="spellStart"/>
      <w:r w:rsidRPr="00F45FEB">
        <w:rPr>
          <w:rFonts w:ascii="Arial" w:eastAsia="Times New Roman" w:hAnsi="Arial" w:cs="Arial"/>
          <w:color w:val="000000"/>
          <w:kern w:val="0"/>
          <w:sz w:val="23"/>
          <w:szCs w:val="23"/>
          <w14:ligatures w14:val="none"/>
        </w:rPr>
        <w:t>Pemphigus</w:t>
      </w:r>
      <w:proofErr w:type="spellEnd"/>
      <w:r w:rsidRPr="00F45FEB">
        <w:rPr>
          <w:rFonts w:ascii="Arial" w:eastAsia="Times New Roman" w:hAnsi="Arial" w:cs="Arial"/>
          <w:color w:val="000000"/>
          <w:kern w:val="0"/>
          <w:sz w:val="23"/>
          <w:szCs w:val="23"/>
          <w14:ligatures w14:val="none"/>
        </w:rPr>
        <w:t xml:space="preserve"> is a rare group of chronic blistering autoimmune diseases that affect the skin and mucous membranes, and are characterized by painful blisters, erosions and acantholysis, or disruption of keratinocyte adhesion. Blisters often break open, causing serious pain and increased risk of infection. Pemphigus vulgaris and pemphigus foliaceous are the most common forms of pemphigus.</w:t>
      </w:r>
    </w:p>
    <w:p w14:paraId="6C46D4D2"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About the BALLAD Study</w:t>
      </w:r>
    </w:p>
    <w:p w14:paraId="745F6603"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The BALLAD study is a randomized, double-blind, placebo-controlled, multicenter trial evaluating the efficacy and safety of 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xml:space="preserve"> (efgartigimod alfa and hyaluronidase-</w:t>
      </w:r>
      <w:proofErr w:type="spellStart"/>
      <w:r w:rsidRPr="00F45FEB">
        <w:rPr>
          <w:rFonts w:ascii="Arial" w:eastAsia="Times New Roman" w:hAnsi="Arial" w:cs="Arial"/>
          <w:color w:val="000000"/>
          <w:kern w:val="0"/>
          <w:sz w:val="23"/>
          <w:szCs w:val="23"/>
          <w14:ligatures w14:val="none"/>
        </w:rPr>
        <w:t>qvfc</w:t>
      </w:r>
      <w:proofErr w:type="spellEnd"/>
      <w:r w:rsidRPr="00F45FEB">
        <w:rPr>
          <w:rFonts w:ascii="Arial" w:eastAsia="Times New Roman" w:hAnsi="Arial" w:cs="Arial"/>
          <w:color w:val="000000"/>
          <w:kern w:val="0"/>
          <w:sz w:val="23"/>
          <w:szCs w:val="23"/>
          <w14:ligatures w14:val="none"/>
        </w:rPr>
        <w:t xml:space="preserve">) in adult patients with bullous pemphigoid (BP). Enrolled patients have moderate to severe BP and are a more fragile and older population than pemphigus patients. Patients were randomized in a 1:1 ratio to receive 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xml:space="preserve"> or placebo for a total of 36 weeks as part of the primary trial. All patients are on concomitant corticosteroids at a starting dose of 0.5 mg/kg/day, which could be tapered according to protocol upon achievement of complete remission (BPDAI= 0). The primary endpoint is measured at 36 weeks by the proportion of BP patients who achieved clinical remission while receiving efgartigimod SC or placebo but off corticosteroids therapy for at least 8 weeks. Key secondary endpoints include cumulative dose of corticosteroids from baseline, proportion of patients who achieve an Investigator Global Assessment of BP (IGA-BP) score of 0 or 1, changes from baseline in the BP Disease Area Index (BPDAI) activity score, proportion of patients who are in CR on minimal corticosteroids for at least 8 weeks at week 36 and time to control of disease or complete remission.</w:t>
      </w:r>
    </w:p>
    <w:p w14:paraId="0AD96652"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About Bullous Pemphigus</w:t>
      </w:r>
    </w:p>
    <w:p w14:paraId="51371A8D"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Bullous </w:t>
      </w:r>
      <w:proofErr w:type="gramStart"/>
      <w:r w:rsidRPr="00F45FEB">
        <w:rPr>
          <w:rFonts w:ascii="Arial" w:eastAsia="Times New Roman" w:hAnsi="Arial" w:cs="Arial"/>
          <w:color w:val="000000"/>
          <w:kern w:val="0"/>
          <w:sz w:val="23"/>
          <w:szCs w:val="23"/>
          <w14:ligatures w14:val="none"/>
        </w:rPr>
        <w:t>pemphigoid  is</w:t>
      </w:r>
      <w:proofErr w:type="gramEnd"/>
      <w:r w:rsidRPr="00F45FEB">
        <w:rPr>
          <w:rFonts w:ascii="Arial" w:eastAsia="Times New Roman" w:hAnsi="Arial" w:cs="Arial"/>
          <w:color w:val="000000"/>
          <w:kern w:val="0"/>
          <w:sz w:val="23"/>
          <w:szCs w:val="23"/>
          <w14:ligatures w14:val="none"/>
        </w:rPr>
        <w:t xml:space="preserve"> a rare chronic blistering autoimmune disease and is the most common form of pemphigoid diseases. It is characterized by autoantibodies against structural proteins of the dermal-epidermal junction and, clinically, by tense blisters and erosions of skin or mucous membranes close to the skin surface. The disease has a strong impact on a person’s quality of life and is associated with a high mortality. </w:t>
      </w:r>
    </w:p>
    <w:p w14:paraId="4A0266FE"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lastRenderedPageBreak/>
        <w:t xml:space="preserve">About VYVGART </w:t>
      </w:r>
      <w:proofErr w:type="spellStart"/>
      <w:r w:rsidRPr="00F45FEB">
        <w:rPr>
          <w:rFonts w:ascii="Arial" w:eastAsia="Times New Roman" w:hAnsi="Arial" w:cs="Arial"/>
          <w:b/>
          <w:bCs/>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(efgartigimod SC)</w:t>
      </w:r>
      <w:r w:rsidRPr="00F45FEB">
        <w:rPr>
          <w:rFonts w:ascii="Arial" w:eastAsia="Times New Roman" w:hAnsi="Arial" w:cs="Arial"/>
          <w:color w:val="000000"/>
          <w:kern w:val="0"/>
          <w:sz w:val="23"/>
          <w:szCs w:val="23"/>
          <w14:ligatures w14:val="none"/>
        </w:rPr>
        <w:br/>
        <w:t xml:space="preserve">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xml:space="preserve"> is a subcutaneous combination of efgartigimod alfa, a human IgG1 antibody fragment marketed for intravenous use as VYVGART®, and recombinant human hyaluronidase PH20 (rHuPH20), Halozyme’s ENHANZE® drug delivery technology to facilitate subcutaneous injection delivery of biologics. In binding to the neonatal Fc receptor (</w:t>
      </w:r>
      <w:proofErr w:type="spellStart"/>
      <w:r w:rsidRPr="00F45FEB">
        <w:rPr>
          <w:rFonts w:ascii="Arial" w:eastAsia="Times New Roman" w:hAnsi="Arial" w:cs="Arial"/>
          <w:color w:val="000000"/>
          <w:kern w:val="0"/>
          <w:sz w:val="23"/>
          <w:szCs w:val="23"/>
          <w14:ligatures w14:val="none"/>
        </w:rPr>
        <w:t>FcRn</w:t>
      </w:r>
      <w:proofErr w:type="spellEnd"/>
      <w:r w:rsidRPr="00F45FEB">
        <w:rPr>
          <w:rFonts w:ascii="Arial" w:eastAsia="Times New Roman" w:hAnsi="Arial" w:cs="Arial"/>
          <w:color w:val="000000"/>
          <w:kern w:val="0"/>
          <w:sz w:val="23"/>
          <w:szCs w:val="23"/>
          <w14:ligatures w14:val="none"/>
        </w:rPr>
        <w:t xml:space="preserve">), 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xml:space="preserve"> results in the reduction of circulating IgG. VYVGART </w:t>
      </w:r>
      <w:proofErr w:type="spellStart"/>
      <w:r w:rsidRPr="00F45FEB">
        <w:rPr>
          <w:rFonts w:ascii="Arial" w:eastAsia="Times New Roman" w:hAnsi="Arial" w:cs="Arial"/>
          <w:color w:val="000000"/>
          <w:kern w:val="0"/>
          <w:sz w:val="23"/>
          <w:szCs w:val="23"/>
          <w14:ligatures w14:val="none"/>
        </w:rPr>
        <w:t>Hytrulo</w:t>
      </w:r>
      <w:proofErr w:type="spellEnd"/>
      <w:r w:rsidRPr="00F45FEB">
        <w:rPr>
          <w:rFonts w:ascii="Arial" w:eastAsia="Times New Roman" w:hAnsi="Arial" w:cs="Arial"/>
          <w:color w:val="000000"/>
          <w:kern w:val="0"/>
          <w:sz w:val="23"/>
          <w:szCs w:val="23"/>
          <w14:ligatures w14:val="none"/>
        </w:rPr>
        <w:t xml:space="preserve"> is the proprietary name in the U.S. for subcutaneous efgartigimod alfa and recombinant human hyaluronidase PH20. It is marketed in Europe as VYVGART and may be marketed under different proprietary names following approval in other regions.</w:t>
      </w:r>
    </w:p>
    <w:p w14:paraId="5935FAF5"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 xml:space="preserve">About </w:t>
      </w:r>
      <w:proofErr w:type="spellStart"/>
      <w:r w:rsidRPr="00F45FEB">
        <w:rPr>
          <w:rFonts w:ascii="Arial" w:eastAsia="Times New Roman" w:hAnsi="Arial" w:cs="Arial"/>
          <w:b/>
          <w:bCs/>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br/>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is a global immunology company committed to improving the lives of people suffering from severe autoimmune diseases. Partnering with leading academic researchers through its Immunology Innovation Program (IIP),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aims to translate immunology breakthroughs into a world-class portfolio of novel antibody-based medicines.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developed and is commercializing the first approved neonatal Fc receptor (</w:t>
      </w:r>
      <w:proofErr w:type="spellStart"/>
      <w:r w:rsidRPr="00F45FEB">
        <w:rPr>
          <w:rFonts w:ascii="Arial" w:eastAsia="Times New Roman" w:hAnsi="Arial" w:cs="Arial"/>
          <w:color w:val="000000"/>
          <w:kern w:val="0"/>
          <w:sz w:val="23"/>
          <w:szCs w:val="23"/>
          <w14:ligatures w14:val="none"/>
        </w:rPr>
        <w:t>FcRn</w:t>
      </w:r>
      <w:proofErr w:type="spellEnd"/>
      <w:r w:rsidRPr="00F45FEB">
        <w:rPr>
          <w:rFonts w:ascii="Arial" w:eastAsia="Times New Roman" w:hAnsi="Arial" w:cs="Arial"/>
          <w:color w:val="000000"/>
          <w:kern w:val="0"/>
          <w:sz w:val="23"/>
          <w:szCs w:val="23"/>
          <w14:ligatures w14:val="none"/>
        </w:rPr>
        <w:t xml:space="preserve">) blocker in the U.S., Japan, Israel, the EU, the UK, </w:t>
      </w:r>
      <w:proofErr w:type="gramStart"/>
      <w:r w:rsidRPr="00F45FEB">
        <w:rPr>
          <w:rFonts w:ascii="Arial" w:eastAsia="Times New Roman" w:hAnsi="Arial" w:cs="Arial"/>
          <w:color w:val="000000"/>
          <w:kern w:val="0"/>
          <w:sz w:val="23"/>
          <w:szCs w:val="23"/>
          <w14:ligatures w14:val="none"/>
        </w:rPr>
        <w:t>China</w:t>
      </w:r>
      <w:proofErr w:type="gramEnd"/>
      <w:r w:rsidRPr="00F45FEB">
        <w:rPr>
          <w:rFonts w:ascii="Arial" w:eastAsia="Times New Roman" w:hAnsi="Arial" w:cs="Arial"/>
          <w:color w:val="000000"/>
          <w:kern w:val="0"/>
          <w:sz w:val="23"/>
          <w:szCs w:val="23"/>
          <w14:ligatures w14:val="none"/>
        </w:rPr>
        <w:t xml:space="preserve"> and Canada. The Company is evaluating efgartigimod in multiple serious autoimmune diseases and advancing several earlier stage experimental medicines within its therapeutic franchises. For more information, visit </w:t>
      </w:r>
      <w:hyperlink r:id="rId5" w:tgtFrame="_blank" w:history="1">
        <w:r w:rsidRPr="00F45FEB">
          <w:rPr>
            <w:rFonts w:ascii="Arial" w:eastAsia="Times New Roman" w:hAnsi="Arial" w:cs="Arial"/>
            <w:color w:val="0000FF"/>
            <w:kern w:val="0"/>
            <w:sz w:val="23"/>
            <w:szCs w:val="23"/>
            <w:u w:val="single"/>
            <w14:ligatures w14:val="none"/>
          </w:rPr>
          <w:t>www.argenx.com</w:t>
        </w:r>
      </w:hyperlink>
      <w:r w:rsidRPr="00F45FEB">
        <w:rPr>
          <w:rFonts w:ascii="Arial" w:eastAsia="Times New Roman" w:hAnsi="Arial" w:cs="Arial"/>
          <w:color w:val="000000"/>
          <w:kern w:val="0"/>
          <w:sz w:val="23"/>
          <w:szCs w:val="23"/>
          <w14:ligatures w14:val="none"/>
        </w:rPr>
        <w:t> and follow us on </w:t>
      </w:r>
      <w:hyperlink r:id="rId6" w:tgtFrame="_blank" w:history="1">
        <w:r w:rsidRPr="00F45FEB">
          <w:rPr>
            <w:rFonts w:ascii="Arial" w:eastAsia="Times New Roman" w:hAnsi="Arial" w:cs="Arial"/>
            <w:color w:val="0000FF"/>
            <w:kern w:val="0"/>
            <w:sz w:val="23"/>
            <w:szCs w:val="23"/>
            <w:u w:val="single"/>
            <w14:ligatures w14:val="none"/>
          </w:rPr>
          <w:t>LinkedIn,</w:t>
        </w:r>
      </w:hyperlink>
      <w:r w:rsidRPr="00F45FEB">
        <w:rPr>
          <w:rFonts w:ascii="Arial" w:eastAsia="Times New Roman" w:hAnsi="Arial" w:cs="Arial"/>
          <w:color w:val="000000"/>
          <w:kern w:val="0"/>
          <w:sz w:val="23"/>
          <w:szCs w:val="23"/>
          <w14:ligatures w14:val="none"/>
        </w:rPr>
        <w:t> </w:t>
      </w:r>
      <w:hyperlink r:id="rId7" w:tgtFrame="_blank" w:history="1">
        <w:r w:rsidRPr="00F45FEB">
          <w:rPr>
            <w:rFonts w:ascii="Arial" w:eastAsia="Times New Roman" w:hAnsi="Arial" w:cs="Arial"/>
            <w:color w:val="0000FF"/>
            <w:kern w:val="0"/>
            <w:sz w:val="23"/>
            <w:szCs w:val="23"/>
            <w:u w:val="single"/>
            <w14:ligatures w14:val="none"/>
          </w:rPr>
          <w:t>Twitter,</w:t>
        </w:r>
      </w:hyperlink>
      <w:r w:rsidRPr="00F45FEB">
        <w:rPr>
          <w:rFonts w:ascii="Arial" w:eastAsia="Times New Roman" w:hAnsi="Arial" w:cs="Arial"/>
          <w:color w:val="000000"/>
          <w:kern w:val="0"/>
          <w:sz w:val="23"/>
          <w:szCs w:val="23"/>
          <w14:ligatures w14:val="none"/>
        </w:rPr>
        <w:t> and </w:t>
      </w:r>
      <w:hyperlink r:id="rId8" w:tgtFrame="_blank" w:history="1">
        <w:r w:rsidRPr="00F45FEB">
          <w:rPr>
            <w:rFonts w:ascii="Arial" w:eastAsia="Times New Roman" w:hAnsi="Arial" w:cs="Arial"/>
            <w:color w:val="0000FF"/>
            <w:kern w:val="0"/>
            <w:sz w:val="23"/>
            <w:szCs w:val="23"/>
            <w:u w:val="single"/>
            <w14:ligatures w14:val="none"/>
          </w:rPr>
          <w:t>Instagram.</w:t>
        </w:r>
      </w:hyperlink>
    </w:p>
    <w:p w14:paraId="06E97D4C"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For further information, please contact:</w:t>
      </w:r>
    </w:p>
    <w:p w14:paraId="46787C7D"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Media:</w:t>
      </w:r>
      <w:r w:rsidRPr="00F45FEB">
        <w:rPr>
          <w:rFonts w:ascii="Arial" w:eastAsia="Times New Roman" w:hAnsi="Arial" w:cs="Arial"/>
          <w:color w:val="000000"/>
          <w:kern w:val="0"/>
          <w:sz w:val="23"/>
          <w:szCs w:val="23"/>
          <w14:ligatures w14:val="none"/>
        </w:rPr>
        <w:br/>
        <w:t xml:space="preserve">Ben </w:t>
      </w:r>
      <w:proofErr w:type="spellStart"/>
      <w:r w:rsidRPr="00F45FEB">
        <w:rPr>
          <w:rFonts w:ascii="Arial" w:eastAsia="Times New Roman" w:hAnsi="Arial" w:cs="Arial"/>
          <w:color w:val="000000"/>
          <w:kern w:val="0"/>
          <w:sz w:val="23"/>
          <w:szCs w:val="23"/>
          <w14:ligatures w14:val="none"/>
        </w:rPr>
        <w:t>Petok</w:t>
      </w:r>
      <w:proofErr w:type="spellEnd"/>
      <w:r w:rsidRPr="00F45FEB">
        <w:rPr>
          <w:rFonts w:ascii="Arial" w:eastAsia="Times New Roman" w:hAnsi="Arial" w:cs="Arial"/>
          <w:color w:val="000000"/>
          <w:kern w:val="0"/>
          <w:sz w:val="23"/>
          <w:szCs w:val="23"/>
          <w14:ligatures w14:val="none"/>
        </w:rPr>
        <w:br/>
      </w:r>
      <w:r w:rsidRPr="00F45FEB">
        <w:rPr>
          <w:rFonts w:ascii="Arial" w:eastAsia="Times New Roman" w:hAnsi="Arial" w:cs="Arial"/>
          <w:color w:val="000000"/>
          <w:kern w:val="0"/>
          <w:sz w:val="23"/>
          <w:szCs w:val="23"/>
          <w:u w:val="single"/>
          <w14:ligatures w14:val="none"/>
        </w:rPr>
        <w:t>bpetok@argenx.com</w:t>
      </w:r>
    </w:p>
    <w:p w14:paraId="174CA3E0"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Investors:</w:t>
      </w:r>
      <w:r w:rsidRPr="00F45FEB">
        <w:rPr>
          <w:rFonts w:ascii="Arial" w:eastAsia="Times New Roman" w:hAnsi="Arial" w:cs="Arial"/>
          <w:color w:val="000000"/>
          <w:kern w:val="0"/>
          <w:sz w:val="23"/>
          <w:szCs w:val="23"/>
          <w14:ligatures w14:val="none"/>
        </w:rPr>
        <w:br/>
        <w:t>Alexandra Roy (US)</w:t>
      </w:r>
      <w:r w:rsidRPr="00F45FEB">
        <w:rPr>
          <w:rFonts w:ascii="Arial" w:eastAsia="Times New Roman" w:hAnsi="Arial" w:cs="Arial"/>
          <w:color w:val="000000"/>
          <w:kern w:val="0"/>
          <w:sz w:val="23"/>
          <w:szCs w:val="23"/>
          <w14:ligatures w14:val="none"/>
        </w:rPr>
        <w:br/>
      </w:r>
      <w:hyperlink r:id="rId9" w:tgtFrame="_blank" w:history="1">
        <w:r w:rsidRPr="00F45FEB">
          <w:rPr>
            <w:rFonts w:ascii="Arial" w:eastAsia="Times New Roman" w:hAnsi="Arial" w:cs="Arial"/>
            <w:color w:val="0000FF"/>
            <w:kern w:val="0"/>
            <w:sz w:val="23"/>
            <w:szCs w:val="23"/>
            <w:u w:val="single"/>
            <w14:ligatures w14:val="none"/>
          </w:rPr>
          <w:t>aroy@argenx.com</w:t>
        </w:r>
      </w:hyperlink>
    </w:p>
    <w:p w14:paraId="72378165"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Lynn Elton (EU)</w:t>
      </w:r>
      <w:r w:rsidRPr="00F45FEB">
        <w:rPr>
          <w:rFonts w:ascii="Arial" w:eastAsia="Times New Roman" w:hAnsi="Arial" w:cs="Arial"/>
          <w:color w:val="000000"/>
          <w:kern w:val="0"/>
          <w:sz w:val="23"/>
          <w:szCs w:val="23"/>
          <w14:ligatures w14:val="none"/>
        </w:rPr>
        <w:br/>
      </w:r>
      <w:hyperlink r:id="rId10" w:tgtFrame="_blank" w:history="1">
        <w:r w:rsidRPr="00F45FEB">
          <w:rPr>
            <w:rFonts w:ascii="Arial" w:eastAsia="Times New Roman" w:hAnsi="Arial" w:cs="Arial"/>
            <w:color w:val="0000FF"/>
            <w:kern w:val="0"/>
            <w:sz w:val="23"/>
            <w:szCs w:val="23"/>
            <w:u w:val="single"/>
            <w14:ligatures w14:val="none"/>
          </w:rPr>
          <w:t>lelton@argenx.com</w:t>
        </w:r>
      </w:hyperlink>
    </w:p>
    <w:p w14:paraId="566BE24C"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This press release contains inside information within the meaning of Article 7(1) of the EU Market Abuse Regulation (Regulation 596/2014).</w:t>
      </w:r>
    </w:p>
    <w:p w14:paraId="03D558F3"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b/>
          <w:bCs/>
          <w:color w:val="000000"/>
          <w:kern w:val="0"/>
          <w:sz w:val="23"/>
          <w:szCs w:val="23"/>
          <w14:ligatures w14:val="none"/>
        </w:rPr>
        <w:t>Forward-Looking Statements</w:t>
      </w:r>
    </w:p>
    <w:p w14:paraId="2AC225DD"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xml:space="preserve">The contents of this announcement include statements that are, or may be deemed to be, “forward-looking statements.” These forward-looking statements can be identified by the use of forward-looking terminology, including the terms “plans,” “aims,” “believes,” “continues,” “hope,” “estimates,” “anticipates,” “expects,” “intends,” “may,” “will,” “should,” or “commitment” and include statements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makes concerning </w:t>
      </w:r>
      <w:proofErr w:type="spellStart"/>
      <w:r w:rsidRPr="00F45FEB">
        <w:rPr>
          <w:rFonts w:ascii="Arial" w:eastAsia="Times New Roman" w:hAnsi="Arial" w:cs="Arial"/>
          <w:color w:val="000000"/>
          <w:kern w:val="0"/>
          <w:sz w:val="23"/>
          <w:szCs w:val="23"/>
          <w14:ligatures w14:val="none"/>
        </w:rPr>
        <w:t>argenx’s</w:t>
      </w:r>
      <w:proofErr w:type="spellEnd"/>
      <w:r w:rsidRPr="00F45FEB">
        <w:rPr>
          <w:rFonts w:ascii="Arial" w:eastAsia="Times New Roman" w:hAnsi="Arial" w:cs="Arial"/>
          <w:color w:val="000000"/>
          <w:kern w:val="0"/>
          <w:sz w:val="23"/>
          <w:szCs w:val="23"/>
          <w14:ligatures w14:val="none"/>
        </w:rPr>
        <w:t xml:space="preserve"> topline results from the ADDRESS study of efgartigimod SC in adults with PV and PF, our plan to pursue optimal development of efgartigimod, </w:t>
      </w:r>
      <w:proofErr w:type="spellStart"/>
      <w:r w:rsidRPr="00F45FEB">
        <w:rPr>
          <w:rFonts w:ascii="Arial" w:eastAsia="Times New Roman" w:hAnsi="Arial" w:cs="Arial"/>
          <w:color w:val="000000"/>
          <w:kern w:val="0"/>
          <w:sz w:val="23"/>
          <w:szCs w:val="23"/>
          <w14:ligatures w14:val="none"/>
        </w:rPr>
        <w:t>empasiprubart</w:t>
      </w:r>
      <w:proofErr w:type="spellEnd"/>
      <w:r w:rsidRPr="00F45FEB">
        <w:rPr>
          <w:rFonts w:ascii="Arial" w:eastAsia="Times New Roman" w:hAnsi="Arial" w:cs="Arial"/>
          <w:color w:val="000000"/>
          <w:kern w:val="0"/>
          <w:sz w:val="23"/>
          <w:szCs w:val="23"/>
          <w14:ligatures w14:val="none"/>
        </w:rPr>
        <w:t xml:space="preserve"> and our earlier stage programs, and our goal of translating immunology breakthroughs into a world-class portfolio of novel antibody-based medicines. By their nature, forward-looking statements involve risks and </w:t>
      </w:r>
      <w:r w:rsidRPr="00F45FEB">
        <w:rPr>
          <w:rFonts w:ascii="Arial" w:eastAsia="Times New Roman" w:hAnsi="Arial" w:cs="Arial"/>
          <w:color w:val="000000"/>
          <w:kern w:val="0"/>
          <w:sz w:val="23"/>
          <w:szCs w:val="23"/>
          <w14:ligatures w14:val="none"/>
        </w:rPr>
        <w:lastRenderedPageBreak/>
        <w:t xml:space="preserve">uncertainties and readers are cautioned that any such forward-looking statements are not guarantees of future performance. </w:t>
      </w:r>
      <w:proofErr w:type="spellStart"/>
      <w:r w:rsidRPr="00F45FEB">
        <w:rPr>
          <w:rFonts w:ascii="Arial" w:eastAsia="Times New Roman" w:hAnsi="Arial" w:cs="Arial"/>
          <w:color w:val="000000"/>
          <w:kern w:val="0"/>
          <w:sz w:val="23"/>
          <w:szCs w:val="23"/>
          <w14:ligatures w14:val="none"/>
        </w:rPr>
        <w:t>argenx’s</w:t>
      </w:r>
      <w:proofErr w:type="spellEnd"/>
      <w:r w:rsidRPr="00F45FEB">
        <w:rPr>
          <w:rFonts w:ascii="Arial" w:eastAsia="Times New Roman" w:hAnsi="Arial" w:cs="Arial"/>
          <w:color w:val="000000"/>
          <w:kern w:val="0"/>
          <w:sz w:val="23"/>
          <w:szCs w:val="23"/>
          <w14:ligatures w14:val="none"/>
        </w:rPr>
        <w:t xml:space="preserve"> actual results may differ materially from those predicted by the forward-looking statements as a result of various important factors, including but not limited to </w:t>
      </w:r>
      <w:proofErr w:type="spellStart"/>
      <w:r w:rsidRPr="00F45FEB">
        <w:rPr>
          <w:rFonts w:ascii="Arial" w:eastAsia="Times New Roman" w:hAnsi="Arial" w:cs="Arial"/>
          <w:color w:val="000000"/>
          <w:kern w:val="0"/>
          <w:sz w:val="23"/>
          <w:szCs w:val="23"/>
          <w14:ligatures w14:val="none"/>
        </w:rPr>
        <w:t>argenx’s</w:t>
      </w:r>
      <w:proofErr w:type="spellEnd"/>
      <w:r w:rsidRPr="00F45FEB">
        <w:rPr>
          <w:rFonts w:ascii="Arial" w:eastAsia="Times New Roman" w:hAnsi="Arial" w:cs="Arial"/>
          <w:color w:val="000000"/>
          <w:kern w:val="0"/>
          <w:sz w:val="23"/>
          <w:szCs w:val="23"/>
          <w14:ligatures w14:val="none"/>
        </w:rPr>
        <w:t xml:space="preserve"> additional analyses of the dataset from the ADDRESS and BALLAD studies, expectations regarding the inherent uncertainties associated with development of novel drug therapies, preclinical and clinical trial and product development activities and regulatory approval requirements, the acceptance of our products and product candidates by our patients as safe, effective and cost-effective, and the impact of governmental laws and regulations on our business. A further list and description of these risks, uncertainties and other risks can be found in </w:t>
      </w:r>
      <w:proofErr w:type="spellStart"/>
      <w:r w:rsidRPr="00F45FEB">
        <w:rPr>
          <w:rFonts w:ascii="Arial" w:eastAsia="Times New Roman" w:hAnsi="Arial" w:cs="Arial"/>
          <w:color w:val="000000"/>
          <w:kern w:val="0"/>
          <w:sz w:val="23"/>
          <w:szCs w:val="23"/>
          <w14:ligatures w14:val="none"/>
        </w:rPr>
        <w:t>argenx’s</w:t>
      </w:r>
      <w:proofErr w:type="spellEnd"/>
      <w:r w:rsidRPr="00F45FEB">
        <w:rPr>
          <w:rFonts w:ascii="Arial" w:eastAsia="Times New Roman" w:hAnsi="Arial" w:cs="Arial"/>
          <w:color w:val="000000"/>
          <w:kern w:val="0"/>
          <w:sz w:val="23"/>
          <w:szCs w:val="23"/>
          <w14:ligatures w14:val="none"/>
        </w:rPr>
        <w:t xml:space="preserve"> U.S. Securities and Exchange Commission (SEC) filings and reports, including in </w:t>
      </w:r>
      <w:proofErr w:type="spellStart"/>
      <w:r w:rsidRPr="00F45FEB">
        <w:rPr>
          <w:rFonts w:ascii="Arial" w:eastAsia="Times New Roman" w:hAnsi="Arial" w:cs="Arial"/>
          <w:color w:val="000000"/>
          <w:kern w:val="0"/>
          <w:sz w:val="23"/>
          <w:szCs w:val="23"/>
          <w14:ligatures w14:val="none"/>
        </w:rPr>
        <w:t>argenx’s</w:t>
      </w:r>
      <w:proofErr w:type="spellEnd"/>
      <w:r w:rsidRPr="00F45FEB">
        <w:rPr>
          <w:rFonts w:ascii="Arial" w:eastAsia="Times New Roman" w:hAnsi="Arial" w:cs="Arial"/>
          <w:color w:val="000000"/>
          <w:kern w:val="0"/>
          <w:sz w:val="23"/>
          <w:szCs w:val="23"/>
          <w14:ligatures w14:val="none"/>
        </w:rPr>
        <w:t xml:space="preserve"> most recent annual report on Form 20-F filed with the SEC as well as subsequent filings and reports filed by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with the SEC. Given these uncertainties, the reader is advised not to place any undue reliance on such forward-looking statements. These forward-looking statements speak only as of the date of publication of this document. </w:t>
      </w:r>
      <w:proofErr w:type="spellStart"/>
      <w:r w:rsidRPr="00F45FEB">
        <w:rPr>
          <w:rFonts w:ascii="Arial" w:eastAsia="Times New Roman" w:hAnsi="Arial" w:cs="Arial"/>
          <w:color w:val="000000"/>
          <w:kern w:val="0"/>
          <w:sz w:val="23"/>
          <w:szCs w:val="23"/>
          <w14:ligatures w14:val="none"/>
        </w:rPr>
        <w:t>argenx</w:t>
      </w:r>
      <w:proofErr w:type="spellEnd"/>
      <w:r w:rsidRPr="00F45FEB">
        <w:rPr>
          <w:rFonts w:ascii="Arial" w:eastAsia="Times New Roman" w:hAnsi="Arial" w:cs="Arial"/>
          <w:color w:val="000000"/>
          <w:kern w:val="0"/>
          <w:sz w:val="23"/>
          <w:szCs w:val="23"/>
          <w14:ligatures w14:val="none"/>
        </w:rPr>
        <w:t xml:space="preserve"> undertakes no obligation to publicly update or revise the information in this press release, including any forward-looking statements, except as may be required by law.</w:t>
      </w:r>
    </w:p>
    <w:p w14:paraId="753362FA" w14:textId="77777777" w:rsidR="00F45FEB" w:rsidRPr="00F45FEB" w:rsidRDefault="00F45FEB" w:rsidP="00F45FEB">
      <w:pPr>
        <w:spacing w:before="100" w:beforeAutospacing="1" w:after="100" w:afterAutospacing="1" w:line="240" w:lineRule="auto"/>
        <w:rPr>
          <w:rFonts w:ascii="Arial" w:eastAsia="Times New Roman" w:hAnsi="Arial" w:cs="Arial"/>
          <w:color w:val="000000"/>
          <w:kern w:val="0"/>
          <w:sz w:val="23"/>
          <w:szCs w:val="23"/>
          <w14:ligatures w14:val="none"/>
        </w:rPr>
      </w:pPr>
      <w:r w:rsidRPr="00F45FEB">
        <w:rPr>
          <w:rFonts w:ascii="Arial" w:eastAsia="Times New Roman" w:hAnsi="Arial" w:cs="Arial"/>
          <w:color w:val="000000"/>
          <w:kern w:val="0"/>
          <w:sz w:val="23"/>
          <w:szCs w:val="23"/>
          <w14:ligatures w14:val="none"/>
        </w:rPr>
        <w:t> </w:t>
      </w:r>
    </w:p>
    <w:p w14:paraId="4A85E3BD" w14:textId="77777777"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11C8"/>
    <w:multiLevelType w:val="multilevel"/>
    <w:tmpl w:val="9F7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3F64D8"/>
    <w:multiLevelType w:val="multilevel"/>
    <w:tmpl w:val="F244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560934">
    <w:abstractNumId w:val="1"/>
  </w:num>
  <w:num w:numId="2" w16cid:durableId="67693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EB"/>
    <w:rsid w:val="005B3D74"/>
    <w:rsid w:val="005C580C"/>
    <w:rsid w:val="00F45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59C0"/>
  <w15:chartTrackingRefBased/>
  <w15:docId w15:val="{846C64F5-DBF3-46C7-ACD9-B24C23B4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5FE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FEB"/>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F45F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45FEB"/>
    <w:rPr>
      <w:i/>
      <w:iCs/>
    </w:rPr>
  </w:style>
  <w:style w:type="character" w:styleId="Strong">
    <w:name w:val="Strong"/>
    <w:basedOn w:val="DefaultParagraphFont"/>
    <w:uiPriority w:val="22"/>
    <w:qFormat/>
    <w:rsid w:val="00F45FEB"/>
    <w:rPr>
      <w:b/>
      <w:bCs/>
    </w:rPr>
  </w:style>
  <w:style w:type="character" w:styleId="Hyperlink">
    <w:name w:val="Hyperlink"/>
    <w:basedOn w:val="DefaultParagraphFont"/>
    <w:uiPriority w:val="99"/>
    <w:semiHidden/>
    <w:unhideWhenUsed/>
    <w:rsid w:val="00F45FEB"/>
    <w:rPr>
      <w:color w:val="0000FF"/>
      <w:u w:val="single"/>
    </w:rPr>
  </w:style>
  <w:style w:type="paragraph" w:customStyle="1" w:styleId="page-break">
    <w:name w:val="page-break"/>
    <w:basedOn w:val="Normal"/>
    <w:rsid w:val="00F45F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80474">
      <w:bodyDiv w:val="1"/>
      <w:marLeft w:val="0"/>
      <w:marRight w:val="0"/>
      <w:marTop w:val="0"/>
      <w:marBottom w:val="0"/>
      <w:divBdr>
        <w:top w:val="none" w:sz="0" w:space="0" w:color="auto"/>
        <w:left w:val="none" w:sz="0" w:space="0" w:color="auto"/>
        <w:bottom w:val="none" w:sz="0" w:space="0" w:color="auto"/>
        <w:right w:val="none" w:sz="0" w:space="0" w:color="auto"/>
      </w:divBdr>
      <w:divsChild>
        <w:div w:id="97317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rgenxglobal/" TargetMode="External"/><Relationship Id="rId3" Type="http://schemas.openxmlformats.org/officeDocument/2006/relationships/settings" Target="settings.xml"/><Relationship Id="rId7" Type="http://schemas.openxmlformats.org/officeDocument/2006/relationships/hyperlink" Target="https://twitter.com/argenx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argenx/" TargetMode="External"/><Relationship Id="rId11" Type="http://schemas.openxmlformats.org/officeDocument/2006/relationships/fontTable" Target="fontTable.xml"/><Relationship Id="rId5" Type="http://schemas.openxmlformats.org/officeDocument/2006/relationships/hyperlink" Target="https://www.argenx.com/" TargetMode="External"/><Relationship Id="rId10" Type="http://schemas.openxmlformats.org/officeDocument/2006/relationships/hyperlink" Target="mailto:lelton@argenx.com" TargetMode="External"/><Relationship Id="rId4" Type="http://schemas.openxmlformats.org/officeDocument/2006/relationships/webSettings" Target="webSettings.xml"/><Relationship Id="rId9" Type="http://schemas.openxmlformats.org/officeDocument/2006/relationships/hyperlink" Target="mailto:aroy@argen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10777</Characters>
  <Application>Microsoft Office Word</Application>
  <DocSecurity>0</DocSecurity>
  <Lines>89</Lines>
  <Paragraphs>25</Paragraphs>
  <ScaleCrop>false</ScaleCrop>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Slomskyte, Dominyka</dc:creator>
  <cp:keywords/>
  <dc:description/>
  <cp:lastModifiedBy>Slomskyte, Dominyka</cp:lastModifiedBy>
  <cp:revision>1</cp:revision>
  <dcterms:created xsi:type="dcterms:W3CDTF">2023-12-20T06:04:00Z</dcterms:created>
  <dcterms:modified xsi:type="dcterms:W3CDTF">2023-12-20T06:05:00Z</dcterms:modified>
</cp:coreProperties>
</file>