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E69" w:rsidRPr="00901E69" w:rsidRDefault="00FA1C44" w:rsidP="00901E69">
      <w:pPr>
        <w:rPr>
          <w:rFonts w:ascii="Times New Roman" w:eastAsia="Times New Roman" w:hAnsi="Times New Roman" w:cs="Times New Roman"/>
          <w:sz w:val="24"/>
          <w:szCs w:val="24"/>
        </w:rPr>
      </w:pPr>
      <w:r w:rsidRPr="00FA1C44"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Rectangle 1" descr="https://prdesk-eu.globenewswire.com/ResourceLibrary/ResourceLibrary/GetDynamicThumbnailContentContent/?resourceId=bb4458d8-1fb8-407d-a849-5bc53b6968ab&amp;maxHeight=150&amp;maxWidth=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CE91C33" id="Rectangle 1" o:spid="_x0000_s1026" alt="https://prdesk-eu.globenewswire.com/ResourceLibrary/ResourceLibrary/GetDynamicThumbnailContentContent/?resourceId=bb4458d8-1fb8-407d-a849-5bc53b6968ab&amp;maxHeight=150&amp;maxWidth=1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" filled="f" stroked="f">
                <o:lock v:ext="edit" aspectratio="t"/>
                <w10:anchorlock/>
              </v:rect>
            </w:pict>
          </mc:Fallback>
        </mc:AlternateContent>
      </w:r>
      <w:r w:rsidR="00901E69" w:rsidRPr="00901E69">
        <w:rPr>
          <w:rFonts w:ascii="Arial" w:eastAsia="Times New Roman" w:hAnsi="Arial" w:cs="Arial"/>
          <w:noProof/>
          <w:color w:val="000000"/>
          <w:sz w:val="23"/>
          <w:szCs w:val="23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Rectangle 2" descr="https://prdesk-eu.globenewswire.com/ResourceLibrary/ResourceLibrary/GetDynamicThumbnailContentContent/?resourceId=bb4458d8-1fb8-407d-a849-5bc53b6968ab&amp;maxHeight=150&amp;maxWidth=1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3EEFE7" id="Rectangle 2" o:spid="_x0000_s1026" alt="https://prdesk-eu.globenewswire.com/ResourceLibrary/ResourceLibrary/GetDynamicThumbnailContentContent/?resourceId=bb4458d8-1fb8-407d-a849-5bc53b6968ab&amp;maxHeight=150&amp;maxWidth=15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F52T5kvAwAA&#10;eQYAAA4AAAAAAAAAAAAAAAAALgIAAGRycy9lMm9Eb2MueG1sUEsBAi0AFAAGAAgAAAAhAEyg6SzY&#10;AAAAAwEAAA8AAAAAAAAAAAAAAAAAiQUAAGRycy9kb3ducmV2LnhtbFBLBQYAAAAABAAEAPMAAACO&#10;BgAAAAA=&#10;" filled="f" stroked="f">
                <o:lock v:ext="edit" aspectratio="t"/>
                <w10:anchorlock/>
              </v:rect>
            </w:pict>
          </mc:Fallback>
        </mc:AlternateContent>
      </w:r>
    </w:p>
    <w:p w:rsidR="00901E69" w:rsidRPr="00901E69" w:rsidRDefault="00901E69" w:rsidP="00901E6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</w:rPr>
      </w:pPr>
      <w:proofErr w:type="spellStart"/>
      <w:r w:rsidRPr="00901E69">
        <w:rPr>
          <w:rFonts w:ascii="Arial" w:eastAsia="Times New Roman" w:hAnsi="Arial" w:cs="Arial"/>
          <w:color w:val="000000"/>
          <w:kern w:val="36"/>
          <w:sz w:val="36"/>
          <w:szCs w:val="36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kern w:val="36"/>
          <w:sz w:val="36"/>
          <w:szCs w:val="36"/>
        </w:rPr>
        <w:t>publie</w:t>
      </w:r>
      <w:proofErr w:type="spellEnd"/>
      <w:r w:rsidRPr="00901E69">
        <w:rPr>
          <w:rFonts w:ascii="Arial" w:eastAsia="Times New Roman" w:hAnsi="Arial" w:cs="Arial"/>
          <w:color w:val="000000"/>
          <w:kern w:val="36"/>
          <w:sz w:val="36"/>
          <w:szCs w:val="36"/>
        </w:rPr>
        <w:t xml:space="preserve"> son rapport « made for life » pour 2018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Luxembourg, 19 </w:t>
      </w:r>
      <w:proofErr w:type="spellStart"/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>avril</w:t>
      </w:r>
      <w:proofErr w:type="spellEnd"/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2019 (7:00 CET) 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-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un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principaux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producteurs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mondiaux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d'acier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inoxydable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d'aciers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spéciaux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publie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aujourd'hui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son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livret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‘made for life’, qui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constitue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son rapport de performance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 pour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l'année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2018.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Prenant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compte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l’ensemble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parties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prenantes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la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criticité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chaque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enjeu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rapport suit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ligne</w:t>
      </w:r>
      <w:bookmarkStart w:id="0" w:name="_GoBack"/>
      <w:bookmarkEnd w:id="0"/>
      <w:r w:rsidRPr="00901E69">
        <w:rPr>
          <w:rFonts w:ascii="Arial" w:eastAsia="Times New Roman" w:hAnsi="Arial" w:cs="Arial"/>
          <w:color w:val="000000"/>
          <w:sz w:val="23"/>
          <w:szCs w:val="23"/>
        </w:rPr>
        <w:t>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directrices GRI sur le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durable. Il a fait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l'objet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d'un audit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réalisé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par un cabinet externe</w:t>
      </w:r>
      <w:r w:rsidRPr="00901E69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1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 qui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l'a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jugé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conformité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avec le standard GRI, y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compris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la communication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données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matérielles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performance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liées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au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telles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que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résultats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santé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sécurité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fréquence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accidents),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l'intensité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émissions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gram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CO2 ,</w:t>
      </w:r>
      <w:proofErr w:type="gram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l’intensité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énergétique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prélèvements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d’eau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émissions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atmosphériques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</w:rPr>
        <w:t>«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L’engagement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matière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ancré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dans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valeurs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dans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notre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mission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produire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manière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responsable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produits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recyclables à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l’infini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. Une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fois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plus,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notre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rapport 2018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démontre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que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cet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engagement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couvre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toutes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les dimensions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notre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responsabilité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d'entreprise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confirme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la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confiance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que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employés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parties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prenantes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externes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placent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  <w:t xml:space="preserve">Il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souligne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aussi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quels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sont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risques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à la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fois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pour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l’industrie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pour le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changement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climatique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lorsque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produits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responsables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sont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mis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concurrence avec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importés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provenant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pays aux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normes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bien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inférieures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matière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développement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durable, » 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commenté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Timoteo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Di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Maulo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CEO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d'Aperam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Le rapport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complet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d'Aperam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disponible sur </w:t>
      </w:r>
      <w:hyperlink r:id="rId4" w:tgtFrame="_blank" w:history="1">
        <w:r w:rsidRPr="00901E69">
          <w:rPr>
            <w:rFonts w:ascii="Arial" w:eastAsia="Times New Roman" w:hAnsi="Arial" w:cs="Arial"/>
            <w:color w:val="0000FF"/>
            <w:sz w:val="23"/>
            <w:szCs w:val="23"/>
            <w:u w:val="single"/>
          </w:rPr>
          <w:t>www.aperam.com</w:t>
        </w:r>
      </w:hyperlink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section sustainability. Il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composé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 rapport “made for life” et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suppléments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ligne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notamment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trois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suppléments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pays qui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seront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publiés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très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prochainement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901E69" w:rsidRPr="00901E69" w:rsidRDefault="00901E69" w:rsidP="00901E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A </w:t>
      </w:r>
      <w:proofErr w:type="spellStart"/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>propos</w:t>
      </w:r>
      <w:proofErr w:type="spellEnd"/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>d’Aperam</w:t>
      </w:r>
      <w:proofErr w:type="spellEnd"/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lastRenderedPageBreak/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un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acteur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mondial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du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secteur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inoxydable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électrique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spéciaux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qui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exerce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activités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dans plus de 40 pays. La Société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structurée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trois segments: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Inoxydable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Electriques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Services et Solutions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Alliages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Spéciaux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 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une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capacité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production de 2,5 </w:t>
      </w:r>
      <w:proofErr w:type="spellStart"/>
      <w:proofErr w:type="gram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millions</w:t>
      </w:r>
      <w:proofErr w:type="spellEnd"/>
      <w:proofErr w:type="gram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tonnes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inoxydable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plat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Europe et au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Brésil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un leader dans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créneaux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à forte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valeur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ajoutée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comme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alliages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les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spéciaux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.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possède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par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ailleurs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un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réseau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distribution,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traitement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de services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hautement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intégré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ainsi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que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capacités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inégalées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pour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produire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l’acier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inoxydable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aciers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spéciaux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à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partir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biomasse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à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faible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coût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(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charbon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bois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). Son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réseau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industriel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est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réparti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dans six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usines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principales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situées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au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Brésil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Belgique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France. 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En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2018,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Aperam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réalisé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un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chiffre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d’affaires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4,677 milliards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d’euros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et des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expéditions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d’acier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de 1,97 million de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tonnes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  <w:t xml:space="preserve">Pour de plus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amples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informations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merci de se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référer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au site </w:t>
      </w:r>
      <w:proofErr w:type="gram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web :</w:t>
      </w:r>
      <w:proofErr w:type="gramEnd"/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 www.aperam.com.</w:t>
      </w:r>
    </w:p>
    <w:p w:rsidR="00901E69" w:rsidRPr="00901E69" w:rsidRDefault="00901E69" w:rsidP="00901E69">
      <w:pPr>
        <w:spacing w:before="100" w:beforeAutospacing="1" w:after="24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b/>
          <w:bCs/>
          <w:color w:val="000000"/>
          <w:sz w:val="23"/>
          <w:szCs w:val="23"/>
        </w:rPr>
        <w:t>Contact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</w:rPr>
        <w:t>Corporate Communications / Laurent Beauloye: +352 27 36 27 103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br/>
        <w:t>Investor Relations / Thorsten Zimmermann:  +352 27 36 27 304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  <w:vertAlign w:val="superscript"/>
        </w:rPr>
        <w:t>1</w:t>
      </w:r>
      <w:r w:rsidRPr="00901E69">
        <w:rPr>
          <w:rFonts w:ascii="Arial" w:eastAsia="Times New Roman" w:hAnsi="Arial" w:cs="Arial"/>
          <w:color w:val="000000"/>
          <w:sz w:val="23"/>
          <w:szCs w:val="23"/>
        </w:rPr>
        <w:t xml:space="preserve"> Deloitte Audit </w:t>
      </w:r>
      <w:proofErr w:type="spellStart"/>
      <w:r w:rsidRPr="00901E69">
        <w:rPr>
          <w:rFonts w:ascii="Arial" w:eastAsia="Times New Roman" w:hAnsi="Arial" w:cs="Arial"/>
          <w:color w:val="000000"/>
          <w:sz w:val="23"/>
          <w:szCs w:val="23"/>
        </w:rPr>
        <w:t>s.à.r.l</w:t>
      </w:r>
      <w:proofErr w:type="spellEnd"/>
      <w:r w:rsidRPr="00901E69">
        <w:rPr>
          <w:rFonts w:ascii="Arial" w:eastAsia="Times New Roman" w:hAnsi="Arial" w:cs="Arial"/>
          <w:color w:val="000000"/>
          <w:sz w:val="23"/>
          <w:szCs w:val="23"/>
        </w:rPr>
        <w:t>.</w:t>
      </w:r>
    </w:p>
    <w:p w:rsidR="00901E69" w:rsidRPr="00901E69" w:rsidRDefault="00901E69" w:rsidP="00901E6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</w:rPr>
      </w:pPr>
      <w:r w:rsidRPr="00901E69">
        <w:rPr>
          <w:rFonts w:ascii="Arial" w:eastAsia="Times New Roman" w:hAnsi="Arial" w:cs="Arial"/>
          <w:color w:val="000000"/>
          <w:sz w:val="23"/>
          <w:szCs w:val="23"/>
        </w:rPr>
        <w:t> </w:t>
      </w:r>
    </w:p>
    <w:p w:rsidR="00FA1C44" w:rsidRPr="00FA1C44" w:rsidRDefault="00FA1C44" w:rsidP="00901E69">
      <w:pPr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</w:rPr>
      </w:pPr>
    </w:p>
    <w:p w:rsidR="00155B7C" w:rsidRDefault="00155B7C"/>
    <w:sectPr w:rsidR="00155B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44"/>
    <w:rsid w:val="00155B7C"/>
    <w:rsid w:val="001B1D20"/>
    <w:rsid w:val="00901E69"/>
    <w:rsid w:val="00F34D09"/>
    <w:rsid w:val="00FA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823E66-84AA-4277-99AD-D18033452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A1C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1C4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FA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A1C44"/>
  </w:style>
  <w:style w:type="character" w:styleId="Hyperlink">
    <w:name w:val="Hyperlink"/>
    <w:basedOn w:val="DefaultParagraphFont"/>
    <w:uiPriority w:val="99"/>
    <w:semiHidden/>
    <w:unhideWhenUsed/>
    <w:rsid w:val="00FA1C44"/>
    <w:rPr>
      <w:color w:val="0000FF"/>
      <w:u w:val="single"/>
    </w:rPr>
  </w:style>
  <w:style w:type="paragraph" w:customStyle="1" w:styleId="page-break">
    <w:name w:val="page-break"/>
    <w:basedOn w:val="Normal"/>
    <w:rsid w:val="00FA1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33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er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Makselyte, Regina</dc:creator>
  <cp:keywords/>
  <dc:description/>
  <cp:lastModifiedBy>Makselyte, Regina</cp:lastModifiedBy>
  <cp:revision>2</cp:revision>
  <dcterms:created xsi:type="dcterms:W3CDTF">2019-04-19T05:08:00Z</dcterms:created>
  <dcterms:modified xsi:type="dcterms:W3CDTF">2019-04-19T05:08:00Z</dcterms:modified>
</cp:coreProperties>
</file>