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D0BA6" w14:textId="77777777" w:rsidR="00B1139A" w:rsidRDefault="00A6171B" w:rsidP="00B1139A">
      <w:pPr>
        <w:jc w:val="center"/>
        <w:rPr>
          <w:rFonts w:ascii="Georgia" w:hAnsi="Georgia"/>
          <w:color w:val="FFFFFF" w:themeColor="background1"/>
          <w:sz w:val="40"/>
        </w:rPr>
      </w:pPr>
      <w:r>
        <w:rPr>
          <w:rFonts w:ascii="Georgia" w:hAnsi="Georgia"/>
          <w:noProof/>
          <w:color w:val="FFFFFF" w:themeColor="background1"/>
          <w:sz w:val="40"/>
          <w:lang w:eastAsia="zh-CN"/>
        </w:rPr>
        <w:drawing>
          <wp:anchor distT="0" distB="0" distL="114300" distR="114300" simplePos="0" relativeHeight="251658240" behindDoc="1" locked="0" layoutInCell="1" allowOverlap="1" wp14:anchorId="11786AAA" wp14:editId="53A0A38B">
            <wp:simplePos x="0" y="0"/>
            <wp:positionH relativeFrom="page">
              <wp:posOffset>-113937</wp:posOffset>
            </wp:positionH>
            <wp:positionV relativeFrom="page">
              <wp:posOffset>-152400</wp:posOffset>
            </wp:positionV>
            <wp:extent cx="7850124" cy="10158984"/>
            <wp:effectExtent l="0" t="0" r="0" b="0"/>
            <wp:wrapNone/>
            <wp:docPr id="5" name="Picture 5" descr="Bluefield_Cover_US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field_Cover_US_light.jpg"/>
                    <pic:cNvPicPr/>
                  </pic:nvPicPr>
                  <pic:blipFill>
                    <a:blip r:embed="rId11" cstate="print"/>
                    <a:stretch>
                      <a:fillRect/>
                    </a:stretch>
                  </pic:blipFill>
                  <pic:spPr>
                    <a:xfrm>
                      <a:off x="0" y="0"/>
                      <a:ext cx="7850124" cy="10158984"/>
                    </a:xfrm>
                    <a:prstGeom prst="rect">
                      <a:avLst/>
                    </a:prstGeom>
                  </pic:spPr>
                </pic:pic>
              </a:graphicData>
            </a:graphic>
          </wp:anchor>
        </w:drawing>
      </w:r>
      <w:r w:rsidR="008400B2">
        <w:rPr>
          <w:rFonts w:ascii="Georgia" w:hAnsi="Georgia"/>
          <w:color w:val="FFFFFF" w:themeColor="background1"/>
          <w:sz w:val="40"/>
        </w:rPr>
        <w:tab/>
      </w:r>
    </w:p>
    <w:p w14:paraId="5804C25C" w14:textId="77777777" w:rsidR="00B1139A" w:rsidRDefault="00B1139A" w:rsidP="00B1139A">
      <w:pPr>
        <w:jc w:val="center"/>
        <w:rPr>
          <w:rFonts w:ascii="Georgia" w:hAnsi="Georgia"/>
          <w:color w:val="FFFFFF" w:themeColor="background1"/>
          <w:sz w:val="40"/>
        </w:rPr>
      </w:pPr>
    </w:p>
    <w:p w14:paraId="49A12235" w14:textId="77777777" w:rsidR="00B1139A" w:rsidRDefault="00B1139A" w:rsidP="00B1139A">
      <w:pPr>
        <w:jc w:val="center"/>
        <w:rPr>
          <w:rFonts w:ascii="Georgia" w:hAnsi="Georgia"/>
          <w:color w:val="FFFFFF" w:themeColor="background1"/>
          <w:sz w:val="40"/>
        </w:rPr>
      </w:pPr>
    </w:p>
    <w:p w14:paraId="45AA1C7A" w14:textId="77777777" w:rsidR="00B1139A" w:rsidRDefault="00B1139A" w:rsidP="00B1139A">
      <w:pPr>
        <w:jc w:val="center"/>
        <w:rPr>
          <w:rFonts w:ascii="Georgia" w:hAnsi="Georgia"/>
          <w:color w:val="FFFFFF" w:themeColor="background1"/>
          <w:sz w:val="40"/>
        </w:rPr>
      </w:pPr>
    </w:p>
    <w:p w14:paraId="2A134A44" w14:textId="77777777" w:rsidR="00B1139A" w:rsidRDefault="00B1139A" w:rsidP="00B1139A">
      <w:pPr>
        <w:jc w:val="center"/>
        <w:rPr>
          <w:rFonts w:ascii="Georgia" w:hAnsi="Georgia"/>
          <w:color w:val="FFFFFF" w:themeColor="background1"/>
          <w:sz w:val="40"/>
        </w:rPr>
      </w:pPr>
    </w:p>
    <w:p w14:paraId="4114D34B" w14:textId="77777777" w:rsidR="00B1139A" w:rsidRPr="00E5357E" w:rsidRDefault="00B1139A" w:rsidP="00B1139A">
      <w:pPr>
        <w:jc w:val="center"/>
        <w:rPr>
          <w:rFonts w:ascii="Georgia" w:hAnsi="Georgia"/>
          <w:color w:val="FFFFFF" w:themeColor="background1"/>
          <w:sz w:val="40"/>
        </w:rPr>
      </w:pPr>
      <w:r w:rsidRPr="00E5357E">
        <w:rPr>
          <w:rFonts w:ascii="Georgia" w:hAnsi="Georgia"/>
          <w:color w:val="FFFFFF" w:themeColor="background1"/>
          <w:sz w:val="40"/>
        </w:rPr>
        <w:t>Bluefield Solar Income Fund Limited</w:t>
      </w:r>
    </w:p>
    <w:p w14:paraId="56FAADC0" w14:textId="77777777" w:rsidR="00B1139A" w:rsidRPr="00E5357E" w:rsidRDefault="00B1139A" w:rsidP="00B1139A">
      <w:pPr>
        <w:jc w:val="center"/>
        <w:rPr>
          <w:rFonts w:ascii="Georgia" w:hAnsi="Georgia"/>
          <w:color w:val="FFFFFF" w:themeColor="background1"/>
          <w:sz w:val="32"/>
        </w:rPr>
      </w:pPr>
    </w:p>
    <w:p w14:paraId="69E87FDB" w14:textId="77777777" w:rsidR="00B1139A" w:rsidRPr="00E5357E" w:rsidRDefault="00B1139A" w:rsidP="00B1139A">
      <w:pPr>
        <w:jc w:val="center"/>
        <w:rPr>
          <w:rFonts w:ascii="Georgia" w:hAnsi="Georgia"/>
          <w:color w:val="FFFFFF" w:themeColor="background1"/>
          <w:sz w:val="44"/>
        </w:rPr>
      </w:pPr>
    </w:p>
    <w:p w14:paraId="177DDDFC" w14:textId="77777777" w:rsidR="00B1139A" w:rsidRPr="00E5357E" w:rsidRDefault="00B1139A" w:rsidP="00B1139A">
      <w:pPr>
        <w:spacing w:line="288" w:lineRule="auto"/>
        <w:jc w:val="center"/>
        <w:rPr>
          <w:rFonts w:ascii="Georgia" w:hAnsi="Georgia"/>
          <w:color w:val="FFFFFF" w:themeColor="background1"/>
          <w:sz w:val="48"/>
        </w:rPr>
      </w:pPr>
      <w:r w:rsidRPr="00E5357E">
        <w:rPr>
          <w:rFonts w:ascii="Georgia" w:hAnsi="Georgia"/>
          <w:color w:val="FFFFFF" w:themeColor="background1"/>
          <w:sz w:val="48"/>
        </w:rPr>
        <w:t xml:space="preserve">Annual Report and </w:t>
      </w:r>
    </w:p>
    <w:p w14:paraId="52B9D5D3" w14:textId="375DBABA" w:rsidR="00B1139A" w:rsidRPr="00E5357E" w:rsidRDefault="00B1139A" w:rsidP="00B1139A">
      <w:pPr>
        <w:spacing w:line="288" w:lineRule="auto"/>
        <w:jc w:val="center"/>
        <w:rPr>
          <w:rFonts w:ascii="Georgia" w:hAnsi="Georgia"/>
          <w:color w:val="FFFFFF" w:themeColor="background1"/>
          <w:sz w:val="48"/>
        </w:rPr>
      </w:pPr>
      <w:r w:rsidRPr="00E5357E">
        <w:rPr>
          <w:rFonts w:ascii="Georgia" w:hAnsi="Georgia"/>
          <w:color w:val="FFFFFF" w:themeColor="background1"/>
          <w:sz w:val="48"/>
        </w:rPr>
        <w:t>Financial Statements</w:t>
      </w:r>
    </w:p>
    <w:p w14:paraId="3E4CF238" w14:textId="77777777" w:rsidR="00B1139A" w:rsidRPr="00E5357E" w:rsidRDefault="00B1139A" w:rsidP="00B1139A">
      <w:pPr>
        <w:spacing w:line="288" w:lineRule="auto"/>
        <w:rPr>
          <w:rFonts w:ascii="Georgia" w:hAnsi="Georgia"/>
          <w:b/>
          <w:color w:val="FFFFFF" w:themeColor="background1"/>
        </w:rPr>
      </w:pPr>
    </w:p>
    <w:p w14:paraId="28F51DC5" w14:textId="55F27CF7" w:rsidR="00B1139A" w:rsidRPr="00E5357E" w:rsidRDefault="00B1139A" w:rsidP="00B1139A">
      <w:pPr>
        <w:spacing w:line="288" w:lineRule="auto"/>
        <w:jc w:val="center"/>
        <w:rPr>
          <w:rFonts w:ascii="Georgia" w:hAnsi="Georgia"/>
          <w:color w:val="FFFFFF" w:themeColor="background1"/>
          <w:sz w:val="20"/>
        </w:rPr>
      </w:pPr>
      <w:r w:rsidRPr="00E5357E">
        <w:rPr>
          <w:rFonts w:ascii="Georgia" w:hAnsi="Georgia"/>
          <w:color w:val="FFFFFF" w:themeColor="background1"/>
          <w:sz w:val="20"/>
        </w:rPr>
        <w:t xml:space="preserve">FOR THE </w:t>
      </w:r>
      <w:r w:rsidR="00F4182A">
        <w:rPr>
          <w:rFonts w:ascii="Georgia" w:hAnsi="Georgia"/>
          <w:color w:val="FFFFFF" w:themeColor="background1"/>
          <w:sz w:val="20"/>
        </w:rPr>
        <w:t xml:space="preserve">YEAR ENDED 30 JUNE </w:t>
      </w:r>
      <w:r w:rsidR="00904E51">
        <w:rPr>
          <w:rFonts w:ascii="Georgia" w:hAnsi="Georgia"/>
          <w:color w:val="FFFFFF" w:themeColor="background1"/>
          <w:sz w:val="20"/>
        </w:rPr>
        <w:t>2020</w:t>
      </w:r>
    </w:p>
    <w:p w14:paraId="5E83D6B9" w14:textId="77777777" w:rsidR="00B1139A" w:rsidRPr="00E5357E" w:rsidRDefault="00B1139A" w:rsidP="00B1139A">
      <w:pPr>
        <w:jc w:val="center"/>
        <w:rPr>
          <w:rFonts w:asciiTheme="minorHAnsi" w:hAnsiTheme="minorHAnsi" w:cs="Calibri"/>
          <w:b/>
          <w:smallCaps/>
          <w:color w:val="FFFFFF" w:themeColor="background1"/>
          <w:sz w:val="20"/>
        </w:rPr>
      </w:pPr>
    </w:p>
    <w:p w14:paraId="02D14DFA" w14:textId="77777777" w:rsidR="00B1139A" w:rsidRDefault="00B1139A" w:rsidP="00B1139A">
      <w:pPr>
        <w:jc w:val="center"/>
        <w:rPr>
          <w:rFonts w:asciiTheme="minorHAnsi" w:hAnsiTheme="minorHAnsi" w:cs="Calibri"/>
          <w:b/>
          <w:smallCaps/>
          <w:color w:val="FFFFFF" w:themeColor="background1"/>
          <w:sz w:val="20"/>
        </w:rPr>
      </w:pPr>
    </w:p>
    <w:p w14:paraId="32A93056" w14:textId="77777777" w:rsidR="00B1139A" w:rsidRDefault="00B1139A" w:rsidP="00B1139A">
      <w:pPr>
        <w:jc w:val="center"/>
        <w:rPr>
          <w:rFonts w:asciiTheme="minorHAnsi" w:hAnsiTheme="minorHAnsi" w:cs="Calibri"/>
          <w:b/>
          <w:smallCaps/>
          <w:color w:val="FFFFFF" w:themeColor="background1"/>
          <w:sz w:val="20"/>
        </w:rPr>
      </w:pPr>
    </w:p>
    <w:p w14:paraId="1FB015C8" w14:textId="77777777" w:rsidR="00B1139A" w:rsidRDefault="00B1139A" w:rsidP="00B1139A">
      <w:pPr>
        <w:jc w:val="center"/>
        <w:rPr>
          <w:rFonts w:asciiTheme="minorHAnsi" w:hAnsiTheme="minorHAnsi" w:cs="Calibri"/>
          <w:b/>
          <w:smallCaps/>
          <w:color w:val="FFFFFF" w:themeColor="background1"/>
          <w:sz w:val="20"/>
        </w:rPr>
      </w:pPr>
    </w:p>
    <w:p w14:paraId="41406F86" w14:textId="77777777" w:rsidR="00B1139A" w:rsidRDefault="00B1139A" w:rsidP="00B1139A">
      <w:pPr>
        <w:jc w:val="center"/>
        <w:rPr>
          <w:rFonts w:asciiTheme="minorHAnsi" w:hAnsiTheme="minorHAnsi" w:cs="Calibri"/>
          <w:b/>
          <w:smallCaps/>
          <w:color w:val="FFFFFF" w:themeColor="background1"/>
          <w:sz w:val="20"/>
        </w:rPr>
      </w:pPr>
    </w:p>
    <w:p w14:paraId="600347A9" w14:textId="77777777" w:rsidR="00B1139A" w:rsidRDefault="00B1139A" w:rsidP="00B1139A">
      <w:pPr>
        <w:jc w:val="center"/>
        <w:rPr>
          <w:rFonts w:asciiTheme="minorHAnsi" w:hAnsiTheme="minorHAnsi" w:cs="Calibri"/>
          <w:b/>
          <w:smallCaps/>
          <w:color w:val="FFFFFF" w:themeColor="background1"/>
          <w:sz w:val="20"/>
        </w:rPr>
      </w:pPr>
    </w:p>
    <w:p w14:paraId="78E11261" w14:textId="77777777" w:rsidR="00B1139A" w:rsidRDefault="00B1139A" w:rsidP="00B1139A">
      <w:pPr>
        <w:jc w:val="center"/>
        <w:rPr>
          <w:rFonts w:asciiTheme="minorHAnsi" w:hAnsiTheme="minorHAnsi" w:cs="Calibri"/>
          <w:b/>
          <w:smallCaps/>
          <w:color w:val="FFFFFF" w:themeColor="background1"/>
          <w:sz w:val="20"/>
        </w:rPr>
      </w:pPr>
    </w:p>
    <w:p w14:paraId="6D8B1A55" w14:textId="77777777" w:rsidR="00B1139A" w:rsidRDefault="00B1139A" w:rsidP="00B1139A">
      <w:pPr>
        <w:jc w:val="center"/>
        <w:rPr>
          <w:rFonts w:asciiTheme="minorHAnsi" w:hAnsiTheme="minorHAnsi" w:cs="Calibri"/>
          <w:b/>
          <w:smallCaps/>
          <w:color w:val="FFFFFF" w:themeColor="background1"/>
          <w:sz w:val="20"/>
        </w:rPr>
      </w:pPr>
    </w:p>
    <w:p w14:paraId="0C7E1BE7" w14:textId="77777777" w:rsidR="00B1139A" w:rsidRDefault="00B1139A" w:rsidP="00B1139A">
      <w:pPr>
        <w:jc w:val="center"/>
        <w:rPr>
          <w:rFonts w:asciiTheme="minorHAnsi" w:hAnsiTheme="minorHAnsi" w:cs="Calibri"/>
          <w:b/>
          <w:smallCaps/>
          <w:color w:val="FFFFFF" w:themeColor="background1"/>
          <w:sz w:val="20"/>
        </w:rPr>
      </w:pPr>
    </w:p>
    <w:p w14:paraId="5D012B7B" w14:textId="77777777" w:rsidR="00B1139A" w:rsidRDefault="00B1139A" w:rsidP="00B1139A">
      <w:pPr>
        <w:jc w:val="center"/>
        <w:rPr>
          <w:rFonts w:asciiTheme="minorHAnsi" w:hAnsiTheme="minorHAnsi" w:cs="Calibri"/>
          <w:b/>
          <w:smallCaps/>
          <w:color w:val="FFFFFF" w:themeColor="background1"/>
          <w:sz w:val="20"/>
        </w:rPr>
      </w:pPr>
    </w:p>
    <w:p w14:paraId="10EE013A" w14:textId="77777777" w:rsidR="00B1139A" w:rsidRDefault="00B1139A" w:rsidP="00B1139A">
      <w:pPr>
        <w:jc w:val="center"/>
        <w:rPr>
          <w:rFonts w:asciiTheme="minorHAnsi" w:hAnsiTheme="minorHAnsi" w:cs="Calibri"/>
          <w:b/>
          <w:smallCaps/>
          <w:color w:val="FFFFFF" w:themeColor="background1"/>
          <w:sz w:val="20"/>
        </w:rPr>
      </w:pPr>
    </w:p>
    <w:p w14:paraId="15B1C4FF" w14:textId="77777777" w:rsidR="00B1139A" w:rsidRPr="00E5357E" w:rsidRDefault="00B1139A" w:rsidP="00B1139A">
      <w:pPr>
        <w:jc w:val="center"/>
        <w:rPr>
          <w:rFonts w:asciiTheme="minorHAnsi" w:hAnsiTheme="minorHAnsi" w:cs="Calibri"/>
          <w:b/>
          <w:smallCaps/>
          <w:color w:val="FFFFFF" w:themeColor="background1"/>
          <w:sz w:val="20"/>
        </w:rPr>
      </w:pPr>
    </w:p>
    <w:p w14:paraId="5FDF2395" w14:textId="77777777" w:rsidR="00B1139A" w:rsidRPr="00E5357E" w:rsidRDefault="00B1139A" w:rsidP="00B1139A">
      <w:pPr>
        <w:jc w:val="center"/>
        <w:rPr>
          <w:rFonts w:asciiTheme="minorHAnsi" w:hAnsiTheme="minorHAnsi" w:cs="Calibri"/>
          <w:b/>
          <w:smallCaps/>
          <w:color w:val="FFFFFF" w:themeColor="background1"/>
          <w:sz w:val="20"/>
        </w:rPr>
      </w:pPr>
    </w:p>
    <w:p w14:paraId="0E64E6C5" w14:textId="77777777" w:rsidR="00B1139A" w:rsidRDefault="00B1139A" w:rsidP="00B1139A">
      <w:pPr>
        <w:jc w:val="center"/>
        <w:rPr>
          <w:rFonts w:ascii="Georgia" w:hAnsi="Georgia"/>
          <w:color w:val="FFFFFF" w:themeColor="background1"/>
          <w:sz w:val="20"/>
        </w:rPr>
      </w:pPr>
      <w:r w:rsidRPr="00E5357E">
        <w:rPr>
          <w:rFonts w:ascii="Georgia" w:hAnsi="Georgia"/>
          <w:color w:val="FFFFFF" w:themeColor="background1"/>
          <w:sz w:val="20"/>
        </w:rPr>
        <w:t>Company Registration Number: 56708</w:t>
      </w:r>
    </w:p>
    <w:p w14:paraId="4FF5CCA9" w14:textId="77777777" w:rsidR="00B1139A" w:rsidRDefault="00B1139A" w:rsidP="00836EE6">
      <w:pPr>
        <w:jc w:val="center"/>
        <w:rPr>
          <w:rFonts w:ascii="Georgia" w:hAnsi="Georgia"/>
          <w:sz w:val="20"/>
        </w:rPr>
      </w:pPr>
    </w:p>
    <w:p w14:paraId="23B958F8" w14:textId="77777777" w:rsidR="008B37D5" w:rsidRPr="000B5DFE" w:rsidRDefault="008B37D5" w:rsidP="00836EE6">
      <w:pPr>
        <w:jc w:val="center"/>
        <w:rPr>
          <w:rFonts w:ascii="Georgia" w:hAnsi="Georgia"/>
          <w:sz w:val="20"/>
        </w:rPr>
        <w:sectPr w:rsidR="008B37D5" w:rsidRPr="000B5DFE" w:rsidSect="001356C5">
          <w:headerReference w:type="default" r:id="rId12"/>
          <w:footerReference w:type="even" r:id="rId13"/>
          <w:footerReference w:type="default" r:id="rId14"/>
          <w:footerReference w:type="first" r:id="rId15"/>
          <w:pgSz w:w="12240" w:h="15840" w:code="1"/>
          <w:pgMar w:top="5245" w:right="760" w:bottom="567" w:left="709" w:header="720" w:footer="187" w:gutter="0"/>
          <w:pgNumType w:start="2"/>
          <w:cols w:space="720"/>
          <w:titlePg/>
          <w:docGrid w:linePitch="272"/>
        </w:sectPr>
      </w:pPr>
    </w:p>
    <w:bookmarkStart w:id="0" w:name="_Toc254209576" w:displacedByCustomXml="next"/>
    <w:sdt>
      <w:sdtPr>
        <w:rPr>
          <w:rFonts w:cs="Calibri"/>
          <w:color w:val="404040" w:themeColor="text1" w:themeTint="BF"/>
          <w:sz w:val="20"/>
        </w:rPr>
        <w:id w:val="7739775"/>
        <w:docPartObj>
          <w:docPartGallery w:val="Table of Contents"/>
          <w:docPartUnique/>
        </w:docPartObj>
      </w:sdtPr>
      <w:sdtEndPr/>
      <w:sdtContent>
        <w:p w14:paraId="1896F950" w14:textId="77777777" w:rsidR="00416386" w:rsidRPr="001D6018" w:rsidRDefault="00416386" w:rsidP="00E85EF6">
          <w:pPr>
            <w:pStyle w:val="Heading2"/>
            <w:spacing w:before="0"/>
            <w:rPr>
              <w:color w:val="auto"/>
            </w:rPr>
          </w:pPr>
          <w:r w:rsidRPr="001D6018">
            <w:rPr>
              <w:color w:val="auto"/>
            </w:rPr>
            <w:t>Table of Contents</w:t>
          </w:r>
          <w:bookmarkEnd w:id="0"/>
        </w:p>
        <w:p w14:paraId="72E73605" w14:textId="77777777" w:rsidR="00A67883" w:rsidRPr="001D6018" w:rsidRDefault="0056742A" w:rsidP="00A67883">
          <w:pPr>
            <w:pStyle w:val="body"/>
            <w:spacing w:line="480" w:lineRule="auto"/>
            <w:rPr>
              <w:noProof/>
            </w:rPr>
          </w:pPr>
          <w:r w:rsidRPr="001D6018">
            <w:fldChar w:fldCharType="begin"/>
          </w:r>
          <w:r w:rsidR="00416386" w:rsidRPr="001D6018">
            <w:instrText xml:space="preserve"> TOC \o "1-3" \h \z \u </w:instrText>
          </w:r>
          <w:r w:rsidRPr="001D6018">
            <w:fldChar w:fldCharType="separate"/>
          </w:r>
        </w:p>
        <w:p w14:paraId="2B10545B" w14:textId="77777777" w:rsidR="00A67883" w:rsidRPr="001D6018" w:rsidRDefault="00FA6EDB" w:rsidP="007022BF">
          <w:pPr>
            <w:pStyle w:val="body"/>
            <w:tabs>
              <w:tab w:val="left" w:pos="9214"/>
            </w:tabs>
            <w:spacing w:after="100" w:line="360" w:lineRule="auto"/>
            <w:ind w:right="3266"/>
            <w:rPr>
              <w:rFonts w:eastAsiaTheme="minorEastAsia"/>
              <w:noProof/>
            </w:rPr>
          </w:pPr>
          <w:r w:rsidRPr="001D6018">
            <w:rPr>
              <w:noProof/>
            </w:rPr>
            <w:t>General Information</w:t>
          </w:r>
          <w:r w:rsidR="00A67883" w:rsidRPr="001D6018">
            <w:rPr>
              <w:noProof/>
            </w:rPr>
            <w:tab/>
          </w:r>
          <w:r w:rsidR="00CF065F" w:rsidRPr="00BF5248">
            <w:rPr>
              <w:noProof/>
            </w:rPr>
            <w:t>3</w:t>
          </w:r>
        </w:p>
        <w:p w14:paraId="2C80E853" w14:textId="77777777" w:rsidR="00A67883" w:rsidRPr="00BF5248" w:rsidRDefault="00F51CD6" w:rsidP="007022BF">
          <w:pPr>
            <w:pStyle w:val="body"/>
            <w:tabs>
              <w:tab w:val="left" w:pos="9214"/>
            </w:tabs>
            <w:spacing w:after="100" w:line="360" w:lineRule="auto"/>
            <w:ind w:right="3266"/>
            <w:rPr>
              <w:rFonts w:eastAsiaTheme="minorEastAsia"/>
              <w:noProof/>
            </w:rPr>
          </w:pPr>
          <w:r w:rsidRPr="001D6018">
            <w:rPr>
              <w:noProof/>
            </w:rPr>
            <w:t>Highlights</w:t>
          </w:r>
          <w:r w:rsidR="00A67883" w:rsidRPr="001D6018">
            <w:rPr>
              <w:noProof/>
            </w:rPr>
            <w:tab/>
          </w:r>
          <w:r w:rsidR="00E01A1C" w:rsidRPr="00BF5248">
            <w:rPr>
              <w:noProof/>
            </w:rPr>
            <w:t>4</w:t>
          </w:r>
        </w:p>
        <w:p w14:paraId="685D73A5" w14:textId="77777777" w:rsidR="00A67883" w:rsidRPr="001D6018" w:rsidRDefault="00FA6EDB" w:rsidP="007022BF">
          <w:pPr>
            <w:pStyle w:val="body"/>
            <w:tabs>
              <w:tab w:val="left" w:pos="9214"/>
            </w:tabs>
            <w:spacing w:after="100" w:line="360" w:lineRule="auto"/>
            <w:ind w:right="3266"/>
            <w:rPr>
              <w:rFonts w:eastAsiaTheme="minorEastAsia"/>
              <w:noProof/>
            </w:rPr>
          </w:pPr>
          <w:r w:rsidRPr="00BF5248">
            <w:rPr>
              <w:noProof/>
            </w:rPr>
            <w:t>Corporate Summary</w:t>
          </w:r>
          <w:r w:rsidR="00A67883" w:rsidRPr="00BF5248">
            <w:rPr>
              <w:noProof/>
            </w:rPr>
            <w:tab/>
          </w:r>
          <w:r w:rsidR="00CF065F" w:rsidRPr="00BF5248">
            <w:rPr>
              <w:noProof/>
            </w:rPr>
            <w:t>6</w:t>
          </w:r>
        </w:p>
        <w:p w14:paraId="642A6352" w14:textId="77777777" w:rsidR="00A67883" w:rsidRPr="001D6018" w:rsidRDefault="00A67883" w:rsidP="007022BF">
          <w:pPr>
            <w:pStyle w:val="body"/>
            <w:tabs>
              <w:tab w:val="left" w:pos="9214"/>
            </w:tabs>
            <w:spacing w:after="100" w:line="360" w:lineRule="auto"/>
            <w:ind w:right="3266"/>
            <w:rPr>
              <w:rFonts w:eastAsiaTheme="minorEastAsia"/>
              <w:noProof/>
            </w:rPr>
          </w:pPr>
          <w:r w:rsidRPr="001D6018">
            <w:rPr>
              <w:noProof/>
            </w:rPr>
            <w:t>Chairman’s Statement</w:t>
          </w:r>
          <w:r w:rsidRPr="001D6018">
            <w:rPr>
              <w:noProof/>
            </w:rPr>
            <w:tab/>
          </w:r>
          <w:r w:rsidR="00CF065F" w:rsidRPr="00BF5248">
            <w:rPr>
              <w:noProof/>
            </w:rPr>
            <w:t>7</w:t>
          </w:r>
        </w:p>
        <w:p w14:paraId="49312D96" w14:textId="606C851E" w:rsidR="00F5461A" w:rsidRPr="00AB6F50" w:rsidRDefault="00F5461A" w:rsidP="003A5396">
          <w:pPr>
            <w:pStyle w:val="body"/>
            <w:spacing w:after="100" w:line="360" w:lineRule="auto"/>
            <w:ind w:right="4"/>
            <w:rPr>
              <w:noProof/>
            </w:rPr>
          </w:pPr>
          <w:r w:rsidRPr="001D6018">
            <w:rPr>
              <w:noProof/>
            </w:rPr>
            <w:t>The Company's Investment Portfolio</w:t>
          </w:r>
          <w:r w:rsidR="00B22C5E" w:rsidRPr="001D6018">
            <w:rPr>
              <w:noProof/>
            </w:rPr>
            <w:tab/>
          </w:r>
          <w:r w:rsidR="003A5396">
            <w:rPr>
              <w:noProof/>
            </w:rPr>
            <w:t xml:space="preserve">                                                                                           </w:t>
          </w:r>
          <w:r w:rsidR="00BF5248">
            <w:rPr>
              <w:noProof/>
            </w:rPr>
            <w:t xml:space="preserve">                               </w:t>
          </w:r>
          <w:r w:rsidR="00BF5248" w:rsidRPr="00BF5248">
            <w:rPr>
              <w:noProof/>
            </w:rPr>
            <w:t>12</w:t>
          </w:r>
        </w:p>
        <w:p w14:paraId="7EAEA370" w14:textId="0A208FA2" w:rsidR="00F5461A" w:rsidRPr="00AB6F50" w:rsidRDefault="00F5461A" w:rsidP="003A5396">
          <w:pPr>
            <w:pStyle w:val="body"/>
            <w:spacing w:after="100" w:line="360" w:lineRule="auto"/>
            <w:ind w:right="4"/>
            <w:rPr>
              <w:noProof/>
            </w:rPr>
          </w:pPr>
          <w:r w:rsidRPr="00AB6F50">
            <w:rPr>
              <w:noProof/>
            </w:rPr>
            <w:t>Analysis of the Company's Investment Portfolio</w:t>
          </w:r>
          <w:r w:rsidR="00B22C5E" w:rsidRPr="00AB6F50">
            <w:rPr>
              <w:noProof/>
            </w:rPr>
            <w:tab/>
          </w:r>
          <w:r w:rsidR="003A5396">
            <w:rPr>
              <w:noProof/>
            </w:rPr>
            <w:t xml:space="preserve">                                                                                                      </w:t>
          </w:r>
          <w:r w:rsidR="00BF5248" w:rsidRPr="00BF5248">
            <w:rPr>
              <w:noProof/>
            </w:rPr>
            <w:t>13</w:t>
          </w:r>
        </w:p>
        <w:p w14:paraId="0CC0F8A0" w14:textId="12A2B09B" w:rsidR="008011BF" w:rsidRPr="00AB6F50" w:rsidRDefault="008011BF" w:rsidP="003A5396">
          <w:pPr>
            <w:pStyle w:val="body"/>
            <w:spacing w:after="100" w:line="360" w:lineRule="auto"/>
            <w:ind w:right="4"/>
            <w:rPr>
              <w:noProof/>
            </w:rPr>
          </w:pPr>
          <w:r w:rsidRPr="00AB6F50">
            <w:rPr>
              <w:noProof/>
            </w:rPr>
            <w:t>Strategic Report</w:t>
          </w:r>
          <w:r w:rsidR="003A5396">
            <w:rPr>
              <w:noProof/>
            </w:rPr>
            <w:t xml:space="preserve">                                                                                                                                                               </w:t>
          </w:r>
          <w:r w:rsidR="00B22C5E" w:rsidRPr="00AB6F50">
            <w:rPr>
              <w:noProof/>
            </w:rPr>
            <w:tab/>
          </w:r>
          <w:r w:rsidR="003B6A03" w:rsidRPr="00BF5248">
            <w:rPr>
              <w:noProof/>
            </w:rPr>
            <w:t>1</w:t>
          </w:r>
          <w:r w:rsidR="00BF5248" w:rsidRPr="00BF5248">
            <w:rPr>
              <w:noProof/>
            </w:rPr>
            <w:t>6</w:t>
          </w:r>
        </w:p>
        <w:p w14:paraId="620ECC31" w14:textId="5825C436" w:rsidR="009E5170" w:rsidRPr="00AB6F50" w:rsidRDefault="009E5170" w:rsidP="003A5396">
          <w:pPr>
            <w:pStyle w:val="body"/>
            <w:tabs>
              <w:tab w:val="left" w:pos="3969"/>
            </w:tabs>
            <w:spacing w:after="100" w:line="360" w:lineRule="auto"/>
            <w:ind w:right="4"/>
            <w:rPr>
              <w:noProof/>
            </w:rPr>
          </w:pPr>
          <w:r w:rsidRPr="00AB6F50">
            <w:rPr>
              <w:noProof/>
            </w:rPr>
            <w:t>Report</w:t>
          </w:r>
          <w:r w:rsidR="00FD7AB7" w:rsidRPr="00AB6F50">
            <w:rPr>
              <w:noProof/>
            </w:rPr>
            <w:t xml:space="preserve"> of the Investment Adviser</w:t>
          </w:r>
          <w:r w:rsidR="00B22C5E" w:rsidRPr="00AB6F50">
            <w:rPr>
              <w:noProof/>
            </w:rPr>
            <w:tab/>
          </w:r>
          <w:r w:rsidR="003A5396">
            <w:rPr>
              <w:noProof/>
            </w:rPr>
            <w:t xml:space="preserve">                                                                                                          </w:t>
          </w:r>
          <w:r w:rsidR="00E32381">
            <w:rPr>
              <w:noProof/>
            </w:rPr>
            <w:t>43</w:t>
          </w:r>
        </w:p>
        <w:p w14:paraId="6CBC6B3C" w14:textId="0F0ECC67" w:rsidR="00A67883" w:rsidRPr="00AB6F50" w:rsidRDefault="00F470AC" w:rsidP="003A5396">
          <w:pPr>
            <w:pStyle w:val="body"/>
            <w:tabs>
              <w:tab w:val="left" w:pos="3119"/>
            </w:tabs>
            <w:spacing w:after="100" w:line="360" w:lineRule="auto"/>
            <w:ind w:right="4"/>
            <w:rPr>
              <w:rFonts w:eastAsiaTheme="minorEastAsia"/>
              <w:noProof/>
            </w:rPr>
          </w:pPr>
          <w:r w:rsidRPr="00AB6F50">
            <w:rPr>
              <w:noProof/>
            </w:rPr>
            <w:t xml:space="preserve">Report of the </w:t>
          </w:r>
          <w:r w:rsidR="00396F2F" w:rsidRPr="00AB6F50">
            <w:rPr>
              <w:noProof/>
            </w:rPr>
            <w:t>Directors</w:t>
          </w:r>
          <w:r w:rsidR="00A67883" w:rsidRPr="00AB6F50">
            <w:rPr>
              <w:noProof/>
            </w:rPr>
            <w:tab/>
          </w:r>
          <w:r w:rsidR="003A5396">
            <w:rPr>
              <w:noProof/>
            </w:rPr>
            <w:t xml:space="preserve">                                                                                                                           </w:t>
          </w:r>
          <w:r w:rsidR="00E32381">
            <w:rPr>
              <w:noProof/>
            </w:rPr>
            <w:t>80</w:t>
          </w:r>
        </w:p>
        <w:p w14:paraId="136ACB2B" w14:textId="6D7498B1" w:rsidR="00BD142E" w:rsidRPr="00E32381" w:rsidRDefault="00BD142E" w:rsidP="003A5396">
          <w:pPr>
            <w:pStyle w:val="body"/>
            <w:spacing w:after="100" w:line="360" w:lineRule="auto"/>
            <w:ind w:right="4"/>
            <w:rPr>
              <w:noProof/>
            </w:rPr>
          </w:pPr>
          <w:r w:rsidRPr="00AB6F50">
            <w:rPr>
              <w:noProof/>
            </w:rPr>
            <w:t>Board of Directors</w:t>
          </w:r>
          <w:r w:rsidR="003A5396">
            <w:rPr>
              <w:noProof/>
            </w:rPr>
            <w:t xml:space="preserve">                                                                                                                                                          </w:t>
          </w:r>
          <w:r w:rsidRPr="00AB6F50">
            <w:rPr>
              <w:noProof/>
            </w:rPr>
            <w:tab/>
          </w:r>
          <w:r w:rsidRPr="00AB6F50">
            <w:rPr>
              <w:noProof/>
            </w:rPr>
            <w:tab/>
          </w:r>
          <w:r w:rsidR="00E32381" w:rsidRPr="00E32381">
            <w:rPr>
              <w:noProof/>
            </w:rPr>
            <w:t>86</w:t>
          </w:r>
        </w:p>
        <w:p w14:paraId="0300F988" w14:textId="6B04B7A2" w:rsidR="00A67883" w:rsidRPr="00AB6F50" w:rsidRDefault="00A67883" w:rsidP="003A5396">
          <w:pPr>
            <w:pStyle w:val="body"/>
            <w:tabs>
              <w:tab w:val="left" w:pos="5103"/>
            </w:tabs>
            <w:spacing w:after="100" w:line="360" w:lineRule="auto"/>
            <w:ind w:right="4"/>
            <w:rPr>
              <w:rFonts w:eastAsiaTheme="minorEastAsia"/>
              <w:noProof/>
            </w:rPr>
          </w:pPr>
          <w:r w:rsidRPr="00E32381">
            <w:rPr>
              <w:noProof/>
            </w:rPr>
            <w:t>Directors’ Statement of Responsibilities</w:t>
          </w:r>
          <w:r w:rsidRPr="00E32381">
            <w:rPr>
              <w:noProof/>
            </w:rPr>
            <w:tab/>
          </w:r>
          <w:r w:rsidR="003A5396" w:rsidRPr="00E32381">
            <w:rPr>
              <w:noProof/>
            </w:rPr>
            <w:t xml:space="preserve">                                                                                  </w:t>
          </w:r>
          <w:r w:rsidR="00E32381" w:rsidRPr="00E32381">
            <w:rPr>
              <w:noProof/>
            </w:rPr>
            <w:t>88</w:t>
          </w:r>
        </w:p>
        <w:p w14:paraId="57717FC4" w14:textId="487E12EB" w:rsidR="00616BF2" w:rsidRPr="00AB6F50" w:rsidRDefault="00616BF2" w:rsidP="003A5396">
          <w:pPr>
            <w:pStyle w:val="body"/>
            <w:tabs>
              <w:tab w:val="left" w:pos="6096"/>
            </w:tabs>
            <w:spacing w:after="100" w:line="360" w:lineRule="auto"/>
            <w:ind w:right="4"/>
            <w:rPr>
              <w:noProof/>
            </w:rPr>
          </w:pPr>
          <w:r w:rsidRPr="00AB6F50">
            <w:rPr>
              <w:noProof/>
            </w:rPr>
            <w:t>Responsibility Statement of the Directors in Respect of the Annual Report</w:t>
          </w:r>
          <w:r w:rsidR="003A5396">
            <w:rPr>
              <w:noProof/>
            </w:rPr>
            <w:t xml:space="preserve">                                                     </w:t>
          </w:r>
          <w:r w:rsidR="00B22C5E" w:rsidRPr="00AB6F50">
            <w:rPr>
              <w:noProof/>
            </w:rPr>
            <w:tab/>
          </w:r>
          <w:r w:rsidR="00E32381">
            <w:rPr>
              <w:noProof/>
            </w:rPr>
            <w:t>89</w:t>
          </w:r>
        </w:p>
        <w:p w14:paraId="7341E914" w14:textId="04AE7C45" w:rsidR="00FB4275" w:rsidRPr="00AB6F50" w:rsidRDefault="00F470AC" w:rsidP="003A5396">
          <w:pPr>
            <w:pStyle w:val="body"/>
            <w:spacing w:after="100" w:line="360" w:lineRule="auto"/>
            <w:ind w:right="4"/>
            <w:rPr>
              <w:noProof/>
            </w:rPr>
          </w:pPr>
          <w:r w:rsidRPr="00AB6F50">
            <w:rPr>
              <w:noProof/>
            </w:rPr>
            <w:t>Report of the Audit Commitee</w:t>
          </w:r>
          <w:r w:rsidR="00FB4275" w:rsidRPr="00AB6F50">
            <w:rPr>
              <w:noProof/>
            </w:rPr>
            <w:tab/>
          </w:r>
          <w:r w:rsidR="003A5396">
            <w:rPr>
              <w:noProof/>
            </w:rPr>
            <w:t xml:space="preserve">                                                                                                                                     </w:t>
          </w:r>
          <w:r w:rsidR="00E32381" w:rsidRPr="00E32381">
            <w:rPr>
              <w:noProof/>
            </w:rPr>
            <w:t>90</w:t>
          </w:r>
        </w:p>
        <w:p w14:paraId="4297A9F0" w14:textId="1C9B511B" w:rsidR="00A67883" w:rsidRPr="00AB6F50" w:rsidRDefault="00A67883" w:rsidP="003A5396">
          <w:pPr>
            <w:pStyle w:val="body"/>
            <w:spacing w:after="100" w:line="360" w:lineRule="auto"/>
            <w:ind w:right="4"/>
            <w:rPr>
              <w:noProof/>
            </w:rPr>
          </w:pPr>
          <w:r w:rsidRPr="00AB6F50">
            <w:rPr>
              <w:noProof/>
            </w:rPr>
            <w:t xml:space="preserve">Independent </w:t>
          </w:r>
          <w:r w:rsidR="00F470AC" w:rsidRPr="00AB6F50">
            <w:rPr>
              <w:noProof/>
            </w:rPr>
            <w:t xml:space="preserve">Auditor's </w:t>
          </w:r>
          <w:r w:rsidRPr="00AB6F50">
            <w:rPr>
              <w:noProof/>
            </w:rPr>
            <w:t>Report</w:t>
          </w:r>
          <w:r w:rsidR="00B22C5E" w:rsidRPr="00AB6F50">
            <w:rPr>
              <w:noProof/>
            </w:rPr>
            <w:tab/>
          </w:r>
          <w:r w:rsidR="003A5396">
            <w:rPr>
              <w:noProof/>
            </w:rPr>
            <w:t xml:space="preserve">                                                                                                                                     </w:t>
          </w:r>
          <w:r w:rsidR="00E32381">
            <w:rPr>
              <w:noProof/>
            </w:rPr>
            <w:t>95</w:t>
          </w:r>
        </w:p>
        <w:p w14:paraId="4F5F37D3" w14:textId="08978A1C" w:rsidR="00A67883" w:rsidRPr="00AB6F50" w:rsidRDefault="00A67883" w:rsidP="003A5396">
          <w:pPr>
            <w:pStyle w:val="body"/>
            <w:tabs>
              <w:tab w:val="left" w:pos="5529"/>
            </w:tabs>
            <w:spacing w:after="100" w:line="360" w:lineRule="auto"/>
            <w:ind w:right="4"/>
            <w:rPr>
              <w:rFonts w:eastAsiaTheme="minorEastAsia"/>
              <w:noProof/>
            </w:rPr>
          </w:pPr>
          <w:r w:rsidRPr="00AB6F50">
            <w:rPr>
              <w:noProof/>
            </w:rPr>
            <w:t>Statement of Financial Position</w:t>
          </w:r>
          <w:r w:rsidRPr="00AB6F50">
            <w:rPr>
              <w:noProof/>
            </w:rPr>
            <w:tab/>
          </w:r>
          <w:r w:rsidR="003A5396">
            <w:rPr>
              <w:noProof/>
            </w:rPr>
            <w:t xml:space="preserve">                                         </w:t>
          </w:r>
          <w:r w:rsidR="00E35155">
            <w:rPr>
              <w:noProof/>
            </w:rPr>
            <w:t xml:space="preserve">                               100</w:t>
          </w:r>
        </w:p>
        <w:p w14:paraId="12ED791D" w14:textId="099C3F82" w:rsidR="00A67883" w:rsidRPr="00AB6F50" w:rsidRDefault="00A67883" w:rsidP="003A5396">
          <w:pPr>
            <w:pStyle w:val="body"/>
            <w:spacing w:after="100" w:line="360" w:lineRule="auto"/>
            <w:ind w:right="4"/>
            <w:rPr>
              <w:rFonts w:eastAsiaTheme="minorEastAsia"/>
              <w:noProof/>
            </w:rPr>
          </w:pPr>
          <w:r w:rsidRPr="00AB6F50">
            <w:rPr>
              <w:noProof/>
            </w:rPr>
            <w:t>Statement of Comprehensive Income</w:t>
          </w:r>
          <w:r w:rsidR="003A5396">
            <w:rPr>
              <w:noProof/>
            </w:rPr>
            <w:t xml:space="preserve">                                                                                     </w:t>
          </w:r>
          <w:r w:rsidR="00E35155">
            <w:rPr>
              <w:noProof/>
            </w:rPr>
            <w:t xml:space="preserve">                               </w:t>
          </w:r>
          <w:r w:rsidR="003A5396">
            <w:rPr>
              <w:noProof/>
            </w:rPr>
            <w:t xml:space="preserve">   </w:t>
          </w:r>
          <w:r w:rsidRPr="00AB6F50">
            <w:rPr>
              <w:noProof/>
            </w:rPr>
            <w:tab/>
          </w:r>
          <w:r w:rsidR="00E35155">
            <w:rPr>
              <w:noProof/>
            </w:rPr>
            <w:t>101</w:t>
          </w:r>
        </w:p>
        <w:p w14:paraId="3B4C10BF" w14:textId="0A6E2C04" w:rsidR="00A67883" w:rsidRPr="00E35155" w:rsidRDefault="00A67883" w:rsidP="003A5396">
          <w:pPr>
            <w:pStyle w:val="body"/>
            <w:spacing w:after="100" w:line="360" w:lineRule="auto"/>
            <w:ind w:right="4"/>
            <w:rPr>
              <w:rFonts w:eastAsiaTheme="minorEastAsia"/>
              <w:noProof/>
            </w:rPr>
          </w:pPr>
          <w:r w:rsidRPr="00AB6F50">
            <w:rPr>
              <w:noProof/>
            </w:rPr>
            <w:t>Statement of Changes in Equity</w:t>
          </w:r>
          <w:r w:rsidR="003A5396">
            <w:rPr>
              <w:noProof/>
            </w:rPr>
            <w:t xml:space="preserve">                                                                                                                                  </w:t>
          </w:r>
          <w:r w:rsidR="00E35155" w:rsidRPr="00E35155">
            <w:rPr>
              <w:noProof/>
            </w:rPr>
            <w:t>102</w:t>
          </w:r>
        </w:p>
        <w:p w14:paraId="702B469A" w14:textId="5EB51B8F" w:rsidR="00A67883" w:rsidRPr="00AB6F50" w:rsidRDefault="00A67883" w:rsidP="003A5396">
          <w:pPr>
            <w:pStyle w:val="body"/>
            <w:tabs>
              <w:tab w:val="left" w:pos="4678"/>
            </w:tabs>
            <w:spacing w:after="100" w:line="360" w:lineRule="auto"/>
            <w:ind w:right="4"/>
            <w:rPr>
              <w:noProof/>
            </w:rPr>
          </w:pPr>
          <w:r w:rsidRPr="00E35155">
            <w:rPr>
              <w:noProof/>
            </w:rPr>
            <w:t>Statement of Cash Flows</w:t>
          </w:r>
          <w:r w:rsidRPr="00E35155">
            <w:rPr>
              <w:noProof/>
            </w:rPr>
            <w:tab/>
          </w:r>
          <w:r w:rsidR="003A5396" w:rsidRPr="00E35155">
            <w:rPr>
              <w:noProof/>
            </w:rPr>
            <w:t xml:space="preserve">                                                           </w:t>
          </w:r>
          <w:r w:rsidR="00E35155" w:rsidRPr="00E35155">
            <w:rPr>
              <w:noProof/>
            </w:rPr>
            <w:t xml:space="preserve">                               103</w:t>
          </w:r>
        </w:p>
        <w:p w14:paraId="47406C45" w14:textId="153C70FB" w:rsidR="006E0D8F" w:rsidRPr="00AB6F50" w:rsidRDefault="006E0D8F" w:rsidP="003A5396">
          <w:pPr>
            <w:pStyle w:val="body"/>
            <w:tabs>
              <w:tab w:val="left" w:pos="5245"/>
            </w:tabs>
            <w:spacing w:after="100" w:line="360" w:lineRule="auto"/>
            <w:ind w:right="4"/>
            <w:rPr>
              <w:noProof/>
            </w:rPr>
          </w:pPr>
          <w:r w:rsidRPr="00AB6F50">
            <w:rPr>
              <w:noProof/>
            </w:rPr>
            <w:t>Notes to the Financial Statements</w:t>
          </w:r>
          <w:r w:rsidR="00B12DDE" w:rsidRPr="00AB6F50">
            <w:rPr>
              <w:noProof/>
            </w:rPr>
            <w:t xml:space="preserve"> for the </w:t>
          </w:r>
          <w:r w:rsidR="00F4182A" w:rsidRPr="00AB6F50">
            <w:rPr>
              <w:noProof/>
            </w:rPr>
            <w:t>year ended</w:t>
          </w:r>
          <w:r w:rsidR="00A3249D" w:rsidRPr="00AB6F50">
            <w:rPr>
              <w:noProof/>
            </w:rPr>
            <w:t xml:space="preserve"> </w:t>
          </w:r>
          <w:r w:rsidR="00F4182A" w:rsidRPr="00AB6F50">
            <w:rPr>
              <w:noProof/>
            </w:rPr>
            <w:t xml:space="preserve">30 June </w:t>
          </w:r>
          <w:r w:rsidR="00904E51">
            <w:rPr>
              <w:noProof/>
            </w:rPr>
            <w:t>2020</w:t>
          </w:r>
          <w:r w:rsidR="00B22C5E" w:rsidRPr="00AB6F50">
            <w:rPr>
              <w:noProof/>
            </w:rPr>
            <w:tab/>
          </w:r>
          <w:r w:rsidR="003A5396">
            <w:rPr>
              <w:noProof/>
            </w:rPr>
            <w:t xml:space="preserve">                                  </w:t>
          </w:r>
          <w:r w:rsidR="00E35155">
            <w:rPr>
              <w:noProof/>
            </w:rPr>
            <w:t xml:space="preserve">                              104</w:t>
          </w:r>
        </w:p>
        <w:p w14:paraId="0D866351" w14:textId="3D485CB5" w:rsidR="00F97439" w:rsidRPr="001D6018" w:rsidRDefault="00F97439" w:rsidP="003A5396">
          <w:pPr>
            <w:pStyle w:val="body"/>
            <w:tabs>
              <w:tab w:val="left" w:pos="4536"/>
            </w:tabs>
            <w:spacing w:after="100" w:line="360" w:lineRule="auto"/>
            <w:ind w:right="4"/>
            <w:rPr>
              <w:noProof/>
            </w:rPr>
          </w:pPr>
          <w:r w:rsidRPr="00AB6F50">
            <w:rPr>
              <w:noProof/>
            </w:rPr>
            <w:t>Glossary of Defined Terms</w:t>
          </w:r>
          <w:r w:rsidRPr="00AB6F50">
            <w:rPr>
              <w:noProof/>
            </w:rPr>
            <w:tab/>
          </w:r>
          <w:r w:rsidR="003A5396">
            <w:rPr>
              <w:noProof/>
            </w:rPr>
            <w:t xml:space="preserve">                                                                                             </w:t>
          </w:r>
          <w:r w:rsidR="00E35155">
            <w:rPr>
              <w:noProof/>
            </w:rPr>
            <w:t>130</w:t>
          </w:r>
        </w:p>
        <w:p w14:paraId="779CE281" w14:textId="411EEF41" w:rsidR="00BE2C16" w:rsidRPr="00A67883" w:rsidRDefault="0056742A" w:rsidP="00A67883">
          <w:pPr>
            <w:pStyle w:val="body"/>
            <w:spacing w:line="480" w:lineRule="auto"/>
          </w:pPr>
          <w:r w:rsidRPr="001D6018">
            <w:fldChar w:fldCharType="end"/>
          </w:r>
          <w:r w:rsidR="00D96BE5">
            <w:t xml:space="preserve">Alternate Performance </w:t>
          </w:r>
          <w:r w:rsidR="00D96BE5" w:rsidRPr="00E35155">
            <w:t xml:space="preserve">Measures                                                                                             </w:t>
          </w:r>
          <w:r w:rsidR="00E35155" w:rsidRPr="00E35155">
            <w:t xml:space="preserve">                               </w:t>
          </w:r>
          <w:r w:rsidR="00D96BE5" w:rsidRPr="00E35155">
            <w:t xml:space="preserve">  1</w:t>
          </w:r>
          <w:r w:rsidR="00E35155">
            <w:t>34</w:t>
          </w:r>
        </w:p>
      </w:sdtContent>
    </w:sdt>
    <w:p w14:paraId="58AA6506" w14:textId="77777777" w:rsidR="00F238CC" w:rsidRPr="00A67883" w:rsidRDefault="00F238CC" w:rsidP="00A67883">
      <w:pPr>
        <w:pStyle w:val="body"/>
      </w:pPr>
    </w:p>
    <w:p w14:paraId="1BF28241" w14:textId="77777777" w:rsidR="00F238CC" w:rsidRPr="00A67883" w:rsidRDefault="00F238CC" w:rsidP="00A67883">
      <w:pPr>
        <w:pStyle w:val="body"/>
      </w:pPr>
    </w:p>
    <w:p w14:paraId="417BC0BE" w14:textId="77777777" w:rsidR="00F238CC" w:rsidRPr="00F238CC" w:rsidRDefault="00F238CC" w:rsidP="00F238CC"/>
    <w:p w14:paraId="439E1DA7" w14:textId="77777777" w:rsidR="00F238CC" w:rsidRPr="00F238CC" w:rsidRDefault="00F238CC" w:rsidP="00F238CC"/>
    <w:p w14:paraId="23E46756" w14:textId="77777777" w:rsidR="00F238CC" w:rsidRPr="00F238CC" w:rsidRDefault="00F238CC" w:rsidP="00F238CC"/>
    <w:p w14:paraId="0C5D15A7" w14:textId="77777777" w:rsidR="00F238CC" w:rsidRPr="00F238CC" w:rsidRDefault="00F238CC" w:rsidP="00F238CC"/>
    <w:p w14:paraId="6A145F1D" w14:textId="77777777" w:rsidR="00F238CC" w:rsidRPr="00F238CC" w:rsidRDefault="00F238CC" w:rsidP="00F238CC"/>
    <w:p w14:paraId="2A91C543" w14:textId="77777777" w:rsidR="00F238CC" w:rsidRPr="00F238CC" w:rsidRDefault="00F238CC" w:rsidP="00F238CC"/>
    <w:p w14:paraId="5A138611" w14:textId="043C1FD7" w:rsidR="009D7FC1" w:rsidRPr="00F238CC" w:rsidRDefault="009D7FC1" w:rsidP="00F238CC">
      <w:pPr>
        <w:sectPr w:rsidR="009D7FC1" w:rsidRPr="00F238CC">
          <w:footerReference w:type="first" r:id="rId16"/>
          <w:pgSz w:w="12240" w:h="15840" w:code="1"/>
          <w:pgMar w:top="1276" w:right="1440" w:bottom="567" w:left="1440" w:header="720" w:footer="187" w:gutter="0"/>
          <w:cols w:space="720"/>
          <w:titlePg/>
          <w:docGrid w:linePitch="272"/>
        </w:sectPr>
      </w:pPr>
    </w:p>
    <w:p w14:paraId="3A0B3176" w14:textId="77777777" w:rsidR="00F51CD6" w:rsidRDefault="00F51CD6" w:rsidP="00E85EF6">
      <w:pPr>
        <w:pStyle w:val="Heading2"/>
        <w:spacing w:before="0"/>
        <w:rPr>
          <w:rFonts w:ascii="Calibri" w:hAnsi="Calibri" w:cs="Calibri"/>
          <w:b/>
          <w:smallCaps/>
          <w:szCs w:val="28"/>
        </w:rPr>
      </w:pPr>
      <w:bookmarkStart w:id="1" w:name="_Toc254209578"/>
      <w:bookmarkStart w:id="2" w:name="_Toc254209577"/>
      <w:r w:rsidRPr="001471B7">
        <w:rPr>
          <w:color w:val="auto"/>
        </w:rPr>
        <w:lastRenderedPageBreak/>
        <w:t>General Information</w:t>
      </w:r>
      <w:bookmarkEnd w:id="1"/>
      <w:r w:rsidRPr="001471B7">
        <w:rPr>
          <w:rFonts w:ascii="Calibri" w:hAnsi="Calibri" w:cs="Calibri"/>
          <w:b/>
          <w:smallCaps/>
          <w:color w:val="auto"/>
          <w:szCs w:val="28"/>
        </w:rPr>
        <w:tab/>
      </w:r>
    </w:p>
    <w:p w14:paraId="5A755C4C" w14:textId="77777777" w:rsidR="00F51CD6" w:rsidRDefault="00F51CD6" w:rsidP="00F51CD6"/>
    <w:tbl>
      <w:tblPr>
        <w:tblpPr w:leftFromText="180" w:rightFromText="180" w:vertAnchor="page" w:horzAnchor="margin" w:tblpY="1981"/>
        <w:tblW w:w="10207" w:type="dxa"/>
        <w:tblLayout w:type="fixed"/>
        <w:tblLook w:val="0000" w:firstRow="0" w:lastRow="0" w:firstColumn="0" w:lastColumn="0" w:noHBand="0" w:noVBand="0"/>
      </w:tblPr>
      <w:tblGrid>
        <w:gridCol w:w="5387"/>
        <w:gridCol w:w="4820"/>
      </w:tblGrid>
      <w:tr w:rsidR="0011750C" w:rsidRPr="00537C71" w14:paraId="3DEB9C20" w14:textId="77777777" w:rsidTr="0011750C">
        <w:trPr>
          <w:trHeight w:val="9639"/>
        </w:trPr>
        <w:tc>
          <w:tcPr>
            <w:tcW w:w="5387" w:type="dxa"/>
          </w:tcPr>
          <w:p w14:paraId="1188766E" w14:textId="77777777" w:rsidR="0011750C" w:rsidRPr="00537C71" w:rsidRDefault="0011750C" w:rsidP="0011750C">
            <w:pPr>
              <w:pStyle w:val="body"/>
              <w:jc w:val="left"/>
            </w:pPr>
            <w:r w:rsidRPr="00115B18">
              <w:rPr>
                <w:b/>
              </w:rPr>
              <w:t>Board of Directors</w:t>
            </w:r>
            <w:r w:rsidRPr="00537C71">
              <w:tab/>
            </w:r>
            <w:r w:rsidRPr="00537C71">
              <w:tab/>
            </w:r>
            <w:r w:rsidRPr="00537C71">
              <w:tab/>
            </w:r>
            <w:r w:rsidRPr="00537C71">
              <w:tab/>
            </w:r>
            <w:r>
              <w:t xml:space="preserve"> (all non-executive)</w:t>
            </w:r>
          </w:p>
          <w:p w14:paraId="3B341ED2" w14:textId="77777777" w:rsidR="0011750C" w:rsidRDefault="0011750C" w:rsidP="0011750C">
            <w:pPr>
              <w:pStyle w:val="body"/>
              <w:jc w:val="left"/>
              <w:rPr>
                <w:i/>
              </w:rPr>
            </w:pPr>
            <w:r>
              <w:t>John Rennocks</w:t>
            </w:r>
            <w:r w:rsidRPr="005C681F">
              <w:t xml:space="preserve"> (</w:t>
            </w:r>
            <w:r w:rsidRPr="00115B18">
              <w:t>Chairman)</w:t>
            </w:r>
          </w:p>
          <w:p w14:paraId="598F355B" w14:textId="77777777" w:rsidR="0011750C" w:rsidRDefault="0011750C" w:rsidP="0011750C">
            <w:pPr>
              <w:pStyle w:val="body"/>
              <w:jc w:val="left"/>
            </w:pPr>
            <w:r w:rsidRPr="00115B18">
              <w:t>John Scott</w:t>
            </w:r>
            <w:r>
              <w:t xml:space="preserve"> (Senior Independent Director)</w:t>
            </w:r>
          </w:p>
          <w:p w14:paraId="65FEC071" w14:textId="77777777" w:rsidR="0011750C" w:rsidRPr="004F69C0" w:rsidRDefault="0011750C" w:rsidP="0011750C">
            <w:pPr>
              <w:pStyle w:val="body"/>
              <w:jc w:val="left"/>
            </w:pPr>
            <w:r w:rsidRPr="00115B18">
              <w:t>Paul Le Page</w:t>
            </w:r>
            <w:r>
              <w:t xml:space="preserve"> (Chairman of Audit Committee)</w:t>
            </w:r>
          </w:p>
          <w:p w14:paraId="35757B7C" w14:textId="77777777" w:rsidR="001D63BC" w:rsidRDefault="001D63BC" w:rsidP="001D63BC">
            <w:pPr>
              <w:pStyle w:val="body"/>
              <w:jc w:val="left"/>
            </w:pPr>
            <w:r>
              <w:t xml:space="preserve">Meriel Lenfestey </w:t>
            </w:r>
          </w:p>
          <w:p w14:paraId="7929ADD4" w14:textId="77777777" w:rsidR="0011750C" w:rsidRDefault="0011750C" w:rsidP="0011750C">
            <w:pPr>
              <w:pStyle w:val="body"/>
              <w:jc w:val="left"/>
            </w:pPr>
            <w:r w:rsidRPr="00115B18">
              <w:t>Laurence McNairn</w:t>
            </w:r>
          </w:p>
          <w:p w14:paraId="15374810" w14:textId="77777777" w:rsidR="0011750C" w:rsidRDefault="0011750C" w:rsidP="0011750C">
            <w:pPr>
              <w:pStyle w:val="body"/>
              <w:jc w:val="left"/>
            </w:pPr>
          </w:p>
          <w:p w14:paraId="04D45BE4" w14:textId="77777777" w:rsidR="0011750C" w:rsidRDefault="0011750C" w:rsidP="0011750C">
            <w:pPr>
              <w:pStyle w:val="body"/>
              <w:jc w:val="left"/>
              <w:rPr>
                <w:b/>
              </w:rPr>
            </w:pPr>
            <w:r w:rsidRPr="004F69C0">
              <w:rPr>
                <w:b/>
              </w:rPr>
              <w:t>Registered Office</w:t>
            </w:r>
            <w:r w:rsidRPr="004F69C0">
              <w:rPr>
                <w:b/>
              </w:rPr>
              <w:tab/>
              <w:t xml:space="preserve"> </w:t>
            </w:r>
          </w:p>
          <w:p w14:paraId="61D5F7A4" w14:textId="77777777" w:rsidR="0011750C" w:rsidRPr="00B93928" w:rsidRDefault="0011750C" w:rsidP="0011750C">
            <w:pPr>
              <w:pStyle w:val="body"/>
              <w:jc w:val="left"/>
            </w:pPr>
            <w:r>
              <w:t>PO Box 286</w:t>
            </w:r>
          </w:p>
          <w:p w14:paraId="688A4929" w14:textId="77777777" w:rsidR="0011750C" w:rsidRDefault="0011750C" w:rsidP="0011750C">
            <w:pPr>
              <w:pStyle w:val="body"/>
              <w:jc w:val="left"/>
            </w:pPr>
            <w:r>
              <w:t>Floor 2, Trafalgar Court</w:t>
            </w:r>
          </w:p>
          <w:p w14:paraId="1C258A08" w14:textId="639C3A7E" w:rsidR="0011750C" w:rsidRPr="00B32244" w:rsidRDefault="0011750C" w:rsidP="0011750C">
            <w:pPr>
              <w:pStyle w:val="body"/>
              <w:jc w:val="left"/>
              <w:rPr>
                <w:sz w:val="22"/>
                <w:vertAlign w:val="superscript"/>
              </w:rPr>
            </w:pPr>
            <w:r>
              <w:t xml:space="preserve">Les </w:t>
            </w:r>
            <w:proofErr w:type="spellStart"/>
            <w:r>
              <w:t>Banques</w:t>
            </w:r>
            <w:proofErr w:type="spellEnd"/>
            <w:r>
              <w:t>, St Peter Port</w:t>
            </w:r>
            <w:r>
              <w:br/>
              <w:t>Guernsey, GY1 4L</w:t>
            </w:r>
            <w:r w:rsidRPr="00537C71">
              <w:t>Y</w:t>
            </w:r>
          </w:p>
          <w:p w14:paraId="672D0A1A" w14:textId="77777777" w:rsidR="0011750C" w:rsidRDefault="0011750C" w:rsidP="0011750C">
            <w:pPr>
              <w:pStyle w:val="body"/>
              <w:jc w:val="left"/>
            </w:pPr>
          </w:p>
          <w:p w14:paraId="45E9864D" w14:textId="77777777" w:rsidR="0011750C" w:rsidRPr="004F69C0" w:rsidRDefault="0011750C" w:rsidP="0011750C">
            <w:pPr>
              <w:pStyle w:val="body"/>
              <w:jc w:val="left"/>
              <w:rPr>
                <w:b/>
              </w:rPr>
            </w:pPr>
            <w:r w:rsidRPr="004F69C0">
              <w:rPr>
                <w:b/>
              </w:rPr>
              <w:t>Administrator, Company Secretary and Designated Manager</w:t>
            </w:r>
          </w:p>
          <w:p w14:paraId="2AD1FF4E" w14:textId="59959E72" w:rsidR="0011750C" w:rsidRDefault="0001701B" w:rsidP="0011750C">
            <w:pPr>
              <w:pStyle w:val="body"/>
              <w:jc w:val="left"/>
            </w:pPr>
            <w:proofErr w:type="spellStart"/>
            <w:r>
              <w:t>Ocorian</w:t>
            </w:r>
            <w:proofErr w:type="spellEnd"/>
            <w:r>
              <w:t xml:space="preserve"> Administration (Guernsey) Limited (formerly </w:t>
            </w:r>
            <w:r w:rsidR="0011750C">
              <w:t>Estera</w:t>
            </w:r>
            <w:r w:rsidR="0011750C" w:rsidRPr="00537C71">
              <w:t xml:space="preserve"> International Fund Managers </w:t>
            </w:r>
            <w:r w:rsidR="0011750C">
              <w:t xml:space="preserve">(Guernsey) </w:t>
            </w:r>
            <w:r w:rsidR="0011750C" w:rsidRPr="00537C71">
              <w:t>Limited</w:t>
            </w:r>
            <w:r>
              <w:t>)</w:t>
            </w:r>
            <w:r w:rsidR="0011750C" w:rsidRPr="00537C71">
              <w:br/>
            </w:r>
            <w:r w:rsidR="0011750C">
              <w:t>Floor 2, Trafalgar Court</w:t>
            </w:r>
          </w:p>
          <w:p w14:paraId="553C2A2D" w14:textId="2C505291" w:rsidR="0011750C" w:rsidRPr="00304497" w:rsidRDefault="0011750C" w:rsidP="0011750C">
            <w:pPr>
              <w:pStyle w:val="body"/>
              <w:jc w:val="left"/>
              <w:rPr>
                <w:vertAlign w:val="superscript"/>
              </w:rPr>
            </w:pPr>
            <w:r>
              <w:t xml:space="preserve">Les </w:t>
            </w:r>
            <w:proofErr w:type="spellStart"/>
            <w:r>
              <w:t>Banques</w:t>
            </w:r>
            <w:proofErr w:type="spellEnd"/>
            <w:r>
              <w:t xml:space="preserve">, St Peter Port </w:t>
            </w:r>
            <w:r>
              <w:br/>
              <w:t>Guernsey, GY1 4L</w:t>
            </w:r>
            <w:r w:rsidRPr="00537C71">
              <w:t>Y</w:t>
            </w:r>
          </w:p>
          <w:p w14:paraId="002AEE32" w14:textId="77777777" w:rsidR="0011750C" w:rsidRPr="00537C71" w:rsidRDefault="0011750C" w:rsidP="0011750C">
            <w:pPr>
              <w:pStyle w:val="body"/>
              <w:jc w:val="left"/>
            </w:pPr>
          </w:p>
          <w:p w14:paraId="0A00B295" w14:textId="77777777" w:rsidR="0011750C" w:rsidRPr="004F69C0" w:rsidRDefault="0011750C" w:rsidP="0011750C">
            <w:pPr>
              <w:pStyle w:val="body"/>
              <w:jc w:val="left"/>
              <w:rPr>
                <w:b/>
                <w:lang w:val="fr-FR"/>
              </w:rPr>
            </w:pPr>
            <w:r w:rsidRPr="004F69C0">
              <w:rPr>
                <w:b/>
                <w:lang w:val="fr-FR"/>
              </w:rPr>
              <w:t xml:space="preserve">Independent </w:t>
            </w:r>
            <w:proofErr w:type="spellStart"/>
            <w:r w:rsidRPr="004F69C0">
              <w:rPr>
                <w:b/>
                <w:lang w:val="fr-FR"/>
              </w:rPr>
              <w:t>Auditor</w:t>
            </w:r>
            <w:proofErr w:type="spellEnd"/>
            <w:r w:rsidRPr="004F69C0">
              <w:rPr>
                <w:b/>
                <w:lang w:val="fr-FR"/>
              </w:rPr>
              <w:t xml:space="preserve"> &amp; </w:t>
            </w:r>
            <w:proofErr w:type="spellStart"/>
            <w:r w:rsidRPr="004F69C0">
              <w:rPr>
                <w:b/>
                <w:lang w:val="fr-FR"/>
              </w:rPr>
              <w:t>Reporting</w:t>
            </w:r>
            <w:proofErr w:type="spellEnd"/>
            <w:r w:rsidRPr="004F69C0">
              <w:rPr>
                <w:b/>
                <w:lang w:val="fr-FR"/>
              </w:rPr>
              <w:t xml:space="preserve"> </w:t>
            </w:r>
            <w:proofErr w:type="spellStart"/>
            <w:r w:rsidRPr="004F69C0">
              <w:rPr>
                <w:b/>
                <w:lang w:val="fr-FR"/>
              </w:rPr>
              <w:t>Accountants</w:t>
            </w:r>
            <w:proofErr w:type="spellEnd"/>
          </w:p>
          <w:p w14:paraId="57CFBD5E" w14:textId="77777777" w:rsidR="0011750C" w:rsidRDefault="0011750C" w:rsidP="0011750C">
            <w:pPr>
              <w:pStyle w:val="body"/>
              <w:jc w:val="left"/>
              <w:rPr>
                <w:lang w:val="fr-FR"/>
              </w:rPr>
            </w:pPr>
            <w:r>
              <w:rPr>
                <w:lang w:val="fr-FR"/>
              </w:rPr>
              <w:t xml:space="preserve">KPMG Channel </w:t>
            </w:r>
            <w:proofErr w:type="spellStart"/>
            <w:r>
              <w:rPr>
                <w:lang w:val="fr-FR"/>
              </w:rPr>
              <w:t>Islands</w:t>
            </w:r>
            <w:proofErr w:type="spellEnd"/>
            <w:r>
              <w:rPr>
                <w:lang w:val="fr-FR"/>
              </w:rPr>
              <w:t xml:space="preserve"> Limited</w:t>
            </w:r>
          </w:p>
          <w:p w14:paraId="57A0B30D" w14:textId="77777777" w:rsidR="0011750C" w:rsidRDefault="0011750C" w:rsidP="0011750C">
            <w:pPr>
              <w:pStyle w:val="body"/>
              <w:jc w:val="left"/>
            </w:pPr>
            <w:proofErr w:type="spellStart"/>
            <w:r>
              <w:rPr>
                <w:lang w:val="fr-FR"/>
              </w:rPr>
              <w:t>Glategny</w:t>
            </w:r>
            <w:proofErr w:type="spellEnd"/>
            <w:r>
              <w:rPr>
                <w:lang w:val="fr-FR"/>
              </w:rPr>
              <w:t xml:space="preserve"> Court</w:t>
            </w:r>
            <w:r>
              <w:t xml:space="preserve">, </w:t>
            </w:r>
            <w:proofErr w:type="spellStart"/>
            <w:r>
              <w:t>Glategny</w:t>
            </w:r>
            <w:proofErr w:type="spellEnd"/>
            <w:r>
              <w:t xml:space="preserve"> Esplanade</w:t>
            </w:r>
          </w:p>
          <w:p w14:paraId="4B01EA90" w14:textId="77777777" w:rsidR="0011750C" w:rsidRPr="00537C71" w:rsidRDefault="0011750C" w:rsidP="0011750C">
            <w:pPr>
              <w:pStyle w:val="body"/>
              <w:jc w:val="left"/>
            </w:pPr>
            <w:r>
              <w:t>St</w:t>
            </w:r>
            <w:r w:rsidRPr="00537C71">
              <w:t xml:space="preserve"> Peter Port</w:t>
            </w:r>
          </w:p>
          <w:p w14:paraId="23908549" w14:textId="77777777" w:rsidR="0011750C" w:rsidRPr="00537C71" w:rsidRDefault="0011750C" w:rsidP="0011750C">
            <w:pPr>
              <w:pStyle w:val="body"/>
              <w:jc w:val="left"/>
            </w:pPr>
            <w:r w:rsidRPr="00537C71">
              <w:t>Guernsey</w:t>
            </w:r>
            <w:r>
              <w:t xml:space="preserve">, </w:t>
            </w:r>
            <w:r w:rsidRPr="00537C71">
              <w:t xml:space="preserve">GY1 </w:t>
            </w:r>
            <w:r>
              <w:t>1WR</w:t>
            </w:r>
          </w:p>
          <w:p w14:paraId="7A55F55E" w14:textId="77777777" w:rsidR="0011750C" w:rsidRDefault="0011750C" w:rsidP="0011750C">
            <w:pPr>
              <w:pStyle w:val="body"/>
              <w:jc w:val="left"/>
              <w:rPr>
                <w:b/>
              </w:rPr>
            </w:pPr>
          </w:p>
          <w:p w14:paraId="4EB30BA9" w14:textId="77777777" w:rsidR="0011750C" w:rsidRPr="004F69C0" w:rsidRDefault="0011750C" w:rsidP="0011750C">
            <w:pPr>
              <w:pStyle w:val="body"/>
              <w:jc w:val="left"/>
              <w:rPr>
                <w:b/>
              </w:rPr>
            </w:pPr>
            <w:r w:rsidRPr="004F69C0">
              <w:rPr>
                <w:b/>
              </w:rPr>
              <w:t>Registrar</w:t>
            </w:r>
          </w:p>
          <w:p w14:paraId="45D33D9E" w14:textId="77777777" w:rsidR="0011750C" w:rsidRPr="00C2090C" w:rsidRDefault="0011750C" w:rsidP="0011750C">
            <w:pPr>
              <w:pStyle w:val="body"/>
              <w:jc w:val="left"/>
            </w:pPr>
            <w:r>
              <w:t>Link Market Services</w:t>
            </w:r>
            <w:r w:rsidRPr="00C2090C">
              <w:t xml:space="preserve"> (Guernsey) Limited</w:t>
            </w:r>
          </w:p>
          <w:p w14:paraId="53EFAD77" w14:textId="77777777" w:rsidR="0011750C" w:rsidRDefault="0011750C" w:rsidP="0011750C">
            <w:pPr>
              <w:pStyle w:val="body"/>
              <w:jc w:val="left"/>
            </w:pPr>
            <w:r>
              <w:t xml:space="preserve">Mont </w:t>
            </w:r>
            <w:proofErr w:type="spellStart"/>
            <w:r>
              <w:t>Crevelt</w:t>
            </w:r>
            <w:proofErr w:type="spellEnd"/>
            <w:r>
              <w:t xml:space="preserve"> House</w:t>
            </w:r>
          </w:p>
          <w:p w14:paraId="2CDE8A9E" w14:textId="77777777" w:rsidR="0011750C" w:rsidRPr="00C2090C" w:rsidRDefault="0011750C" w:rsidP="0011750C">
            <w:pPr>
              <w:pStyle w:val="body"/>
              <w:jc w:val="left"/>
            </w:pPr>
            <w:r w:rsidRPr="00C2090C">
              <w:t>Bulwer Avenue</w:t>
            </w:r>
            <w:r>
              <w:t xml:space="preserve">, </w:t>
            </w:r>
            <w:r w:rsidRPr="00C2090C">
              <w:t>St Sampson</w:t>
            </w:r>
          </w:p>
          <w:p w14:paraId="7078A7D0" w14:textId="77777777" w:rsidR="0011750C" w:rsidRPr="00537C71" w:rsidRDefault="0011750C" w:rsidP="0011750C">
            <w:pPr>
              <w:pStyle w:val="body"/>
              <w:jc w:val="left"/>
            </w:pPr>
            <w:r w:rsidRPr="00C2090C">
              <w:t>Guernsey</w:t>
            </w:r>
            <w:r>
              <w:t xml:space="preserve">, </w:t>
            </w:r>
            <w:r w:rsidRPr="00C2090C">
              <w:t>GY2 4LH</w:t>
            </w:r>
          </w:p>
          <w:p w14:paraId="5FCABD4A" w14:textId="77777777" w:rsidR="0011750C" w:rsidRDefault="0011750C" w:rsidP="0011750C">
            <w:pPr>
              <w:pStyle w:val="body"/>
              <w:jc w:val="center"/>
            </w:pPr>
          </w:p>
          <w:p w14:paraId="6D647287" w14:textId="677395EB" w:rsidR="0011750C" w:rsidRDefault="0011750C" w:rsidP="0011750C">
            <w:pPr>
              <w:pStyle w:val="body"/>
              <w:jc w:val="left"/>
              <w:rPr>
                <w:b/>
              </w:rPr>
            </w:pPr>
          </w:p>
          <w:p w14:paraId="418A8733" w14:textId="77777777" w:rsidR="0011750C" w:rsidRPr="004F69C0" w:rsidRDefault="0011750C" w:rsidP="0011750C">
            <w:pPr>
              <w:pStyle w:val="body"/>
              <w:jc w:val="left"/>
              <w:rPr>
                <w:b/>
              </w:rPr>
            </w:pPr>
            <w:r w:rsidRPr="004F69C0">
              <w:rPr>
                <w:b/>
              </w:rPr>
              <w:t>Receiving Agent and UK Transfer Agent</w:t>
            </w:r>
          </w:p>
          <w:p w14:paraId="7A718791" w14:textId="77777777" w:rsidR="0011750C" w:rsidRPr="00C2090C" w:rsidRDefault="0011750C" w:rsidP="0011750C">
            <w:pPr>
              <w:pStyle w:val="body"/>
              <w:jc w:val="left"/>
            </w:pPr>
            <w:r>
              <w:t>Link Asset Services</w:t>
            </w:r>
            <w:r w:rsidRPr="00C2090C">
              <w:t xml:space="preserve"> </w:t>
            </w:r>
            <w:r>
              <w:t>Limited</w:t>
            </w:r>
          </w:p>
          <w:p w14:paraId="706AAFEC" w14:textId="77777777" w:rsidR="0011750C" w:rsidRPr="00C2090C" w:rsidRDefault="0011750C" w:rsidP="0011750C">
            <w:pPr>
              <w:pStyle w:val="body"/>
              <w:jc w:val="left"/>
            </w:pPr>
            <w:r>
              <w:t>The Registry</w:t>
            </w:r>
          </w:p>
          <w:p w14:paraId="47EBE074" w14:textId="77777777" w:rsidR="0011750C" w:rsidRDefault="0011750C" w:rsidP="0011750C">
            <w:pPr>
              <w:pStyle w:val="body"/>
              <w:jc w:val="left"/>
            </w:pPr>
            <w:r>
              <w:t>34 Beckenham Road, Beckenham</w:t>
            </w:r>
            <w:r w:rsidRPr="00C2090C">
              <w:t xml:space="preserve"> </w:t>
            </w:r>
          </w:p>
          <w:p w14:paraId="3F0E9563" w14:textId="77777777" w:rsidR="0011750C" w:rsidRPr="004065EC" w:rsidRDefault="0011750C" w:rsidP="0011750C">
            <w:pPr>
              <w:pStyle w:val="body"/>
              <w:jc w:val="left"/>
            </w:pPr>
            <w:r>
              <w:t>Kent, BR3 4TU</w:t>
            </w:r>
            <w:r w:rsidRPr="00C2090C" w:rsidDel="00116672">
              <w:t xml:space="preserve"> </w:t>
            </w:r>
          </w:p>
        </w:tc>
        <w:tc>
          <w:tcPr>
            <w:tcW w:w="4820" w:type="dxa"/>
          </w:tcPr>
          <w:p w14:paraId="2D85C93D" w14:textId="77777777" w:rsidR="0011750C" w:rsidRDefault="0011750C" w:rsidP="0011750C">
            <w:pPr>
              <w:pStyle w:val="body"/>
              <w:jc w:val="left"/>
              <w:rPr>
                <w:b/>
                <w:lang w:val="en-US"/>
              </w:rPr>
            </w:pPr>
          </w:p>
          <w:p w14:paraId="0085ED93" w14:textId="77777777" w:rsidR="0011750C" w:rsidRDefault="0011750C" w:rsidP="0011750C">
            <w:pPr>
              <w:pStyle w:val="body"/>
              <w:jc w:val="left"/>
              <w:rPr>
                <w:b/>
                <w:lang w:val="en-US"/>
              </w:rPr>
            </w:pPr>
          </w:p>
          <w:p w14:paraId="2CF7CDA9" w14:textId="77777777" w:rsidR="0011750C" w:rsidRDefault="0011750C" w:rsidP="0011750C">
            <w:pPr>
              <w:pStyle w:val="body"/>
              <w:jc w:val="left"/>
              <w:rPr>
                <w:b/>
                <w:lang w:val="en-US"/>
              </w:rPr>
            </w:pPr>
          </w:p>
          <w:p w14:paraId="39999B25" w14:textId="77777777" w:rsidR="0011750C" w:rsidRDefault="0011750C" w:rsidP="0011750C">
            <w:pPr>
              <w:pStyle w:val="body"/>
              <w:jc w:val="left"/>
              <w:rPr>
                <w:b/>
                <w:lang w:val="en-US"/>
              </w:rPr>
            </w:pPr>
          </w:p>
          <w:p w14:paraId="54E1BC1C" w14:textId="77777777" w:rsidR="0011750C" w:rsidRDefault="0011750C" w:rsidP="0011750C">
            <w:pPr>
              <w:pStyle w:val="body"/>
              <w:jc w:val="left"/>
              <w:rPr>
                <w:b/>
                <w:lang w:val="en-US"/>
              </w:rPr>
            </w:pPr>
          </w:p>
          <w:p w14:paraId="72FA6246" w14:textId="77777777" w:rsidR="0011750C" w:rsidRDefault="0011750C" w:rsidP="0011750C">
            <w:pPr>
              <w:pStyle w:val="body"/>
              <w:jc w:val="left"/>
              <w:rPr>
                <w:b/>
                <w:lang w:val="en-US"/>
              </w:rPr>
            </w:pPr>
          </w:p>
          <w:p w14:paraId="0A990B0C" w14:textId="77777777" w:rsidR="0011750C" w:rsidRDefault="0011750C" w:rsidP="0011750C">
            <w:pPr>
              <w:pStyle w:val="body"/>
              <w:jc w:val="left"/>
              <w:rPr>
                <w:b/>
                <w:lang w:val="en-US"/>
              </w:rPr>
            </w:pPr>
          </w:p>
          <w:p w14:paraId="2C498954" w14:textId="77777777" w:rsidR="0011750C" w:rsidRPr="00115B18" w:rsidRDefault="0011750C" w:rsidP="0011750C">
            <w:pPr>
              <w:pStyle w:val="body"/>
              <w:jc w:val="left"/>
              <w:rPr>
                <w:b/>
                <w:lang w:val="en-US"/>
              </w:rPr>
            </w:pPr>
            <w:r w:rsidRPr="00115B18">
              <w:rPr>
                <w:b/>
                <w:lang w:val="en-US"/>
              </w:rPr>
              <w:t>Investment Adviser</w:t>
            </w:r>
          </w:p>
          <w:p w14:paraId="1C261750" w14:textId="77777777" w:rsidR="0011750C" w:rsidRPr="005C681F" w:rsidRDefault="0011750C" w:rsidP="0011750C">
            <w:pPr>
              <w:pStyle w:val="body"/>
              <w:jc w:val="left"/>
            </w:pPr>
            <w:r>
              <w:t>Bluefield Partners</w:t>
            </w:r>
            <w:r w:rsidRPr="005C681F">
              <w:t xml:space="preserve"> LLP</w:t>
            </w:r>
          </w:p>
          <w:p w14:paraId="7C590996" w14:textId="77777777" w:rsidR="0011750C" w:rsidRPr="00C2090C" w:rsidRDefault="0011750C" w:rsidP="0011750C">
            <w:pPr>
              <w:pStyle w:val="body"/>
              <w:jc w:val="left"/>
            </w:pPr>
            <w:r>
              <w:t>6 New Street Square</w:t>
            </w:r>
          </w:p>
          <w:p w14:paraId="7ED1C22A" w14:textId="77777777" w:rsidR="0011750C" w:rsidRPr="00537C71" w:rsidRDefault="0011750C" w:rsidP="0011750C">
            <w:pPr>
              <w:pStyle w:val="body"/>
              <w:jc w:val="left"/>
            </w:pPr>
            <w:r>
              <w:t>London, EC4A 3BF</w:t>
            </w:r>
          </w:p>
          <w:p w14:paraId="5012BD11" w14:textId="77777777" w:rsidR="0011750C" w:rsidRPr="00B32244" w:rsidRDefault="0011750C" w:rsidP="0011750C">
            <w:pPr>
              <w:pStyle w:val="body"/>
              <w:jc w:val="left"/>
            </w:pPr>
          </w:p>
          <w:p w14:paraId="79EC2018" w14:textId="77777777" w:rsidR="0011750C" w:rsidRDefault="0011750C" w:rsidP="0011750C">
            <w:pPr>
              <w:pStyle w:val="body"/>
              <w:jc w:val="left"/>
              <w:rPr>
                <w:b/>
                <w:lang w:val="en-US"/>
              </w:rPr>
            </w:pPr>
          </w:p>
          <w:p w14:paraId="729840A3" w14:textId="77777777" w:rsidR="0011750C" w:rsidRPr="004F69C0" w:rsidRDefault="0011750C" w:rsidP="0011750C">
            <w:pPr>
              <w:pStyle w:val="body"/>
              <w:jc w:val="left"/>
              <w:rPr>
                <w:b/>
                <w:lang w:val="en-US"/>
              </w:rPr>
            </w:pPr>
            <w:r w:rsidRPr="004F69C0">
              <w:rPr>
                <w:b/>
                <w:lang w:val="en-US"/>
              </w:rPr>
              <w:t>Sponsor, Broker and Financial Adviser</w:t>
            </w:r>
          </w:p>
          <w:p w14:paraId="55F49A3C" w14:textId="77777777" w:rsidR="0011750C" w:rsidRPr="00C2090C" w:rsidRDefault="0011750C" w:rsidP="0011750C">
            <w:pPr>
              <w:pStyle w:val="body"/>
              <w:jc w:val="left"/>
              <w:rPr>
                <w:lang w:val="en-US"/>
              </w:rPr>
            </w:pPr>
            <w:proofErr w:type="spellStart"/>
            <w:r>
              <w:rPr>
                <w:lang w:val="en-US"/>
              </w:rPr>
              <w:t>Numis</w:t>
            </w:r>
            <w:proofErr w:type="spellEnd"/>
            <w:r>
              <w:rPr>
                <w:lang w:val="en-US"/>
              </w:rPr>
              <w:t xml:space="preserve"> Securities Limited</w:t>
            </w:r>
          </w:p>
          <w:p w14:paraId="23CDD4BA" w14:textId="77777777" w:rsidR="0011750C" w:rsidRPr="00C2090C" w:rsidRDefault="0011750C" w:rsidP="0011750C">
            <w:pPr>
              <w:pStyle w:val="body"/>
              <w:jc w:val="left"/>
              <w:rPr>
                <w:lang w:val="en-US"/>
              </w:rPr>
            </w:pPr>
            <w:r>
              <w:rPr>
                <w:lang w:val="en-US"/>
              </w:rPr>
              <w:t>The London Stock Exchange Building</w:t>
            </w:r>
          </w:p>
          <w:p w14:paraId="2A66B0C0" w14:textId="77777777" w:rsidR="0011750C" w:rsidRDefault="0011750C" w:rsidP="0011750C">
            <w:pPr>
              <w:pStyle w:val="body"/>
              <w:jc w:val="left"/>
              <w:rPr>
                <w:lang w:val="en-US"/>
              </w:rPr>
            </w:pPr>
            <w:r>
              <w:rPr>
                <w:lang w:val="en-US"/>
              </w:rPr>
              <w:t>10 Paternoster Square</w:t>
            </w:r>
            <w:r w:rsidRPr="00C2090C">
              <w:rPr>
                <w:lang w:val="en-US"/>
              </w:rPr>
              <w:t xml:space="preserve">  </w:t>
            </w:r>
          </w:p>
          <w:p w14:paraId="40976CAC" w14:textId="77777777" w:rsidR="0011750C" w:rsidRPr="00C2090C" w:rsidRDefault="0011750C" w:rsidP="0011750C">
            <w:pPr>
              <w:pStyle w:val="body"/>
              <w:jc w:val="left"/>
              <w:rPr>
                <w:lang w:val="en-US"/>
              </w:rPr>
            </w:pPr>
            <w:r>
              <w:rPr>
                <w:lang w:val="en-US"/>
              </w:rPr>
              <w:t xml:space="preserve">London, </w:t>
            </w:r>
            <w:r w:rsidRPr="00C2090C">
              <w:rPr>
                <w:lang w:val="en-US"/>
              </w:rPr>
              <w:t>EC</w:t>
            </w:r>
            <w:r>
              <w:rPr>
                <w:lang w:val="en-US"/>
              </w:rPr>
              <w:t>4M</w:t>
            </w:r>
            <w:r w:rsidRPr="00C2090C">
              <w:rPr>
                <w:lang w:val="en-US"/>
              </w:rPr>
              <w:t xml:space="preserve"> 7</w:t>
            </w:r>
            <w:r>
              <w:rPr>
                <w:lang w:val="en-US"/>
              </w:rPr>
              <w:t>LT</w:t>
            </w:r>
          </w:p>
          <w:p w14:paraId="0C30E1CC" w14:textId="77777777" w:rsidR="0011750C" w:rsidRDefault="0011750C" w:rsidP="0011750C">
            <w:pPr>
              <w:pStyle w:val="body"/>
              <w:jc w:val="left"/>
              <w:rPr>
                <w:lang w:val="en-US"/>
              </w:rPr>
            </w:pPr>
          </w:p>
          <w:p w14:paraId="4A530462" w14:textId="77777777" w:rsidR="0011750C" w:rsidRDefault="0011750C" w:rsidP="0011750C">
            <w:pPr>
              <w:pStyle w:val="body"/>
              <w:jc w:val="left"/>
              <w:rPr>
                <w:b/>
                <w:lang w:val="en-US"/>
              </w:rPr>
            </w:pPr>
          </w:p>
          <w:p w14:paraId="0AC27CCF" w14:textId="77777777" w:rsidR="001D63BC" w:rsidRDefault="001D63BC" w:rsidP="0011750C">
            <w:pPr>
              <w:pStyle w:val="body"/>
              <w:jc w:val="left"/>
              <w:rPr>
                <w:b/>
                <w:lang w:val="en-US"/>
              </w:rPr>
            </w:pPr>
          </w:p>
          <w:p w14:paraId="6DDC030F" w14:textId="5F02D56C" w:rsidR="0011750C" w:rsidRPr="00537C71" w:rsidRDefault="0011750C" w:rsidP="0011750C">
            <w:pPr>
              <w:pStyle w:val="body"/>
              <w:jc w:val="left"/>
              <w:rPr>
                <w:lang w:val="en-US"/>
              </w:rPr>
            </w:pPr>
            <w:r w:rsidRPr="004F69C0">
              <w:rPr>
                <w:b/>
                <w:lang w:val="en-US"/>
              </w:rPr>
              <w:t>Legal Advisers to the Company</w:t>
            </w:r>
            <w:r>
              <w:rPr>
                <w:b/>
                <w:lang w:val="en-US"/>
              </w:rPr>
              <w:br/>
            </w:r>
            <w:r>
              <w:rPr>
                <w:lang w:val="en-US"/>
              </w:rPr>
              <w:t>(as to English law)</w:t>
            </w:r>
          </w:p>
          <w:p w14:paraId="2C6E4006" w14:textId="77777777" w:rsidR="0011750C" w:rsidRPr="00C2090C" w:rsidRDefault="0011750C" w:rsidP="0011750C">
            <w:pPr>
              <w:pStyle w:val="body"/>
              <w:jc w:val="left"/>
            </w:pPr>
            <w:r>
              <w:t>Norton Rose Fulbright LLP</w:t>
            </w:r>
          </w:p>
          <w:p w14:paraId="1C9AFD79" w14:textId="77777777" w:rsidR="0011750C" w:rsidRPr="00C2090C" w:rsidRDefault="0011750C" w:rsidP="0011750C">
            <w:pPr>
              <w:pStyle w:val="body"/>
              <w:jc w:val="left"/>
            </w:pPr>
            <w:r>
              <w:t>3 More London Riverside</w:t>
            </w:r>
          </w:p>
          <w:p w14:paraId="00FAD5E4" w14:textId="77777777" w:rsidR="0011750C" w:rsidRPr="00C2090C" w:rsidRDefault="0011750C" w:rsidP="0011750C">
            <w:pPr>
              <w:pStyle w:val="body"/>
              <w:jc w:val="left"/>
            </w:pPr>
            <w:r>
              <w:t>London,</w:t>
            </w:r>
            <w:r w:rsidRPr="00C2090C">
              <w:t xml:space="preserve"> </w:t>
            </w:r>
            <w:r>
              <w:t>SE1 2AQ</w:t>
            </w:r>
          </w:p>
          <w:p w14:paraId="31EC3185" w14:textId="77777777" w:rsidR="0011750C" w:rsidRDefault="0011750C" w:rsidP="0011750C">
            <w:pPr>
              <w:pStyle w:val="body"/>
              <w:jc w:val="left"/>
            </w:pPr>
          </w:p>
          <w:p w14:paraId="4D347CCE" w14:textId="77777777" w:rsidR="0011750C" w:rsidRPr="00537C71" w:rsidRDefault="0011750C" w:rsidP="0011750C">
            <w:pPr>
              <w:pStyle w:val="body"/>
              <w:jc w:val="left"/>
            </w:pPr>
            <w:r w:rsidRPr="004F69C0">
              <w:rPr>
                <w:b/>
              </w:rPr>
              <w:t>Legal Advisers to the Company</w:t>
            </w:r>
            <w:r>
              <w:t xml:space="preserve"> </w:t>
            </w:r>
            <w:r>
              <w:br/>
              <w:t>(as to Guernsey law)</w:t>
            </w:r>
          </w:p>
          <w:p w14:paraId="71A4C6BC" w14:textId="77777777" w:rsidR="0011750C" w:rsidRPr="00C2090C" w:rsidRDefault="0011750C" w:rsidP="0011750C">
            <w:pPr>
              <w:pStyle w:val="body"/>
              <w:jc w:val="left"/>
            </w:pPr>
            <w:r w:rsidRPr="00C2090C">
              <w:t>Carey Olsen</w:t>
            </w:r>
          </w:p>
          <w:p w14:paraId="2C0B81A3" w14:textId="003F9F2F" w:rsidR="0011750C" w:rsidRPr="00C2090C" w:rsidRDefault="0011750C" w:rsidP="0011750C">
            <w:pPr>
              <w:pStyle w:val="body"/>
              <w:jc w:val="left"/>
            </w:pPr>
            <w:r w:rsidRPr="00C2090C">
              <w:t>P</w:t>
            </w:r>
            <w:r>
              <w:t>O</w:t>
            </w:r>
            <w:r w:rsidRPr="00C2090C">
              <w:t xml:space="preserve"> Box 98</w:t>
            </w:r>
            <w:r w:rsidR="001D63BC">
              <w:t xml:space="preserve">, </w:t>
            </w:r>
            <w:r w:rsidRPr="00C2090C">
              <w:t>Carey House</w:t>
            </w:r>
          </w:p>
          <w:p w14:paraId="4F07C5AF" w14:textId="0371F967" w:rsidR="0011750C" w:rsidRPr="00C2090C" w:rsidRDefault="0011750C" w:rsidP="0011750C">
            <w:pPr>
              <w:pStyle w:val="body"/>
              <w:jc w:val="left"/>
            </w:pPr>
            <w:r w:rsidRPr="00C2090C">
              <w:t xml:space="preserve">Les </w:t>
            </w:r>
            <w:proofErr w:type="spellStart"/>
            <w:r w:rsidRPr="00C2090C">
              <w:t>Banques</w:t>
            </w:r>
            <w:proofErr w:type="spellEnd"/>
            <w:r w:rsidR="001D63BC">
              <w:t xml:space="preserve">, </w:t>
            </w:r>
            <w:r w:rsidRPr="00C2090C">
              <w:t>St Peter Port</w:t>
            </w:r>
          </w:p>
          <w:p w14:paraId="7837B0C6" w14:textId="77777777" w:rsidR="0011750C" w:rsidRPr="00C2090C" w:rsidRDefault="0011750C" w:rsidP="0011750C">
            <w:pPr>
              <w:pStyle w:val="body"/>
              <w:jc w:val="left"/>
            </w:pPr>
            <w:r>
              <w:t xml:space="preserve">Guernsey, </w:t>
            </w:r>
            <w:r w:rsidRPr="00C2090C">
              <w:t>GY1 4BZ</w:t>
            </w:r>
          </w:p>
          <w:p w14:paraId="0B8592D8" w14:textId="77777777" w:rsidR="0011750C" w:rsidRDefault="0011750C" w:rsidP="0011750C">
            <w:pPr>
              <w:pStyle w:val="body"/>
              <w:jc w:val="left"/>
              <w:rPr>
                <w:lang w:val="fr-FR"/>
              </w:rPr>
            </w:pPr>
          </w:p>
          <w:p w14:paraId="1E5F2623" w14:textId="77777777" w:rsidR="0011750C" w:rsidRPr="004F69C0" w:rsidRDefault="0011750C" w:rsidP="0011750C">
            <w:pPr>
              <w:pStyle w:val="body"/>
              <w:jc w:val="left"/>
              <w:rPr>
                <w:b/>
              </w:rPr>
            </w:pPr>
            <w:r w:rsidRPr="004F69C0">
              <w:rPr>
                <w:b/>
              </w:rPr>
              <w:t>Principal Bankers</w:t>
            </w:r>
          </w:p>
          <w:p w14:paraId="4346D2FF" w14:textId="52582B3A" w:rsidR="0011750C" w:rsidRPr="00C2090C" w:rsidRDefault="008E354C" w:rsidP="0011750C">
            <w:pPr>
              <w:pStyle w:val="body"/>
              <w:jc w:val="left"/>
            </w:pPr>
            <w:r>
              <w:t>NatWest International plc</w:t>
            </w:r>
          </w:p>
          <w:p w14:paraId="0F196904" w14:textId="5569F68B" w:rsidR="0011750C" w:rsidRDefault="008E354C" w:rsidP="0011750C">
            <w:pPr>
              <w:pStyle w:val="body"/>
              <w:jc w:val="left"/>
            </w:pPr>
            <w:r>
              <w:t>35 High Street</w:t>
            </w:r>
          </w:p>
          <w:p w14:paraId="5CEAE773" w14:textId="77777777" w:rsidR="0011750C" w:rsidRPr="00C2090C" w:rsidRDefault="0011750C" w:rsidP="0011750C">
            <w:pPr>
              <w:pStyle w:val="body"/>
              <w:jc w:val="left"/>
            </w:pPr>
            <w:r>
              <w:t>St Peter Port</w:t>
            </w:r>
          </w:p>
          <w:p w14:paraId="3ABE1752" w14:textId="64D4194F" w:rsidR="0011750C" w:rsidRDefault="0011750C" w:rsidP="0011750C">
            <w:pPr>
              <w:pStyle w:val="body"/>
              <w:jc w:val="left"/>
            </w:pPr>
            <w:r>
              <w:t>Guernsey, GY1 4B</w:t>
            </w:r>
            <w:r w:rsidR="008E354C">
              <w:t>E</w:t>
            </w:r>
          </w:p>
          <w:p w14:paraId="299177E3" w14:textId="77777777" w:rsidR="0011750C" w:rsidRDefault="0011750C" w:rsidP="0011750C">
            <w:pPr>
              <w:pStyle w:val="body"/>
              <w:jc w:val="left"/>
            </w:pPr>
          </w:p>
          <w:p w14:paraId="4CB103CD" w14:textId="77777777" w:rsidR="0011750C" w:rsidRPr="00537C71" w:rsidRDefault="0011750C" w:rsidP="0011750C">
            <w:pPr>
              <w:pStyle w:val="body"/>
              <w:jc w:val="left"/>
            </w:pPr>
          </w:p>
        </w:tc>
      </w:tr>
    </w:tbl>
    <w:p w14:paraId="05512A29" w14:textId="74C29779" w:rsidR="00304497" w:rsidRDefault="00304497" w:rsidP="00F51CD6">
      <w:pPr>
        <w:pStyle w:val="body"/>
        <w:jc w:val="left"/>
        <w:rPr>
          <w:i/>
          <w:sz w:val="16"/>
          <w:szCs w:val="16"/>
        </w:rPr>
      </w:pPr>
    </w:p>
    <w:p w14:paraId="683A01A7" w14:textId="77777777" w:rsidR="008E354C" w:rsidRDefault="008E354C" w:rsidP="00F51CD6">
      <w:pPr>
        <w:pStyle w:val="body"/>
        <w:jc w:val="left"/>
        <w:rPr>
          <w:i/>
          <w:sz w:val="16"/>
          <w:szCs w:val="16"/>
        </w:rPr>
      </w:pPr>
    </w:p>
    <w:p w14:paraId="049DF47A" w14:textId="6C4E60F3" w:rsidR="001D63BC" w:rsidRDefault="001D63BC" w:rsidP="00F51CD6">
      <w:pPr>
        <w:pStyle w:val="body"/>
        <w:jc w:val="left"/>
        <w:rPr>
          <w:i/>
          <w:sz w:val="16"/>
          <w:szCs w:val="16"/>
        </w:rPr>
      </w:pPr>
    </w:p>
    <w:p w14:paraId="15EA2877" w14:textId="77777777" w:rsidR="001D63BC" w:rsidRPr="00B32244" w:rsidRDefault="001D63BC" w:rsidP="00F51CD6">
      <w:pPr>
        <w:pStyle w:val="body"/>
        <w:jc w:val="left"/>
        <w:rPr>
          <w:i/>
          <w:sz w:val="16"/>
          <w:szCs w:val="16"/>
        </w:rPr>
      </w:pPr>
    </w:p>
    <w:p w14:paraId="281D5C37" w14:textId="77777777" w:rsidR="001D2401" w:rsidRPr="0081337A" w:rsidRDefault="001D2401" w:rsidP="001D2401">
      <w:pPr>
        <w:pStyle w:val="Heading2"/>
        <w:spacing w:before="0"/>
        <w:rPr>
          <w:color w:val="auto"/>
        </w:rPr>
      </w:pPr>
      <w:bookmarkStart w:id="3" w:name="_Toc254209579"/>
      <w:r w:rsidRPr="0081337A">
        <w:rPr>
          <w:color w:val="auto"/>
        </w:rPr>
        <w:lastRenderedPageBreak/>
        <w:t>Highlights</w:t>
      </w:r>
    </w:p>
    <w:bookmarkEnd w:id="3"/>
    <w:p w14:paraId="0967852C" w14:textId="77777777" w:rsidR="00F51CD6" w:rsidRPr="0081337A" w:rsidRDefault="00F51CD6" w:rsidP="00F51CD6">
      <w:pPr>
        <w:pStyle w:val="Notehead1"/>
        <w:rPr>
          <w:color w:val="auto"/>
        </w:rPr>
      </w:pPr>
    </w:p>
    <w:p w14:paraId="636C9EA2" w14:textId="62D78DEA" w:rsidR="00F51CD6" w:rsidRPr="0081337A" w:rsidRDefault="002F0FD8" w:rsidP="00F51CD6">
      <w:pPr>
        <w:pStyle w:val="Notehead1"/>
      </w:pPr>
      <w:r>
        <w:t>As at 30 June 2020</w:t>
      </w:r>
      <w:r w:rsidR="009D45A5">
        <w:t xml:space="preserve"> / </w:t>
      </w:r>
      <w:r>
        <w:rPr>
          <w:i/>
        </w:rPr>
        <w:t xml:space="preserve">30 June </w:t>
      </w:r>
      <w:r w:rsidR="000A28E3">
        <w:rPr>
          <w:i/>
        </w:rPr>
        <w:t>2019</w:t>
      </w:r>
    </w:p>
    <w:p w14:paraId="590E88CA" w14:textId="77777777" w:rsidR="00034EB8" w:rsidRDefault="00034EB8" w:rsidP="00034EB8">
      <w:pPr>
        <w:pStyle w:val="ListParagraph"/>
      </w:pPr>
    </w:p>
    <w:p w14:paraId="7728489A" w14:textId="5E2309D7" w:rsidR="00212F98" w:rsidRDefault="00212F98" w:rsidP="00046F6F">
      <w:pPr>
        <w:pStyle w:val="Bluefieldbullets"/>
        <w:numPr>
          <w:ilvl w:val="0"/>
          <w:numId w:val="0"/>
        </w:numPr>
        <w:ind w:left="284" w:hanging="284"/>
      </w:pPr>
    </w:p>
    <w:tbl>
      <w:tblPr>
        <w:tblpPr w:leftFromText="180" w:rightFromText="180" w:vertAnchor="text" w:tblpXSpec="center" w:tblpY="1"/>
        <w:tblOverlap w:val="never"/>
        <w:tblW w:w="9335" w:type="dxa"/>
        <w:jc w:val="center"/>
        <w:tblLook w:val="04A0" w:firstRow="1" w:lastRow="0" w:firstColumn="1" w:lastColumn="0" w:noHBand="0" w:noVBand="1"/>
      </w:tblPr>
      <w:tblGrid>
        <w:gridCol w:w="4532"/>
        <w:gridCol w:w="271"/>
        <w:gridCol w:w="4532"/>
      </w:tblGrid>
      <w:tr w:rsidR="00046F6F" w14:paraId="0B9E114F" w14:textId="77777777" w:rsidTr="00EF6D72">
        <w:trPr>
          <w:trHeight w:val="709"/>
          <w:jc w:val="center"/>
        </w:trPr>
        <w:tc>
          <w:tcPr>
            <w:tcW w:w="4532" w:type="dxa"/>
            <w:tcBorders>
              <w:top w:val="nil"/>
              <w:left w:val="nil"/>
              <w:bottom w:val="nil"/>
              <w:right w:val="nil"/>
            </w:tcBorders>
            <w:shd w:val="clear" w:color="auto" w:fill="8DB3E2" w:themeFill="text2" w:themeFillTint="66"/>
            <w:noWrap/>
            <w:hideMark/>
          </w:tcPr>
          <w:p w14:paraId="09252633" w14:textId="77777777" w:rsidR="00046F6F" w:rsidRDefault="00046F6F" w:rsidP="00D76DF7">
            <w:pPr>
              <w:jc w:val="center"/>
              <w:rPr>
                <w:rFonts w:ascii="Calibri" w:hAnsi="Calibri" w:cs="Calibri"/>
                <w:b/>
                <w:bCs/>
                <w:color w:val="FFFFFF"/>
              </w:rPr>
            </w:pPr>
            <w:r>
              <w:rPr>
                <w:rFonts w:ascii="Calibri" w:hAnsi="Calibri" w:cs="Calibri"/>
                <w:b/>
                <w:bCs/>
                <w:color w:val="FFFFFF"/>
              </w:rPr>
              <w:t>Net Asset Value (NAV)</w:t>
            </w:r>
          </w:p>
          <w:p w14:paraId="07DA6040" w14:textId="35A2F298" w:rsidR="00D76DF7" w:rsidRPr="00EF6D72" w:rsidRDefault="00D76DF7" w:rsidP="00D76DF7">
            <w:pPr>
              <w:jc w:val="center"/>
              <w:rPr>
                <w:rFonts w:ascii="Calibri" w:hAnsi="Calibri" w:cs="Calibri"/>
                <w:b/>
                <w:bCs/>
                <w:sz w:val="20"/>
                <w:szCs w:val="28"/>
                <w:lang w:eastAsia="en-GB"/>
              </w:rPr>
            </w:pPr>
            <w:r w:rsidRPr="00852F5B">
              <w:rPr>
                <w:rFonts w:ascii="Calibri" w:hAnsi="Calibri" w:cs="Calibri"/>
                <w:b/>
                <w:bCs/>
                <w:color w:val="FFFFFF"/>
                <w:sz w:val="28"/>
                <w:szCs w:val="28"/>
              </w:rPr>
              <w:t>£4</w:t>
            </w:r>
            <w:r w:rsidR="00026D15">
              <w:rPr>
                <w:rFonts w:ascii="Calibri" w:hAnsi="Calibri" w:cs="Calibri"/>
                <w:b/>
                <w:bCs/>
                <w:color w:val="FFFFFF"/>
                <w:sz w:val="28"/>
                <w:szCs w:val="28"/>
              </w:rPr>
              <w:t>33.5</w:t>
            </w:r>
            <w:r w:rsidRPr="00852F5B">
              <w:rPr>
                <w:rFonts w:ascii="Calibri" w:hAnsi="Calibri" w:cs="Calibri"/>
                <w:b/>
                <w:bCs/>
                <w:color w:val="FFFFFF"/>
                <w:sz w:val="28"/>
                <w:szCs w:val="28"/>
              </w:rPr>
              <w:t>m</w:t>
            </w:r>
            <w:r>
              <w:rPr>
                <w:rFonts w:ascii="Calibri" w:hAnsi="Calibri" w:cs="Calibri"/>
                <w:b/>
                <w:bCs/>
                <w:color w:val="FFFFFF"/>
                <w:sz w:val="28"/>
                <w:szCs w:val="28"/>
              </w:rPr>
              <w:t xml:space="preserve"> </w:t>
            </w:r>
            <w:r w:rsidR="002F0FD8">
              <w:rPr>
                <w:rFonts w:ascii="Calibri" w:hAnsi="Calibri" w:cs="Calibri"/>
                <w:b/>
                <w:bCs/>
                <w:i/>
                <w:sz w:val="20"/>
                <w:szCs w:val="28"/>
              </w:rPr>
              <w:t>£436.4</w:t>
            </w:r>
            <w:r w:rsidRPr="00EF6D72">
              <w:rPr>
                <w:rFonts w:ascii="Calibri" w:hAnsi="Calibri" w:cs="Calibri"/>
                <w:b/>
                <w:bCs/>
                <w:i/>
                <w:sz w:val="20"/>
                <w:szCs w:val="28"/>
              </w:rPr>
              <w:t>m</w:t>
            </w:r>
          </w:p>
        </w:tc>
        <w:tc>
          <w:tcPr>
            <w:tcW w:w="271" w:type="dxa"/>
            <w:tcBorders>
              <w:top w:val="nil"/>
              <w:left w:val="nil"/>
              <w:bottom w:val="nil"/>
              <w:right w:val="nil"/>
            </w:tcBorders>
            <w:shd w:val="clear" w:color="auto" w:fill="auto"/>
            <w:noWrap/>
            <w:hideMark/>
          </w:tcPr>
          <w:p w14:paraId="5FAB2D32" w14:textId="77777777" w:rsidR="00046F6F" w:rsidRDefault="00046F6F" w:rsidP="00D76DF7">
            <w:pPr>
              <w:jc w:val="center"/>
              <w:rPr>
                <w:rFonts w:ascii="Calibri" w:hAnsi="Calibri" w:cs="Calibri"/>
                <w:b/>
                <w:bCs/>
                <w:color w:val="FFFFFF"/>
              </w:rPr>
            </w:pPr>
          </w:p>
        </w:tc>
        <w:tc>
          <w:tcPr>
            <w:tcW w:w="4532" w:type="dxa"/>
            <w:tcBorders>
              <w:top w:val="nil"/>
              <w:left w:val="nil"/>
              <w:bottom w:val="nil"/>
              <w:right w:val="nil"/>
            </w:tcBorders>
            <w:shd w:val="clear" w:color="auto" w:fill="8DB3E2" w:themeFill="text2" w:themeFillTint="66"/>
            <w:noWrap/>
            <w:hideMark/>
          </w:tcPr>
          <w:p w14:paraId="3A2CF25E" w14:textId="7DC5FF6B" w:rsidR="00D76DF7" w:rsidRDefault="00D76DF7" w:rsidP="00D76DF7">
            <w:pPr>
              <w:jc w:val="center"/>
              <w:rPr>
                <w:rFonts w:ascii="Calibri" w:hAnsi="Calibri" w:cs="Calibri"/>
                <w:b/>
                <w:bCs/>
                <w:color w:val="FFFFFF"/>
              </w:rPr>
            </w:pPr>
            <w:r>
              <w:rPr>
                <w:rFonts w:ascii="Calibri" w:hAnsi="Calibri" w:cs="Calibri"/>
                <w:b/>
                <w:bCs/>
                <w:color w:val="FFFFFF"/>
              </w:rPr>
              <w:t>Total Dividend per Share</w:t>
            </w:r>
          </w:p>
          <w:p w14:paraId="44F1CEF9" w14:textId="5197CA10" w:rsidR="00046F6F" w:rsidRPr="001D63BC" w:rsidRDefault="006F6195" w:rsidP="009D45A5">
            <w:pPr>
              <w:jc w:val="center"/>
              <w:rPr>
                <w:rFonts w:ascii="Calibri" w:hAnsi="Calibri" w:cs="Calibri"/>
                <w:b/>
                <w:bCs/>
                <w:color w:val="000000"/>
                <w:vertAlign w:val="superscript"/>
              </w:rPr>
            </w:pPr>
            <w:r>
              <w:rPr>
                <w:rFonts w:ascii="Calibri" w:hAnsi="Calibri" w:cs="Calibri"/>
                <w:b/>
                <w:bCs/>
                <w:color w:val="FFFFFF"/>
                <w:sz w:val="28"/>
                <w:szCs w:val="28"/>
              </w:rPr>
              <w:t>7.90</w:t>
            </w:r>
            <w:r w:rsidR="00D76DF7" w:rsidRPr="00852F5B">
              <w:rPr>
                <w:rFonts w:ascii="Calibri" w:hAnsi="Calibri" w:cs="Calibri"/>
                <w:b/>
                <w:bCs/>
                <w:color w:val="FFFFFF"/>
                <w:sz w:val="28"/>
                <w:szCs w:val="28"/>
              </w:rPr>
              <w:t>pps</w:t>
            </w:r>
            <w:r w:rsidR="00D76DF7">
              <w:rPr>
                <w:rFonts w:ascii="Calibri" w:hAnsi="Calibri" w:cs="Calibri"/>
                <w:b/>
                <w:bCs/>
                <w:color w:val="FFFFFF"/>
                <w:sz w:val="28"/>
                <w:szCs w:val="28"/>
              </w:rPr>
              <w:t xml:space="preserve"> </w:t>
            </w:r>
            <w:r w:rsidR="002F0FD8">
              <w:rPr>
                <w:rFonts w:ascii="Calibri" w:hAnsi="Calibri" w:cs="Calibri"/>
                <w:b/>
                <w:bCs/>
                <w:i/>
                <w:sz w:val="20"/>
                <w:szCs w:val="28"/>
              </w:rPr>
              <w:t>8.31</w:t>
            </w:r>
            <w:r w:rsidR="00D76DF7">
              <w:rPr>
                <w:rFonts w:ascii="Calibri" w:hAnsi="Calibri" w:cs="Calibri"/>
                <w:b/>
                <w:bCs/>
                <w:i/>
                <w:sz w:val="20"/>
                <w:szCs w:val="28"/>
              </w:rPr>
              <w:t>pps</w:t>
            </w:r>
            <w:r w:rsidR="001D63BC">
              <w:rPr>
                <w:rFonts w:ascii="Calibri" w:hAnsi="Calibri" w:cs="Calibri"/>
                <w:b/>
                <w:bCs/>
                <w:i/>
                <w:sz w:val="20"/>
                <w:szCs w:val="28"/>
                <w:vertAlign w:val="superscript"/>
              </w:rPr>
              <w:t>4</w:t>
            </w:r>
          </w:p>
        </w:tc>
      </w:tr>
      <w:tr w:rsidR="00046F6F" w14:paraId="5E901981" w14:textId="77777777" w:rsidTr="00EF6D72">
        <w:trPr>
          <w:trHeight w:val="916"/>
          <w:jc w:val="center"/>
        </w:trPr>
        <w:tc>
          <w:tcPr>
            <w:tcW w:w="4532" w:type="dxa"/>
            <w:tcBorders>
              <w:top w:val="nil"/>
              <w:left w:val="nil"/>
              <w:bottom w:val="nil"/>
              <w:right w:val="nil"/>
            </w:tcBorders>
            <w:shd w:val="clear" w:color="auto" w:fill="8DB3E2" w:themeFill="text2" w:themeFillTint="66"/>
            <w:noWrap/>
            <w:vAlign w:val="center"/>
            <w:hideMark/>
          </w:tcPr>
          <w:p w14:paraId="2931BE9A" w14:textId="3E977E2B" w:rsidR="00D76DF7" w:rsidRDefault="00D76DF7" w:rsidP="00D76DF7">
            <w:pPr>
              <w:jc w:val="center"/>
              <w:rPr>
                <w:rFonts w:ascii="Calibri" w:hAnsi="Calibri" w:cs="Calibri"/>
                <w:b/>
                <w:bCs/>
                <w:color w:val="FFFFFF"/>
              </w:rPr>
            </w:pPr>
            <w:r>
              <w:rPr>
                <w:rFonts w:ascii="Calibri" w:hAnsi="Calibri" w:cs="Calibri"/>
                <w:b/>
                <w:bCs/>
                <w:color w:val="FFFFFF"/>
              </w:rPr>
              <w:t>NAV per share</w:t>
            </w:r>
          </w:p>
          <w:p w14:paraId="4A0AB7ED" w14:textId="7D4ADFEC" w:rsidR="00046F6F" w:rsidRDefault="00FC5E3E" w:rsidP="00583D0F">
            <w:pPr>
              <w:jc w:val="center"/>
              <w:rPr>
                <w:rFonts w:ascii="Calibri" w:hAnsi="Calibri" w:cs="Calibri"/>
                <w:b/>
                <w:bCs/>
                <w:color w:val="FFFFFF"/>
                <w:sz w:val="44"/>
                <w:szCs w:val="44"/>
              </w:rPr>
            </w:pPr>
            <w:r>
              <w:rPr>
                <w:rFonts w:ascii="Calibri" w:hAnsi="Calibri" w:cs="Calibri"/>
                <w:b/>
                <w:bCs/>
                <w:color w:val="FFFFFF"/>
                <w:sz w:val="28"/>
                <w:szCs w:val="28"/>
              </w:rPr>
              <w:t>117</w:t>
            </w:r>
            <w:r w:rsidR="000D0025">
              <w:rPr>
                <w:rFonts w:ascii="Calibri" w:hAnsi="Calibri" w:cs="Calibri"/>
                <w:b/>
                <w:bCs/>
                <w:color w:val="FFFFFF"/>
                <w:sz w:val="28"/>
                <w:szCs w:val="28"/>
              </w:rPr>
              <w:t>.</w:t>
            </w:r>
            <w:r w:rsidR="00026D15">
              <w:rPr>
                <w:rFonts w:ascii="Calibri" w:hAnsi="Calibri" w:cs="Calibri"/>
                <w:b/>
                <w:bCs/>
                <w:color w:val="FFFFFF"/>
                <w:sz w:val="28"/>
                <w:szCs w:val="28"/>
              </w:rPr>
              <w:t>0</w:t>
            </w:r>
            <w:r>
              <w:rPr>
                <w:rFonts w:ascii="Calibri" w:hAnsi="Calibri" w:cs="Calibri"/>
                <w:b/>
                <w:bCs/>
                <w:color w:val="FFFFFF"/>
                <w:sz w:val="28"/>
                <w:szCs w:val="28"/>
              </w:rPr>
              <w:t>1</w:t>
            </w:r>
            <w:r w:rsidR="00D76DF7" w:rsidRPr="00852F5B">
              <w:rPr>
                <w:rFonts w:ascii="Calibri" w:hAnsi="Calibri" w:cs="Calibri"/>
                <w:b/>
                <w:bCs/>
                <w:color w:val="FFFFFF"/>
                <w:sz w:val="28"/>
                <w:szCs w:val="28"/>
              </w:rPr>
              <w:t>p</w:t>
            </w:r>
            <w:r w:rsidR="00D76DF7">
              <w:rPr>
                <w:rFonts w:ascii="Calibri" w:hAnsi="Calibri" w:cs="Calibri"/>
                <w:b/>
                <w:bCs/>
                <w:color w:val="FFFFFF"/>
                <w:sz w:val="28"/>
                <w:szCs w:val="28"/>
              </w:rPr>
              <w:t xml:space="preserve"> </w:t>
            </w:r>
            <w:r w:rsidR="002F0FD8">
              <w:rPr>
                <w:rFonts w:ascii="Calibri" w:hAnsi="Calibri" w:cs="Calibri"/>
                <w:b/>
                <w:bCs/>
                <w:i/>
                <w:sz w:val="20"/>
                <w:szCs w:val="28"/>
              </w:rPr>
              <w:t>117.9</w:t>
            </w:r>
            <w:r w:rsidR="00D76DF7" w:rsidRPr="00EF6D72">
              <w:rPr>
                <w:rFonts w:ascii="Calibri" w:hAnsi="Calibri" w:cs="Calibri"/>
                <w:b/>
                <w:bCs/>
                <w:i/>
                <w:sz w:val="20"/>
                <w:szCs w:val="28"/>
              </w:rPr>
              <w:t>8p</w:t>
            </w:r>
          </w:p>
        </w:tc>
        <w:tc>
          <w:tcPr>
            <w:tcW w:w="271" w:type="dxa"/>
            <w:tcBorders>
              <w:top w:val="nil"/>
              <w:left w:val="nil"/>
              <w:bottom w:val="nil"/>
              <w:right w:val="nil"/>
            </w:tcBorders>
            <w:shd w:val="clear" w:color="auto" w:fill="auto"/>
            <w:noWrap/>
            <w:vAlign w:val="bottom"/>
            <w:hideMark/>
          </w:tcPr>
          <w:p w14:paraId="183EC9BB" w14:textId="77777777" w:rsidR="00046F6F" w:rsidRDefault="00046F6F" w:rsidP="00D76DF7">
            <w:pPr>
              <w:jc w:val="center"/>
              <w:rPr>
                <w:rFonts w:ascii="Calibri" w:hAnsi="Calibri" w:cs="Calibri"/>
                <w:b/>
                <w:bCs/>
                <w:color w:val="FFFFFF"/>
                <w:sz w:val="44"/>
                <w:szCs w:val="44"/>
              </w:rPr>
            </w:pPr>
          </w:p>
        </w:tc>
        <w:tc>
          <w:tcPr>
            <w:tcW w:w="4532" w:type="dxa"/>
            <w:tcBorders>
              <w:top w:val="nil"/>
              <w:left w:val="nil"/>
              <w:bottom w:val="nil"/>
              <w:right w:val="nil"/>
            </w:tcBorders>
            <w:shd w:val="clear" w:color="auto" w:fill="8DB3E2" w:themeFill="text2" w:themeFillTint="66"/>
            <w:noWrap/>
            <w:vAlign w:val="center"/>
            <w:hideMark/>
          </w:tcPr>
          <w:p w14:paraId="3BCDBB1D" w14:textId="1DBB86F6" w:rsidR="00046F6F" w:rsidRDefault="00046F6F" w:rsidP="00D76DF7">
            <w:pPr>
              <w:jc w:val="center"/>
              <w:rPr>
                <w:rFonts w:ascii="Calibri" w:hAnsi="Calibri" w:cs="Calibri"/>
                <w:b/>
                <w:bCs/>
                <w:color w:val="000000"/>
                <w:sz w:val="44"/>
                <w:szCs w:val="44"/>
              </w:rPr>
            </w:pPr>
          </w:p>
        </w:tc>
      </w:tr>
      <w:tr w:rsidR="00046F6F" w14:paraId="33FD8B53" w14:textId="77777777" w:rsidTr="00EF6D72">
        <w:trPr>
          <w:trHeight w:val="274"/>
          <w:jc w:val="center"/>
        </w:trPr>
        <w:tc>
          <w:tcPr>
            <w:tcW w:w="4532" w:type="dxa"/>
            <w:tcBorders>
              <w:top w:val="nil"/>
              <w:left w:val="nil"/>
              <w:bottom w:val="nil"/>
              <w:right w:val="nil"/>
            </w:tcBorders>
            <w:shd w:val="clear" w:color="auto" w:fill="auto"/>
            <w:noWrap/>
            <w:vAlign w:val="bottom"/>
            <w:hideMark/>
          </w:tcPr>
          <w:p w14:paraId="1E9BE9DB" w14:textId="77777777" w:rsidR="00046F6F" w:rsidRDefault="00046F6F" w:rsidP="00D76DF7">
            <w:pPr>
              <w:rPr>
                <w:rFonts w:ascii="Calibri" w:hAnsi="Calibri" w:cs="Calibri"/>
                <w:color w:val="000000"/>
                <w:sz w:val="22"/>
                <w:szCs w:val="22"/>
              </w:rPr>
            </w:pPr>
          </w:p>
        </w:tc>
        <w:tc>
          <w:tcPr>
            <w:tcW w:w="271" w:type="dxa"/>
            <w:tcBorders>
              <w:top w:val="nil"/>
              <w:left w:val="nil"/>
              <w:bottom w:val="nil"/>
              <w:right w:val="nil"/>
            </w:tcBorders>
            <w:shd w:val="clear" w:color="auto" w:fill="auto"/>
            <w:noWrap/>
            <w:vAlign w:val="bottom"/>
            <w:hideMark/>
          </w:tcPr>
          <w:p w14:paraId="5E673A38" w14:textId="77777777" w:rsidR="00046F6F" w:rsidRDefault="00046F6F" w:rsidP="00D76DF7">
            <w:pPr>
              <w:rPr>
                <w:sz w:val="20"/>
                <w:szCs w:val="20"/>
              </w:rPr>
            </w:pPr>
          </w:p>
        </w:tc>
        <w:tc>
          <w:tcPr>
            <w:tcW w:w="4532" w:type="dxa"/>
            <w:tcBorders>
              <w:top w:val="nil"/>
              <w:left w:val="nil"/>
              <w:bottom w:val="nil"/>
              <w:right w:val="nil"/>
            </w:tcBorders>
            <w:shd w:val="clear" w:color="auto" w:fill="auto"/>
            <w:noWrap/>
            <w:vAlign w:val="bottom"/>
            <w:hideMark/>
          </w:tcPr>
          <w:p w14:paraId="39315102" w14:textId="77777777" w:rsidR="00046F6F" w:rsidRDefault="00046F6F" w:rsidP="00D76DF7">
            <w:pPr>
              <w:rPr>
                <w:sz w:val="20"/>
                <w:szCs w:val="20"/>
              </w:rPr>
            </w:pPr>
          </w:p>
        </w:tc>
      </w:tr>
      <w:tr w:rsidR="00046F6F" w14:paraId="123C947E" w14:textId="77777777" w:rsidTr="00EF6D72">
        <w:trPr>
          <w:trHeight w:val="287"/>
          <w:jc w:val="center"/>
        </w:trPr>
        <w:tc>
          <w:tcPr>
            <w:tcW w:w="4532" w:type="dxa"/>
            <w:tcBorders>
              <w:top w:val="nil"/>
              <w:left w:val="nil"/>
              <w:bottom w:val="nil"/>
              <w:right w:val="nil"/>
            </w:tcBorders>
            <w:shd w:val="clear" w:color="auto" w:fill="8DB3E2" w:themeFill="text2" w:themeFillTint="66"/>
            <w:noWrap/>
            <w:hideMark/>
          </w:tcPr>
          <w:p w14:paraId="6B844914" w14:textId="77777777" w:rsidR="00012059" w:rsidRPr="00EF6D72" w:rsidRDefault="00012059" w:rsidP="00012059">
            <w:pPr>
              <w:jc w:val="center"/>
              <w:rPr>
                <w:rFonts w:ascii="Calibri" w:hAnsi="Calibri" w:cs="Calibri"/>
                <w:b/>
                <w:bCs/>
                <w:color w:val="FFFFFF"/>
                <w:vertAlign w:val="superscript"/>
              </w:rPr>
            </w:pPr>
            <w:r>
              <w:rPr>
                <w:rFonts w:ascii="Calibri" w:hAnsi="Calibri" w:cs="Calibri"/>
                <w:b/>
                <w:bCs/>
                <w:color w:val="FFFFFF"/>
              </w:rPr>
              <w:t>Underlying Earnings</w:t>
            </w:r>
            <w:r>
              <w:rPr>
                <w:rFonts w:ascii="Calibri" w:hAnsi="Calibri" w:cs="Calibri"/>
                <w:b/>
                <w:bCs/>
                <w:color w:val="FFFFFF"/>
                <w:vertAlign w:val="superscript"/>
              </w:rPr>
              <w:t>1</w:t>
            </w:r>
          </w:p>
          <w:p w14:paraId="4CF46346" w14:textId="77777777" w:rsidR="00012059" w:rsidRPr="00EF6D72" w:rsidRDefault="00012059" w:rsidP="00012059">
            <w:pPr>
              <w:jc w:val="center"/>
              <w:rPr>
                <w:rFonts w:ascii="Calibri" w:hAnsi="Calibri" w:cs="Calibri"/>
                <w:bCs/>
                <w:color w:val="FFFFFF"/>
                <w:sz w:val="16"/>
                <w:szCs w:val="16"/>
              </w:rPr>
            </w:pPr>
            <w:r w:rsidRPr="00EF6D72">
              <w:rPr>
                <w:rFonts w:ascii="Calibri" w:hAnsi="Calibri" w:cs="Calibri"/>
                <w:bCs/>
                <w:sz w:val="20"/>
              </w:rPr>
              <w:t>(pre amortisation of debt)</w:t>
            </w:r>
          </w:p>
          <w:p w14:paraId="56915A8E" w14:textId="291506C9" w:rsidR="00012059" w:rsidRDefault="00012059" w:rsidP="00012059">
            <w:pPr>
              <w:jc w:val="center"/>
              <w:rPr>
                <w:rFonts w:ascii="Calibri" w:hAnsi="Calibri" w:cs="Calibri"/>
                <w:b/>
                <w:bCs/>
                <w:color w:val="FFFFFF" w:themeColor="background1"/>
                <w:sz w:val="20"/>
              </w:rPr>
            </w:pPr>
            <w:r w:rsidRPr="00C3654A">
              <w:rPr>
                <w:rFonts w:ascii="Calibri" w:hAnsi="Calibri" w:cs="Calibri"/>
                <w:b/>
                <w:bCs/>
                <w:color w:val="FFFFFF" w:themeColor="background1"/>
                <w:sz w:val="32"/>
              </w:rPr>
              <w:t>£4</w:t>
            </w:r>
            <w:r w:rsidR="0082001E">
              <w:rPr>
                <w:rFonts w:ascii="Calibri" w:hAnsi="Calibri" w:cs="Calibri"/>
                <w:b/>
                <w:bCs/>
                <w:color w:val="FFFFFF" w:themeColor="background1"/>
                <w:sz w:val="32"/>
              </w:rPr>
              <w:t>4.6</w:t>
            </w:r>
            <w:r w:rsidRPr="00C3654A">
              <w:rPr>
                <w:rFonts w:ascii="Calibri" w:hAnsi="Calibri" w:cs="Calibri"/>
                <w:b/>
                <w:bCs/>
                <w:color w:val="FFFFFF" w:themeColor="background1"/>
                <w:sz w:val="32"/>
              </w:rPr>
              <w:t>m</w:t>
            </w:r>
            <w:r w:rsidRPr="00EF6D72">
              <w:rPr>
                <w:rFonts w:ascii="Calibri" w:hAnsi="Calibri" w:cs="Calibri"/>
                <w:b/>
                <w:bCs/>
                <w:color w:val="FFFFFF" w:themeColor="background1"/>
                <w:sz w:val="32"/>
              </w:rPr>
              <w:t xml:space="preserve"> </w:t>
            </w:r>
            <w:r w:rsidR="002F0FD8">
              <w:rPr>
                <w:rFonts w:ascii="Calibri" w:hAnsi="Calibri" w:cs="Calibri"/>
                <w:b/>
                <w:bCs/>
                <w:i/>
                <w:sz w:val="20"/>
              </w:rPr>
              <w:t>£40.7</w:t>
            </w:r>
            <w:r>
              <w:rPr>
                <w:rFonts w:ascii="Calibri" w:hAnsi="Calibri" w:cs="Calibri"/>
                <w:b/>
                <w:bCs/>
                <w:i/>
                <w:sz w:val="20"/>
              </w:rPr>
              <w:t>m</w:t>
            </w:r>
          </w:p>
          <w:p w14:paraId="2EB67D09" w14:textId="77777777" w:rsidR="00012059" w:rsidRDefault="00012059" w:rsidP="00D76DF7">
            <w:pPr>
              <w:jc w:val="center"/>
              <w:rPr>
                <w:rFonts w:ascii="Calibri" w:hAnsi="Calibri" w:cs="Calibri"/>
                <w:b/>
                <w:bCs/>
                <w:color w:val="FFFFFF"/>
              </w:rPr>
            </w:pPr>
          </w:p>
          <w:p w14:paraId="0F9CDDBF" w14:textId="5CC9E54D" w:rsidR="00D76DF7" w:rsidRPr="001D63BC" w:rsidRDefault="00A31A5C" w:rsidP="00D76DF7">
            <w:pPr>
              <w:jc w:val="center"/>
              <w:rPr>
                <w:rFonts w:ascii="Calibri" w:hAnsi="Calibri" w:cs="Calibri"/>
                <w:b/>
                <w:bCs/>
                <w:color w:val="FFFFFF"/>
              </w:rPr>
            </w:pPr>
            <w:r>
              <w:rPr>
                <w:rFonts w:ascii="Calibri" w:hAnsi="Calibri" w:cs="Calibri"/>
                <w:b/>
                <w:bCs/>
                <w:color w:val="FFFFFF"/>
              </w:rPr>
              <w:t>Underlying Earnings</w:t>
            </w:r>
            <w:r w:rsidR="001D63BC">
              <w:rPr>
                <w:rFonts w:ascii="Calibri" w:hAnsi="Calibri" w:cs="Calibri"/>
                <w:b/>
                <w:bCs/>
                <w:color w:val="FFFFFF"/>
              </w:rPr>
              <w:t xml:space="preserve"> per share</w:t>
            </w:r>
            <w:r>
              <w:rPr>
                <w:rFonts w:ascii="Calibri" w:hAnsi="Calibri" w:cs="Calibri"/>
                <w:b/>
                <w:bCs/>
                <w:color w:val="FFFFFF"/>
                <w:vertAlign w:val="superscript"/>
              </w:rPr>
              <w:t>1</w:t>
            </w:r>
            <w:r w:rsidR="001D63BC">
              <w:rPr>
                <w:rFonts w:ascii="Calibri" w:hAnsi="Calibri" w:cs="Calibri"/>
                <w:b/>
                <w:bCs/>
                <w:color w:val="FFFFFF"/>
                <w:vertAlign w:val="superscript"/>
              </w:rPr>
              <w:t xml:space="preserve"> </w:t>
            </w:r>
          </w:p>
          <w:p w14:paraId="0583F478" w14:textId="17354698" w:rsidR="00D76DF7" w:rsidRPr="00EF6D72" w:rsidRDefault="00D76DF7" w:rsidP="00D76DF7">
            <w:pPr>
              <w:jc w:val="center"/>
              <w:rPr>
                <w:rFonts w:ascii="Calibri" w:hAnsi="Calibri" w:cs="Calibri"/>
                <w:bCs/>
                <w:color w:val="FFFFFF"/>
                <w:sz w:val="16"/>
                <w:szCs w:val="16"/>
              </w:rPr>
            </w:pPr>
            <w:r w:rsidRPr="00EF6D72">
              <w:rPr>
                <w:rFonts w:ascii="Calibri" w:hAnsi="Calibri" w:cs="Calibri"/>
                <w:bCs/>
                <w:sz w:val="20"/>
              </w:rPr>
              <w:t>(pre amortisation of debt)</w:t>
            </w:r>
          </w:p>
          <w:p w14:paraId="24707831" w14:textId="78FD8FE3" w:rsidR="00046F6F" w:rsidRDefault="0082001E" w:rsidP="00D76DF7">
            <w:pPr>
              <w:jc w:val="center"/>
              <w:rPr>
                <w:rFonts w:ascii="Calibri" w:hAnsi="Calibri" w:cs="Calibri"/>
                <w:b/>
                <w:bCs/>
                <w:color w:val="FFFFFF" w:themeColor="background1"/>
                <w:sz w:val="20"/>
              </w:rPr>
            </w:pPr>
            <w:r>
              <w:rPr>
                <w:rFonts w:ascii="Calibri" w:hAnsi="Calibri" w:cs="Calibri"/>
                <w:b/>
                <w:bCs/>
                <w:color w:val="FFFFFF" w:themeColor="background1"/>
                <w:sz w:val="32"/>
              </w:rPr>
              <w:t>12.03</w:t>
            </w:r>
            <w:r w:rsidR="00D76DF7" w:rsidRPr="00C3654A">
              <w:rPr>
                <w:rFonts w:ascii="Calibri" w:hAnsi="Calibri" w:cs="Calibri"/>
                <w:b/>
                <w:bCs/>
                <w:color w:val="FFFFFF" w:themeColor="background1"/>
                <w:sz w:val="32"/>
              </w:rPr>
              <w:t>p</w:t>
            </w:r>
            <w:r w:rsidR="00D76DF7" w:rsidRPr="00EF6D72">
              <w:rPr>
                <w:rFonts w:ascii="Calibri" w:hAnsi="Calibri" w:cs="Calibri"/>
                <w:b/>
                <w:bCs/>
                <w:color w:val="FFFFFF" w:themeColor="background1"/>
                <w:sz w:val="32"/>
              </w:rPr>
              <w:t xml:space="preserve"> </w:t>
            </w:r>
            <w:r w:rsidR="002F0FD8">
              <w:rPr>
                <w:rFonts w:ascii="Calibri" w:hAnsi="Calibri" w:cs="Calibri"/>
                <w:b/>
                <w:bCs/>
                <w:i/>
                <w:sz w:val="20"/>
              </w:rPr>
              <w:t>11.01</w:t>
            </w:r>
            <w:r w:rsidR="00D76DF7">
              <w:rPr>
                <w:rFonts w:ascii="Calibri" w:hAnsi="Calibri" w:cs="Calibri"/>
                <w:b/>
                <w:bCs/>
                <w:i/>
                <w:sz w:val="20"/>
              </w:rPr>
              <w:t>p</w:t>
            </w:r>
          </w:p>
          <w:p w14:paraId="20D6C193" w14:textId="1F01D5B6" w:rsidR="00D76DF7" w:rsidRDefault="00D76DF7" w:rsidP="00D76DF7">
            <w:pPr>
              <w:jc w:val="center"/>
              <w:rPr>
                <w:rFonts w:ascii="Calibri" w:hAnsi="Calibri" w:cs="Calibri"/>
                <w:b/>
                <w:bCs/>
                <w:color w:val="000000"/>
              </w:rPr>
            </w:pPr>
          </w:p>
        </w:tc>
        <w:tc>
          <w:tcPr>
            <w:tcW w:w="271" w:type="dxa"/>
            <w:tcBorders>
              <w:top w:val="nil"/>
              <w:left w:val="nil"/>
              <w:bottom w:val="nil"/>
              <w:right w:val="nil"/>
            </w:tcBorders>
            <w:shd w:val="clear" w:color="auto" w:fill="auto"/>
            <w:noWrap/>
            <w:hideMark/>
          </w:tcPr>
          <w:p w14:paraId="69CCF6BF" w14:textId="77777777" w:rsidR="00046F6F" w:rsidRDefault="00046F6F" w:rsidP="00D76DF7">
            <w:pPr>
              <w:jc w:val="center"/>
              <w:rPr>
                <w:rFonts w:ascii="Calibri" w:hAnsi="Calibri" w:cs="Calibri"/>
                <w:b/>
                <w:bCs/>
                <w:color w:val="000000"/>
              </w:rPr>
            </w:pPr>
          </w:p>
        </w:tc>
        <w:tc>
          <w:tcPr>
            <w:tcW w:w="4532" w:type="dxa"/>
            <w:tcBorders>
              <w:top w:val="nil"/>
              <w:left w:val="nil"/>
              <w:bottom w:val="nil"/>
              <w:right w:val="nil"/>
            </w:tcBorders>
            <w:shd w:val="clear" w:color="auto" w:fill="8DB3E2" w:themeFill="text2" w:themeFillTint="66"/>
            <w:noWrap/>
            <w:hideMark/>
          </w:tcPr>
          <w:p w14:paraId="628CDA09" w14:textId="2C302026" w:rsidR="00D76DF7" w:rsidRPr="00EF6D72" w:rsidRDefault="00D76DF7" w:rsidP="00D76DF7">
            <w:pPr>
              <w:jc w:val="center"/>
              <w:rPr>
                <w:rFonts w:ascii="Calibri" w:hAnsi="Calibri" w:cs="Calibri"/>
                <w:b/>
                <w:bCs/>
                <w:color w:val="FFFFFF"/>
                <w:vertAlign w:val="superscript"/>
              </w:rPr>
            </w:pPr>
            <w:r>
              <w:rPr>
                <w:rFonts w:ascii="Calibri" w:hAnsi="Calibri" w:cs="Calibri"/>
                <w:b/>
                <w:bCs/>
                <w:color w:val="FFFFFF"/>
              </w:rPr>
              <w:t xml:space="preserve">Total </w:t>
            </w:r>
            <w:r w:rsidR="000F1543">
              <w:rPr>
                <w:rFonts w:ascii="Calibri" w:hAnsi="Calibri" w:cs="Calibri"/>
                <w:b/>
                <w:bCs/>
                <w:color w:val="FFFFFF"/>
              </w:rPr>
              <w:t>return to Shareholders</w:t>
            </w:r>
            <w:r w:rsidR="000F1543">
              <w:rPr>
                <w:rFonts w:ascii="Calibri" w:hAnsi="Calibri" w:cs="Calibri"/>
                <w:b/>
                <w:bCs/>
                <w:color w:val="FFFFFF"/>
                <w:vertAlign w:val="superscript"/>
              </w:rPr>
              <w:t>2</w:t>
            </w:r>
          </w:p>
          <w:p w14:paraId="0EBC3031" w14:textId="5D68E1A8" w:rsidR="00D76DF7" w:rsidRDefault="00852F5B" w:rsidP="00D76DF7">
            <w:pPr>
              <w:jc w:val="center"/>
              <w:rPr>
                <w:rFonts w:ascii="Calibri" w:hAnsi="Calibri" w:cs="Calibri"/>
                <w:b/>
                <w:bCs/>
                <w:color w:val="FFFFFF" w:themeColor="background1"/>
                <w:sz w:val="20"/>
              </w:rPr>
            </w:pPr>
            <w:r>
              <w:rPr>
                <w:rFonts w:ascii="Calibri" w:hAnsi="Calibri" w:cs="Calibri"/>
                <w:b/>
                <w:bCs/>
                <w:color w:val="FFFFFF" w:themeColor="background1"/>
                <w:sz w:val="28"/>
              </w:rPr>
              <w:t>4.70</w:t>
            </w:r>
            <w:r w:rsidR="00D76DF7" w:rsidRPr="00852F5B">
              <w:rPr>
                <w:rFonts w:ascii="Calibri" w:hAnsi="Calibri" w:cs="Calibri"/>
                <w:b/>
                <w:bCs/>
                <w:color w:val="FFFFFF" w:themeColor="background1"/>
                <w:sz w:val="28"/>
              </w:rPr>
              <w:t>%</w:t>
            </w:r>
            <w:r w:rsidR="00D76DF7" w:rsidRPr="00EF6D72">
              <w:rPr>
                <w:rFonts w:ascii="Calibri" w:hAnsi="Calibri" w:cs="Calibri"/>
                <w:b/>
                <w:bCs/>
                <w:color w:val="FFFFFF" w:themeColor="background1"/>
                <w:sz w:val="28"/>
              </w:rPr>
              <w:t xml:space="preserve"> </w:t>
            </w:r>
            <w:r w:rsidR="002F0FD8">
              <w:rPr>
                <w:rFonts w:ascii="Calibri" w:hAnsi="Calibri" w:cs="Calibri"/>
                <w:b/>
                <w:bCs/>
                <w:i/>
                <w:sz w:val="20"/>
              </w:rPr>
              <w:t>19.12</w:t>
            </w:r>
            <w:r w:rsidR="00D76DF7">
              <w:rPr>
                <w:rFonts w:ascii="Calibri" w:hAnsi="Calibri" w:cs="Calibri"/>
                <w:b/>
                <w:bCs/>
                <w:i/>
                <w:sz w:val="20"/>
              </w:rPr>
              <w:t>%</w:t>
            </w:r>
          </w:p>
          <w:p w14:paraId="4129D20A" w14:textId="77777777" w:rsidR="00D76DF7" w:rsidRDefault="00D76DF7" w:rsidP="00583D0F">
            <w:pPr>
              <w:jc w:val="center"/>
              <w:rPr>
                <w:rFonts w:ascii="Calibri" w:hAnsi="Calibri" w:cs="Calibri"/>
                <w:b/>
                <w:bCs/>
                <w:color w:val="FFFFFF"/>
              </w:rPr>
            </w:pPr>
          </w:p>
          <w:p w14:paraId="184493E3" w14:textId="77777777" w:rsidR="00012059" w:rsidRDefault="00012059" w:rsidP="00583D0F">
            <w:pPr>
              <w:jc w:val="center"/>
              <w:rPr>
                <w:rFonts w:ascii="Calibri" w:hAnsi="Calibri" w:cs="Calibri"/>
                <w:b/>
                <w:bCs/>
                <w:color w:val="FFFFFF"/>
              </w:rPr>
            </w:pPr>
          </w:p>
          <w:p w14:paraId="1A3967C6" w14:textId="071CC1A5" w:rsidR="00012059" w:rsidRDefault="00012059" w:rsidP="00012059">
            <w:pPr>
              <w:jc w:val="center"/>
              <w:rPr>
                <w:rFonts w:ascii="Calibri" w:hAnsi="Calibri" w:cs="Calibri"/>
                <w:b/>
                <w:bCs/>
                <w:color w:val="FFFFFF"/>
              </w:rPr>
            </w:pPr>
            <w:r>
              <w:rPr>
                <w:rFonts w:ascii="Calibri" w:hAnsi="Calibri" w:cs="Calibri"/>
                <w:b/>
                <w:bCs/>
                <w:color w:val="FFFFFF"/>
              </w:rPr>
              <w:t xml:space="preserve">Total </w:t>
            </w:r>
            <w:r w:rsidR="001F2511">
              <w:rPr>
                <w:rFonts w:ascii="Calibri" w:hAnsi="Calibri" w:cs="Calibri"/>
                <w:b/>
                <w:bCs/>
                <w:color w:val="FFFFFF"/>
              </w:rPr>
              <w:t>return to Shareholders</w:t>
            </w:r>
            <w:r>
              <w:rPr>
                <w:rFonts w:ascii="Calibri" w:hAnsi="Calibri" w:cs="Calibri"/>
                <w:b/>
                <w:bCs/>
                <w:color w:val="FFFFFF"/>
              </w:rPr>
              <w:t xml:space="preserve"> since IPO</w:t>
            </w:r>
          </w:p>
          <w:p w14:paraId="274EC9E2" w14:textId="61497B38" w:rsidR="00012059" w:rsidRDefault="00852F5B" w:rsidP="00012059">
            <w:pPr>
              <w:jc w:val="center"/>
              <w:rPr>
                <w:rFonts w:ascii="Calibri" w:hAnsi="Calibri" w:cs="Calibri"/>
                <w:b/>
                <w:bCs/>
                <w:color w:val="FFFFFF" w:themeColor="background1"/>
                <w:sz w:val="20"/>
              </w:rPr>
            </w:pPr>
            <w:r>
              <w:rPr>
                <w:rFonts w:ascii="Calibri" w:hAnsi="Calibri" w:cs="Calibri"/>
                <w:b/>
                <w:bCs/>
                <w:color w:val="FFFFFF" w:themeColor="background1"/>
                <w:sz w:val="28"/>
              </w:rPr>
              <w:t>79.</w:t>
            </w:r>
            <w:r w:rsidR="00012059" w:rsidRPr="00852F5B">
              <w:rPr>
                <w:rFonts w:ascii="Calibri" w:hAnsi="Calibri" w:cs="Calibri"/>
                <w:b/>
                <w:bCs/>
                <w:color w:val="FFFFFF" w:themeColor="background1"/>
                <w:sz w:val="28"/>
              </w:rPr>
              <w:t>8</w:t>
            </w:r>
            <w:r>
              <w:rPr>
                <w:rFonts w:ascii="Calibri" w:hAnsi="Calibri" w:cs="Calibri"/>
                <w:b/>
                <w:bCs/>
                <w:color w:val="FFFFFF" w:themeColor="background1"/>
                <w:sz w:val="28"/>
              </w:rPr>
              <w:t>9</w:t>
            </w:r>
            <w:r w:rsidR="00012059" w:rsidRPr="00852F5B">
              <w:rPr>
                <w:rFonts w:ascii="Calibri" w:hAnsi="Calibri" w:cs="Calibri"/>
                <w:b/>
                <w:bCs/>
                <w:color w:val="FFFFFF" w:themeColor="background1"/>
                <w:sz w:val="28"/>
              </w:rPr>
              <w:t>%</w:t>
            </w:r>
            <w:r w:rsidR="00012059" w:rsidRPr="002940B0">
              <w:rPr>
                <w:rFonts w:ascii="Calibri" w:hAnsi="Calibri" w:cs="Calibri"/>
                <w:b/>
                <w:bCs/>
                <w:color w:val="FFFFFF" w:themeColor="background1"/>
                <w:sz w:val="28"/>
              </w:rPr>
              <w:t xml:space="preserve"> </w:t>
            </w:r>
            <w:r w:rsidR="002F0FD8">
              <w:rPr>
                <w:rFonts w:ascii="Calibri" w:hAnsi="Calibri" w:cs="Calibri"/>
                <w:b/>
                <w:bCs/>
                <w:i/>
                <w:sz w:val="20"/>
              </w:rPr>
              <w:t>73.48</w:t>
            </w:r>
            <w:r w:rsidR="00012059">
              <w:rPr>
                <w:rFonts w:ascii="Calibri" w:hAnsi="Calibri" w:cs="Calibri"/>
                <w:b/>
                <w:bCs/>
                <w:i/>
                <w:sz w:val="20"/>
              </w:rPr>
              <w:t>%</w:t>
            </w:r>
          </w:p>
          <w:p w14:paraId="613BDD90" w14:textId="77777777" w:rsidR="00012059" w:rsidRDefault="00012059" w:rsidP="00583D0F">
            <w:pPr>
              <w:jc w:val="center"/>
              <w:rPr>
                <w:rFonts w:ascii="Calibri" w:hAnsi="Calibri" w:cs="Calibri"/>
                <w:b/>
                <w:bCs/>
                <w:color w:val="FFFFFF"/>
              </w:rPr>
            </w:pPr>
          </w:p>
          <w:p w14:paraId="7722EF20" w14:textId="6553F71C" w:rsidR="00012059" w:rsidRDefault="00012059" w:rsidP="00583D0F">
            <w:pPr>
              <w:jc w:val="center"/>
              <w:rPr>
                <w:rFonts w:ascii="Calibri" w:hAnsi="Calibri" w:cs="Calibri"/>
                <w:b/>
                <w:bCs/>
                <w:color w:val="FFFFFF"/>
              </w:rPr>
            </w:pPr>
          </w:p>
        </w:tc>
      </w:tr>
      <w:tr w:rsidR="00046F6F" w14:paraId="7CD17D0E" w14:textId="77777777" w:rsidTr="00EF6D72">
        <w:trPr>
          <w:trHeight w:val="836"/>
          <w:jc w:val="center"/>
        </w:trPr>
        <w:tc>
          <w:tcPr>
            <w:tcW w:w="4532" w:type="dxa"/>
            <w:tcBorders>
              <w:top w:val="nil"/>
              <w:left w:val="nil"/>
              <w:bottom w:val="nil"/>
              <w:right w:val="nil"/>
            </w:tcBorders>
            <w:shd w:val="clear" w:color="auto" w:fill="8DB3E2" w:themeFill="text2" w:themeFillTint="66"/>
            <w:noWrap/>
            <w:vAlign w:val="center"/>
            <w:hideMark/>
          </w:tcPr>
          <w:p w14:paraId="574BD4BD" w14:textId="46C49762" w:rsidR="009D45A5" w:rsidRDefault="009D45A5" w:rsidP="009D45A5">
            <w:pPr>
              <w:jc w:val="center"/>
              <w:rPr>
                <w:rFonts w:ascii="Calibri" w:hAnsi="Calibri" w:cs="Calibri"/>
                <w:b/>
                <w:bCs/>
                <w:color w:val="FFFFFF"/>
              </w:rPr>
            </w:pPr>
            <w:r>
              <w:rPr>
                <w:rFonts w:ascii="Calibri" w:hAnsi="Calibri" w:cs="Calibri"/>
                <w:b/>
                <w:bCs/>
                <w:color w:val="FFFFFF"/>
              </w:rPr>
              <w:t>Underlying Earnings</w:t>
            </w:r>
            <w:r w:rsidR="001D63BC">
              <w:rPr>
                <w:rFonts w:ascii="Calibri" w:hAnsi="Calibri" w:cs="Calibri"/>
                <w:b/>
                <w:bCs/>
                <w:color w:val="FFFFFF"/>
              </w:rPr>
              <w:t xml:space="preserve"> per share</w:t>
            </w:r>
            <w:r w:rsidRPr="009D45A5">
              <w:rPr>
                <w:rFonts w:ascii="Calibri" w:hAnsi="Calibri" w:cs="Calibri"/>
                <w:b/>
                <w:bCs/>
                <w:color w:val="FFFFFF"/>
                <w:vertAlign w:val="superscript"/>
              </w:rPr>
              <w:t>1</w:t>
            </w:r>
          </w:p>
          <w:p w14:paraId="61CCB69E" w14:textId="34D12334" w:rsidR="009D45A5" w:rsidRPr="009D45A5" w:rsidRDefault="009D45A5" w:rsidP="009D45A5">
            <w:pPr>
              <w:jc w:val="center"/>
              <w:rPr>
                <w:rFonts w:ascii="Calibri" w:hAnsi="Calibri" w:cs="Calibri"/>
                <w:bCs/>
                <w:sz w:val="20"/>
              </w:rPr>
            </w:pPr>
            <w:r w:rsidRPr="009D45A5">
              <w:rPr>
                <w:rFonts w:ascii="Calibri" w:hAnsi="Calibri" w:cs="Calibri"/>
                <w:bCs/>
                <w:sz w:val="20"/>
              </w:rPr>
              <w:t>(post amortisation of debt)</w:t>
            </w:r>
          </w:p>
          <w:p w14:paraId="132D4063" w14:textId="568D21FA" w:rsidR="009D45A5" w:rsidRDefault="00F3421F" w:rsidP="009D45A5">
            <w:pPr>
              <w:jc w:val="center"/>
              <w:rPr>
                <w:rFonts w:ascii="Calibri" w:hAnsi="Calibri" w:cs="Calibri"/>
                <w:b/>
                <w:bCs/>
                <w:color w:val="FFFFFF" w:themeColor="background1"/>
                <w:sz w:val="20"/>
              </w:rPr>
            </w:pPr>
            <w:r>
              <w:rPr>
                <w:rFonts w:ascii="Calibri" w:hAnsi="Calibri" w:cs="Calibri"/>
                <w:b/>
                <w:bCs/>
                <w:color w:val="FFFFFF" w:themeColor="background1"/>
                <w:sz w:val="28"/>
              </w:rPr>
              <w:t>9.5</w:t>
            </w:r>
            <w:r w:rsidR="0082001E">
              <w:rPr>
                <w:rFonts w:ascii="Calibri" w:hAnsi="Calibri" w:cs="Calibri"/>
                <w:b/>
                <w:bCs/>
                <w:color w:val="FFFFFF" w:themeColor="background1"/>
                <w:sz w:val="28"/>
              </w:rPr>
              <w:t>3</w:t>
            </w:r>
            <w:r w:rsidR="009D45A5" w:rsidRPr="00C3654A">
              <w:rPr>
                <w:rFonts w:ascii="Calibri" w:hAnsi="Calibri" w:cs="Calibri"/>
                <w:b/>
                <w:bCs/>
                <w:color w:val="FFFFFF" w:themeColor="background1"/>
                <w:sz w:val="28"/>
              </w:rPr>
              <w:t>p</w:t>
            </w:r>
            <w:r w:rsidR="009D45A5" w:rsidRPr="002940B0">
              <w:rPr>
                <w:rFonts w:ascii="Calibri" w:hAnsi="Calibri" w:cs="Calibri"/>
                <w:b/>
                <w:bCs/>
                <w:color w:val="FFFFFF" w:themeColor="background1"/>
                <w:sz w:val="28"/>
              </w:rPr>
              <w:t xml:space="preserve"> </w:t>
            </w:r>
            <w:r>
              <w:rPr>
                <w:rFonts w:ascii="Calibri" w:hAnsi="Calibri" w:cs="Calibri"/>
                <w:b/>
                <w:bCs/>
                <w:i/>
                <w:sz w:val="20"/>
              </w:rPr>
              <w:t>8.62</w:t>
            </w:r>
            <w:r w:rsidR="009D45A5">
              <w:rPr>
                <w:rFonts w:ascii="Calibri" w:hAnsi="Calibri" w:cs="Calibri"/>
                <w:b/>
                <w:bCs/>
                <w:i/>
                <w:sz w:val="20"/>
              </w:rPr>
              <w:t>p</w:t>
            </w:r>
          </w:p>
          <w:p w14:paraId="39194E9C" w14:textId="6B2A7A52" w:rsidR="00046F6F" w:rsidRDefault="00046F6F" w:rsidP="00D76DF7">
            <w:pPr>
              <w:jc w:val="center"/>
              <w:rPr>
                <w:rFonts w:ascii="Calibri" w:hAnsi="Calibri" w:cs="Calibri"/>
                <w:b/>
                <w:bCs/>
                <w:color w:val="000000"/>
                <w:sz w:val="44"/>
                <w:szCs w:val="44"/>
              </w:rPr>
            </w:pPr>
          </w:p>
        </w:tc>
        <w:tc>
          <w:tcPr>
            <w:tcW w:w="271" w:type="dxa"/>
            <w:tcBorders>
              <w:top w:val="nil"/>
              <w:left w:val="nil"/>
              <w:bottom w:val="nil"/>
              <w:right w:val="nil"/>
            </w:tcBorders>
            <w:shd w:val="clear" w:color="auto" w:fill="auto"/>
            <w:noWrap/>
            <w:vAlign w:val="bottom"/>
            <w:hideMark/>
          </w:tcPr>
          <w:p w14:paraId="1AE9904A" w14:textId="77777777" w:rsidR="00046F6F" w:rsidRDefault="00046F6F" w:rsidP="00D76DF7">
            <w:pPr>
              <w:jc w:val="center"/>
              <w:rPr>
                <w:rFonts w:ascii="Calibri" w:hAnsi="Calibri" w:cs="Calibri"/>
                <w:b/>
                <w:bCs/>
                <w:color w:val="000000"/>
                <w:sz w:val="44"/>
                <w:szCs w:val="44"/>
              </w:rPr>
            </w:pPr>
          </w:p>
        </w:tc>
        <w:tc>
          <w:tcPr>
            <w:tcW w:w="4532" w:type="dxa"/>
            <w:tcBorders>
              <w:top w:val="nil"/>
              <w:left w:val="nil"/>
              <w:bottom w:val="nil"/>
              <w:right w:val="nil"/>
            </w:tcBorders>
            <w:shd w:val="clear" w:color="auto" w:fill="8DB3E2" w:themeFill="text2" w:themeFillTint="66"/>
            <w:noWrap/>
            <w:vAlign w:val="center"/>
            <w:hideMark/>
          </w:tcPr>
          <w:p w14:paraId="30249C58" w14:textId="3F86C755" w:rsidR="00D76DF7" w:rsidRDefault="00012059" w:rsidP="00D76DF7">
            <w:pPr>
              <w:jc w:val="center"/>
              <w:rPr>
                <w:rFonts w:ascii="Calibri" w:hAnsi="Calibri" w:cs="Calibri"/>
                <w:b/>
                <w:bCs/>
                <w:color w:val="FFFFFF"/>
              </w:rPr>
            </w:pPr>
            <w:r>
              <w:rPr>
                <w:rFonts w:ascii="Calibri" w:hAnsi="Calibri" w:cs="Calibri"/>
                <w:b/>
                <w:bCs/>
                <w:color w:val="FFFFFF"/>
              </w:rPr>
              <w:t>MWh Generated per MWp</w:t>
            </w:r>
            <w:r w:rsidR="00C3654A">
              <w:rPr>
                <w:rFonts w:ascii="Calibri" w:hAnsi="Calibri" w:cs="Calibri"/>
                <w:b/>
                <w:bCs/>
                <w:color w:val="FFFFFF"/>
                <w:vertAlign w:val="superscript"/>
              </w:rPr>
              <w:t>3</w:t>
            </w:r>
          </w:p>
          <w:p w14:paraId="078EA4E1" w14:textId="766F4079" w:rsidR="00D76DF7" w:rsidRDefault="00012059" w:rsidP="00D76DF7">
            <w:pPr>
              <w:jc w:val="center"/>
              <w:rPr>
                <w:rFonts w:ascii="Calibri" w:hAnsi="Calibri" w:cs="Calibri"/>
                <w:b/>
                <w:bCs/>
                <w:color w:val="FFFFFF" w:themeColor="background1"/>
                <w:sz w:val="20"/>
              </w:rPr>
            </w:pPr>
            <w:r w:rsidRPr="00C3654A">
              <w:rPr>
                <w:rFonts w:ascii="Calibri" w:hAnsi="Calibri" w:cs="Calibri"/>
                <w:b/>
                <w:bCs/>
                <w:color w:val="FFFFFF" w:themeColor="background1"/>
                <w:sz w:val="28"/>
              </w:rPr>
              <w:t>1,0</w:t>
            </w:r>
            <w:r w:rsidR="00C3654A">
              <w:rPr>
                <w:rFonts w:ascii="Calibri" w:hAnsi="Calibri" w:cs="Calibri"/>
                <w:b/>
                <w:bCs/>
                <w:color w:val="FFFFFF" w:themeColor="background1"/>
                <w:sz w:val="28"/>
              </w:rPr>
              <w:t>48</w:t>
            </w:r>
            <w:r w:rsidR="00D76DF7" w:rsidRPr="002940B0">
              <w:rPr>
                <w:rFonts w:ascii="Calibri" w:hAnsi="Calibri" w:cs="Calibri"/>
                <w:b/>
                <w:bCs/>
                <w:color w:val="FFFFFF" w:themeColor="background1"/>
                <w:sz w:val="28"/>
              </w:rPr>
              <w:t xml:space="preserve"> </w:t>
            </w:r>
            <w:r w:rsidR="002F0FD8">
              <w:rPr>
                <w:rFonts w:ascii="Calibri" w:hAnsi="Calibri" w:cs="Calibri"/>
                <w:b/>
                <w:bCs/>
                <w:i/>
                <w:sz w:val="20"/>
              </w:rPr>
              <w:t>1,030</w:t>
            </w:r>
          </w:p>
          <w:p w14:paraId="0D5123A7" w14:textId="57A382AA" w:rsidR="00046F6F" w:rsidRDefault="00046F6F" w:rsidP="00D76DF7">
            <w:pPr>
              <w:jc w:val="center"/>
              <w:rPr>
                <w:rFonts w:ascii="Calibri" w:hAnsi="Calibri" w:cs="Calibri"/>
                <w:b/>
                <w:bCs/>
                <w:color w:val="FFFFFF"/>
                <w:sz w:val="44"/>
                <w:szCs w:val="44"/>
              </w:rPr>
            </w:pPr>
          </w:p>
        </w:tc>
      </w:tr>
      <w:tr w:rsidR="00046F6F" w14:paraId="09666162" w14:textId="77777777" w:rsidTr="00EF6D72">
        <w:trPr>
          <w:trHeight w:val="274"/>
          <w:jc w:val="center"/>
        </w:trPr>
        <w:tc>
          <w:tcPr>
            <w:tcW w:w="4532" w:type="dxa"/>
            <w:tcBorders>
              <w:top w:val="nil"/>
              <w:left w:val="nil"/>
              <w:bottom w:val="nil"/>
              <w:right w:val="nil"/>
            </w:tcBorders>
            <w:shd w:val="clear" w:color="auto" w:fill="auto"/>
            <w:noWrap/>
            <w:vAlign w:val="bottom"/>
            <w:hideMark/>
          </w:tcPr>
          <w:p w14:paraId="4BDBD2DC" w14:textId="77777777" w:rsidR="00046F6F" w:rsidRDefault="00046F6F" w:rsidP="00D76DF7">
            <w:pPr>
              <w:rPr>
                <w:rFonts w:ascii="Calibri" w:hAnsi="Calibri" w:cs="Calibri"/>
                <w:color w:val="000000"/>
                <w:sz w:val="22"/>
                <w:szCs w:val="22"/>
              </w:rPr>
            </w:pPr>
          </w:p>
        </w:tc>
        <w:tc>
          <w:tcPr>
            <w:tcW w:w="271" w:type="dxa"/>
            <w:tcBorders>
              <w:top w:val="nil"/>
              <w:left w:val="nil"/>
              <w:bottom w:val="nil"/>
              <w:right w:val="nil"/>
            </w:tcBorders>
            <w:shd w:val="clear" w:color="auto" w:fill="auto"/>
            <w:noWrap/>
            <w:vAlign w:val="bottom"/>
            <w:hideMark/>
          </w:tcPr>
          <w:p w14:paraId="4B352C9F" w14:textId="77777777" w:rsidR="00046F6F" w:rsidRDefault="00046F6F" w:rsidP="00D76DF7">
            <w:pPr>
              <w:rPr>
                <w:sz w:val="20"/>
                <w:szCs w:val="20"/>
              </w:rPr>
            </w:pPr>
          </w:p>
        </w:tc>
        <w:tc>
          <w:tcPr>
            <w:tcW w:w="4532" w:type="dxa"/>
            <w:tcBorders>
              <w:top w:val="nil"/>
              <w:left w:val="nil"/>
              <w:bottom w:val="nil"/>
              <w:right w:val="nil"/>
            </w:tcBorders>
            <w:shd w:val="clear" w:color="auto" w:fill="auto"/>
            <w:vAlign w:val="bottom"/>
            <w:hideMark/>
          </w:tcPr>
          <w:p w14:paraId="51FD9C6A" w14:textId="77777777" w:rsidR="00046F6F" w:rsidRDefault="00046F6F" w:rsidP="00D76DF7">
            <w:pPr>
              <w:rPr>
                <w:sz w:val="20"/>
                <w:szCs w:val="20"/>
              </w:rPr>
            </w:pPr>
          </w:p>
        </w:tc>
      </w:tr>
      <w:tr w:rsidR="00483F08" w14:paraId="1A55B290" w14:textId="77777777" w:rsidTr="00EF6D72">
        <w:trPr>
          <w:trHeight w:val="1177"/>
          <w:jc w:val="center"/>
        </w:trPr>
        <w:tc>
          <w:tcPr>
            <w:tcW w:w="9335" w:type="dxa"/>
            <w:gridSpan w:val="3"/>
            <w:tcBorders>
              <w:top w:val="nil"/>
              <w:left w:val="nil"/>
              <w:bottom w:val="nil"/>
              <w:right w:val="nil"/>
            </w:tcBorders>
            <w:shd w:val="clear" w:color="auto" w:fill="B0E43C"/>
            <w:noWrap/>
          </w:tcPr>
          <w:p w14:paraId="77A529DE" w14:textId="77777777" w:rsidR="00483F08" w:rsidRDefault="00483F08" w:rsidP="00EF6D72">
            <w:pPr>
              <w:jc w:val="center"/>
              <w:rPr>
                <w:rFonts w:ascii="Calibri" w:hAnsi="Calibri" w:cs="Calibri"/>
                <w:b/>
                <w:bCs/>
                <w:color w:val="FFFFFF" w:themeColor="background1"/>
              </w:rPr>
            </w:pPr>
            <w:r w:rsidRPr="00EF6D72">
              <w:rPr>
                <w:rFonts w:ascii="Calibri" w:hAnsi="Calibri" w:cs="Calibri"/>
                <w:b/>
                <w:bCs/>
                <w:color w:val="FFFFFF" w:themeColor="background1"/>
              </w:rPr>
              <w:t>Environmental, Social and Governance (ESG)</w:t>
            </w:r>
          </w:p>
          <w:p w14:paraId="0FE4341E" w14:textId="400F1BBA" w:rsidR="00D76DF7" w:rsidRDefault="000A28E3" w:rsidP="00EF6D72">
            <w:pPr>
              <w:jc w:val="center"/>
              <w:rPr>
                <w:rFonts w:ascii="Calibri" w:hAnsi="Calibri" w:cs="Calibri"/>
                <w:b/>
                <w:bCs/>
              </w:rPr>
            </w:pPr>
            <w:r>
              <w:rPr>
                <w:rFonts w:ascii="Calibri" w:hAnsi="Calibri" w:cs="Calibri"/>
                <w:b/>
                <w:bCs/>
                <w:color w:val="FFFFFF" w:themeColor="background1"/>
                <w:sz w:val="32"/>
              </w:rPr>
              <w:t>Guernsey Green Fund</w:t>
            </w:r>
          </w:p>
          <w:p w14:paraId="6D636CE6" w14:textId="3469C3FF" w:rsidR="00D76DF7" w:rsidRPr="00EF6D72" w:rsidRDefault="00D76DF7" w:rsidP="00E34593">
            <w:pPr>
              <w:jc w:val="center"/>
              <w:rPr>
                <w:color w:val="FFFFFF" w:themeColor="background1"/>
                <w:sz w:val="32"/>
                <w:szCs w:val="20"/>
              </w:rPr>
            </w:pPr>
            <w:r>
              <w:rPr>
                <w:rFonts w:ascii="Calibri" w:hAnsi="Calibri" w:cs="Calibri"/>
                <w:b/>
                <w:bCs/>
              </w:rPr>
              <w:t xml:space="preserve">Delivered Carbon Savings of </w:t>
            </w:r>
            <w:r w:rsidR="00E34593">
              <w:rPr>
                <w:rFonts w:ascii="Calibri" w:hAnsi="Calibri" w:cs="Calibri"/>
                <w:b/>
                <w:bCs/>
                <w:color w:val="FFFFFF" w:themeColor="background1"/>
                <w:sz w:val="32"/>
              </w:rPr>
              <w:t>125,534</w:t>
            </w:r>
            <w:r>
              <w:rPr>
                <w:rFonts w:ascii="Calibri" w:hAnsi="Calibri" w:cs="Calibri"/>
                <w:b/>
                <w:bCs/>
                <w:color w:val="FFFFFF" w:themeColor="background1"/>
                <w:sz w:val="32"/>
              </w:rPr>
              <w:t xml:space="preserve"> tonnes of CO2</w:t>
            </w:r>
          </w:p>
        </w:tc>
      </w:tr>
      <w:tr w:rsidR="00483F08" w14:paraId="3214894C" w14:textId="77777777" w:rsidTr="00EF6D72">
        <w:trPr>
          <w:trHeight w:val="274"/>
          <w:jc w:val="center"/>
        </w:trPr>
        <w:tc>
          <w:tcPr>
            <w:tcW w:w="4532" w:type="dxa"/>
            <w:tcBorders>
              <w:top w:val="nil"/>
              <w:left w:val="nil"/>
              <w:bottom w:val="nil"/>
              <w:right w:val="nil"/>
            </w:tcBorders>
            <w:shd w:val="clear" w:color="auto" w:fill="auto"/>
            <w:noWrap/>
          </w:tcPr>
          <w:p w14:paraId="12EC57FB" w14:textId="1881E29E" w:rsidR="00483F08" w:rsidRDefault="00483F08" w:rsidP="00D76DF7">
            <w:pPr>
              <w:rPr>
                <w:rFonts w:ascii="Calibri" w:hAnsi="Calibri" w:cs="Calibri"/>
                <w:color w:val="000000"/>
                <w:sz w:val="22"/>
                <w:szCs w:val="22"/>
              </w:rPr>
            </w:pPr>
            <w:r>
              <w:rPr>
                <w:rFonts w:ascii="Calibri" w:hAnsi="Calibri" w:cs="Calibri"/>
                <w:b/>
                <w:bCs/>
                <w:color w:val="000000"/>
              </w:rPr>
              <w:t> </w:t>
            </w:r>
          </w:p>
        </w:tc>
        <w:tc>
          <w:tcPr>
            <w:tcW w:w="271" w:type="dxa"/>
            <w:tcBorders>
              <w:top w:val="nil"/>
              <w:left w:val="nil"/>
              <w:bottom w:val="nil"/>
              <w:right w:val="nil"/>
            </w:tcBorders>
            <w:shd w:val="clear" w:color="auto" w:fill="auto"/>
            <w:noWrap/>
          </w:tcPr>
          <w:p w14:paraId="0FF7E4FE" w14:textId="49DF958C" w:rsidR="00483F08" w:rsidRDefault="00483F08" w:rsidP="00D76DF7">
            <w:pPr>
              <w:rPr>
                <w:sz w:val="20"/>
                <w:szCs w:val="20"/>
              </w:rPr>
            </w:pPr>
            <w:r>
              <w:rPr>
                <w:rFonts w:ascii="Calibri" w:hAnsi="Calibri" w:cs="Calibri"/>
                <w:b/>
                <w:bCs/>
                <w:color w:val="000000"/>
              </w:rPr>
              <w:t> </w:t>
            </w:r>
          </w:p>
        </w:tc>
        <w:tc>
          <w:tcPr>
            <w:tcW w:w="4532" w:type="dxa"/>
            <w:tcBorders>
              <w:top w:val="nil"/>
              <w:left w:val="nil"/>
              <w:bottom w:val="nil"/>
              <w:right w:val="nil"/>
            </w:tcBorders>
            <w:shd w:val="clear" w:color="auto" w:fill="auto"/>
          </w:tcPr>
          <w:p w14:paraId="3418AF94" w14:textId="21790702" w:rsidR="00483F08" w:rsidRDefault="00483F08" w:rsidP="00D76DF7">
            <w:pPr>
              <w:rPr>
                <w:sz w:val="20"/>
                <w:szCs w:val="20"/>
              </w:rPr>
            </w:pPr>
            <w:r>
              <w:rPr>
                <w:rFonts w:ascii="Calibri" w:hAnsi="Calibri" w:cs="Calibri"/>
                <w:b/>
                <w:bCs/>
                <w:color w:val="000000"/>
              </w:rPr>
              <w:t> </w:t>
            </w:r>
          </w:p>
        </w:tc>
      </w:tr>
      <w:tr w:rsidR="00012059" w14:paraId="281D110B" w14:textId="77777777" w:rsidTr="00C60C07">
        <w:trPr>
          <w:trHeight w:val="287"/>
          <w:jc w:val="center"/>
        </w:trPr>
        <w:tc>
          <w:tcPr>
            <w:tcW w:w="9335" w:type="dxa"/>
            <w:gridSpan w:val="3"/>
            <w:tcBorders>
              <w:top w:val="nil"/>
              <w:left w:val="nil"/>
              <w:bottom w:val="nil"/>
              <w:right w:val="nil"/>
            </w:tcBorders>
            <w:shd w:val="clear" w:color="auto" w:fill="FABF8F" w:themeFill="accent6" w:themeFillTint="99"/>
            <w:noWrap/>
            <w:vAlign w:val="bottom"/>
            <w:hideMark/>
          </w:tcPr>
          <w:p w14:paraId="1F243484" w14:textId="77777777" w:rsidR="00012059" w:rsidRDefault="00012059" w:rsidP="00D76DF7">
            <w:pPr>
              <w:jc w:val="center"/>
              <w:rPr>
                <w:rFonts w:ascii="Calibri" w:hAnsi="Calibri" w:cs="Calibri"/>
                <w:b/>
                <w:bCs/>
                <w:color w:val="FFFFFF"/>
              </w:rPr>
            </w:pPr>
            <w:r>
              <w:rPr>
                <w:rFonts w:ascii="Calibri" w:hAnsi="Calibri" w:cs="Calibri"/>
                <w:b/>
                <w:bCs/>
                <w:color w:val="FFFFFF"/>
              </w:rPr>
              <w:t>Forward Focus</w:t>
            </w:r>
          </w:p>
          <w:p w14:paraId="493F84DD" w14:textId="07B6FDCA" w:rsidR="0082001E" w:rsidRPr="0082001E" w:rsidRDefault="0082001E" w:rsidP="0082001E">
            <w:pPr>
              <w:jc w:val="center"/>
              <w:rPr>
                <w:rFonts w:ascii="Calibri" w:hAnsi="Calibri" w:cs="Calibri"/>
                <w:b/>
                <w:bCs/>
                <w:sz w:val="20"/>
              </w:rPr>
            </w:pPr>
            <w:r w:rsidRPr="0082001E">
              <w:rPr>
                <w:rFonts w:ascii="Calibri" w:hAnsi="Calibri" w:cs="Calibri"/>
                <w:b/>
                <w:bCs/>
                <w:sz w:val="20"/>
              </w:rPr>
              <w:t>An important solar acquisition has continued our policy of asset growth, while modestly increasing our gearing level to within the Board’s target range</w:t>
            </w:r>
            <w:r w:rsidR="00676F39">
              <w:rPr>
                <w:rFonts w:ascii="Calibri" w:hAnsi="Calibri" w:cs="Calibri"/>
                <w:b/>
                <w:bCs/>
                <w:sz w:val="20"/>
              </w:rPr>
              <w:t>;</w:t>
            </w:r>
          </w:p>
          <w:p w14:paraId="4A07771A" w14:textId="558856C5" w:rsidR="00676F39" w:rsidRPr="0082001E" w:rsidRDefault="00676F39" w:rsidP="00676F39">
            <w:pPr>
              <w:jc w:val="center"/>
              <w:rPr>
                <w:rFonts w:ascii="Calibri" w:hAnsi="Calibri" w:cs="Calibri"/>
                <w:b/>
                <w:bCs/>
                <w:sz w:val="20"/>
              </w:rPr>
            </w:pPr>
            <w:r w:rsidRPr="0082001E">
              <w:rPr>
                <w:rFonts w:ascii="Calibri" w:hAnsi="Calibri" w:cs="Calibri"/>
                <w:b/>
                <w:bCs/>
                <w:sz w:val="20"/>
              </w:rPr>
              <w:t>We</w:t>
            </w:r>
            <w:r>
              <w:rPr>
                <w:rFonts w:ascii="Calibri" w:hAnsi="Calibri" w:cs="Calibri"/>
                <w:b/>
                <w:bCs/>
                <w:sz w:val="20"/>
              </w:rPr>
              <w:t xml:space="preserve"> continue to look at ways of growing the Company through accretive secondary acquisitions, new build capacity and complementary renewable technologies; </w:t>
            </w:r>
            <w:r w:rsidRPr="0082001E">
              <w:rPr>
                <w:rFonts w:ascii="Calibri" w:hAnsi="Calibri" w:cs="Calibri"/>
                <w:b/>
                <w:bCs/>
                <w:sz w:val="20"/>
              </w:rPr>
              <w:t xml:space="preserve"> </w:t>
            </w:r>
          </w:p>
          <w:p w14:paraId="0154AA7C" w14:textId="208FAB10" w:rsidR="00012059" w:rsidRPr="00EF6D72" w:rsidRDefault="00012059" w:rsidP="00676F39">
            <w:pPr>
              <w:jc w:val="center"/>
              <w:rPr>
                <w:rFonts w:ascii="Calibri" w:hAnsi="Calibri" w:cs="Calibri"/>
                <w:b/>
                <w:bCs/>
                <w:sz w:val="20"/>
              </w:rPr>
            </w:pPr>
          </w:p>
        </w:tc>
      </w:tr>
      <w:tr w:rsidR="00483F08" w14:paraId="428CB7B4" w14:textId="77777777" w:rsidTr="00EF6D72">
        <w:trPr>
          <w:trHeight w:val="274"/>
          <w:jc w:val="center"/>
        </w:trPr>
        <w:tc>
          <w:tcPr>
            <w:tcW w:w="4532" w:type="dxa"/>
            <w:tcBorders>
              <w:top w:val="nil"/>
              <w:left w:val="nil"/>
              <w:bottom w:val="nil"/>
              <w:right w:val="nil"/>
            </w:tcBorders>
            <w:shd w:val="clear" w:color="auto" w:fill="auto"/>
            <w:noWrap/>
            <w:vAlign w:val="bottom"/>
            <w:hideMark/>
          </w:tcPr>
          <w:p w14:paraId="5FF3F51C" w14:textId="77777777" w:rsidR="00483F08" w:rsidRDefault="00483F08" w:rsidP="00D76DF7">
            <w:pPr>
              <w:rPr>
                <w:rFonts w:ascii="Calibri" w:hAnsi="Calibri" w:cs="Calibri"/>
                <w:color w:val="FFFFFF"/>
                <w:sz w:val="22"/>
                <w:szCs w:val="22"/>
              </w:rPr>
            </w:pPr>
          </w:p>
        </w:tc>
        <w:tc>
          <w:tcPr>
            <w:tcW w:w="271" w:type="dxa"/>
            <w:tcBorders>
              <w:top w:val="nil"/>
              <w:left w:val="nil"/>
              <w:bottom w:val="nil"/>
              <w:right w:val="nil"/>
            </w:tcBorders>
            <w:shd w:val="clear" w:color="auto" w:fill="auto"/>
            <w:noWrap/>
            <w:vAlign w:val="bottom"/>
            <w:hideMark/>
          </w:tcPr>
          <w:p w14:paraId="2D0F17A7" w14:textId="77777777" w:rsidR="00483F08" w:rsidRDefault="00483F08" w:rsidP="00D76DF7">
            <w:pPr>
              <w:rPr>
                <w:sz w:val="20"/>
                <w:szCs w:val="20"/>
              </w:rPr>
            </w:pPr>
          </w:p>
        </w:tc>
        <w:tc>
          <w:tcPr>
            <w:tcW w:w="4532" w:type="dxa"/>
            <w:tcBorders>
              <w:top w:val="nil"/>
              <w:left w:val="nil"/>
              <w:bottom w:val="nil"/>
              <w:right w:val="nil"/>
            </w:tcBorders>
            <w:shd w:val="clear" w:color="auto" w:fill="auto"/>
            <w:noWrap/>
            <w:vAlign w:val="bottom"/>
            <w:hideMark/>
          </w:tcPr>
          <w:p w14:paraId="370B2B66" w14:textId="77777777" w:rsidR="00483F08" w:rsidRDefault="00483F08" w:rsidP="00D76DF7">
            <w:pPr>
              <w:rPr>
                <w:sz w:val="20"/>
                <w:szCs w:val="20"/>
              </w:rPr>
            </w:pPr>
          </w:p>
        </w:tc>
      </w:tr>
      <w:tr w:rsidR="00483F08" w14:paraId="441EC7CC" w14:textId="77777777" w:rsidTr="00EF6D72">
        <w:trPr>
          <w:trHeight w:val="276"/>
          <w:jc w:val="center"/>
        </w:trPr>
        <w:tc>
          <w:tcPr>
            <w:tcW w:w="9335" w:type="dxa"/>
            <w:gridSpan w:val="3"/>
            <w:tcBorders>
              <w:top w:val="nil"/>
              <w:left w:val="nil"/>
              <w:bottom w:val="nil"/>
              <w:right w:val="nil"/>
            </w:tcBorders>
            <w:vAlign w:val="center"/>
          </w:tcPr>
          <w:p w14:paraId="70CB58E9" w14:textId="77777777" w:rsidR="00483F08" w:rsidRDefault="00483F08" w:rsidP="00D76DF7">
            <w:pPr>
              <w:rPr>
                <w:rFonts w:ascii="Calibri" w:hAnsi="Calibri" w:cs="Calibri"/>
                <w:sz w:val="22"/>
                <w:szCs w:val="22"/>
              </w:rPr>
            </w:pPr>
          </w:p>
        </w:tc>
      </w:tr>
    </w:tbl>
    <w:p w14:paraId="446AB5C4" w14:textId="77777777" w:rsidR="0012415F" w:rsidRDefault="0012415F" w:rsidP="00212F98">
      <w:pPr>
        <w:pStyle w:val="ListParagraph"/>
      </w:pPr>
    </w:p>
    <w:p w14:paraId="62576376" w14:textId="2AD72DCA" w:rsidR="0019763C" w:rsidRPr="00350C5E" w:rsidRDefault="0019763C" w:rsidP="0019763C">
      <w:pPr>
        <w:jc w:val="both"/>
        <w:rPr>
          <w:rFonts w:ascii="Georgia" w:hAnsi="Georgia"/>
          <w:color w:val="404040" w:themeColor="text1" w:themeTint="BF"/>
          <w:sz w:val="20"/>
          <w:szCs w:val="20"/>
        </w:rPr>
      </w:pPr>
      <w:r w:rsidRPr="00350C5E">
        <w:rPr>
          <w:rFonts w:ascii="Georgia" w:hAnsi="Georgia"/>
          <w:color w:val="404040" w:themeColor="text1" w:themeTint="BF"/>
          <w:sz w:val="20"/>
          <w:szCs w:val="20"/>
        </w:rPr>
        <w:t xml:space="preserve">1. Underlying earnings is an alternative performance measure employed by the Company to provide </w:t>
      </w:r>
      <w:r w:rsidRPr="00350C5E">
        <w:rPr>
          <w:rFonts w:ascii="Georgia" w:hAnsi="Georgia"/>
          <w:color w:val="404040" w:themeColor="text1" w:themeTint="BF"/>
          <w:sz w:val="20"/>
          <w:szCs w:val="20"/>
        </w:rPr>
        <w:tab/>
        <w:t xml:space="preserve">insight to the Shareholders by definitively linking the underlying financial performance of the operational projects to the dividends declared and paid by the Company. </w:t>
      </w:r>
      <w:r w:rsidRPr="00AC6798">
        <w:rPr>
          <w:rFonts w:ascii="Georgia" w:hAnsi="Georgia"/>
          <w:color w:val="404040" w:themeColor="text1" w:themeTint="BF"/>
          <w:sz w:val="20"/>
          <w:szCs w:val="20"/>
        </w:rPr>
        <w:t>Further detail is provi</w:t>
      </w:r>
      <w:r w:rsidR="00AC6798" w:rsidRPr="00AC6798">
        <w:rPr>
          <w:rFonts w:ascii="Georgia" w:hAnsi="Georgia"/>
          <w:color w:val="404040" w:themeColor="text1" w:themeTint="BF"/>
          <w:sz w:val="20"/>
          <w:szCs w:val="20"/>
        </w:rPr>
        <w:t xml:space="preserve">ded on page </w:t>
      </w:r>
      <w:r w:rsidR="00102984">
        <w:rPr>
          <w:rFonts w:ascii="Georgia" w:hAnsi="Georgia"/>
          <w:color w:val="404040" w:themeColor="text1" w:themeTint="BF"/>
          <w:sz w:val="20"/>
          <w:szCs w:val="20"/>
        </w:rPr>
        <w:t>8.</w:t>
      </w:r>
    </w:p>
    <w:p w14:paraId="71FC1F86" w14:textId="3C2E3FAA" w:rsidR="00D60E86" w:rsidRDefault="00D60E86" w:rsidP="00D60E86">
      <w:pPr>
        <w:rPr>
          <w:rFonts w:ascii="Georgia" w:hAnsi="Georgia"/>
          <w:sz w:val="20"/>
          <w:szCs w:val="20"/>
        </w:rPr>
      </w:pPr>
      <w:r>
        <w:rPr>
          <w:rFonts w:ascii="Georgia" w:hAnsi="Georgia"/>
          <w:color w:val="404040" w:themeColor="text1" w:themeTint="BF"/>
          <w:sz w:val="20"/>
          <w:szCs w:val="20"/>
          <w:lang w:val="en-US"/>
        </w:rPr>
        <w:t>2</w:t>
      </w:r>
      <w:r w:rsidRPr="00776C5E">
        <w:rPr>
          <w:rFonts w:ascii="Georgia" w:hAnsi="Georgia"/>
          <w:color w:val="404040" w:themeColor="text1" w:themeTint="BF"/>
          <w:sz w:val="20"/>
          <w:szCs w:val="20"/>
          <w:lang w:val="en-US"/>
        </w:rPr>
        <w:t xml:space="preserve">. </w:t>
      </w:r>
      <w:r>
        <w:rPr>
          <w:rFonts w:ascii="Georgia" w:hAnsi="Georgia"/>
          <w:color w:val="404040" w:themeColor="text1" w:themeTint="BF"/>
          <w:sz w:val="20"/>
          <w:szCs w:val="20"/>
          <w:lang w:val="en-US"/>
        </w:rPr>
        <w:t xml:space="preserve"> </w:t>
      </w:r>
      <w:r w:rsidRPr="00776C5E">
        <w:rPr>
          <w:rFonts w:ascii="Georgia" w:hAnsi="Georgia"/>
          <w:color w:val="404040" w:themeColor="text1" w:themeTint="BF"/>
          <w:sz w:val="20"/>
          <w:szCs w:val="20"/>
          <w:lang w:val="en-US"/>
        </w:rPr>
        <w:t>To</w:t>
      </w:r>
      <w:r w:rsidR="00E254BC">
        <w:rPr>
          <w:rFonts w:ascii="Georgia" w:hAnsi="Georgia"/>
          <w:color w:val="404040" w:themeColor="text1" w:themeTint="BF"/>
          <w:sz w:val="20"/>
          <w:szCs w:val="20"/>
          <w:lang w:val="en-US"/>
        </w:rPr>
        <w:t>tal return to S</w:t>
      </w:r>
      <w:r w:rsidRPr="00B93928">
        <w:rPr>
          <w:rFonts w:ascii="Georgia" w:hAnsi="Georgia"/>
          <w:color w:val="404040" w:themeColor="text1" w:themeTint="BF"/>
          <w:sz w:val="20"/>
          <w:szCs w:val="20"/>
          <w:lang w:val="en-US"/>
        </w:rPr>
        <w:t>hareholders is based on share price movement and dividends paid in the year</w:t>
      </w:r>
      <w:r w:rsidRPr="00B93928">
        <w:rPr>
          <w:rFonts w:ascii="Georgia" w:hAnsi="Georgia"/>
          <w:sz w:val="20"/>
          <w:szCs w:val="20"/>
        </w:rPr>
        <w:t>.</w:t>
      </w:r>
    </w:p>
    <w:p w14:paraId="18363B62" w14:textId="34430464" w:rsidR="00C3654A" w:rsidRPr="00C3654A" w:rsidRDefault="00C3654A" w:rsidP="00D60E86">
      <w:pPr>
        <w:rPr>
          <w:rFonts w:ascii="Georgia" w:hAnsi="Georgia"/>
          <w:color w:val="404040" w:themeColor="text1" w:themeTint="BF"/>
          <w:sz w:val="20"/>
          <w:szCs w:val="20"/>
          <w:lang w:val="en-US"/>
        </w:rPr>
      </w:pPr>
      <w:r w:rsidRPr="00C3654A">
        <w:rPr>
          <w:rFonts w:ascii="Georgia" w:hAnsi="Georgia"/>
          <w:color w:val="404040" w:themeColor="text1" w:themeTint="BF"/>
          <w:sz w:val="20"/>
          <w:szCs w:val="20"/>
          <w:lang w:val="en-US"/>
        </w:rPr>
        <w:t xml:space="preserve">3. Excludes </w:t>
      </w:r>
      <w:r>
        <w:rPr>
          <w:rFonts w:ascii="Georgia" w:hAnsi="Georgia"/>
          <w:color w:val="404040" w:themeColor="text1" w:themeTint="BF"/>
          <w:sz w:val="20"/>
          <w:szCs w:val="20"/>
          <w:lang w:val="en-US"/>
        </w:rPr>
        <w:t xml:space="preserve">assets invested during the period. </w:t>
      </w:r>
    </w:p>
    <w:p w14:paraId="2D3615F8" w14:textId="4C26C169" w:rsidR="008E0DFB" w:rsidRPr="00E254BC" w:rsidRDefault="001D63BC" w:rsidP="00B22179">
      <w:pPr>
        <w:rPr>
          <w:rFonts w:ascii="Georgia" w:hAnsi="Georgia"/>
          <w:color w:val="404040" w:themeColor="text1" w:themeTint="BF"/>
          <w:sz w:val="20"/>
          <w:szCs w:val="20"/>
        </w:rPr>
      </w:pPr>
      <w:r w:rsidRPr="001D63BC">
        <w:rPr>
          <w:rFonts w:ascii="Georgia" w:hAnsi="Georgia"/>
          <w:color w:val="404040" w:themeColor="text1" w:themeTint="BF"/>
          <w:sz w:val="20"/>
          <w:szCs w:val="20"/>
          <w:lang w:val="en-US"/>
        </w:rPr>
        <w:t xml:space="preserve">4. </w:t>
      </w:r>
      <w:r w:rsidR="00E254BC" w:rsidRPr="00E254BC">
        <w:rPr>
          <w:rFonts w:ascii="Georgia" w:hAnsi="Georgia"/>
          <w:color w:val="404040" w:themeColor="text1" w:themeTint="BF"/>
          <w:sz w:val="20"/>
          <w:szCs w:val="20"/>
          <w:lang w:val="en-US"/>
        </w:rPr>
        <w:t>Includes a</w:t>
      </w:r>
      <w:r w:rsidR="00676F39">
        <w:rPr>
          <w:rFonts w:ascii="Georgia" w:hAnsi="Georgia"/>
          <w:color w:val="404040" w:themeColor="text1" w:themeTint="BF"/>
          <w:sz w:val="20"/>
          <w:szCs w:val="20"/>
          <w:lang w:val="en-US"/>
        </w:rPr>
        <w:t>n</w:t>
      </w:r>
      <w:r w:rsidR="00E254BC" w:rsidRPr="00E254BC">
        <w:rPr>
          <w:rFonts w:ascii="Georgia" w:hAnsi="Georgia"/>
          <w:color w:val="404040" w:themeColor="text1" w:themeTint="BF"/>
          <w:sz w:val="20"/>
          <w:szCs w:val="20"/>
          <w:lang w:val="en-US"/>
        </w:rPr>
        <w:t xml:space="preserve"> </w:t>
      </w:r>
      <w:r w:rsidR="00676F39">
        <w:rPr>
          <w:rFonts w:ascii="Georgia" w:hAnsi="Georgia"/>
          <w:color w:val="404040" w:themeColor="text1" w:themeTint="BF"/>
          <w:sz w:val="20"/>
          <w:szCs w:val="20"/>
          <w:lang w:val="en-US"/>
        </w:rPr>
        <w:t>additional</w:t>
      </w:r>
      <w:r w:rsidR="00E254BC" w:rsidRPr="00E254BC">
        <w:rPr>
          <w:rFonts w:ascii="Georgia" w:hAnsi="Georgia"/>
          <w:color w:val="404040" w:themeColor="text1" w:themeTint="BF"/>
          <w:sz w:val="20"/>
          <w:szCs w:val="20"/>
          <w:lang w:val="en-US"/>
        </w:rPr>
        <w:t xml:space="preserve"> dividend of 0.63p per share which was paid in addition to the target dividend of 7.68p for the year.</w:t>
      </w:r>
    </w:p>
    <w:p w14:paraId="4FCF14FE" w14:textId="566528A4" w:rsidR="00907174" w:rsidRDefault="00907174" w:rsidP="00B22179"/>
    <w:p w14:paraId="01D509A7" w14:textId="77777777" w:rsidR="00907174" w:rsidRDefault="00907174" w:rsidP="00B22179"/>
    <w:p w14:paraId="4E98C7EF" w14:textId="77777777" w:rsidR="00046F6F" w:rsidRDefault="00046F6F" w:rsidP="00212F98">
      <w:pPr>
        <w:pStyle w:val="ListParagraph"/>
      </w:pPr>
    </w:p>
    <w:p w14:paraId="22BB4EB9" w14:textId="07F5B98C" w:rsidR="00481E57" w:rsidRDefault="00F51CD6" w:rsidP="00E85EF6">
      <w:pPr>
        <w:pStyle w:val="Heading2"/>
        <w:spacing w:before="0"/>
      </w:pPr>
      <w:r w:rsidRPr="00B56E61">
        <w:lastRenderedPageBreak/>
        <w:t>Highlights</w:t>
      </w:r>
      <w:r>
        <w:t xml:space="preserve"> (continued)</w:t>
      </w:r>
    </w:p>
    <w:p w14:paraId="06C7DF9C" w14:textId="77777777" w:rsidR="00F51CD6" w:rsidRDefault="00F51CD6" w:rsidP="00F51CD6">
      <w:pPr>
        <w:pStyle w:val="Notehead1"/>
      </w:pPr>
    </w:p>
    <w:p w14:paraId="3CDA1354" w14:textId="77777777" w:rsidR="00F51CD6" w:rsidRPr="009306C8" w:rsidRDefault="00E42A95" w:rsidP="00F51CD6">
      <w:pPr>
        <w:pStyle w:val="Notehead1"/>
      </w:pPr>
      <w:r w:rsidRPr="00E42A95">
        <w:t>Results Summary:</w:t>
      </w:r>
    </w:p>
    <w:p w14:paraId="15244513" w14:textId="77777777" w:rsidR="00F51CD6" w:rsidRDefault="00F51CD6" w:rsidP="00F51CD6">
      <w:pPr>
        <w:autoSpaceDE w:val="0"/>
        <w:autoSpaceDN w:val="0"/>
        <w:spacing w:line="300" w:lineRule="auto"/>
        <w:rPr>
          <w:rFonts w:ascii="Georgia" w:hAnsi="Georgia"/>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
        <w:gridCol w:w="5566"/>
        <w:gridCol w:w="1276"/>
        <w:gridCol w:w="2414"/>
      </w:tblGrid>
      <w:tr w:rsidR="00A370F1" w14:paraId="004CCC83" w14:textId="77777777" w:rsidTr="001D63BC">
        <w:tc>
          <w:tcPr>
            <w:tcW w:w="5670" w:type="dxa"/>
            <w:gridSpan w:val="2"/>
          </w:tcPr>
          <w:p w14:paraId="5FD9E5AE" w14:textId="77777777" w:rsidR="00A370F1" w:rsidRDefault="00A370F1">
            <w:pPr>
              <w:pStyle w:val="body"/>
              <w:jc w:val="right"/>
              <w:rPr>
                <w:b/>
              </w:rPr>
            </w:pPr>
          </w:p>
        </w:tc>
        <w:tc>
          <w:tcPr>
            <w:tcW w:w="1276" w:type="dxa"/>
          </w:tcPr>
          <w:p w14:paraId="454D24F2" w14:textId="77777777" w:rsidR="00A370F1" w:rsidRDefault="00A370F1">
            <w:pPr>
              <w:pStyle w:val="body"/>
              <w:jc w:val="right"/>
              <w:rPr>
                <w:b/>
              </w:rPr>
            </w:pPr>
          </w:p>
        </w:tc>
        <w:tc>
          <w:tcPr>
            <w:tcW w:w="2414" w:type="dxa"/>
            <w:hideMark/>
          </w:tcPr>
          <w:p w14:paraId="3B8F1E7F" w14:textId="2C6526DB" w:rsidR="00A370F1" w:rsidRDefault="001D63BC">
            <w:pPr>
              <w:pStyle w:val="body"/>
              <w:jc w:val="right"/>
              <w:rPr>
                <w:b/>
              </w:rPr>
            </w:pPr>
            <w:r>
              <w:rPr>
                <w:b/>
              </w:rPr>
              <w:t>For the</w:t>
            </w:r>
            <w:r w:rsidR="00A370F1">
              <w:rPr>
                <w:b/>
              </w:rPr>
              <w:t xml:space="preserve"> year end</w:t>
            </w:r>
            <w:r w:rsidR="00F4335D">
              <w:rPr>
                <w:b/>
              </w:rPr>
              <w:t>ed</w:t>
            </w:r>
            <w:r w:rsidR="00A370F1">
              <w:rPr>
                <w:b/>
              </w:rPr>
              <w:t xml:space="preserve"> </w:t>
            </w:r>
          </w:p>
          <w:p w14:paraId="7C91CC05" w14:textId="5A8A7BC0" w:rsidR="00A370F1" w:rsidRDefault="00A370F1" w:rsidP="00E02141">
            <w:pPr>
              <w:pStyle w:val="body"/>
              <w:jc w:val="right"/>
              <w:rPr>
                <w:b/>
              </w:rPr>
            </w:pPr>
            <w:r>
              <w:rPr>
                <w:b/>
              </w:rPr>
              <w:t xml:space="preserve">30 June </w:t>
            </w:r>
            <w:r w:rsidR="002F0FD8">
              <w:rPr>
                <w:b/>
              </w:rPr>
              <w:t>2020</w:t>
            </w:r>
          </w:p>
        </w:tc>
      </w:tr>
      <w:tr w:rsidR="0012415F" w14:paraId="14A0CEA5" w14:textId="77777777" w:rsidTr="001D63BC">
        <w:trPr>
          <w:gridBefore w:val="1"/>
          <w:wBefore w:w="104" w:type="dxa"/>
          <w:trHeight w:val="454"/>
        </w:trPr>
        <w:tc>
          <w:tcPr>
            <w:tcW w:w="5566" w:type="dxa"/>
            <w:tcBorders>
              <w:top w:val="single" w:sz="4" w:space="0" w:color="auto"/>
              <w:left w:val="nil"/>
              <w:right w:val="nil"/>
            </w:tcBorders>
            <w:tcMar>
              <w:top w:w="0" w:type="dxa"/>
              <w:left w:w="0" w:type="dxa"/>
              <w:bottom w:w="0" w:type="dxa"/>
              <w:right w:w="108" w:type="dxa"/>
            </w:tcMar>
            <w:vAlign w:val="center"/>
          </w:tcPr>
          <w:p w14:paraId="58B96A4A" w14:textId="2F8FDC68" w:rsidR="0012415F" w:rsidRDefault="0012415F" w:rsidP="002D76CA">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Total operating income</w:t>
            </w:r>
          </w:p>
        </w:tc>
        <w:tc>
          <w:tcPr>
            <w:tcW w:w="1276" w:type="dxa"/>
            <w:tcBorders>
              <w:top w:val="single" w:sz="4" w:space="0" w:color="auto"/>
              <w:left w:val="nil"/>
              <w:right w:val="nil"/>
            </w:tcBorders>
            <w:tcMar>
              <w:top w:w="0" w:type="dxa"/>
              <w:left w:w="0" w:type="dxa"/>
              <w:bottom w:w="0" w:type="dxa"/>
              <w:right w:w="108" w:type="dxa"/>
            </w:tcMar>
            <w:vAlign w:val="center"/>
          </w:tcPr>
          <w:p w14:paraId="5C2F8D18" w14:textId="77777777" w:rsidR="0012415F" w:rsidRDefault="0012415F">
            <w:pPr>
              <w:pStyle w:val="ListParagraph"/>
              <w:tabs>
                <w:tab w:val="left" w:pos="567"/>
              </w:tabs>
              <w:autoSpaceDE w:val="0"/>
              <w:autoSpaceDN w:val="0"/>
              <w:spacing w:line="300" w:lineRule="auto"/>
              <w:ind w:left="0"/>
              <w:rPr>
                <w:rFonts w:ascii="Georgia" w:hAnsi="Georgia"/>
                <w:b/>
                <w:color w:val="404040" w:themeColor="text1" w:themeTint="BF"/>
                <w:sz w:val="20"/>
                <w:szCs w:val="20"/>
                <w:lang w:val="en-US"/>
              </w:rPr>
            </w:pPr>
          </w:p>
        </w:tc>
        <w:tc>
          <w:tcPr>
            <w:tcW w:w="2414" w:type="dxa"/>
            <w:tcBorders>
              <w:top w:val="single" w:sz="4" w:space="0" w:color="auto"/>
              <w:left w:val="nil"/>
              <w:right w:val="nil"/>
            </w:tcBorders>
            <w:tcMar>
              <w:top w:w="0" w:type="dxa"/>
              <w:left w:w="0" w:type="dxa"/>
              <w:bottom w:w="0" w:type="dxa"/>
              <w:right w:w="108" w:type="dxa"/>
            </w:tcMar>
            <w:vAlign w:val="center"/>
          </w:tcPr>
          <w:p w14:paraId="2744C75C" w14:textId="192ED075" w:rsidR="0012415F" w:rsidRPr="002F0FD8" w:rsidRDefault="00F12437" w:rsidP="00026D15">
            <w:pPr>
              <w:jc w:val="right"/>
              <w:rPr>
                <w:rFonts w:ascii="Georgia" w:hAnsi="Georgia"/>
                <w:b/>
                <w:color w:val="404040"/>
                <w:sz w:val="20"/>
                <w:highlight w:val="yellow"/>
              </w:rPr>
            </w:pPr>
            <w:r w:rsidRPr="007B1015">
              <w:rPr>
                <w:rFonts w:ascii="Georgia" w:hAnsi="Georgia"/>
                <w:b/>
                <w:color w:val="404040"/>
                <w:sz w:val="20"/>
              </w:rPr>
              <w:t>£</w:t>
            </w:r>
            <w:r w:rsidR="00026D15">
              <w:rPr>
                <w:rFonts w:ascii="Georgia" w:hAnsi="Georgia"/>
                <w:b/>
                <w:color w:val="404040"/>
                <w:sz w:val="20"/>
              </w:rPr>
              <w:t>29,577,878</w:t>
            </w:r>
          </w:p>
        </w:tc>
      </w:tr>
      <w:tr w:rsidR="0012415F" w14:paraId="7C53A28C" w14:textId="77777777" w:rsidTr="001D63BC">
        <w:trPr>
          <w:gridBefore w:val="1"/>
          <w:wBefore w:w="104" w:type="dxa"/>
          <w:trHeight w:val="454"/>
        </w:trPr>
        <w:tc>
          <w:tcPr>
            <w:tcW w:w="5566" w:type="dxa"/>
            <w:tcBorders>
              <w:left w:val="nil"/>
              <w:right w:val="nil"/>
            </w:tcBorders>
            <w:tcMar>
              <w:top w:w="0" w:type="dxa"/>
              <w:left w:w="0" w:type="dxa"/>
              <w:bottom w:w="0" w:type="dxa"/>
              <w:right w:w="108" w:type="dxa"/>
            </w:tcMar>
            <w:vAlign w:val="center"/>
          </w:tcPr>
          <w:p w14:paraId="78244896" w14:textId="1443AED5" w:rsidR="0012415F" w:rsidRDefault="0012415F" w:rsidP="00F4335D">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 xml:space="preserve">Total comprehensive income </w:t>
            </w:r>
          </w:p>
        </w:tc>
        <w:tc>
          <w:tcPr>
            <w:tcW w:w="1276" w:type="dxa"/>
            <w:tcBorders>
              <w:left w:val="nil"/>
              <w:right w:val="nil"/>
            </w:tcBorders>
            <w:tcMar>
              <w:top w:w="0" w:type="dxa"/>
              <w:left w:w="0" w:type="dxa"/>
              <w:bottom w:w="0" w:type="dxa"/>
              <w:right w:w="108" w:type="dxa"/>
            </w:tcMar>
            <w:vAlign w:val="center"/>
          </w:tcPr>
          <w:p w14:paraId="2301889F" w14:textId="77777777" w:rsidR="0012415F" w:rsidRDefault="0012415F">
            <w:pPr>
              <w:pStyle w:val="ListParagraph"/>
              <w:tabs>
                <w:tab w:val="left" w:pos="567"/>
              </w:tabs>
              <w:autoSpaceDE w:val="0"/>
              <w:autoSpaceDN w:val="0"/>
              <w:spacing w:line="300" w:lineRule="auto"/>
              <w:ind w:left="0"/>
              <w:rPr>
                <w:rFonts w:ascii="Georgia" w:hAnsi="Georgia"/>
                <w:b/>
                <w:color w:val="404040" w:themeColor="text1" w:themeTint="BF"/>
                <w:sz w:val="20"/>
                <w:szCs w:val="20"/>
                <w:lang w:val="en-US"/>
              </w:rPr>
            </w:pPr>
          </w:p>
        </w:tc>
        <w:tc>
          <w:tcPr>
            <w:tcW w:w="2414" w:type="dxa"/>
            <w:tcBorders>
              <w:left w:val="nil"/>
              <w:right w:val="nil"/>
            </w:tcBorders>
            <w:tcMar>
              <w:top w:w="0" w:type="dxa"/>
              <w:left w:w="0" w:type="dxa"/>
              <w:bottom w:w="0" w:type="dxa"/>
              <w:right w:w="108" w:type="dxa"/>
            </w:tcMar>
            <w:vAlign w:val="center"/>
          </w:tcPr>
          <w:p w14:paraId="0CE3056B" w14:textId="22C5202A" w:rsidR="0012415F" w:rsidRPr="002F0FD8" w:rsidRDefault="00F12437" w:rsidP="007B1015">
            <w:pPr>
              <w:jc w:val="right"/>
              <w:rPr>
                <w:rFonts w:ascii="Georgia" w:hAnsi="Georgia"/>
                <w:b/>
                <w:color w:val="404040"/>
                <w:sz w:val="20"/>
                <w:highlight w:val="yellow"/>
              </w:rPr>
            </w:pPr>
            <w:r w:rsidRPr="007B1015">
              <w:rPr>
                <w:rFonts w:ascii="Georgia" w:hAnsi="Georgia"/>
                <w:b/>
                <w:color w:val="404040"/>
                <w:sz w:val="20"/>
              </w:rPr>
              <w:t>£</w:t>
            </w:r>
            <w:r w:rsidR="00026D15">
              <w:rPr>
                <w:rFonts w:ascii="Georgia" w:hAnsi="Georgia"/>
                <w:b/>
                <w:color w:val="404040"/>
                <w:sz w:val="20"/>
              </w:rPr>
              <w:t>28,239,647</w:t>
            </w:r>
          </w:p>
        </w:tc>
      </w:tr>
      <w:tr w:rsidR="00A370F1" w:rsidRPr="00334162" w14:paraId="189D2359" w14:textId="77777777" w:rsidTr="001D63BC">
        <w:trPr>
          <w:gridBefore w:val="1"/>
          <w:wBefore w:w="104" w:type="dxa"/>
          <w:trHeight w:val="454"/>
        </w:trPr>
        <w:tc>
          <w:tcPr>
            <w:tcW w:w="5566" w:type="dxa"/>
            <w:tcMar>
              <w:top w:w="0" w:type="dxa"/>
              <w:left w:w="0" w:type="dxa"/>
              <w:bottom w:w="0" w:type="dxa"/>
              <w:right w:w="108" w:type="dxa"/>
            </w:tcMar>
            <w:vAlign w:val="center"/>
            <w:hideMark/>
          </w:tcPr>
          <w:p w14:paraId="109CA303" w14:textId="6F430FEB" w:rsidR="00A370F1" w:rsidRPr="0031584E" w:rsidRDefault="0031584E" w:rsidP="00E82475">
            <w:pPr>
              <w:pStyle w:val="ListParagraph"/>
              <w:autoSpaceDE w:val="0"/>
              <w:autoSpaceDN w:val="0"/>
              <w:spacing w:line="300" w:lineRule="auto"/>
              <w:ind w:left="0"/>
              <w:rPr>
                <w:rFonts w:ascii="Georgia" w:hAnsi="Georgia"/>
                <w:color w:val="404040" w:themeColor="text1" w:themeTint="BF"/>
                <w:sz w:val="22"/>
                <w:szCs w:val="20"/>
                <w:vertAlign w:val="superscript"/>
                <w:lang w:val="en-US"/>
              </w:rPr>
            </w:pPr>
            <w:r>
              <w:rPr>
                <w:rFonts w:ascii="Georgia" w:hAnsi="Georgia"/>
                <w:color w:val="404040" w:themeColor="text1" w:themeTint="BF"/>
                <w:sz w:val="20"/>
                <w:szCs w:val="20"/>
                <w:lang w:val="en-US"/>
              </w:rPr>
              <w:t>Total underlying earnings</w:t>
            </w:r>
            <w:r>
              <w:rPr>
                <w:rFonts w:ascii="Georgia" w:hAnsi="Georgia"/>
                <w:color w:val="404040" w:themeColor="text1" w:themeTint="BF"/>
                <w:sz w:val="22"/>
                <w:szCs w:val="20"/>
                <w:vertAlign w:val="superscript"/>
                <w:lang w:val="en-US"/>
              </w:rPr>
              <w:t>1</w:t>
            </w:r>
          </w:p>
        </w:tc>
        <w:tc>
          <w:tcPr>
            <w:tcW w:w="1276" w:type="dxa"/>
            <w:tcMar>
              <w:top w:w="0" w:type="dxa"/>
              <w:left w:w="0" w:type="dxa"/>
              <w:bottom w:w="0" w:type="dxa"/>
              <w:right w:w="108" w:type="dxa"/>
            </w:tcMar>
            <w:vAlign w:val="center"/>
          </w:tcPr>
          <w:p w14:paraId="64265BC4" w14:textId="77777777" w:rsidR="00A370F1" w:rsidRDefault="00A370F1" w:rsidP="0012415F">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hideMark/>
          </w:tcPr>
          <w:p w14:paraId="2E9B5874" w14:textId="2A0D2254" w:rsidR="00A370F1" w:rsidRPr="00334162" w:rsidRDefault="00A370F1" w:rsidP="000916C2">
            <w:pPr>
              <w:jc w:val="right"/>
              <w:rPr>
                <w:rFonts w:ascii="Georgia" w:hAnsi="Georgia"/>
                <w:b/>
                <w:color w:val="404040"/>
                <w:sz w:val="20"/>
              </w:rPr>
            </w:pPr>
            <w:r w:rsidRPr="00334162">
              <w:rPr>
                <w:rFonts w:ascii="Georgia" w:hAnsi="Georgia"/>
                <w:b/>
                <w:color w:val="404040"/>
                <w:sz w:val="20"/>
              </w:rPr>
              <w:t>£</w:t>
            </w:r>
            <w:r w:rsidR="00F034BB" w:rsidRPr="00334162">
              <w:rPr>
                <w:rFonts w:ascii="Georgia" w:hAnsi="Georgia"/>
                <w:b/>
                <w:color w:val="404040"/>
                <w:sz w:val="20"/>
              </w:rPr>
              <w:t>4</w:t>
            </w:r>
            <w:r w:rsidR="00334162" w:rsidRPr="00334162">
              <w:rPr>
                <w:rFonts w:ascii="Georgia" w:hAnsi="Georgia"/>
                <w:b/>
                <w:color w:val="404040"/>
                <w:sz w:val="20"/>
              </w:rPr>
              <w:t>4,</w:t>
            </w:r>
            <w:r w:rsidR="000916C2">
              <w:rPr>
                <w:rFonts w:ascii="Georgia" w:hAnsi="Georgia"/>
                <w:b/>
                <w:color w:val="404040"/>
                <w:sz w:val="20"/>
              </w:rPr>
              <w:t>552,929</w:t>
            </w:r>
          </w:p>
        </w:tc>
      </w:tr>
      <w:tr w:rsidR="00E82475" w14:paraId="63B38DCB" w14:textId="77777777" w:rsidTr="001D63BC">
        <w:trPr>
          <w:gridBefore w:val="1"/>
          <w:wBefore w:w="104" w:type="dxa"/>
          <w:trHeight w:val="452"/>
        </w:trPr>
        <w:tc>
          <w:tcPr>
            <w:tcW w:w="5566" w:type="dxa"/>
            <w:tcMar>
              <w:top w:w="0" w:type="dxa"/>
              <w:left w:w="0" w:type="dxa"/>
              <w:bottom w:w="0" w:type="dxa"/>
              <w:right w:w="108" w:type="dxa"/>
            </w:tcMar>
            <w:vAlign w:val="center"/>
          </w:tcPr>
          <w:p w14:paraId="11554630" w14:textId="76E9CE0C" w:rsidR="00E82475" w:rsidRDefault="00676F39" w:rsidP="002D76CA">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 xml:space="preserve">IFRS </w:t>
            </w:r>
            <w:r w:rsidR="00E82475">
              <w:rPr>
                <w:rFonts w:ascii="Georgia" w:hAnsi="Georgia"/>
                <w:color w:val="404040" w:themeColor="text1" w:themeTint="BF"/>
                <w:sz w:val="20"/>
                <w:szCs w:val="20"/>
                <w:lang w:val="en-US"/>
              </w:rPr>
              <w:t>Earnings per share</w:t>
            </w:r>
          </w:p>
        </w:tc>
        <w:tc>
          <w:tcPr>
            <w:tcW w:w="1276" w:type="dxa"/>
            <w:tcMar>
              <w:top w:w="0" w:type="dxa"/>
              <w:left w:w="0" w:type="dxa"/>
              <w:bottom w:w="0" w:type="dxa"/>
              <w:right w:w="108" w:type="dxa"/>
            </w:tcMar>
            <w:vAlign w:val="center"/>
          </w:tcPr>
          <w:p w14:paraId="0F725FCE" w14:textId="77777777" w:rsidR="00E82475" w:rsidRDefault="00E82475" w:rsidP="0012415F">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tcPr>
          <w:p w14:paraId="31D21670" w14:textId="1EF8ED9F" w:rsidR="00E82475" w:rsidRPr="002F0FD8" w:rsidRDefault="00026D15" w:rsidP="00B23243">
            <w:pPr>
              <w:jc w:val="right"/>
              <w:rPr>
                <w:rFonts w:ascii="Georgia" w:hAnsi="Georgia" w:cs="Arial"/>
                <w:b/>
                <w:bCs/>
                <w:color w:val="404040"/>
                <w:sz w:val="20"/>
                <w:szCs w:val="20"/>
                <w:highlight w:val="yellow"/>
              </w:rPr>
            </w:pPr>
            <w:r>
              <w:rPr>
                <w:rFonts w:ascii="Georgia" w:hAnsi="Georgia"/>
                <w:b/>
                <w:color w:val="404040"/>
                <w:sz w:val="20"/>
              </w:rPr>
              <w:t>7.6</w:t>
            </w:r>
            <w:r w:rsidR="00FC5E3E">
              <w:rPr>
                <w:rFonts w:ascii="Georgia" w:hAnsi="Georgia"/>
                <w:b/>
                <w:color w:val="404040"/>
                <w:sz w:val="20"/>
              </w:rPr>
              <w:t>3</w:t>
            </w:r>
            <w:r w:rsidR="000916C2">
              <w:rPr>
                <w:rFonts w:ascii="Georgia" w:hAnsi="Georgia"/>
                <w:b/>
                <w:color w:val="404040"/>
                <w:sz w:val="20"/>
              </w:rPr>
              <w:t>p</w:t>
            </w:r>
          </w:p>
        </w:tc>
      </w:tr>
      <w:tr w:rsidR="00A370F1" w14:paraId="3DFAF7B3" w14:textId="77777777" w:rsidTr="001D63BC">
        <w:trPr>
          <w:gridBefore w:val="1"/>
          <w:wBefore w:w="104" w:type="dxa"/>
          <w:trHeight w:val="452"/>
        </w:trPr>
        <w:tc>
          <w:tcPr>
            <w:tcW w:w="5566" w:type="dxa"/>
            <w:tcMar>
              <w:top w:w="0" w:type="dxa"/>
              <w:left w:w="0" w:type="dxa"/>
              <w:bottom w:w="0" w:type="dxa"/>
              <w:right w:w="108" w:type="dxa"/>
            </w:tcMar>
            <w:vAlign w:val="center"/>
            <w:hideMark/>
          </w:tcPr>
          <w:p w14:paraId="5F61D290" w14:textId="6C41ECF7" w:rsidR="00A370F1" w:rsidRPr="004360A5" w:rsidRDefault="00A370F1" w:rsidP="004A6A14">
            <w:pPr>
              <w:pStyle w:val="ListParagraph"/>
              <w:autoSpaceDE w:val="0"/>
              <w:autoSpaceDN w:val="0"/>
              <w:spacing w:line="300" w:lineRule="auto"/>
              <w:ind w:left="0"/>
              <w:rPr>
                <w:rFonts w:ascii="Georgia" w:hAnsi="Georgia"/>
                <w:color w:val="404040" w:themeColor="text1" w:themeTint="BF"/>
                <w:sz w:val="20"/>
                <w:szCs w:val="20"/>
                <w:vertAlign w:val="superscript"/>
                <w:lang w:val="en-US"/>
              </w:rPr>
            </w:pPr>
            <w:r>
              <w:rPr>
                <w:rFonts w:ascii="Georgia" w:hAnsi="Georgia"/>
                <w:color w:val="404040" w:themeColor="text1" w:themeTint="BF"/>
                <w:sz w:val="20"/>
                <w:szCs w:val="20"/>
                <w:lang w:val="en-US"/>
              </w:rPr>
              <w:t xml:space="preserve">Underlying </w:t>
            </w:r>
            <w:r w:rsidR="00E82475">
              <w:rPr>
                <w:rFonts w:ascii="Georgia" w:hAnsi="Georgia"/>
                <w:color w:val="404040" w:themeColor="text1" w:themeTint="BF"/>
                <w:sz w:val="20"/>
                <w:szCs w:val="20"/>
                <w:lang w:val="en-US"/>
              </w:rPr>
              <w:t>EPS</w:t>
            </w:r>
            <w:r w:rsidR="004A6A14">
              <w:rPr>
                <w:rFonts w:ascii="Georgia" w:hAnsi="Georgia"/>
                <w:color w:val="404040" w:themeColor="text1" w:themeTint="BF"/>
                <w:sz w:val="20"/>
                <w:szCs w:val="20"/>
                <w:lang w:val="en-US"/>
              </w:rPr>
              <w:t xml:space="preserve"> available for distribution</w:t>
            </w:r>
            <w:r w:rsidR="007020C4">
              <w:rPr>
                <w:rFonts w:ascii="Georgia" w:hAnsi="Georgia"/>
                <w:color w:val="404040" w:themeColor="text1" w:themeTint="BF"/>
                <w:sz w:val="20"/>
                <w:szCs w:val="20"/>
                <w:lang w:val="en-US"/>
              </w:rPr>
              <w:t xml:space="preserve"> (including brought forward reserves)</w:t>
            </w:r>
            <w:r w:rsidR="004360A5">
              <w:rPr>
                <w:rFonts w:ascii="Georgia" w:hAnsi="Georgia"/>
                <w:color w:val="404040" w:themeColor="text1" w:themeTint="BF"/>
                <w:sz w:val="20"/>
                <w:szCs w:val="20"/>
                <w:vertAlign w:val="superscript"/>
                <w:lang w:val="en-US"/>
              </w:rPr>
              <w:t>2</w:t>
            </w:r>
            <w:r w:rsidR="007020C4">
              <w:rPr>
                <w:rFonts w:ascii="Georgia" w:hAnsi="Georgia"/>
                <w:color w:val="404040" w:themeColor="text1" w:themeTint="BF"/>
                <w:sz w:val="20"/>
                <w:szCs w:val="20"/>
                <w:vertAlign w:val="superscript"/>
                <w:lang w:val="en-US"/>
              </w:rPr>
              <w:t xml:space="preserve"> </w:t>
            </w:r>
          </w:p>
        </w:tc>
        <w:tc>
          <w:tcPr>
            <w:tcW w:w="1276" w:type="dxa"/>
            <w:tcMar>
              <w:top w:w="0" w:type="dxa"/>
              <w:left w:w="0" w:type="dxa"/>
              <w:bottom w:w="0" w:type="dxa"/>
              <w:right w:w="108" w:type="dxa"/>
            </w:tcMar>
            <w:vAlign w:val="center"/>
          </w:tcPr>
          <w:p w14:paraId="46D7D839" w14:textId="77777777" w:rsidR="00A370F1" w:rsidRDefault="00A370F1" w:rsidP="0012415F">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hideMark/>
          </w:tcPr>
          <w:p w14:paraId="618ECA7D" w14:textId="6C1D5AA4" w:rsidR="00A370F1" w:rsidRPr="002F0FD8" w:rsidRDefault="00334162" w:rsidP="000916C2">
            <w:pPr>
              <w:jc w:val="right"/>
              <w:rPr>
                <w:rFonts w:ascii="Georgia" w:hAnsi="Georgia" w:cs="Arial"/>
                <w:b/>
                <w:bCs/>
                <w:color w:val="404040"/>
                <w:sz w:val="20"/>
                <w:szCs w:val="20"/>
                <w:highlight w:val="yellow"/>
              </w:rPr>
            </w:pPr>
            <w:r w:rsidRPr="00334162">
              <w:rPr>
                <w:rFonts w:ascii="Georgia" w:hAnsi="Georgia" w:cs="Arial"/>
                <w:b/>
                <w:bCs/>
                <w:color w:val="404040"/>
                <w:sz w:val="20"/>
                <w:szCs w:val="20"/>
              </w:rPr>
              <w:t>10.</w:t>
            </w:r>
            <w:r w:rsidR="000916C2">
              <w:rPr>
                <w:rFonts w:ascii="Georgia" w:hAnsi="Georgia" w:cs="Arial"/>
                <w:b/>
                <w:bCs/>
                <w:color w:val="404040"/>
                <w:sz w:val="20"/>
                <w:szCs w:val="20"/>
              </w:rPr>
              <w:t>13p</w:t>
            </w:r>
          </w:p>
        </w:tc>
      </w:tr>
      <w:tr w:rsidR="00A370F1" w14:paraId="7437F6BC" w14:textId="77777777" w:rsidTr="001D63BC">
        <w:trPr>
          <w:gridBefore w:val="1"/>
          <w:wBefore w:w="104" w:type="dxa"/>
          <w:trHeight w:val="452"/>
        </w:trPr>
        <w:tc>
          <w:tcPr>
            <w:tcW w:w="5566" w:type="dxa"/>
            <w:tcMar>
              <w:top w:w="0" w:type="dxa"/>
              <w:left w:w="0" w:type="dxa"/>
              <w:bottom w:w="0" w:type="dxa"/>
              <w:right w:w="108" w:type="dxa"/>
            </w:tcMar>
            <w:vAlign w:val="center"/>
            <w:hideMark/>
          </w:tcPr>
          <w:p w14:paraId="0C2B6CC6" w14:textId="675A6378" w:rsidR="00A370F1" w:rsidRDefault="00A370F1" w:rsidP="00E82475">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 xml:space="preserve">Total declared dividends per share for year </w:t>
            </w:r>
          </w:p>
        </w:tc>
        <w:tc>
          <w:tcPr>
            <w:tcW w:w="1276" w:type="dxa"/>
            <w:tcMar>
              <w:top w:w="0" w:type="dxa"/>
              <w:left w:w="0" w:type="dxa"/>
              <w:bottom w:w="0" w:type="dxa"/>
              <w:right w:w="108" w:type="dxa"/>
            </w:tcMar>
            <w:vAlign w:val="center"/>
          </w:tcPr>
          <w:p w14:paraId="78F88E4A" w14:textId="77777777" w:rsidR="00A370F1" w:rsidRDefault="00A370F1" w:rsidP="00E82475">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hideMark/>
          </w:tcPr>
          <w:p w14:paraId="7277AD15" w14:textId="4274C2D5" w:rsidR="00A370F1" w:rsidRPr="007B1015" w:rsidRDefault="00440B54" w:rsidP="00440B54">
            <w:pPr>
              <w:jc w:val="right"/>
              <w:rPr>
                <w:rFonts w:ascii="Georgia" w:hAnsi="Georgia" w:cs="Arial"/>
                <w:b/>
                <w:bCs/>
                <w:color w:val="404040"/>
                <w:sz w:val="20"/>
                <w:szCs w:val="20"/>
              </w:rPr>
            </w:pPr>
            <w:r>
              <w:rPr>
                <w:rFonts w:ascii="Georgia" w:hAnsi="Georgia" w:cs="Arial"/>
                <w:b/>
                <w:bCs/>
                <w:color w:val="404040"/>
                <w:sz w:val="20"/>
                <w:szCs w:val="20"/>
              </w:rPr>
              <w:t>7.90</w:t>
            </w:r>
            <w:r w:rsidR="009B47FF" w:rsidRPr="007B1015">
              <w:rPr>
                <w:rFonts w:ascii="Georgia" w:hAnsi="Georgia" w:cs="Arial"/>
                <w:b/>
                <w:bCs/>
                <w:color w:val="404040"/>
                <w:sz w:val="20"/>
                <w:szCs w:val="20"/>
              </w:rPr>
              <w:t>p</w:t>
            </w:r>
          </w:p>
        </w:tc>
      </w:tr>
      <w:tr w:rsidR="00A370F1" w14:paraId="6C6AEBD5" w14:textId="77777777" w:rsidTr="001D63BC">
        <w:trPr>
          <w:gridBefore w:val="1"/>
          <w:wBefore w:w="104" w:type="dxa"/>
          <w:trHeight w:val="452"/>
        </w:trPr>
        <w:tc>
          <w:tcPr>
            <w:tcW w:w="5566" w:type="dxa"/>
            <w:tcMar>
              <w:top w:w="0" w:type="dxa"/>
              <w:left w:w="0" w:type="dxa"/>
              <w:bottom w:w="0" w:type="dxa"/>
              <w:right w:w="108" w:type="dxa"/>
            </w:tcMar>
            <w:vAlign w:val="center"/>
            <w:hideMark/>
          </w:tcPr>
          <w:p w14:paraId="22019118" w14:textId="21BA4539" w:rsidR="00A370F1" w:rsidRDefault="00A370F1" w:rsidP="00A45D17">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 xml:space="preserve">Earnings per share carried forward (See </w:t>
            </w:r>
            <w:r w:rsidRPr="00A45D17">
              <w:rPr>
                <w:rFonts w:ascii="Georgia" w:hAnsi="Georgia"/>
                <w:color w:val="404040" w:themeColor="text1" w:themeTint="BF"/>
                <w:sz w:val="20"/>
                <w:szCs w:val="20"/>
                <w:lang w:val="en-US"/>
              </w:rPr>
              <w:t xml:space="preserve">Page </w:t>
            </w:r>
            <w:r w:rsidR="00A45D17" w:rsidRPr="00A45D17">
              <w:rPr>
                <w:rFonts w:ascii="Georgia" w:hAnsi="Georgia"/>
                <w:color w:val="404040" w:themeColor="text1" w:themeTint="BF"/>
                <w:sz w:val="20"/>
                <w:szCs w:val="20"/>
                <w:lang w:val="en-US"/>
              </w:rPr>
              <w:t>58</w:t>
            </w:r>
            <w:r w:rsidRPr="00A45D17">
              <w:rPr>
                <w:rFonts w:ascii="Georgia" w:hAnsi="Georgia"/>
                <w:color w:val="404040" w:themeColor="text1" w:themeTint="BF"/>
                <w:sz w:val="20"/>
                <w:szCs w:val="20"/>
                <w:lang w:val="en-US"/>
              </w:rPr>
              <w:t>)</w:t>
            </w:r>
          </w:p>
        </w:tc>
        <w:tc>
          <w:tcPr>
            <w:tcW w:w="1276" w:type="dxa"/>
            <w:tcMar>
              <w:top w:w="0" w:type="dxa"/>
              <w:left w:w="0" w:type="dxa"/>
              <w:bottom w:w="0" w:type="dxa"/>
              <w:right w:w="108" w:type="dxa"/>
            </w:tcMar>
            <w:vAlign w:val="center"/>
          </w:tcPr>
          <w:p w14:paraId="312816DE" w14:textId="77777777" w:rsidR="00A370F1" w:rsidRDefault="00A370F1" w:rsidP="00E82475">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hideMark/>
          </w:tcPr>
          <w:p w14:paraId="6A02119F" w14:textId="5AD783E2" w:rsidR="00A370F1" w:rsidRPr="002F0FD8" w:rsidRDefault="00072BAF" w:rsidP="009D45A5">
            <w:pPr>
              <w:jc w:val="right"/>
              <w:rPr>
                <w:rFonts w:ascii="Georgia" w:hAnsi="Georgia" w:cs="Arial"/>
                <w:b/>
                <w:bCs/>
                <w:color w:val="404040"/>
                <w:sz w:val="20"/>
                <w:szCs w:val="20"/>
                <w:highlight w:val="yellow"/>
              </w:rPr>
            </w:pPr>
            <w:r>
              <w:rPr>
                <w:rFonts w:ascii="Georgia" w:hAnsi="Georgia" w:cs="Arial"/>
                <w:b/>
                <w:bCs/>
                <w:color w:val="404040"/>
                <w:sz w:val="20"/>
                <w:szCs w:val="20"/>
              </w:rPr>
              <w:t>2.23</w:t>
            </w:r>
            <w:r w:rsidR="00AD0DAF" w:rsidRPr="00334162">
              <w:rPr>
                <w:rFonts w:ascii="Georgia" w:hAnsi="Georgia" w:cs="Arial"/>
                <w:b/>
                <w:bCs/>
                <w:color w:val="404040"/>
                <w:sz w:val="20"/>
                <w:szCs w:val="20"/>
              </w:rPr>
              <w:t>p</w:t>
            </w:r>
          </w:p>
        </w:tc>
      </w:tr>
      <w:tr w:rsidR="00A370F1" w14:paraId="4342DE69" w14:textId="77777777" w:rsidTr="001D63BC">
        <w:trPr>
          <w:gridBefore w:val="1"/>
          <w:wBefore w:w="104" w:type="dxa"/>
          <w:trHeight w:val="445"/>
        </w:trPr>
        <w:tc>
          <w:tcPr>
            <w:tcW w:w="5566" w:type="dxa"/>
            <w:tcMar>
              <w:top w:w="0" w:type="dxa"/>
              <w:left w:w="0" w:type="dxa"/>
              <w:bottom w:w="0" w:type="dxa"/>
              <w:right w:w="108" w:type="dxa"/>
            </w:tcMar>
            <w:vAlign w:val="center"/>
            <w:hideMark/>
          </w:tcPr>
          <w:p w14:paraId="57F780FA" w14:textId="77777777" w:rsidR="00A370F1" w:rsidRDefault="00A370F1">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 xml:space="preserve">NAV per share </w:t>
            </w:r>
          </w:p>
        </w:tc>
        <w:tc>
          <w:tcPr>
            <w:tcW w:w="1276" w:type="dxa"/>
            <w:tcMar>
              <w:top w:w="0" w:type="dxa"/>
              <w:left w:w="0" w:type="dxa"/>
              <w:bottom w:w="0" w:type="dxa"/>
              <w:right w:w="108" w:type="dxa"/>
            </w:tcMar>
            <w:vAlign w:val="center"/>
          </w:tcPr>
          <w:p w14:paraId="4D1BD382" w14:textId="77777777" w:rsidR="00A370F1" w:rsidRDefault="00A370F1" w:rsidP="00E82475">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hideMark/>
          </w:tcPr>
          <w:p w14:paraId="3F8DF027" w14:textId="2A4EE6E4" w:rsidR="00A370F1" w:rsidRPr="007B1015" w:rsidRDefault="00251584" w:rsidP="006D4240">
            <w:pPr>
              <w:jc w:val="right"/>
              <w:rPr>
                <w:rFonts w:ascii="Georgia" w:hAnsi="Georgia"/>
                <w:b/>
                <w:color w:val="404040"/>
                <w:sz w:val="20"/>
              </w:rPr>
            </w:pPr>
            <w:r w:rsidRPr="007B1015">
              <w:rPr>
                <w:rFonts w:ascii="Georgia" w:hAnsi="Georgia"/>
                <w:b/>
                <w:color w:val="404040"/>
                <w:sz w:val="20"/>
              </w:rPr>
              <w:t>11</w:t>
            </w:r>
            <w:r w:rsidR="00026D15">
              <w:rPr>
                <w:rFonts w:ascii="Georgia" w:hAnsi="Georgia"/>
                <w:b/>
                <w:color w:val="404040"/>
                <w:sz w:val="20"/>
              </w:rPr>
              <w:t>7.0</w:t>
            </w:r>
            <w:r w:rsidR="00FC5E3E">
              <w:rPr>
                <w:rFonts w:ascii="Georgia" w:hAnsi="Georgia"/>
                <w:b/>
                <w:color w:val="404040"/>
                <w:sz w:val="20"/>
              </w:rPr>
              <w:t>1</w:t>
            </w:r>
            <w:r w:rsidR="00A370F1" w:rsidRPr="007B1015">
              <w:rPr>
                <w:rFonts w:ascii="Georgia" w:hAnsi="Georgia"/>
                <w:b/>
                <w:color w:val="404040"/>
                <w:sz w:val="20"/>
              </w:rPr>
              <w:t>p</w:t>
            </w:r>
          </w:p>
        </w:tc>
      </w:tr>
      <w:tr w:rsidR="00A370F1" w14:paraId="25F81E7E" w14:textId="77777777" w:rsidTr="001D63BC">
        <w:trPr>
          <w:gridBefore w:val="1"/>
          <w:wBefore w:w="104" w:type="dxa"/>
          <w:trHeight w:val="454"/>
        </w:trPr>
        <w:tc>
          <w:tcPr>
            <w:tcW w:w="5566" w:type="dxa"/>
            <w:tcMar>
              <w:top w:w="0" w:type="dxa"/>
              <w:left w:w="0" w:type="dxa"/>
              <w:bottom w:w="0" w:type="dxa"/>
              <w:right w:w="108" w:type="dxa"/>
            </w:tcMar>
            <w:vAlign w:val="center"/>
            <w:hideMark/>
          </w:tcPr>
          <w:p w14:paraId="775B3E9A" w14:textId="56DA9FCB" w:rsidR="00A370F1" w:rsidRDefault="00A370F1" w:rsidP="00E02141">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Share price</w:t>
            </w:r>
            <w:r w:rsidR="009370F8">
              <w:rPr>
                <w:rFonts w:ascii="Georgia" w:hAnsi="Georgia"/>
                <w:color w:val="404040" w:themeColor="text1" w:themeTint="BF"/>
                <w:sz w:val="20"/>
                <w:szCs w:val="20"/>
                <w:lang w:val="en-US"/>
              </w:rPr>
              <w:t xml:space="preserve"> at 30 June </w:t>
            </w:r>
            <w:r w:rsidR="002F0FD8">
              <w:rPr>
                <w:rFonts w:ascii="Georgia" w:hAnsi="Georgia"/>
                <w:color w:val="404040" w:themeColor="text1" w:themeTint="BF"/>
                <w:sz w:val="20"/>
                <w:szCs w:val="20"/>
                <w:lang w:val="en-US"/>
              </w:rPr>
              <w:t>2020</w:t>
            </w:r>
          </w:p>
        </w:tc>
        <w:tc>
          <w:tcPr>
            <w:tcW w:w="1276" w:type="dxa"/>
            <w:tcMar>
              <w:top w:w="0" w:type="dxa"/>
              <w:left w:w="0" w:type="dxa"/>
              <w:bottom w:w="0" w:type="dxa"/>
              <w:right w:w="108" w:type="dxa"/>
            </w:tcMar>
            <w:vAlign w:val="center"/>
          </w:tcPr>
          <w:p w14:paraId="027D9FB2" w14:textId="77777777" w:rsidR="00A370F1" w:rsidRDefault="00A370F1" w:rsidP="00E82475">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Mar>
              <w:top w:w="0" w:type="dxa"/>
              <w:left w:w="0" w:type="dxa"/>
              <w:bottom w:w="0" w:type="dxa"/>
              <w:right w:w="108" w:type="dxa"/>
            </w:tcMar>
            <w:vAlign w:val="center"/>
            <w:hideMark/>
          </w:tcPr>
          <w:p w14:paraId="28642BFC" w14:textId="3A020A88" w:rsidR="00A370F1" w:rsidRPr="007B1015" w:rsidRDefault="007B1015">
            <w:pPr>
              <w:jc w:val="right"/>
              <w:rPr>
                <w:rFonts w:ascii="Georgia" w:hAnsi="Georgia"/>
                <w:b/>
                <w:color w:val="404040"/>
                <w:sz w:val="20"/>
              </w:rPr>
            </w:pPr>
            <w:r w:rsidRPr="007B1015">
              <w:rPr>
                <w:rFonts w:ascii="Georgia" w:hAnsi="Georgia"/>
                <w:b/>
                <w:color w:val="404040"/>
                <w:sz w:val="20"/>
              </w:rPr>
              <w:t>134</w:t>
            </w:r>
            <w:r w:rsidR="00B93928" w:rsidRPr="007B1015">
              <w:rPr>
                <w:rFonts w:ascii="Georgia" w:hAnsi="Georgia"/>
                <w:b/>
                <w:color w:val="404040"/>
                <w:sz w:val="20"/>
              </w:rPr>
              <w:t>.</w:t>
            </w:r>
            <w:r w:rsidR="00041A8E" w:rsidRPr="007B1015">
              <w:rPr>
                <w:rFonts w:ascii="Georgia" w:hAnsi="Georgia"/>
                <w:b/>
                <w:color w:val="404040"/>
                <w:sz w:val="20"/>
              </w:rPr>
              <w:t>5</w:t>
            </w:r>
            <w:r w:rsidR="00B93928" w:rsidRPr="007B1015">
              <w:rPr>
                <w:rFonts w:ascii="Georgia" w:hAnsi="Georgia"/>
                <w:b/>
                <w:color w:val="404040"/>
                <w:sz w:val="20"/>
              </w:rPr>
              <w:t>0</w:t>
            </w:r>
            <w:r w:rsidR="00A370F1" w:rsidRPr="007B1015">
              <w:rPr>
                <w:rFonts w:ascii="Georgia" w:hAnsi="Georgia"/>
                <w:b/>
                <w:color w:val="404040"/>
                <w:sz w:val="20"/>
              </w:rPr>
              <w:t>p</w:t>
            </w:r>
          </w:p>
        </w:tc>
      </w:tr>
      <w:tr w:rsidR="00E82475" w14:paraId="46EECDAB" w14:textId="77777777" w:rsidTr="001D63BC">
        <w:trPr>
          <w:gridBefore w:val="1"/>
          <w:wBefore w:w="104" w:type="dxa"/>
          <w:trHeight w:val="454"/>
        </w:trPr>
        <w:tc>
          <w:tcPr>
            <w:tcW w:w="5566" w:type="dxa"/>
            <w:tcBorders>
              <w:top w:val="nil"/>
              <w:left w:val="nil"/>
              <w:right w:val="nil"/>
            </w:tcBorders>
            <w:tcMar>
              <w:top w:w="0" w:type="dxa"/>
              <w:left w:w="0" w:type="dxa"/>
              <w:bottom w:w="0" w:type="dxa"/>
              <w:right w:w="108" w:type="dxa"/>
            </w:tcMar>
            <w:vAlign w:val="center"/>
          </w:tcPr>
          <w:p w14:paraId="3EA8F9EB" w14:textId="229A04C2" w:rsidR="00E82475" w:rsidRDefault="00E82475">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Total return</w:t>
            </w:r>
            <w:r w:rsidR="00EB48D9" w:rsidRPr="00EB48D9">
              <w:rPr>
                <w:rFonts w:ascii="Georgia" w:hAnsi="Georgia"/>
                <w:color w:val="404040" w:themeColor="text1" w:themeTint="BF"/>
                <w:sz w:val="20"/>
                <w:szCs w:val="20"/>
                <w:vertAlign w:val="superscript"/>
                <w:lang w:val="en-US"/>
              </w:rPr>
              <w:t>3</w:t>
            </w:r>
          </w:p>
        </w:tc>
        <w:tc>
          <w:tcPr>
            <w:tcW w:w="1276" w:type="dxa"/>
            <w:tcBorders>
              <w:top w:val="nil"/>
              <w:left w:val="nil"/>
              <w:right w:val="nil"/>
            </w:tcBorders>
            <w:tcMar>
              <w:top w:w="0" w:type="dxa"/>
              <w:left w:w="0" w:type="dxa"/>
              <w:bottom w:w="0" w:type="dxa"/>
              <w:right w:w="108" w:type="dxa"/>
            </w:tcMar>
            <w:vAlign w:val="center"/>
          </w:tcPr>
          <w:p w14:paraId="73887161" w14:textId="77777777" w:rsidR="00E82475" w:rsidRDefault="00E82475" w:rsidP="00E82475">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Borders>
              <w:top w:val="nil"/>
              <w:left w:val="nil"/>
              <w:right w:val="nil"/>
            </w:tcBorders>
            <w:tcMar>
              <w:top w:w="0" w:type="dxa"/>
              <w:left w:w="0" w:type="dxa"/>
              <w:bottom w:w="0" w:type="dxa"/>
              <w:right w:w="108" w:type="dxa"/>
            </w:tcMar>
            <w:vAlign w:val="center"/>
          </w:tcPr>
          <w:p w14:paraId="54727B3E" w14:textId="316B7433" w:rsidR="00E82475" w:rsidRPr="002F0FD8" w:rsidRDefault="00FC5E3E" w:rsidP="00026D15">
            <w:pPr>
              <w:jc w:val="right"/>
              <w:rPr>
                <w:rFonts w:ascii="Georgia" w:hAnsi="Georgia"/>
                <w:b/>
                <w:color w:val="404040"/>
                <w:sz w:val="20"/>
                <w:highlight w:val="yellow"/>
              </w:rPr>
            </w:pPr>
            <w:r>
              <w:rPr>
                <w:rFonts w:ascii="Georgia" w:hAnsi="Georgia"/>
                <w:b/>
                <w:color w:val="404040"/>
                <w:sz w:val="20"/>
              </w:rPr>
              <w:t>6.</w:t>
            </w:r>
            <w:r w:rsidR="00026D15">
              <w:rPr>
                <w:rFonts w:ascii="Georgia" w:hAnsi="Georgia"/>
                <w:b/>
                <w:color w:val="404040"/>
                <w:sz w:val="20"/>
              </w:rPr>
              <w:t>30</w:t>
            </w:r>
            <w:r w:rsidR="00E82475" w:rsidRPr="007B1015">
              <w:rPr>
                <w:rFonts w:ascii="Georgia" w:hAnsi="Georgia"/>
                <w:b/>
                <w:color w:val="404040"/>
                <w:sz w:val="20"/>
              </w:rPr>
              <w:t>%</w:t>
            </w:r>
          </w:p>
        </w:tc>
      </w:tr>
      <w:tr w:rsidR="00A370F1" w14:paraId="25FDF28B" w14:textId="77777777" w:rsidTr="001D63BC">
        <w:trPr>
          <w:gridBefore w:val="1"/>
          <w:wBefore w:w="104" w:type="dxa"/>
          <w:trHeight w:val="454"/>
        </w:trPr>
        <w:tc>
          <w:tcPr>
            <w:tcW w:w="5566" w:type="dxa"/>
            <w:tcBorders>
              <w:top w:val="nil"/>
              <w:left w:val="nil"/>
              <w:bottom w:val="nil"/>
              <w:right w:val="nil"/>
            </w:tcBorders>
            <w:tcMar>
              <w:top w:w="0" w:type="dxa"/>
              <w:left w:w="0" w:type="dxa"/>
              <w:bottom w:w="0" w:type="dxa"/>
              <w:right w:w="108" w:type="dxa"/>
            </w:tcMar>
            <w:vAlign w:val="center"/>
            <w:hideMark/>
          </w:tcPr>
          <w:p w14:paraId="3AB69E3E" w14:textId="28CF9ADB" w:rsidR="00A370F1" w:rsidRDefault="00A370F1" w:rsidP="00E82475">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Total return</w:t>
            </w:r>
            <w:r w:rsidR="00072BAF">
              <w:rPr>
                <w:rFonts w:ascii="Georgia" w:hAnsi="Georgia"/>
                <w:color w:val="404040" w:themeColor="text1" w:themeTint="BF"/>
                <w:sz w:val="20"/>
                <w:szCs w:val="20"/>
                <w:lang w:val="en-US"/>
              </w:rPr>
              <w:t xml:space="preserve"> to S</w:t>
            </w:r>
            <w:r>
              <w:rPr>
                <w:rFonts w:ascii="Georgia" w:hAnsi="Georgia"/>
                <w:color w:val="404040" w:themeColor="text1" w:themeTint="BF"/>
                <w:sz w:val="20"/>
                <w:szCs w:val="20"/>
                <w:lang w:val="en-US"/>
              </w:rPr>
              <w:t>hareholders</w:t>
            </w:r>
            <w:r w:rsidR="00EB48D9" w:rsidRPr="00EB48D9">
              <w:rPr>
                <w:rFonts w:ascii="Georgia" w:hAnsi="Georgia"/>
                <w:color w:val="404040" w:themeColor="text1" w:themeTint="BF"/>
                <w:sz w:val="20"/>
                <w:szCs w:val="20"/>
                <w:vertAlign w:val="superscript"/>
                <w:lang w:val="en-US"/>
              </w:rPr>
              <w:t>4</w:t>
            </w:r>
            <w:r>
              <w:rPr>
                <w:rFonts w:ascii="Georgia" w:hAnsi="Georgia"/>
                <w:color w:val="404040" w:themeColor="text1" w:themeTint="BF"/>
                <w:sz w:val="20"/>
                <w:szCs w:val="20"/>
                <w:lang w:val="en-US"/>
              </w:rPr>
              <w:t xml:space="preserve"> </w:t>
            </w:r>
          </w:p>
        </w:tc>
        <w:tc>
          <w:tcPr>
            <w:tcW w:w="1276" w:type="dxa"/>
            <w:tcBorders>
              <w:top w:val="nil"/>
              <w:left w:val="nil"/>
              <w:bottom w:val="nil"/>
              <w:right w:val="nil"/>
            </w:tcBorders>
            <w:tcMar>
              <w:top w:w="0" w:type="dxa"/>
              <w:left w:w="0" w:type="dxa"/>
              <w:bottom w:w="0" w:type="dxa"/>
              <w:right w:w="108" w:type="dxa"/>
            </w:tcMar>
            <w:vAlign w:val="center"/>
          </w:tcPr>
          <w:p w14:paraId="0AE17B88" w14:textId="77777777" w:rsidR="00A370F1" w:rsidRDefault="00A370F1" w:rsidP="00E82475">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Borders>
              <w:top w:val="nil"/>
              <w:left w:val="nil"/>
              <w:bottom w:val="nil"/>
              <w:right w:val="nil"/>
            </w:tcBorders>
            <w:tcMar>
              <w:top w:w="0" w:type="dxa"/>
              <w:left w:w="0" w:type="dxa"/>
              <w:bottom w:w="0" w:type="dxa"/>
              <w:right w:w="108" w:type="dxa"/>
            </w:tcMar>
            <w:vAlign w:val="center"/>
            <w:hideMark/>
          </w:tcPr>
          <w:p w14:paraId="074CBD11" w14:textId="36B83802" w:rsidR="00A370F1" w:rsidRPr="002F0FD8" w:rsidRDefault="007B1015">
            <w:pPr>
              <w:jc w:val="right"/>
              <w:rPr>
                <w:rFonts w:ascii="Georgia" w:hAnsi="Georgia"/>
                <w:b/>
                <w:color w:val="404040"/>
                <w:sz w:val="20"/>
                <w:highlight w:val="yellow"/>
              </w:rPr>
            </w:pPr>
            <w:r w:rsidRPr="007B1015">
              <w:rPr>
                <w:rFonts w:ascii="Georgia" w:hAnsi="Georgia"/>
                <w:b/>
                <w:color w:val="404040"/>
                <w:sz w:val="20"/>
              </w:rPr>
              <w:t>4.70</w:t>
            </w:r>
            <w:r w:rsidR="00A370F1" w:rsidRPr="007B1015">
              <w:rPr>
                <w:rFonts w:ascii="Georgia" w:hAnsi="Georgia"/>
                <w:b/>
                <w:color w:val="404040"/>
                <w:sz w:val="20"/>
              </w:rPr>
              <w:t>%</w:t>
            </w:r>
          </w:p>
        </w:tc>
      </w:tr>
      <w:tr w:rsidR="00B93928" w14:paraId="7F547338" w14:textId="77777777" w:rsidTr="001D63BC">
        <w:trPr>
          <w:gridBefore w:val="1"/>
          <w:wBefore w:w="104" w:type="dxa"/>
          <w:trHeight w:val="454"/>
        </w:trPr>
        <w:tc>
          <w:tcPr>
            <w:tcW w:w="5566" w:type="dxa"/>
            <w:tcBorders>
              <w:top w:val="nil"/>
              <w:left w:val="nil"/>
              <w:bottom w:val="nil"/>
              <w:right w:val="nil"/>
            </w:tcBorders>
            <w:tcMar>
              <w:top w:w="0" w:type="dxa"/>
              <w:left w:w="0" w:type="dxa"/>
              <w:bottom w:w="0" w:type="dxa"/>
              <w:right w:w="108" w:type="dxa"/>
            </w:tcMar>
            <w:vAlign w:val="center"/>
          </w:tcPr>
          <w:p w14:paraId="09182D5A" w14:textId="7BFC7DA8" w:rsidR="00B93928" w:rsidRDefault="00072BAF" w:rsidP="00B93928">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Total return to S</w:t>
            </w:r>
            <w:r w:rsidR="00B93928">
              <w:rPr>
                <w:rFonts w:ascii="Georgia" w:hAnsi="Georgia"/>
                <w:color w:val="404040" w:themeColor="text1" w:themeTint="BF"/>
                <w:sz w:val="20"/>
                <w:szCs w:val="20"/>
                <w:lang w:val="en-US"/>
              </w:rPr>
              <w:t>hareholders since inception</w:t>
            </w:r>
            <w:r w:rsidR="00B93928">
              <w:rPr>
                <w:rFonts w:ascii="Georgia" w:hAnsi="Georgia"/>
                <w:color w:val="404040" w:themeColor="text1" w:themeTint="BF"/>
                <w:sz w:val="20"/>
                <w:szCs w:val="20"/>
                <w:vertAlign w:val="superscript"/>
                <w:lang w:val="en-US"/>
              </w:rPr>
              <w:t>5</w:t>
            </w:r>
            <w:r w:rsidR="00B93928">
              <w:rPr>
                <w:rFonts w:ascii="Georgia" w:hAnsi="Georgia"/>
                <w:color w:val="404040" w:themeColor="text1" w:themeTint="BF"/>
                <w:sz w:val="20"/>
                <w:szCs w:val="20"/>
                <w:lang w:val="en-US"/>
              </w:rPr>
              <w:t xml:space="preserve"> </w:t>
            </w:r>
          </w:p>
        </w:tc>
        <w:tc>
          <w:tcPr>
            <w:tcW w:w="1276" w:type="dxa"/>
            <w:tcBorders>
              <w:top w:val="nil"/>
              <w:left w:val="nil"/>
              <w:bottom w:val="nil"/>
              <w:right w:val="nil"/>
            </w:tcBorders>
            <w:tcMar>
              <w:top w:w="0" w:type="dxa"/>
              <w:left w:w="0" w:type="dxa"/>
              <w:bottom w:w="0" w:type="dxa"/>
              <w:right w:w="108" w:type="dxa"/>
            </w:tcMar>
            <w:vAlign w:val="center"/>
          </w:tcPr>
          <w:p w14:paraId="7F907DB4" w14:textId="77777777" w:rsidR="00B93928" w:rsidRDefault="00B93928" w:rsidP="00B93928">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Borders>
              <w:top w:val="nil"/>
              <w:left w:val="nil"/>
              <w:bottom w:val="nil"/>
              <w:right w:val="nil"/>
            </w:tcBorders>
            <w:tcMar>
              <w:top w:w="0" w:type="dxa"/>
              <w:left w:w="0" w:type="dxa"/>
              <w:bottom w:w="0" w:type="dxa"/>
              <w:right w:w="108" w:type="dxa"/>
            </w:tcMar>
            <w:vAlign w:val="center"/>
          </w:tcPr>
          <w:p w14:paraId="65336271" w14:textId="5F248D5E" w:rsidR="00B93928" w:rsidRPr="002F0FD8" w:rsidRDefault="007B1015" w:rsidP="00B93928">
            <w:pPr>
              <w:jc w:val="right"/>
              <w:rPr>
                <w:rFonts w:ascii="Georgia" w:hAnsi="Georgia"/>
                <w:b/>
                <w:color w:val="404040"/>
                <w:sz w:val="20"/>
                <w:highlight w:val="yellow"/>
              </w:rPr>
            </w:pPr>
            <w:r w:rsidRPr="007B1015">
              <w:rPr>
                <w:rFonts w:ascii="Georgia" w:hAnsi="Georgia"/>
                <w:b/>
                <w:color w:val="404040"/>
                <w:sz w:val="20"/>
              </w:rPr>
              <w:t>79.</w:t>
            </w:r>
            <w:r w:rsidR="00B93928" w:rsidRPr="007B1015">
              <w:rPr>
                <w:rFonts w:ascii="Georgia" w:hAnsi="Georgia"/>
                <w:b/>
                <w:color w:val="404040"/>
                <w:sz w:val="20"/>
              </w:rPr>
              <w:t>8</w:t>
            </w:r>
            <w:r w:rsidRPr="007B1015">
              <w:rPr>
                <w:rFonts w:ascii="Georgia" w:hAnsi="Georgia"/>
                <w:b/>
                <w:color w:val="404040"/>
                <w:sz w:val="20"/>
              </w:rPr>
              <w:t>9</w:t>
            </w:r>
            <w:r w:rsidR="00B93928" w:rsidRPr="007B1015">
              <w:rPr>
                <w:rFonts w:ascii="Georgia" w:hAnsi="Georgia"/>
                <w:b/>
                <w:color w:val="404040"/>
                <w:sz w:val="20"/>
              </w:rPr>
              <w:t>%</w:t>
            </w:r>
          </w:p>
        </w:tc>
      </w:tr>
      <w:tr w:rsidR="00B93928" w:rsidRPr="00251584" w14:paraId="18AB9DB4" w14:textId="77777777" w:rsidTr="001D63BC">
        <w:trPr>
          <w:gridBefore w:val="1"/>
          <w:wBefore w:w="104" w:type="dxa"/>
          <w:trHeight w:val="454"/>
        </w:trPr>
        <w:tc>
          <w:tcPr>
            <w:tcW w:w="5566" w:type="dxa"/>
            <w:tcBorders>
              <w:top w:val="nil"/>
              <w:left w:val="nil"/>
              <w:right w:val="nil"/>
            </w:tcBorders>
            <w:tcMar>
              <w:top w:w="0" w:type="dxa"/>
              <w:left w:w="0" w:type="dxa"/>
              <w:bottom w:w="0" w:type="dxa"/>
              <w:right w:w="108" w:type="dxa"/>
            </w:tcMar>
            <w:vAlign w:val="center"/>
          </w:tcPr>
          <w:p w14:paraId="2C79E9B8" w14:textId="442BC86A" w:rsidR="00B93928" w:rsidRDefault="00B93928" w:rsidP="00B93928">
            <w:pPr>
              <w:pStyle w:val="ListParagraph"/>
              <w:autoSpaceDE w:val="0"/>
              <w:autoSpaceDN w:val="0"/>
              <w:spacing w:line="300" w:lineRule="auto"/>
              <w:ind w:left="0"/>
              <w:rPr>
                <w:rFonts w:ascii="Georgia" w:hAnsi="Georgia"/>
                <w:color w:val="404040" w:themeColor="text1" w:themeTint="BF"/>
                <w:sz w:val="20"/>
                <w:szCs w:val="20"/>
                <w:lang w:val="en-US"/>
              </w:rPr>
            </w:pPr>
            <w:r>
              <w:rPr>
                <w:rFonts w:ascii="Georgia" w:hAnsi="Georgia"/>
                <w:color w:val="404040" w:themeColor="text1" w:themeTint="BF"/>
                <w:sz w:val="20"/>
                <w:szCs w:val="20"/>
                <w:lang w:val="en-US"/>
              </w:rPr>
              <w:t>Dividends per share paid since inception</w:t>
            </w:r>
          </w:p>
        </w:tc>
        <w:tc>
          <w:tcPr>
            <w:tcW w:w="1276" w:type="dxa"/>
            <w:tcBorders>
              <w:top w:val="nil"/>
              <w:left w:val="nil"/>
              <w:right w:val="nil"/>
            </w:tcBorders>
            <w:tcMar>
              <w:top w:w="0" w:type="dxa"/>
              <w:left w:w="0" w:type="dxa"/>
              <w:bottom w:w="0" w:type="dxa"/>
              <w:right w:w="108" w:type="dxa"/>
            </w:tcMar>
            <w:vAlign w:val="center"/>
          </w:tcPr>
          <w:p w14:paraId="5C07F968" w14:textId="77777777" w:rsidR="00B93928" w:rsidRDefault="00B93928" w:rsidP="00B93928">
            <w:pPr>
              <w:pStyle w:val="ListParagraph"/>
              <w:autoSpaceDE w:val="0"/>
              <w:autoSpaceDN w:val="0"/>
              <w:spacing w:line="300" w:lineRule="auto"/>
              <w:ind w:left="0"/>
              <w:jc w:val="right"/>
              <w:rPr>
                <w:rFonts w:ascii="Georgia" w:hAnsi="Georgia"/>
                <w:b/>
                <w:color w:val="404040" w:themeColor="text1" w:themeTint="BF"/>
                <w:sz w:val="20"/>
                <w:szCs w:val="20"/>
                <w:lang w:val="en-US"/>
              </w:rPr>
            </w:pPr>
          </w:p>
        </w:tc>
        <w:tc>
          <w:tcPr>
            <w:tcW w:w="2414" w:type="dxa"/>
            <w:tcBorders>
              <w:top w:val="nil"/>
              <w:left w:val="nil"/>
              <w:right w:val="nil"/>
            </w:tcBorders>
            <w:tcMar>
              <w:top w:w="0" w:type="dxa"/>
              <w:left w:w="0" w:type="dxa"/>
              <w:bottom w:w="0" w:type="dxa"/>
              <w:right w:w="108" w:type="dxa"/>
            </w:tcMar>
            <w:vAlign w:val="center"/>
          </w:tcPr>
          <w:p w14:paraId="38F7E226" w14:textId="5EB0C77D" w:rsidR="00B93928" w:rsidRPr="002F0FD8" w:rsidRDefault="007B1015" w:rsidP="00B93928">
            <w:pPr>
              <w:jc w:val="right"/>
              <w:rPr>
                <w:rFonts w:ascii="Georgia" w:hAnsi="Georgia"/>
                <w:b/>
                <w:color w:val="404040"/>
                <w:sz w:val="20"/>
                <w:highlight w:val="yellow"/>
              </w:rPr>
            </w:pPr>
            <w:r w:rsidRPr="007B1015">
              <w:rPr>
                <w:rFonts w:ascii="Georgia" w:hAnsi="Georgia"/>
                <w:b/>
                <w:color w:val="404040"/>
                <w:sz w:val="20"/>
              </w:rPr>
              <w:t>45.39</w:t>
            </w:r>
            <w:r w:rsidR="00B93928" w:rsidRPr="007B1015">
              <w:rPr>
                <w:rFonts w:ascii="Georgia" w:hAnsi="Georgia"/>
                <w:b/>
                <w:color w:val="404040"/>
                <w:sz w:val="20"/>
              </w:rPr>
              <w:t>p</w:t>
            </w:r>
          </w:p>
        </w:tc>
      </w:tr>
    </w:tbl>
    <w:p w14:paraId="110F6D8A" w14:textId="77777777" w:rsidR="00E82475" w:rsidRDefault="00E82475" w:rsidP="00E82475">
      <w:pPr>
        <w:pStyle w:val="Heading2"/>
        <w:pBdr>
          <w:bottom w:val="none" w:sz="0" w:space="0" w:color="auto"/>
        </w:pBdr>
        <w:spacing w:before="0"/>
      </w:pPr>
    </w:p>
    <w:p w14:paraId="17EA05B3" w14:textId="0A565AAF" w:rsidR="00E82475" w:rsidRDefault="00E82475" w:rsidP="00E82475">
      <w:pPr>
        <w:pStyle w:val="Heading2"/>
        <w:pBdr>
          <w:bottom w:val="none" w:sz="0" w:space="0" w:color="auto"/>
        </w:pBdr>
        <w:spacing w:before="0"/>
      </w:pPr>
    </w:p>
    <w:p w14:paraId="2DE197EF" w14:textId="77777777" w:rsidR="004A6A14" w:rsidRPr="004A6A14" w:rsidRDefault="004A6A14" w:rsidP="004A6A14"/>
    <w:p w14:paraId="07E97135" w14:textId="77777777" w:rsidR="00E82475" w:rsidRDefault="00E82475" w:rsidP="00E82475">
      <w:pPr>
        <w:pStyle w:val="Heading2"/>
        <w:pBdr>
          <w:bottom w:val="none" w:sz="0" w:space="0" w:color="auto"/>
        </w:pBdr>
        <w:spacing w:before="0"/>
      </w:pPr>
    </w:p>
    <w:p w14:paraId="603B5EA8" w14:textId="0859D051" w:rsidR="00E82475" w:rsidRDefault="00E82475" w:rsidP="00E82475">
      <w:pPr>
        <w:pStyle w:val="Heading2"/>
        <w:pBdr>
          <w:bottom w:val="none" w:sz="0" w:space="0" w:color="auto"/>
        </w:pBdr>
        <w:spacing w:before="0"/>
      </w:pPr>
    </w:p>
    <w:p w14:paraId="250697DA" w14:textId="685AC7F2" w:rsidR="00825CA3" w:rsidRDefault="00825CA3" w:rsidP="00825CA3"/>
    <w:p w14:paraId="7DB56CCC" w14:textId="77777777" w:rsidR="006D34FC" w:rsidRPr="00825CA3" w:rsidRDefault="006D34FC" w:rsidP="00825CA3"/>
    <w:p w14:paraId="3387D8D3" w14:textId="1F7C3CE0" w:rsidR="00E82475" w:rsidRDefault="00E82475" w:rsidP="00E82475">
      <w:pPr>
        <w:pStyle w:val="Heading2"/>
        <w:pBdr>
          <w:bottom w:val="none" w:sz="0" w:space="0" w:color="auto"/>
        </w:pBdr>
        <w:spacing w:before="0"/>
      </w:pPr>
    </w:p>
    <w:p w14:paraId="2026722E" w14:textId="34AF2893" w:rsidR="00825CA3" w:rsidRPr="003766E0" w:rsidRDefault="00825CA3" w:rsidP="0078037F">
      <w:pPr>
        <w:pStyle w:val="Bluefieldbullets"/>
        <w:numPr>
          <w:ilvl w:val="0"/>
          <w:numId w:val="0"/>
        </w:numPr>
        <w:ind w:left="284" w:hanging="281"/>
        <w:rPr>
          <w:szCs w:val="20"/>
          <w:lang w:val="en-US"/>
        </w:rPr>
      </w:pPr>
      <w:r w:rsidRPr="0012415F">
        <w:rPr>
          <w:szCs w:val="20"/>
        </w:rPr>
        <w:t>1</w:t>
      </w:r>
      <w:r w:rsidRPr="0012415F">
        <w:t xml:space="preserve">. </w:t>
      </w:r>
      <w:r w:rsidR="0078037F">
        <w:t xml:space="preserve">  </w:t>
      </w:r>
      <w:r>
        <w:rPr>
          <w:szCs w:val="20"/>
          <w:lang w:val="en-US"/>
        </w:rPr>
        <w:t>Underlying earnings is an alternative performance m</w:t>
      </w:r>
      <w:r w:rsidRPr="0012415F">
        <w:rPr>
          <w:szCs w:val="20"/>
          <w:lang w:val="en-US"/>
        </w:rPr>
        <w:t>easure employed by the Com</w:t>
      </w:r>
      <w:r>
        <w:rPr>
          <w:szCs w:val="20"/>
          <w:lang w:val="en-US"/>
        </w:rPr>
        <w:t xml:space="preserve">pany to provide insight </w:t>
      </w:r>
      <w:r w:rsidR="00AF5969">
        <w:rPr>
          <w:szCs w:val="20"/>
          <w:lang w:val="en-US"/>
        </w:rPr>
        <w:t xml:space="preserve">  </w:t>
      </w:r>
      <w:r>
        <w:rPr>
          <w:szCs w:val="20"/>
          <w:lang w:val="en-US"/>
        </w:rPr>
        <w:t xml:space="preserve">to the </w:t>
      </w:r>
      <w:r w:rsidR="00072BAF">
        <w:rPr>
          <w:szCs w:val="20"/>
          <w:lang w:val="en-US"/>
        </w:rPr>
        <w:t>S</w:t>
      </w:r>
      <w:r w:rsidRPr="0012415F">
        <w:rPr>
          <w:szCs w:val="20"/>
          <w:lang w:val="en-US"/>
        </w:rPr>
        <w:t xml:space="preserve">hareholders by definitively linking the underlying financial performance of </w:t>
      </w:r>
      <w:r w:rsidRPr="00102984">
        <w:rPr>
          <w:szCs w:val="20"/>
          <w:lang w:val="en-US"/>
        </w:rPr>
        <w:t xml:space="preserve">the operational projects to the dividends declared and paid by the Company. Further detail is provided on page </w:t>
      </w:r>
      <w:r w:rsidR="00102984" w:rsidRPr="00102984">
        <w:rPr>
          <w:szCs w:val="20"/>
          <w:lang w:val="en-US"/>
        </w:rPr>
        <w:t>57</w:t>
      </w:r>
      <w:r w:rsidRPr="00102984">
        <w:rPr>
          <w:szCs w:val="20"/>
          <w:lang w:val="en-US"/>
        </w:rPr>
        <w:t>.</w:t>
      </w:r>
    </w:p>
    <w:p w14:paraId="7DF71EBB" w14:textId="0333F554" w:rsidR="00825CA3" w:rsidRPr="00E82475" w:rsidRDefault="00825CA3" w:rsidP="0078037F">
      <w:pPr>
        <w:ind w:left="284" w:hanging="284"/>
        <w:rPr>
          <w:rFonts w:ascii="Georgia" w:hAnsi="Georgia"/>
          <w:color w:val="404040" w:themeColor="text1" w:themeTint="BF"/>
          <w:sz w:val="20"/>
          <w:szCs w:val="20"/>
          <w:lang w:val="en-US"/>
        </w:rPr>
      </w:pPr>
      <w:r w:rsidRPr="003766E0">
        <w:rPr>
          <w:rFonts w:ascii="Georgia" w:hAnsi="Georgia"/>
          <w:color w:val="404040" w:themeColor="text1" w:themeTint="BF"/>
          <w:sz w:val="20"/>
          <w:szCs w:val="20"/>
          <w:lang w:val="en-US"/>
        </w:rPr>
        <w:t xml:space="preserve">2. </w:t>
      </w:r>
      <w:r w:rsidR="0078037F">
        <w:rPr>
          <w:rFonts w:ascii="Georgia" w:hAnsi="Georgia"/>
          <w:color w:val="404040" w:themeColor="text1" w:themeTint="BF"/>
          <w:sz w:val="20"/>
          <w:szCs w:val="20"/>
          <w:lang w:val="en-US"/>
        </w:rPr>
        <w:t xml:space="preserve"> </w:t>
      </w:r>
      <w:r w:rsidRPr="003766E0">
        <w:rPr>
          <w:rFonts w:ascii="Georgia" w:hAnsi="Georgia"/>
          <w:color w:val="404040" w:themeColor="text1" w:themeTint="BF"/>
          <w:sz w:val="20"/>
          <w:szCs w:val="20"/>
          <w:lang w:val="en-US"/>
        </w:rPr>
        <w:t xml:space="preserve">Underlying EPS is calculated using underlying earnings </w:t>
      </w:r>
      <w:r w:rsidR="004360A5">
        <w:rPr>
          <w:rFonts w:ascii="Georgia" w:hAnsi="Georgia"/>
          <w:color w:val="404040" w:themeColor="text1" w:themeTint="BF"/>
          <w:sz w:val="20"/>
          <w:szCs w:val="20"/>
          <w:lang w:val="en-US"/>
        </w:rPr>
        <w:t>available for distribution divided by the average number of shares.</w:t>
      </w:r>
    </w:p>
    <w:p w14:paraId="5CFF5AF5" w14:textId="3180BA3A" w:rsidR="00B93928" w:rsidRPr="00B93928" w:rsidRDefault="00ED55A0" w:rsidP="00B93928">
      <w:pPr>
        <w:rPr>
          <w:rFonts w:ascii="Georgia" w:hAnsi="Georgia"/>
          <w:color w:val="404040" w:themeColor="text1" w:themeTint="BF"/>
          <w:sz w:val="20"/>
          <w:szCs w:val="20"/>
          <w:lang w:val="en-US"/>
        </w:rPr>
      </w:pPr>
      <w:r w:rsidRPr="00B93928">
        <w:rPr>
          <w:rFonts w:ascii="Georgia" w:hAnsi="Georgia"/>
          <w:color w:val="404040" w:themeColor="text1" w:themeTint="BF"/>
          <w:sz w:val="20"/>
          <w:szCs w:val="20"/>
          <w:lang w:val="en-US"/>
        </w:rPr>
        <w:t>3.</w:t>
      </w:r>
      <w:r w:rsidR="0078037F">
        <w:rPr>
          <w:rFonts w:ascii="Georgia" w:hAnsi="Georgia"/>
          <w:color w:val="404040" w:themeColor="text1" w:themeTint="BF"/>
          <w:sz w:val="20"/>
          <w:szCs w:val="20"/>
          <w:lang w:val="en-US"/>
        </w:rPr>
        <w:t xml:space="preserve"> </w:t>
      </w:r>
      <w:r w:rsidRPr="00B93928">
        <w:rPr>
          <w:rFonts w:ascii="Georgia" w:hAnsi="Georgia"/>
          <w:color w:val="404040" w:themeColor="text1" w:themeTint="BF"/>
          <w:sz w:val="20"/>
          <w:szCs w:val="20"/>
          <w:lang w:val="en-US"/>
        </w:rPr>
        <w:t xml:space="preserve"> Total r</w:t>
      </w:r>
      <w:r w:rsidR="00E82475" w:rsidRPr="00B93928">
        <w:rPr>
          <w:rFonts w:ascii="Georgia" w:hAnsi="Georgia"/>
          <w:color w:val="404040" w:themeColor="text1" w:themeTint="BF"/>
          <w:sz w:val="20"/>
          <w:szCs w:val="20"/>
          <w:lang w:val="en-US"/>
        </w:rPr>
        <w:t xml:space="preserve">eturn is based on NAV per share movement and dividends paid in the </w:t>
      </w:r>
      <w:r w:rsidR="001D6018" w:rsidRPr="00B93928">
        <w:rPr>
          <w:rFonts w:ascii="Georgia" w:hAnsi="Georgia"/>
          <w:color w:val="404040" w:themeColor="text1" w:themeTint="BF"/>
          <w:sz w:val="20"/>
          <w:szCs w:val="20"/>
          <w:lang w:val="en-US"/>
        </w:rPr>
        <w:t>year</w:t>
      </w:r>
      <w:r w:rsidR="00B93928" w:rsidRPr="00B93928">
        <w:rPr>
          <w:rFonts w:ascii="Georgia" w:hAnsi="Georgia"/>
          <w:color w:val="404040" w:themeColor="text1" w:themeTint="BF"/>
          <w:sz w:val="20"/>
          <w:szCs w:val="20"/>
          <w:lang w:val="en-US"/>
        </w:rPr>
        <w:t>.</w:t>
      </w:r>
    </w:p>
    <w:p w14:paraId="400C92FA" w14:textId="5DDDDB92" w:rsidR="00B93928" w:rsidRPr="00B93928" w:rsidRDefault="00ED55A0" w:rsidP="00B93928">
      <w:pPr>
        <w:rPr>
          <w:rFonts w:ascii="Georgia" w:hAnsi="Georgia"/>
          <w:sz w:val="20"/>
          <w:szCs w:val="20"/>
        </w:rPr>
      </w:pPr>
      <w:r w:rsidRPr="00776C5E">
        <w:rPr>
          <w:rFonts w:ascii="Georgia" w:hAnsi="Georgia"/>
          <w:color w:val="404040" w:themeColor="text1" w:themeTint="BF"/>
          <w:sz w:val="20"/>
          <w:szCs w:val="20"/>
          <w:lang w:val="en-US"/>
        </w:rPr>
        <w:t xml:space="preserve">4. </w:t>
      </w:r>
      <w:r w:rsidR="0078037F">
        <w:rPr>
          <w:rFonts w:ascii="Georgia" w:hAnsi="Georgia"/>
          <w:color w:val="404040" w:themeColor="text1" w:themeTint="BF"/>
          <w:sz w:val="20"/>
          <w:szCs w:val="20"/>
          <w:lang w:val="en-US"/>
        </w:rPr>
        <w:t xml:space="preserve"> </w:t>
      </w:r>
      <w:r w:rsidRPr="00776C5E">
        <w:rPr>
          <w:rFonts w:ascii="Georgia" w:hAnsi="Georgia"/>
          <w:color w:val="404040" w:themeColor="text1" w:themeTint="BF"/>
          <w:sz w:val="20"/>
          <w:szCs w:val="20"/>
          <w:lang w:val="en-US"/>
        </w:rPr>
        <w:t>To</w:t>
      </w:r>
      <w:r w:rsidRPr="00B93928">
        <w:rPr>
          <w:rFonts w:ascii="Georgia" w:hAnsi="Georgia"/>
          <w:color w:val="404040" w:themeColor="text1" w:themeTint="BF"/>
          <w:sz w:val="20"/>
          <w:szCs w:val="20"/>
          <w:lang w:val="en-US"/>
        </w:rPr>
        <w:t>tal r</w:t>
      </w:r>
      <w:r w:rsidR="00072BAF">
        <w:rPr>
          <w:rFonts w:ascii="Georgia" w:hAnsi="Georgia"/>
          <w:color w:val="404040" w:themeColor="text1" w:themeTint="BF"/>
          <w:sz w:val="20"/>
          <w:szCs w:val="20"/>
          <w:lang w:val="en-US"/>
        </w:rPr>
        <w:t>eturn to S</w:t>
      </w:r>
      <w:r w:rsidR="00E82475" w:rsidRPr="00B93928">
        <w:rPr>
          <w:rFonts w:ascii="Georgia" w:hAnsi="Georgia"/>
          <w:color w:val="404040" w:themeColor="text1" w:themeTint="BF"/>
          <w:sz w:val="20"/>
          <w:szCs w:val="20"/>
          <w:lang w:val="en-US"/>
        </w:rPr>
        <w:t>hareholders is based on share price move</w:t>
      </w:r>
      <w:r w:rsidR="001D6018" w:rsidRPr="00B93928">
        <w:rPr>
          <w:rFonts w:ascii="Georgia" w:hAnsi="Georgia"/>
          <w:color w:val="404040" w:themeColor="text1" w:themeTint="BF"/>
          <w:sz w:val="20"/>
          <w:szCs w:val="20"/>
          <w:lang w:val="en-US"/>
        </w:rPr>
        <w:t>ment and dividends paid in the year</w:t>
      </w:r>
      <w:r w:rsidR="00B93928" w:rsidRPr="00B93928">
        <w:rPr>
          <w:rFonts w:ascii="Georgia" w:hAnsi="Georgia"/>
          <w:sz w:val="20"/>
          <w:szCs w:val="20"/>
        </w:rPr>
        <w:t>.</w:t>
      </w:r>
    </w:p>
    <w:p w14:paraId="2D9959EE" w14:textId="1DCD56AA" w:rsidR="00B93928" w:rsidRPr="00350C5E" w:rsidRDefault="00B93928" w:rsidP="0078037F">
      <w:pPr>
        <w:ind w:left="284" w:hanging="284"/>
        <w:jc w:val="both"/>
        <w:rPr>
          <w:rFonts w:ascii="Georgia" w:hAnsi="Georgia"/>
          <w:color w:val="404040" w:themeColor="text1" w:themeTint="BF"/>
          <w:sz w:val="20"/>
          <w:szCs w:val="20"/>
        </w:rPr>
      </w:pPr>
      <w:r w:rsidRPr="00776C5E">
        <w:rPr>
          <w:rFonts w:ascii="Georgia" w:hAnsi="Georgia"/>
          <w:color w:val="404040" w:themeColor="text1" w:themeTint="BF"/>
          <w:sz w:val="20"/>
          <w:szCs w:val="20"/>
        </w:rPr>
        <w:t>5.</w:t>
      </w:r>
      <w:r w:rsidR="0078037F">
        <w:rPr>
          <w:rFonts w:ascii="Georgia" w:hAnsi="Georgia"/>
          <w:color w:val="404040" w:themeColor="text1" w:themeTint="BF"/>
          <w:sz w:val="20"/>
          <w:szCs w:val="20"/>
        </w:rPr>
        <w:t xml:space="preserve"> </w:t>
      </w:r>
      <w:r w:rsidRPr="00776C5E">
        <w:rPr>
          <w:rFonts w:ascii="Georgia" w:hAnsi="Georgia"/>
          <w:color w:val="404040" w:themeColor="text1" w:themeTint="BF"/>
          <w:sz w:val="20"/>
          <w:szCs w:val="20"/>
        </w:rPr>
        <w:t xml:space="preserve"> Total </w:t>
      </w:r>
      <w:r w:rsidR="00072BAF">
        <w:rPr>
          <w:rFonts w:ascii="Georgia" w:hAnsi="Georgia"/>
          <w:color w:val="404040" w:themeColor="text1" w:themeTint="BF"/>
          <w:sz w:val="20"/>
          <w:szCs w:val="20"/>
        </w:rPr>
        <w:t>Return to S</w:t>
      </w:r>
      <w:r>
        <w:rPr>
          <w:rFonts w:ascii="Georgia" w:hAnsi="Georgia"/>
          <w:color w:val="404040" w:themeColor="text1" w:themeTint="BF"/>
          <w:sz w:val="20"/>
          <w:szCs w:val="20"/>
        </w:rPr>
        <w:t>hareholders since inception is</w:t>
      </w:r>
      <w:r w:rsidR="000916C2">
        <w:rPr>
          <w:rFonts w:ascii="Georgia" w:hAnsi="Georgia"/>
          <w:color w:val="404040" w:themeColor="text1" w:themeTint="BF"/>
          <w:sz w:val="20"/>
          <w:szCs w:val="20"/>
        </w:rPr>
        <w:t xml:space="preserve"> an alternative performance measure</w:t>
      </w:r>
      <w:r>
        <w:rPr>
          <w:rFonts w:ascii="Georgia" w:hAnsi="Georgia"/>
          <w:color w:val="404040" w:themeColor="text1" w:themeTint="BF"/>
          <w:sz w:val="20"/>
          <w:szCs w:val="20"/>
        </w:rPr>
        <w:t xml:space="preserve"> based on share price mo</w:t>
      </w:r>
      <w:r w:rsidR="00676F39">
        <w:rPr>
          <w:rFonts w:ascii="Georgia" w:hAnsi="Georgia"/>
          <w:color w:val="404040" w:themeColor="text1" w:themeTint="BF"/>
          <w:sz w:val="20"/>
          <w:szCs w:val="20"/>
        </w:rPr>
        <w:t>vement and dividends paid since</w:t>
      </w:r>
      <w:r w:rsidR="0078037F">
        <w:rPr>
          <w:rFonts w:ascii="Georgia" w:hAnsi="Georgia"/>
          <w:color w:val="404040" w:themeColor="text1" w:themeTint="BF"/>
          <w:sz w:val="20"/>
          <w:szCs w:val="20"/>
        </w:rPr>
        <w:t xml:space="preserve"> </w:t>
      </w:r>
      <w:r>
        <w:rPr>
          <w:rFonts w:ascii="Georgia" w:hAnsi="Georgia"/>
          <w:color w:val="404040" w:themeColor="text1" w:themeTint="BF"/>
          <w:sz w:val="20"/>
          <w:szCs w:val="20"/>
        </w:rPr>
        <w:t xml:space="preserve">the IPO. </w:t>
      </w:r>
    </w:p>
    <w:p w14:paraId="3C487D07" w14:textId="7A784DE9" w:rsidR="00B93928" w:rsidRDefault="00B93928" w:rsidP="00B93928">
      <w:pPr>
        <w:rPr>
          <w:rFonts w:ascii="Georgia" w:hAnsi="Georgia"/>
          <w:sz w:val="20"/>
          <w:szCs w:val="20"/>
        </w:rPr>
      </w:pPr>
    </w:p>
    <w:p w14:paraId="2677ABD3" w14:textId="38C01EEC" w:rsidR="00B93928" w:rsidRDefault="00B93928" w:rsidP="00B93928">
      <w:pPr>
        <w:rPr>
          <w:rFonts w:ascii="Georgia" w:hAnsi="Georgia"/>
          <w:sz w:val="20"/>
          <w:szCs w:val="20"/>
        </w:rPr>
      </w:pPr>
    </w:p>
    <w:p w14:paraId="3D6F2837" w14:textId="77777777" w:rsidR="00B93928" w:rsidRPr="00B93928" w:rsidRDefault="00B93928" w:rsidP="00B93928">
      <w:pPr>
        <w:rPr>
          <w:rFonts w:ascii="Georgia" w:hAnsi="Georgia"/>
          <w:sz w:val="20"/>
          <w:szCs w:val="20"/>
        </w:rPr>
      </w:pPr>
    </w:p>
    <w:p w14:paraId="64938BBD" w14:textId="2DD41579" w:rsidR="00481E57" w:rsidRDefault="00FE1004" w:rsidP="00E82475">
      <w:pPr>
        <w:pStyle w:val="Heading2"/>
        <w:spacing w:before="0"/>
      </w:pPr>
      <w:r w:rsidRPr="001471B7">
        <w:lastRenderedPageBreak/>
        <w:t>Corporate Summary</w:t>
      </w:r>
      <w:bookmarkEnd w:id="2"/>
    </w:p>
    <w:p w14:paraId="0B64B578" w14:textId="77777777" w:rsidR="009D4485" w:rsidRPr="00E15799" w:rsidRDefault="009D4485" w:rsidP="00BE2C16">
      <w:pPr>
        <w:pStyle w:val="body"/>
      </w:pPr>
    </w:p>
    <w:p w14:paraId="31926DF9" w14:textId="77777777" w:rsidR="0071212D" w:rsidRPr="009306C8" w:rsidRDefault="0071212D" w:rsidP="0071212D">
      <w:pPr>
        <w:pStyle w:val="Notehead1"/>
      </w:pPr>
      <w:r w:rsidRPr="00E42A95">
        <w:t>Investment objective</w:t>
      </w:r>
    </w:p>
    <w:p w14:paraId="5991B7D5" w14:textId="77777777" w:rsidR="0071212D" w:rsidRPr="00B33DF8" w:rsidRDefault="0071212D" w:rsidP="0071212D">
      <w:pPr>
        <w:pStyle w:val="Notehead1"/>
        <w:tabs>
          <w:tab w:val="left" w:pos="900"/>
        </w:tabs>
      </w:pPr>
      <w:r>
        <w:tab/>
      </w:r>
    </w:p>
    <w:p w14:paraId="46464011" w14:textId="47B6E255" w:rsidR="0071212D" w:rsidRPr="0071212D" w:rsidRDefault="0071212D" w:rsidP="0071212D">
      <w:pPr>
        <w:pStyle w:val="BluefieldBody"/>
      </w:pPr>
      <w:r w:rsidRPr="0071212D">
        <w:t xml:space="preserve">The investment objective of </w:t>
      </w:r>
      <w:r w:rsidR="002423E4">
        <w:t xml:space="preserve">the Company </w:t>
      </w:r>
      <w:r w:rsidR="005C3037">
        <w:t>is to provide S</w:t>
      </w:r>
      <w:r w:rsidRPr="0071212D">
        <w:t xml:space="preserve">hareholders with an attractive return, principally in the form of </w:t>
      </w:r>
      <w:r w:rsidR="00737A62">
        <w:t>regular</w:t>
      </w:r>
      <w:r w:rsidRPr="0071212D">
        <w:t xml:space="preserve"> </w:t>
      </w:r>
      <w:r w:rsidR="0014265A">
        <w:t xml:space="preserve">sterling </w:t>
      </w:r>
      <w:r w:rsidRPr="0071212D">
        <w:t>income distributions, by investing</w:t>
      </w:r>
      <w:r w:rsidR="0014265A">
        <w:t xml:space="preserve"> in the UK into, primarily, a portfolio of </w:t>
      </w:r>
      <w:r w:rsidRPr="0071212D">
        <w:t>solar energy infrastructure assets.</w:t>
      </w:r>
    </w:p>
    <w:p w14:paraId="1014B647" w14:textId="77777777" w:rsidR="0071212D" w:rsidRPr="0071212D" w:rsidRDefault="0071212D" w:rsidP="0071212D">
      <w:pPr>
        <w:pStyle w:val="Notehead1"/>
      </w:pPr>
    </w:p>
    <w:p w14:paraId="05A17D11" w14:textId="77777777" w:rsidR="0071212D" w:rsidRPr="0071212D" w:rsidRDefault="0071212D" w:rsidP="0071212D">
      <w:pPr>
        <w:pStyle w:val="Notehead1"/>
      </w:pPr>
      <w:r w:rsidRPr="0071212D">
        <w:t>Structure</w:t>
      </w:r>
    </w:p>
    <w:p w14:paraId="1F479C4A" w14:textId="77777777" w:rsidR="0071212D" w:rsidRPr="0071212D" w:rsidRDefault="0071212D" w:rsidP="0071212D">
      <w:pPr>
        <w:pStyle w:val="Notehead1"/>
      </w:pPr>
    </w:p>
    <w:p w14:paraId="194395AE" w14:textId="576D4D87" w:rsidR="0071212D" w:rsidRDefault="0071212D" w:rsidP="0071212D">
      <w:pPr>
        <w:pStyle w:val="BluefieldBody"/>
      </w:pPr>
      <w:r w:rsidRPr="0071212D">
        <w:t>The Company is a non-cellular company limited by shares incorporated in Guernsey under the Law on 29 May 2013. The Company’s registration number is 5</w:t>
      </w:r>
      <w:r w:rsidR="00744766">
        <w:t>6708,</w:t>
      </w:r>
      <w:r w:rsidRPr="0071212D">
        <w:t xml:space="preserve"> and </w:t>
      </w:r>
      <w:r w:rsidR="00B93928">
        <w:t xml:space="preserve">it </w:t>
      </w:r>
      <w:r w:rsidRPr="0071212D">
        <w:t xml:space="preserve">is regulated by the </w:t>
      </w:r>
      <w:r w:rsidR="002423E4">
        <w:t>GFSC</w:t>
      </w:r>
      <w:r w:rsidRPr="0071212D">
        <w:t xml:space="preserve"> as a registered closed-ended collective investment scheme</w:t>
      </w:r>
      <w:r w:rsidR="00F0641F">
        <w:t xml:space="preserve"> </w:t>
      </w:r>
      <w:r w:rsidR="00F0641F">
        <w:rPr>
          <w:rFonts w:cs="Calibri"/>
        </w:rPr>
        <w:t xml:space="preserve">and as a Green Fund after successful application under the Guernsey Green Fund Rules to the GFSC on 16 April </w:t>
      </w:r>
      <w:r w:rsidR="00582233">
        <w:rPr>
          <w:rFonts w:cs="Calibri"/>
        </w:rPr>
        <w:t>2019</w:t>
      </w:r>
      <w:r w:rsidRPr="0071212D">
        <w:t>. The</w:t>
      </w:r>
      <w:r w:rsidR="00744766">
        <w:t xml:space="preserve"> Company’s Ordinary Shares were </w:t>
      </w:r>
      <w:r w:rsidRPr="0071212D">
        <w:t xml:space="preserve">admitted to the Premium Segment of the </w:t>
      </w:r>
      <w:r w:rsidR="002423E4">
        <w:t>Official List</w:t>
      </w:r>
      <w:r w:rsidRPr="0071212D">
        <w:t xml:space="preserve"> and to trading on the Main Market of the </w:t>
      </w:r>
      <w:r w:rsidR="003C63A3">
        <w:t>LSE</w:t>
      </w:r>
      <w:r w:rsidRPr="0071212D">
        <w:t xml:space="preserve"> </w:t>
      </w:r>
      <w:r w:rsidR="00503DB9">
        <w:t>following</w:t>
      </w:r>
      <w:r w:rsidRPr="0071212D">
        <w:t xml:space="preserve"> its </w:t>
      </w:r>
      <w:r w:rsidR="002423E4">
        <w:t>IPO</w:t>
      </w:r>
      <w:r w:rsidRPr="0071212D">
        <w:t xml:space="preserve"> on 12 July 2013.  The issued capital during the year comprises the Company’s Ordinary Shares denominated in Sterling.</w:t>
      </w:r>
    </w:p>
    <w:p w14:paraId="50D20309" w14:textId="77777777" w:rsidR="002E041B" w:rsidRDefault="002E041B" w:rsidP="0071212D">
      <w:pPr>
        <w:pStyle w:val="BluefieldBody"/>
      </w:pPr>
    </w:p>
    <w:p w14:paraId="23CB4D68" w14:textId="5ACF17C2" w:rsidR="002E041B" w:rsidRDefault="002E041B" w:rsidP="002E041B">
      <w:pPr>
        <w:pStyle w:val="BluefieldBody"/>
      </w:pPr>
      <w:r>
        <w:t>The Comp</w:t>
      </w:r>
      <w:r w:rsidR="00A379B0">
        <w:t xml:space="preserve">any has the ability to use long </w:t>
      </w:r>
      <w:r>
        <w:t>term and short</w:t>
      </w:r>
      <w:r w:rsidR="00A379B0">
        <w:t xml:space="preserve"> </w:t>
      </w:r>
      <w:r>
        <w:t>term debt at the holding compa</w:t>
      </w:r>
      <w:r w:rsidR="00A379B0">
        <w:t xml:space="preserve">ny level as well as having long </w:t>
      </w:r>
      <w:r>
        <w:t>term, non-recourse debt at the SPV level.</w:t>
      </w:r>
    </w:p>
    <w:p w14:paraId="49656027" w14:textId="77777777" w:rsidR="005502F9" w:rsidRDefault="005502F9" w:rsidP="0071212D">
      <w:pPr>
        <w:pStyle w:val="BluefieldBody"/>
      </w:pPr>
    </w:p>
    <w:p w14:paraId="51269C0C" w14:textId="77777777" w:rsidR="0071212D" w:rsidRPr="0071212D" w:rsidRDefault="0071212D" w:rsidP="0071212D">
      <w:pPr>
        <w:pStyle w:val="Notehead1"/>
      </w:pPr>
      <w:r w:rsidRPr="0071212D">
        <w:t>Investment Adviser</w:t>
      </w:r>
    </w:p>
    <w:p w14:paraId="513D5711" w14:textId="77777777" w:rsidR="0071212D" w:rsidRPr="0071212D" w:rsidRDefault="0071212D" w:rsidP="0071212D">
      <w:pPr>
        <w:pStyle w:val="Notehead1"/>
      </w:pPr>
    </w:p>
    <w:p w14:paraId="3797A0D0" w14:textId="2F37FA2A" w:rsidR="003E62F8" w:rsidRDefault="00D87692" w:rsidP="00EF6D72">
      <w:pPr>
        <w:pStyle w:val="BluefieldBody"/>
      </w:pPr>
      <w:r w:rsidRPr="00553984">
        <w:t>The Investment Adviser to the Company during the year was Bluefield Partners LLP which is authorised and regulated by the UK FCA under the number 507508. In May 2015 BSL, a company with the same owner</w:t>
      </w:r>
      <w:r w:rsidR="00957031" w:rsidRPr="00553984">
        <w:t>ship as the Investment Adviser</w:t>
      </w:r>
      <w:r w:rsidRPr="00553984">
        <w:t>, commenced providing asset management services to the investment SPVs held by BSIFIL. In August 2017 BOL, a company with the same ownership as the Investment Adviser, commenced providing O&amp;M services to</w:t>
      </w:r>
      <w:r w:rsidR="003C63A3" w:rsidRPr="00553984">
        <w:t xml:space="preserve"> the Company and now provides services to </w:t>
      </w:r>
      <w:r w:rsidR="005C3037">
        <w:t>36</w:t>
      </w:r>
      <w:r w:rsidR="004A5296" w:rsidRPr="00553984">
        <w:t xml:space="preserve"> </w:t>
      </w:r>
      <w:r w:rsidR="003C63A3" w:rsidRPr="00553984">
        <w:t>of the investment SPVs held by BSIFIL</w:t>
      </w:r>
      <w:r w:rsidR="00F85496" w:rsidRPr="00553984">
        <w:t xml:space="preserve"> as at year end</w:t>
      </w:r>
      <w:r w:rsidR="00352579" w:rsidRPr="00553984">
        <w:t>.</w:t>
      </w:r>
    </w:p>
    <w:p w14:paraId="4F010BC7" w14:textId="77777777" w:rsidR="003E62F8" w:rsidRDefault="003E62F8" w:rsidP="00374FF7">
      <w:pPr>
        <w:pStyle w:val="Notehead1"/>
      </w:pPr>
    </w:p>
    <w:p w14:paraId="762D9E51" w14:textId="77777777" w:rsidR="003E62F8" w:rsidRDefault="003E62F8" w:rsidP="00374FF7">
      <w:pPr>
        <w:pStyle w:val="Notehead1"/>
      </w:pPr>
    </w:p>
    <w:p w14:paraId="4F1F7F23" w14:textId="77777777" w:rsidR="003E62F8" w:rsidRDefault="003E62F8" w:rsidP="00374FF7">
      <w:pPr>
        <w:pStyle w:val="Notehead1"/>
      </w:pPr>
    </w:p>
    <w:p w14:paraId="065D4958" w14:textId="77777777" w:rsidR="003E62F8" w:rsidRDefault="003E62F8" w:rsidP="00374FF7">
      <w:pPr>
        <w:pStyle w:val="Notehead1"/>
      </w:pPr>
    </w:p>
    <w:p w14:paraId="43D37076" w14:textId="77777777" w:rsidR="003E62F8" w:rsidRDefault="003E62F8" w:rsidP="00374FF7">
      <w:pPr>
        <w:pStyle w:val="Notehead1"/>
      </w:pPr>
    </w:p>
    <w:p w14:paraId="218E4140" w14:textId="77777777" w:rsidR="003E62F8" w:rsidRDefault="003E62F8" w:rsidP="00374FF7">
      <w:pPr>
        <w:pStyle w:val="Notehead1"/>
      </w:pPr>
    </w:p>
    <w:p w14:paraId="6969FAAE" w14:textId="77777777" w:rsidR="003E62F8" w:rsidRDefault="003E62F8" w:rsidP="00374FF7">
      <w:pPr>
        <w:pStyle w:val="Notehead1"/>
      </w:pPr>
    </w:p>
    <w:p w14:paraId="30E32984" w14:textId="77777777" w:rsidR="00821071" w:rsidRDefault="00821071" w:rsidP="00374FF7">
      <w:pPr>
        <w:pStyle w:val="Notehead1"/>
      </w:pPr>
    </w:p>
    <w:p w14:paraId="15BC7AF5" w14:textId="77777777" w:rsidR="00821071" w:rsidRDefault="00821071" w:rsidP="00374FF7">
      <w:pPr>
        <w:pStyle w:val="Notehead1"/>
      </w:pPr>
    </w:p>
    <w:p w14:paraId="7AC5BFD9" w14:textId="77777777" w:rsidR="00821071" w:rsidRDefault="00821071" w:rsidP="00374FF7">
      <w:pPr>
        <w:pStyle w:val="Notehead1"/>
      </w:pPr>
    </w:p>
    <w:p w14:paraId="0F5DE68A" w14:textId="77777777" w:rsidR="00821071" w:rsidRDefault="00821071" w:rsidP="00374FF7">
      <w:pPr>
        <w:pStyle w:val="Notehead1"/>
      </w:pPr>
    </w:p>
    <w:p w14:paraId="2061F59B" w14:textId="77777777" w:rsidR="00821071" w:rsidRDefault="00821071" w:rsidP="00374FF7">
      <w:pPr>
        <w:pStyle w:val="Notehead1"/>
      </w:pPr>
    </w:p>
    <w:p w14:paraId="6917FAFF" w14:textId="77777777" w:rsidR="00821071" w:rsidRDefault="00821071" w:rsidP="00374FF7">
      <w:pPr>
        <w:pStyle w:val="Notehead1"/>
      </w:pPr>
    </w:p>
    <w:p w14:paraId="5804F19C" w14:textId="77777777" w:rsidR="00821071" w:rsidRDefault="00821071" w:rsidP="00374FF7">
      <w:pPr>
        <w:pStyle w:val="Notehead1"/>
      </w:pPr>
    </w:p>
    <w:p w14:paraId="21C2DB86" w14:textId="77777777" w:rsidR="003E62F8" w:rsidRDefault="003E62F8" w:rsidP="00374FF7">
      <w:pPr>
        <w:pStyle w:val="Notehead1"/>
      </w:pPr>
    </w:p>
    <w:p w14:paraId="4B6C7640" w14:textId="77777777" w:rsidR="003E62F8" w:rsidRDefault="003E62F8" w:rsidP="00374FF7">
      <w:pPr>
        <w:pStyle w:val="Notehead1"/>
      </w:pPr>
    </w:p>
    <w:p w14:paraId="1B015589" w14:textId="77777777" w:rsidR="003E62F8" w:rsidRDefault="003E62F8" w:rsidP="00374FF7">
      <w:pPr>
        <w:pStyle w:val="Notehead1"/>
      </w:pPr>
    </w:p>
    <w:p w14:paraId="24CC84A1" w14:textId="77777777" w:rsidR="00821071" w:rsidRDefault="00821071" w:rsidP="00374FF7">
      <w:pPr>
        <w:pStyle w:val="Notehead1"/>
      </w:pPr>
    </w:p>
    <w:p w14:paraId="5508D094" w14:textId="77777777" w:rsidR="00821071" w:rsidRDefault="00821071" w:rsidP="00374FF7">
      <w:pPr>
        <w:pStyle w:val="Notehead1"/>
      </w:pPr>
    </w:p>
    <w:p w14:paraId="4E36B187" w14:textId="77777777" w:rsidR="00821071" w:rsidRDefault="00821071" w:rsidP="00374FF7">
      <w:pPr>
        <w:pStyle w:val="Notehead1"/>
      </w:pPr>
    </w:p>
    <w:p w14:paraId="096D1C2C" w14:textId="77777777" w:rsidR="00F92A99" w:rsidRDefault="00F92A99" w:rsidP="00374FF7">
      <w:pPr>
        <w:pStyle w:val="Notehead1"/>
      </w:pPr>
    </w:p>
    <w:p w14:paraId="39DE8852" w14:textId="77777777" w:rsidR="00F92A99" w:rsidRDefault="00F92A99" w:rsidP="00374FF7">
      <w:pPr>
        <w:pStyle w:val="Notehead1"/>
      </w:pPr>
    </w:p>
    <w:p w14:paraId="29207E71" w14:textId="77777777" w:rsidR="00F92A99" w:rsidRDefault="00F92A99" w:rsidP="00374FF7">
      <w:pPr>
        <w:pStyle w:val="Notehead1"/>
      </w:pPr>
    </w:p>
    <w:p w14:paraId="1D3B2BE8" w14:textId="5DD1E01B" w:rsidR="00B24F75" w:rsidRPr="00D339B2" w:rsidRDefault="00533419" w:rsidP="00E85EF6">
      <w:pPr>
        <w:pStyle w:val="Heading2"/>
        <w:spacing w:before="0"/>
      </w:pPr>
      <w:bookmarkStart w:id="4" w:name="_Toc254209580"/>
      <w:r w:rsidRPr="00D339B2">
        <w:rPr>
          <w:color w:val="auto"/>
        </w:rPr>
        <w:lastRenderedPageBreak/>
        <w:t>Chairman’s Statement</w:t>
      </w:r>
      <w:bookmarkEnd w:id="4"/>
      <w:r w:rsidR="00862D77" w:rsidRPr="00D339B2">
        <w:rPr>
          <w:color w:val="auto"/>
        </w:rPr>
        <w:t xml:space="preserve"> </w:t>
      </w:r>
    </w:p>
    <w:p w14:paraId="02103389" w14:textId="77777777" w:rsidR="00BA7736" w:rsidRPr="00A90128" w:rsidRDefault="00BA7736" w:rsidP="006E0D8F">
      <w:pPr>
        <w:pStyle w:val="body"/>
        <w:rPr>
          <w:highlight w:val="yellow"/>
        </w:rPr>
      </w:pPr>
    </w:p>
    <w:p w14:paraId="3A4781D6" w14:textId="77777777" w:rsidR="008F1EB9" w:rsidRPr="00701E98" w:rsidRDefault="008F1EB9" w:rsidP="008F1EB9">
      <w:pPr>
        <w:jc w:val="both"/>
        <w:rPr>
          <w:rFonts w:ascii="Georgia" w:hAnsi="Georgia"/>
          <w:b/>
          <w:color w:val="404040" w:themeColor="text1" w:themeTint="BF"/>
          <w:sz w:val="20"/>
          <w:szCs w:val="20"/>
        </w:rPr>
      </w:pPr>
      <w:r w:rsidRPr="00701E98">
        <w:rPr>
          <w:rFonts w:ascii="Georgia" w:hAnsi="Georgia"/>
          <w:b/>
          <w:color w:val="404040" w:themeColor="text1" w:themeTint="BF"/>
          <w:sz w:val="20"/>
          <w:szCs w:val="20"/>
        </w:rPr>
        <w:t>Introduction</w:t>
      </w:r>
    </w:p>
    <w:p w14:paraId="644CAFC7" w14:textId="77777777" w:rsidR="008F1EB9" w:rsidRPr="00701E98" w:rsidRDefault="008F1EB9" w:rsidP="008F1EB9">
      <w:pPr>
        <w:jc w:val="both"/>
        <w:rPr>
          <w:rFonts w:ascii="Georgia" w:hAnsi="Georgia"/>
          <w:b/>
          <w:color w:val="404040" w:themeColor="text1" w:themeTint="BF"/>
          <w:sz w:val="20"/>
          <w:szCs w:val="20"/>
        </w:rPr>
      </w:pPr>
    </w:p>
    <w:p w14:paraId="4DE1B782" w14:textId="77777777" w:rsidR="000916C2" w:rsidRPr="000916C2" w:rsidRDefault="000916C2" w:rsidP="000916C2">
      <w:pPr>
        <w:jc w:val="both"/>
        <w:rPr>
          <w:rFonts w:ascii="Georgia" w:hAnsi="Georgia"/>
          <w:color w:val="404040" w:themeColor="text1" w:themeTint="BF"/>
          <w:sz w:val="20"/>
          <w:szCs w:val="20"/>
        </w:rPr>
      </w:pPr>
      <w:r w:rsidRPr="000916C2">
        <w:rPr>
          <w:rFonts w:ascii="Georgia" w:hAnsi="Georgia"/>
          <w:color w:val="404040" w:themeColor="text1" w:themeTint="BF"/>
          <w:sz w:val="20"/>
          <w:szCs w:val="20"/>
        </w:rPr>
        <w:t>The past financial year has been a remarkable one, not least because it will be remembered long into the future for the Covid-19 virus and for the chaos this pandemic has wrought on every country in the world, a phenomenon which appears to be far from reaching its conclusion.</w:t>
      </w:r>
    </w:p>
    <w:p w14:paraId="6749DC34" w14:textId="77777777" w:rsidR="000916C2" w:rsidRPr="000916C2" w:rsidRDefault="000916C2" w:rsidP="000916C2">
      <w:pPr>
        <w:jc w:val="both"/>
        <w:rPr>
          <w:rFonts w:ascii="Georgia" w:hAnsi="Georgia"/>
          <w:color w:val="404040" w:themeColor="text1" w:themeTint="BF"/>
          <w:sz w:val="20"/>
          <w:szCs w:val="20"/>
        </w:rPr>
      </w:pPr>
    </w:p>
    <w:p w14:paraId="179198E6" w14:textId="77777777" w:rsidR="000916C2" w:rsidRPr="000916C2" w:rsidRDefault="000916C2" w:rsidP="000916C2">
      <w:pPr>
        <w:jc w:val="both"/>
        <w:rPr>
          <w:rFonts w:ascii="Georgia" w:hAnsi="Georgia"/>
          <w:color w:val="404040" w:themeColor="text1" w:themeTint="BF"/>
          <w:sz w:val="20"/>
          <w:szCs w:val="20"/>
        </w:rPr>
      </w:pPr>
      <w:r w:rsidRPr="000916C2">
        <w:rPr>
          <w:rFonts w:ascii="Georgia" w:hAnsi="Georgia"/>
          <w:color w:val="404040" w:themeColor="text1" w:themeTint="BF"/>
          <w:sz w:val="20"/>
          <w:szCs w:val="20"/>
        </w:rPr>
        <w:t>The principal features of the period have been:</w:t>
      </w:r>
    </w:p>
    <w:p w14:paraId="47A37982" w14:textId="4A177879" w:rsidR="000916C2" w:rsidRPr="000916C2" w:rsidRDefault="000916C2" w:rsidP="000916C2">
      <w:pPr>
        <w:numPr>
          <w:ilvl w:val="0"/>
          <w:numId w:val="26"/>
        </w:numPr>
        <w:jc w:val="both"/>
        <w:rPr>
          <w:rFonts w:ascii="Georgia" w:hAnsi="Georgia"/>
          <w:color w:val="404040" w:themeColor="text1" w:themeTint="BF"/>
          <w:sz w:val="20"/>
          <w:szCs w:val="20"/>
        </w:rPr>
      </w:pPr>
      <w:r w:rsidRPr="000916C2">
        <w:rPr>
          <w:rFonts w:ascii="Georgia" w:hAnsi="Georgia"/>
          <w:color w:val="404040" w:themeColor="text1" w:themeTint="BF"/>
          <w:sz w:val="20"/>
          <w:szCs w:val="20"/>
        </w:rPr>
        <w:t xml:space="preserve">Bluefield has made </w:t>
      </w:r>
      <w:r w:rsidR="008C0A0F">
        <w:rPr>
          <w:rFonts w:ascii="Georgia" w:hAnsi="Georgia"/>
          <w:color w:val="404040" w:themeColor="text1" w:themeTint="BF"/>
          <w:sz w:val="20"/>
          <w:szCs w:val="20"/>
        </w:rPr>
        <w:t>one</w:t>
      </w:r>
      <w:r w:rsidRPr="000916C2">
        <w:rPr>
          <w:rFonts w:ascii="Georgia" w:hAnsi="Georgia"/>
          <w:color w:val="404040" w:themeColor="text1" w:themeTint="BF"/>
          <w:sz w:val="20"/>
          <w:szCs w:val="20"/>
        </w:rPr>
        <w:t xml:space="preserve"> significant acquisitions of operating PV assets</w:t>
      </w:r>
    </w:p>
    <w:p w14:paraId="10A7D64C" w14:textId="70018793" w:rsidR="0018214B" w:rsidRDefault="0018214B" w:rsidP="0018214B">
      <w:pPr>
        <w:numPr>
          <w:ilvl w:val="0"/>
          <w:numId w:val="26"/>
        </w:numPr>
        <w:jc w:val="both"/>
        <w:rPr>
          <w:rFonts w:ascii="Georgia" w:hAnsi="Georgia"/>
          <w:color w:val="404040" w:themeColor="text1" w:themeTint="BF"/>
          <w:sz w:val="20"/>
          <w:szCs w:val="20"/>
        </w:rPr>
      </w:pPr>
      <w:r w:rsidRPr="000916C2">
        <w:rPr>
          <w:rFonts w:ascii="Georgia" w:hAnsi="Georgia"/>
          <w:color w:val="404040" w:themeColor="text1" w:themeTint="BF"/>
          <w:sz w:val="20"/>
          <w:szCs w:val="20"/>
        </w:rPr>
        <w:t>The lockdown consequent on Covid-19 led to a significant drop in electricity demand; this, combined with a collapse in the price of fossil fuels</w:t>
      </w:r>
      <w:r>
        <w:rPr>
          <w:rFonts w:ascii="Georgia" w:hAnsi="Georgia"/>
          <w:color w:val="404040" w:themeColor="text1" w:themeTint="BF"/>
          <w:sz w:val="20"/>
          <w:szCs w:val="20"/>
        </w:rPr>
        <w:t>,</w:t>
      </w:r>
      <w:r w:rsidRPr="000916C2">
        <w:rPr>
          <w:rFonts w:ascii="Georgia" w:hAnsi="Georgia"/>
          <w:color w:val="404040" w:themeColor="text1" w:themeTint="BF"/>
          <w:sz w:val="20"/>
          <w:szCs w:val="20"/>
        </w:rPr>
        <w:t xml:space="preserve"> contributed to markedly lower power prices</w:t>
      </w:r>
      <w:r>
        <w:rPr>
          <w:rFonts w:ascii="Georgia" w:hAnsi="Georgia"/>
          <w:color w:val="404040" w:themeColor="text1" w:themeTint="BF"/>
          <w:sz w:val="20"/>
          <w:szCs w:val="20"/>
        </w:rPr>
        <w:t xml:space="preserve">. Notwithstanding this, we achieved record earnings for the year of 12.03pps pre-amortisation. </w:t>
      </w:r>
    </w:p>
    <w:p w14:paraId="05BAF66F" w14:textId="726839F4" w:rsidR="0018214B" w:rsidRPr="0018214B" w:rsidRDefault="0018214B" w:rsidP="0018214B">
      <w:pPr>
        <w:numPr>
          <w:ilvl w:val="0"/>
          <w:numId w:val="26"/>
        </w:numPr>
        <w:jc w:val="both"/>
        <w:rPr>
          <w:rFonts w:ascii="Georgia" w:hAnsi="Georgia"/>
          <w:color w:val="404040" w:themeColor="text1" w:themeTint="BF"/>
          <w:sz w:val="20"/>
          <w:szCs w:val="20"/>
        </w:rPr>
      </w:pPr>
      <w:r w:rsidRPr="000916C2">
        <w:rPr>
          <w:rFonts w:ascii="Georgia" w:hAnsi="Georgia"/>
          <w:color w:val="404040" w:themeColor="text1" w:themeTint="BF"/>
          <w:sz w:val="20"/>
          <w:szCs w:val="20"/>
        </w:rPr>
        <w:t xml:space="preserve">Our technical performance has been excellent.  Aided by high irradiation levels and a power sales strategy that largely insulated us from the significant falls in spot power prices, we have </w:t>
      </w:r>
      <w:r>
        <w:rPr>
          <w:rFonts w:ascii="Georgia" w:hAnsi="Georgia"/>
          <w:color w:val="404040" w:themeColor="text1" w:themeTint="BF"/>
          <w:sz w:val="20"/>
          <w:szCs w:val="20"/>
        </w:rPr>
        <w:t>met our dividend target of 7.90</w:t>
      </w:r>
      <w:r w:rsidRPr="000916C2">
        <w:rPr>
          <w:rFonts w:ascii="Georgia" w:hAnsi="Georgia"/>
          <w:color w:val="404040" w:themeColor="text1" w:themeTint="BF"/>
          <w:sz w:val="20"/>
          <w:szCs w:val="20"/>
        </w:rPr>
        <w:t xml:space="preserve">pps, while producing earnings </w:t>
      </w:r>
      <w:r w:rsidRPr="00EA5BDA">
        <w:rPr>
          <w:rFonts w:ascii="Georgia" w:hAnsi="Georgia"/>
          <w:color w:val="404040" w:themeColor="text1" w:themeTint="BF"/>
          <w:sz w:val="20"/>
          <w:szCs w:val="20"/>
        </w:rPr>
        <w:t>of 9.53pps</w:t>
      </w:r>
      <w:r>
        <w:rPr>
          <w:rFonts w:ascii="Georgia" w:hAnsi="Georgia"/>
          <w:color w:val="404040" w:themeColor="text1" w:themeTint="BF"/>
          <w:sz w:val="20"/>
          <w:szCs w:val="20"/>
        </w:rPr>
        <w:t>.</w:t>
      </w:r>
    </w:p>
    <w:p w14:paraId="13D3B055" w14:textId="77777777" w:rsidR="0018214B" w:rsidRDefault="0018214B" w:rsidP="000916C2">
      <w:pPr>
        <w:numPr>
          <w:ilvl w:val="0"/>
          <w:numId w:val="26"/>
        </w:numPr>
        <w:jc w:val="both"/>
        <w:rPr>
          <w:rFonts w:ascii="Georgia" w:hAnsi="Georgia"/>
          <w:color w:val="404040" w:themeColor="text1" w:themeTint="BF"/>
          <w:sz w:val="20"/>
          <w:szCs w:val="20"/>
        </w:rPr>
      </w:pPr>
      <w:r w:rsidRPr="005A17F1">
        <w:rPr>
          <w:rFonts w:ascii="Georgia" w:hAnsi="Georgia"/>
          <w:color w:val="404040" w:themeColor="text1" w:themeTint="BF"/>
          <w:sz w:val="20"/>
          <w:szCs w:val="20"/>
        </w:rPr>
        <w:t>Our investment objective has been amended to allow the Company a limited involvement in other renewable energy technologies, such as wind and hydro, and to invest into solar development opportunities.</w:t>
      </w:r>
    </w:p>
    <w:p w14:paraId="3EC26796" w14:textId="752B20BD" w:rsidR="000916C2" w:rsidRPr="000916C2" w:rsidRDefault="000916C2" w:rsidP="000916C2">
      <w:pPr>
        <w:numPr>
          <w:ilvl w:val="0"/>
          <w:numId w:val="26"/>
        </w:numPr>
        <w:jc w:val="both"/>
        <w:rPr>
          <w:rFonts w:ascii="Georgia" w:hAnsi="Georgia"/>
          <w:color w:val="404040" w:themeColor="text1" w:themeTint="BF"/>
          <w:sz w:val="20"/>
          <w:szCs w:val="20"/>
        </w:rPr>
      </w:pPr>
      <w:r w:rsidRPr="000916C2">
        <w:rPr>
          <w:rFonts w:ascii="Georgia" w:hAnsi="Georgia"/>
          <w:color w:val="404040" w:themeColor="text1" w:themeTint="BF"/>
          <w:sz w:val="20"/>
          <w:szCs w:val="20"/>
        </w:rPr>
        <w:t>We obtained support from our Shareholders to amend our</w:t>
      </w:r>
      <w:r w:rsidR="00676F39">
        <w:rPr>
          <w:rFonts w:ascii="Georgia" w:hAnsi="Georgia"/>
          <w:color w:val="404040" w:themeColor="text1" w:themeTint="BF"/>
          <w:sz w:val="20"/>
          <w:szCs w:val="20"/>
        </w:rPr>
        <w:t xml:space="preserve"> future</w:t>
      </w:r>
      <w:r w:rsidRPr="000916C2">
        <w:rPr>
          <w:rFonts w:ascii="Georgia" w:hAnsi="Georgia"/>
          <w:color w:val="404040" w:themeColor="text1" w:themeTint="BF"/>
          <w:sz w:val="20"/>
          <w:szCs w:val="20"/>
        </w:rPr>
        <w:t xml:space="preserve"> dividend policy</w:t>
      </w:r>
      <w:r w:rsidR="00676F39">
        <w:rPr>
          <w:rFonts w:ascii="Georgia" w:hAnsi="Georgia"/>
          <w:color w:val="404040" w:themeColor="text1" w:themeTint="BF"/>
          <w:sz w:val="20"/>
          <w:szCs w:val="20"/>
        </w:rPr>
        <w:t xml:space="preserve"> </w:t>
      </w:r>
      <w:r w:rsidRPr="000916C2">
        <w:rPr>
          <w:rFonts w:ascii="Georgia" w:hAnsi="Georgia"/>
          <w:color w:val="404040" w:themeColor="text1" w:themeTint="BF"/>
          <w:sz w:val="20"/>
          <w:szCs w:val="20"/>
        </w:rPr>
        <w:t>from that of a formal link to RPI to one where the dividend objective will be progressive dividend growth</w:t>
      </w:r>
      <w:r w:rsidR="0018214B">
        <w:rPr>
          <w:rFonts w:ascii="Georgia" w:hAnsi="Georgia"/>
          <w:color w:val="404040" w:themeColor="text1" w:themeTint="BF"/>
          <w:sz w:val="20"/>
          <w:szCs w:val="20"/>
        </w:rPr>
        <w:t>.</w:t>
      </w:r>
    </w:p>
    <w:p w14:paraId="405BABFF" w14:textId="0164517D" w:rsidR="00AE5FCA" w:rsidRPr="00AE5FCA" w:rsidRDefault="000916C2" w:rsidP="00AE5FCA">
      <w:pPr>
        <w:numPr>
          <w:ilvl w:val="0"/>
          <w:numId w:val="26"/>
        </w:numPr>
        <w:jc w:val="both"/>
        <w:rPr>
          <w:rFonts w:ascii="Georgia" w:hAnsi="Georgia"/>
          <w:color w:val="404040" w:themeColor="text1" w:themeTint="BF"/>
          <w:sz w:val="20"/>
          <w:szCs w:val="20"/>
        </w:rPr>
      </w:pPr>
      <w:r w:rsidRPr="000916C2">
        <w:rPr>
          <w:rFonts w:ascii="Georgia" w:hAnsi="Georgia"/>
          <w:color w:val="404040" w:themeColor="text1" w:themeTint="BF"/>
          <w:sz w:val="20"/>
          <w:szCs w:val="20"/>
        </w:rPr>
        <w:t xml:space="preserve">The Bluefield Group furloughed </w:t>
      </w:r>
      <w:r w:rsidR="0018214B">
        <w:rPr>
          <w:rFonts w:ascii="Georgia" w:hAnsi="Georgia"/>
          <w:color w:val="404040" w:themeColor="text1" w:themeTint="BF"/>
          <w:sz w:val="20"/>
          <w:szCs w:val="20"/>
        </w:rPr>
        <w:t>two</w:t>
      </w:r>
      <w:r w:rsidRPr="000916C2">
        <w:rPr>
          <w:rFonts w:ascii="Georgia" w:hAnsi="Georgia"/>
          <w:color w:val="404040" w:themeColor="text1" w:themeTint="BF"/>
          <w:sz w:val="20"/>
          <w:szCs w:val="20"/>
        </w:rPr>
        <w:t xml:space="preserve"> members of staff</w:t>
      </w:r>
      <w:r w:rsidR="00676F39" w:rsidRPr="00676F39">
        <w:rPr>
          <w:rFonts w:ascii="Georgia" w:hAnsi="Georgia"/>
          <w:color w:val="404040" w:themeColor="text1" w:themeTint="BF"/>
          <w:sz w:val="20"/>
          <w:szCs w:val="20"/>
        </w:rPr>
        <w:t xml:space="preserve"> </w:t>
      </w:r>
      <w:r w:rsidR="00676F39">
        <w:rPr>
          <w:rFonts w:ascii="Georgia" w:hAnsi="Georgia"/>
          <w:color w:val="404040" w:themeColor="text1" w:themeTint="BF"/>
          <w:sz w:val="20"/>
          <w:szCs w:val="20"/>
        </w:rPr>
        <w:t>connected to the Company. Those who were not working in the field were successfully transitioned to working from home.</w:t>
      </w:r>
    </w:p>
    <w:p w14:paraId="7AB7625C" w14:textId="77777777" w:rsidR="000916C2" w:rsidRPr="000916C2" w:rsidRDefault="000916C2" w:rsidP="000916C2">
      <w:pPr>
        <w:jc w:val="both"/>
        <w:rPr>
          <w:rFonts w:ascii="Georgia" w:hAnsi="Georgia"/>
          <w:color w:val="404040" w:themeColor="text1" w:themeTint="BF"/>
          <w:sz w:val="20"/>
          <w:szCs w:val="20"/>
        </w:rPr>
      </w:pPr>
    </w:p>
    <w:p w14:paraId="684569FE" w14:textId="4B4C097D" w:rsidR="000916C2" w:rsidRPr="000916C2" w:rsidRDefault="000916C2" w:rsidP="000916C2">
      <w:pPr>
        <w:jc w:val="both"/>
        <w:rPr>
          <w:rFonts w:ascii="Georgia" w:hAnsi="Georgia"/>
          <w:color w:val="404040" w:themeColor="text1" w:themeTint="BF"/>
          <w:sz w:val="20"/>
          <w:szCs w:val="20"/>
        </w:rPr>
      </w:pPr>
      <w:r w:rsidRPr="000916C2">
        <w:rPr>
          <w:rFonts w:ascii="Georgia" w:hAnsi="Georgia"/>
          <w:color w:val="404040" w:themeColor="text1" w:themeTint="BF"/>
          <w:sz w:val="20"/>
          <w:szCs w:val="20"/>
        </w:rPr>
        <w:t>Each of these themes is dealt with in more detail below</w:t>
      </w:r>
      <w:r>
        <w:rPr>
          <w:rFonts w:ascii="Georgia" w:hAnsi="Georgia"/>
          <w:color w:val="404040" w:themeColor="text1" w:themeTint="BF"/>
          <w:sz w:val="20"/>
          <w:szCs w:val="20"/>
        </w:rPr>
        <w:t>.</w:t>
      </w:r>
    </w:p>
    <w:p w14:paraId="1B6ACAC2" w14:textId="77777777" w:rsidR="00046F6F" w:rsidRPr="00A90128" w:rsidRDefault="00046F6F" w:rsidP="00046F6F">
      <w:pPr>
        <w:jc w:val="both"/>
        <w:rPr>
          <w:rFonts w:ascii="Georgia" w:hAnsi="Georgia"/>
          <w:b/>
          <w:color w:val="404040" w:themeColor="text1" w:themeTint="BF"/>
          <w:sz w:val="20"/>
          <w:szCs w:val="20"/>
          <w:highlight w:val="yellow"/>
        </w:rPr>
      </w:pPr>
    </w:p>
    <w:p w14:paraId="0A277086" w14:textId="6FDA222C" w:rsidR="000916C2" w:rsidRDefault="000916C2" w:rsidP="000916C2">
      <w:pPr>
        <w:jc w:val="both"/>
        <w:rPr>
          <w:rFonts w:ascii="Georgia" w:hAnsi="Georgia"/>
          <w:color w:val="404040" w:themeColor="text1" w:themeTint="BF"/>
          <w:sz w:val="20"/>
          <w:szCs w:val="20"/>
        </w:rPr>
      </w:pPr>
      <w:r w:rsidRPr="00F17C6F">
        <w:rPr>
          <w:rFonts w:ascii="Georgia" w:hAnsi="Georgia"/>
          <w:color w:val="404040" w:themeColor="text1" w:themeTint="BF"/>
          <w:sz w:val="20"/>
          <w:szCs w:val="20"/>
        </w:rPr>
        <w:t>Following the approval of a change in the description of our dividend objectives at our EGM</w:t>
      </w:r>
      <w:r w:rsidR="00AE5FCA">
        <w:rPr>
          <w:rFonts w:ascii="Georgia" w:hAnsi="Georgia"/>
          <w:color w:val="404040" w:themeColor="text1" w:themeTint="BF"/>
          <w:sz w:val="20"/>
          <w:szCs w:val="20"/>
        </w:rPr>
        <w:t xml:space="preserve"> in July</w:t>
      </w:r>
      <w:r w:rsidRPr="00F17C6F">
        <w:rPr>
          <w:rFonts w:ascii="Georgia" w:hAnsi="Georgia"/>
          <w:color w:val="404040" w:themeColor="text1" w:themeTint="BF"/>
          <w:sz w:val="20"/>
          <w:szCs w:val="20"/>
        </w:rPr>
        <w:t xml:space="preserve"> to progressive dividend increases our objective for the financial year 2020/21 ending on 30 June 2021 is to pay total d</w:t>
      </w:r>
      <w:r w:rsidR="00643471">
        <w:rPr>
          <w:rFonts w:ascii="Georgia" w:hAnsi="Georgia"/>
          <w:color w:val="404040" w:themeColor="text1" w:themeTint="BF"/>
          <w:sz w:val="20"/>
          <w:szCs w:val="20"/>
        </w:rPr>
        <w:t>ividends of not less than 8.00pps.</w:t>
      </w:r>
    </w:p>
    <w:p w14:paraId="7A526833" w14:textId="2B5B9234" w:rsidR="000916C2" w:rsidRPr="00701E98" w:rsidRDefault="000916C2" w:rsidP="000916C2">
      <w:pPr>
        <w:jc w:val="both"/>
        <w:rPr>
          <w:rFonts w:ascii="Georgia" w:hAnsi="Georgia"/>
          <w:color w:val="404040" w:themeColor="text1" w:themeTint="BF"/>
          <w:sz w:val="20"/>
          <w:szCs w:val="20"/>
        </w:rPr>
      </w:pPr>
    </w:p>
    <w:p w14:paraId="46746C48" w14:textId="3ACF65B9" w:rsidR="000916C2" w:rsidRDefault="000916C2" w:rsidP="000916C2">
      <w:pPr>
        <w:jc w:val="both"/>
        <w:rPr>
          <w:rFonts w:ascii="Georgia" w:hAnsi="Georgia"/>
          <w:color w:val="404040" w:themeColor="text1" w:themeTint="BF"/>
          <w:sz w:val="20"/>
          <w:szCs w:val="20"/>
        </w:rPr>
      </w:pPr>
      <w:r w:rsidRPr="00F17C6F">
        <w:rPr>
          <w:rFonts w:ascii="Georgia" w:hAnsi="Georgia"/>
          <w:color w:val="404040" w:themeColor="text1" w:themeTint="BF"/>
          <w:sz w:val="20"/>
          <w:szCs w:val="20"/>
        </w:rPr>
        <w:t xml:space="preserve">At the year end the Net </w:t>
      </w:r>
      <w:r w:rsidR="00AE5FCA">
        <w:rPr>
          <w:rFonts w:ascii="Georgia" w:hAnsi="Georgia"/>
          <w:color w:val="404040" w:themeColor="text1" w:themeTint="BF"/>
          <w:sz w:val="20"/>
          <w:szCs w:val="20"/>
        </w:rPr>
        <w:t>Asset V</w:t>
      </w:r>
      <w:r w:rsidRPr="00F17C6F">
        <w:rPr>
          <w:rFonts w:ascii="Georgia" w:hAnsi="Georgia"/>
          <w:color w:val="404040" w:themeColor="text1" w:themeTint="BF"/>
          <w:sz w:val="20"/>
          <w:szCs w:val="20"/>
        </w:rPr>
        <w:t>alue</w:t>
      </w:r>
      <w:r w:rsidR="00AE5FCA">
        <w:rPr>
          <w:rFonts w:ascii="Georgia" w:hAnsi="Georgia"/>
          <w:color w:val="404040" w:themeColor="text1" w:themeTint="BF"/>
          <w:sz w:val="20"/>
          <w:szCs w:val="20"/>
        </w:rPr>
        <w:t xml:space="preserve"> per share</w:t>
      </w:r>
      <w:r w:rsidRPr="00F17C6F">
        <w:rPr>
          <w:rFonts w:ascii="Georgia" w:hAnsi="Georgia"/>
          <w:color w:val="404040" w:themeColor="text1" w:themeTint="BF"/>
          <w:sz w:val="20"/>
          <w:szCs w:val="20"/>
        </w:rPr>
        <w:t xml:space="preserve"> of the shares in the </w:t>
      </w:r>
      <w:r w:rsidR="0018214B">
        <w:rPr>
          <w:rFonts w:ascii="Georgia" w:hAnsi="Georgia"/>
          <w:color w:val="404040" w:themeColor="text1" w:themeTint="BF"/>
          <w:sz w:val="20"/>
          <w:szCs w:val="20"/>
        </w:rPr>
        <w:t>C</w:t>
      </w:r>
      <w:r w:rsidRPr="00F17C6F">
        <w:rPr>
          <w:rFonts w:ascii="Georgia" w:hAnsi="Georgia"/>
          <w:color w:val="404040" w:themeColor="text1" w:themeTint="BF"/>
          <w:sz w:val="20"/>
          <w:szCs w:val="20"/>
        </w:rPr>
        <w:t>ompany was 117.</w:t>
      </w:r>
      <w:r>
        <w:rPr>
          <w:rFonts w:ascii="Georgia" w:hAnsi="Georgia"/>
          <w:color w:val="404040" w:themeColor="text1" w:themeTint="BF"/>
          <w:sz w:val="20"/>
          <w:szCs w:val="20"/>
        </w:rPr>
        <w:t>01</w:t>
      </w:r>
      <w:r w:rsidRPr="00F17C6F">
        <w:rPr>
          <w:rFonts w:ascii="Georgia" w:hAnsi="Georgia"/>
          <w:color w:val="404040" w:themeColor="text1" w:themeTint="BF"/>
          <w:sz w:val="20"/>
          <w:szCs w:val="20"/>
        </w:rPr>
        <w:t xml:space="preserve">pps (30 June 2019 - 117.98pps) and in respect of the year total dividends of 7.90pps have been declared.  The share price declined slightly from </w:t>
      </w:r>
      <w:r w:rsidR="00082C00">
        <w:rPr>
          <w:rFonts w:ascii="Georgia" w:hAnsi="Georgia"/>
          <w:color w:val="404040" w:themeColor="text1" w:themeTint="BF"/>
          <w:sz w:val="20"/>
          <w:szCs w:val="20"/>
        </w:rPr>
        <w:t>136.5</w:t>
      </w:r>
      <w:r w:rsidRPr="00F17C6F">
        <w:rPr>
          <w:rFonts w:ascii="Georgia" w:hAnsi="Georgia"/>
          <w:color w:val="404040" w:themeColor="text1" w:themeTint="BF"/>
          <w:sz w:val="20"/>
          <w:szCs w:val="20"/>
        </w:rPr>
        <w:t xml:space="preserve">p at 30 June 2019 to </w:t>
      </w:r>
      <w:r w:rsidR="00082C00">
        <w:rPr>
          <w:rFonts w:ascii="Georgia" w:hAnsi="Georgia"/>
          <w:color w:val="404040" w:themeColor="text1" w:themeTint="BF"/>
          <w:sz w:val="20"/>
          <w:szCs w:val="20"/>
        </w:rPr>
        <w:t>134.5</w:t>
      </w:r>
      <w:r w:rsidR="000C09E9">
        <w:rPr>
          <w:rFonts w:ascii="Georgia" w:hAnsi="Georgia"/>
          <w:color w:val="404040" w:themeColor="text1" w:themeTint="BF"/>
          <w:sz w:val="20"/>
          <w:szCs w:val="20"/>
        </w:rPr>
        <w:t>p at 30 June 2020, which</w:t>
      </w:r>
      <w:r w:rsidRPr="00F17C6F">
        <w:rPr>
          <w:rFonts w:ascii="Georgia" w:hAnsi="Georgia"/>
          <w:color w:val="404040" w:themeColor="text1" w:themeTint="BF"/>
          <w:sz w:val="20"/>
          <w:szCs w:val="20"/>
        </w:rPr>
        <w:t xml:space="preserve"> equate</w:t>
      </w:r>
      <w:r w:rsidR="00EA5BDA">
        <w:rPr>
          <w:rFonts w:ascii="Georgia" w:hAnsi="Georgia"/>
          <w:color w:val="404040" w:themeColor="text1" w:themeTint="BF"/>
          <w:sz w:val="20"/>
          <w:szCs w:val="20"/>
        </w:rPr>
        <w:t>s to a total return for S</w:t>
      </w:r>
      <w:r w:rsidRPr="00F17C6F">
        <w:rPr>
          <w:rFonts w:ascii="Georgia" w:hAnsi="Georgia"/>
          <w:color w:val="404040" w:themeColor="text1" w:themeTint="BF"/>
          <w:sz w:val="20"/>
          <w:szCs w:val="20"/>
        </w:rPr>
        <w:t xml:space="preserve">hareholders for the year of 4.70%. The performance of the assets of the </w:t>
      </w:r>
      <w:r w:rsidR="0018214B">
        <w:rPr>
          <w:rFonts w:ascii="Georgia" w:hAnsi="Georgia"/>
          <w:color w:val="404040" w:themeColor="text1" w:themeTint="BF"/>
          <w:sz w:val="20"/>
          <w:szCs w:val="20"/>
        </w:rPr>
        <w:t>C</w:t>
      </w:r>
      <w:r w:rsidRPr="00F17C6F">
        <w:rPr>
          <w:rFonts w:ascii="Georgia" w:hAnsi="Georgia"/>
          <w:color w:val="404040" w:themeColor="text1" w:themeTint="BF"/>
          <w:sz w:val="20"/>
          <w:szCs w:val="20"/>
        </w:rPr>
        <w:t>ompany and how t</w:t>
      </w:r>
      <w:r w:rsidR="00EA5BDA">
        <w:rPr>
          <w:rFonts w:ascii="Georgia" w:hAnsi="Georgia"/>
          <w:color w:val="404040" w:themeColor="text1" w:themeTint="BF"/>
          <w:sz w:val="20"/>
          <w:szCs w:val="20"/>
        </w:rPr>
        <w:t>his is reflected in returns to S</w:t>
      </w:r>
      <w:r w:rsidRPr="00F17C6F">
        <w:rPr>
          <w:rFonts w:ascii="Georgia" w:hAnsi="Georgia"/>
          <w:color w:val="404040" w:themeColor="text1" w:themeTint="BF"/>
          <w:sz w:val="20"/>
          <w:szCs w:val="20"/>
        </w:rPr>
        <w:t xml:space="preserve">hareholders </w:t>
      </w:r>
      <w:r>
        <w:rPr>
          <w:rFonts w:ascii="Georgia" w:hAnsi="Georgia"/>
          <w:color w:val="404040" w:themeColor="text1" w:themeTint="BF"/>
          <w:sz w:val="20"/>
          <w:szCs w:val="20"/>
        </w:rPr>
        <w:t xml:space="preserve">and </w:t>
      </w:r>
      <w:r w:rsidRPr="00F17C6F">
        <w:rPr>
          <w:rFonts w:ascii="Georgia" w:hAnsi="Georgia"/>
          <w:color w:val="404040" w:themeColor="text1" w:themeTint="BF"/>
          <w:sz w:val="20"/>
          <w:szCs w:val="20"/>
        </w:rPr>
        <w:t>is set</w:t>
      </w:r>
      <w:r>
        <w:rPr>
          <w:rFonts w:ascii="Georgia" w:hAnsi="Georgia"/>
          <w:color w:val="404040" w:themeColor="text1" w:themeTint="BF"/>
          <w:sz w:val="20"/>
          <w:szCs w:val="20"/>
        </w:rPr>
        <w:t xml:space="preserve"> out</w:t>
      </w:r>
      <w:r w:rsidRPr="00F17C6F">
        <w:rPr>
          <w:rFonts w:ascii="Georgia" w:hAnsi="Georgia"/>
          <w:color w:val="404040" w:themeColor="text1" w:themeTint="BF"/>
          <w:sz w:val="20"/>
          <w:szCs w:val="20"/>
        </w:rPr>
        <w:t xml:space="preserve"> </w:t>
      </w:r>
      <w:r>
        <w:rPr>
          <w:rFonts w:ascii="Georgia" w:hAnsi="Georgia"/>
          <w:color w:val="404040" w:themeColor="text1" w:themeTint="BF"/>
          <w:sz w:val="20"/>
          <w:szCs w:val="20"/>
        </w:rPr>
        <w:t>i</w:t>
      </w:r>
      <w:r w:rsidRPr="00F17C6F">
        <w:rPr>
          <w:rFonts w:ascii="Georgia" w:hAnsi="Georgia"/>
          <w:color w:val="404040" w:themeColor="text1" w:themeTint="BF"/>
          <w:sz w:val="20"/>
          <w:szCs w:val="20"/>
        </w:rPr>
        <w:t>n d</w:t>
      </w:r>
      <w:r w:rsidR="00EA5BDA">
        <w:rPr>
          <w:rFonts w:ascii="Georgia" w:hAnsi="Georgia"/>
          <w:color w:val="404040" w:themeColor="text1" w:themeTint="BF"/>
          <w:sz w:val="20"/>
          <w:szCs w:val="20"/>
        </w:rPr>
        <w:t>etail in the Investment Adviser</w:t>
      </w:r>
      <w:r w:rsidR="0018214B">
        <w:rPr>
          <w:rFonts w:ascii="Georgia" w:hAnsi="Georgia"/>
          <w:color w:val="404040" w:themeColor="text1" w:themeTint="BF"/>
          <w:sz w:val="20"/>
          <w:szCs w:val="20"/>
        </w:rPr>
        <w:t>’s</w:t>
      </w:r>
      <w:r w:rsidRPr="00F17C6F">
        <w:rPr>
          <w:rFonts w:ascii="Georgia" w:hAnsi="Georgia"/>
          <w:color w:val="404040" w:themeColor="text1" w:themeTint="BF"/>
          <w:sz w:val="20"/>
          <w:szCs w:val="20"/>
        </w:rPr>
        <w:t xml:space="preserve"> report on Page </w:t>
      </w:r>
      <w:r w:rsidR="00A36564">
        <w:rPr>
          <w:rFonts w:ascii="Georgia" w:hAnsi="Georgia"/>
          <w:color w:val="404040" w:themeColor="text1" w:themeTint="BF"/>
          <w:sz w:val="20"/>
          <w:szCs w:val="20"/>
        </w:rPr>
        <w:t>45</w:t>
      </w:r>
      <w:r w:rsidRPr="00F17C6F">
        <w:rPr>
          <w:rFonts w:ascii="Georgia" w:hAnsi="Georgia"/>
          <w:color w:val="404040" w:themeColor="text1" w:themeTint="BF"/>
          <w:sz w:val="20"/>
          <w:szCs w:val="20"/>
        </w:rPr>
        <w:t>.</w:t>
      </w:r>
    </w:p>
    <w:p w14:paraId="6CEADF88" w14:textId="77777777" w:rsidR="00947857" w:rsidRDefault="00947857" w:rsidP="00947857">
      <w:pPr>
        <w:jc w:val="both"/>
        <w:rPr>
          <w:rFonts w:ascii="Georgia" w:eastAsiaTheme="minorHAnsi" w:hAnsi="Georgia" w:cstheme="minorBidi"/>
          <w:color w:val="404040" w:themeColor="text1" w:themeTint="BF"/>
          <w:sz w:val="20"/>
          <w:szCs w:val="20"/>
        </w:rPr>
      </w:pPr>
    </w:p>
    <w:p w14:paraId="5B19AF1D" w14:textId="77777777" w:rsidR="000916C2" w:rsidRPr="000916C2" w:rsidRDefault="000916C2" w:rsidP="000916C2">
      <w:pPr>
        <w:jc w:val="both"/>
        <w:rPr>
          <w:rFonts w:ascii="Georgia" w:hAnsi="Georgia"/>
          <w:b/>
          <w:color w:val="404040" w:themeColor="text1" w:themeTint="BF"/>
          <w:sz w:val="20"/>
          <w:szCs w:val="20"/>
        </w:rPr>
      </w:pPr>
      <w:r w:rsidRPr="000916C2">
        <w:rPr>
          <w:rFonts w:ascii="Georgia" w:hAnsi="Georgia"/>
          <w:b/>
          <w:color w:val="404040" w:themeColor="text1" w:themeTint="BF"/>
          <w:sz w:val="20"/>
          <w:szCs w:val="20"/>
        </w:rPr>
        <w:t>Key Events</w:t>
      </w:r>
    </w:p>
    <w:p w14:paraId="035FD56A" w14:textId="77777777" w:rsidR="000916C2" w:rsidRPr="000916C2" w:rsidRDefault="000916C2" w:rsidP="000916C2">
      <w:pPr>
        <w:jc w:val="both"/>
        <w:rPr>
          <w:rFonts w:ascii="Georgia" w:hAnsi="Georgia"/>
          <w:b/>
          <w:color w:val="404040" w:themeColor="text1" w:themeTint="BF"/>
          <w:sz w:val="20"/>
          <w:szCs w:val="20"/>
        </w:rPr>
      </w:pPr>
    </w:p>
    <w:p w14:paraId="0E8AE9E0" w14:textId="6ABA3AB8" w:rsidR="000916C2" w:rsidRPr="000916C2" w:rsidRDefault="0018214B" w:rsidP="000916C2">
      <w:pPr>
        <w:jc w:val="both"/>
        <w:rPr>
          <w:rFonts w:ascii="Georgia" w:hAnsi="Georgia"/>
          <w:color w:val="404040" w:themeColor="text1" w:themeTint="BF"/>
          <w:sz w:val="20"/>
          <w:szCs w:val="20"/>
        </w:rPr>
      </w:pPr>
      <w:r>
        <w:rPr>
          <w:rFonts w:ascii="Georgia" w:hAnsi="Georgia"/>
          <w:color w:val="404040" w:themeColor="text1" w:themeTint="BF"/>
          <w:sz w:val="20"/>
          <w:szCs w:val="20"/>
        </w:rPr>
        <w:t>We</w:t>
      </w:r>
      <w:r w:rsidR="000916C2" w:rsidRPr="000916C2">
        <w:rPr>
          <w:rFonts w:ascii="Georgia" w:hAnsi="Georgia"/>
          <w:color w:val="404040" w:themeColor="text1" w:themeTint="BF"/>
          <w:sz w:val="20"/>
          <w:szCs w:val="20"/>
        </w:rPr>
        <w:t xml:space="preserve"> have added consideration of a prudent level of non-solar renewable technologies following the approval of the change the asset mandate</w:t>
      </w:r>
      <w:r>
        <w:rPr>
          <w:rFonts w:ascii="Georgia" w:hAnsi="Georgia"/>
          <w:color w:val="404040" w:themeColor="text1" w:themeTint="BF"/>
          <w:sz w:val="20"/>
          <w:szCs w:val="20"/>
        </w:rPr>
        <w:t xml:space="preserve"> and</w:t>
      </w:r>
      <w:r w:rsidR="000916C2" w:rsidRPr="000916C2">
        <w:rPr>
          <w:rFonts w:ascii="Georgia" w:hAnsi="Georgia"/>
          <w:color w:val="404040" w:themeColor="text1" w:themeTint="BF"/>
          <w:sz w:val="20"/>
          <w:szCs w:val="20"/>
        </w:rPr>
        <w:t xml:space="preserve"> are excited by the opportunities we are exploring in this extended pipeline. </w:t>
      </w:r>
    </w:p>
    <w:p w14:paraId="3F753550" w14:textId="7FF58820" w:rsidR="00947857" w:rsidRDefault="00947857" w:rsidP="00947857">
      <w:pPr>
        <w:jc w:val="both"/>
        <w:rPr>
          <w:rFonts w:ascii="Georgia" w:eastAsiaTheme="minorHAnsi" w:hAnsi="Georgia" w:cstheme="minorBidi"/>
          <w:color w:val="404040" w:themeColor="text1" w:themeTint="BF"/>
          <w:sz w:val="20"/>
          <w:szCs w:val="20"/>
        </w:rPr>
      </w:pPr>
    </w:p>
    <w:p w14:paraId="77EE2BD5" w14:textId="1D4B660F" w:rsidR="000916C2" w:rsidRPr="000916C2" w:rsidRDefault="000916C2" w:rsidP="000916C2">
      <w:pPr>
        <w:jc w:val="both"/>
        <w:rPr>
          <w:rFonts w:ascii="Georgia" w:eastAsiaTheme="minorHAnsi" w:hAnsi="Georgia" w:cstheme="minorBidi"/>
          <w:color w:val="404040" w:themeColor="text1" w:themeTint="BF"/>
          <w:sz w:val="20"/>
          <w:szCs w:val="20"/>
        </w:rPr>
      </w:pPr>
      <w:r w:rsidRPr="000916C2">
        <w:rPr>
          <w:rFonts w:ascii="Georgia" w:eastAsiaTheme="minorHAnsi" w:hAnsi="Georgia" w:cstheme="minorBidi"/>
          <w:color w:val="404040" w:themeColor="text1" w:themeTint="BF"/>
          <w:sz w:val="20"/>
          <w:szCs w:val="20"/>
        </w:rPr>
        <w:t xml:space="preserve">We have also continued to actively assess secondary solar asset opportunities and were pleased to conclude the acquisition of 13.6MWp of assets earlier in the year and of 15 </w:t>
      </w:r>
      <w:r w:rsidR="000C09E9">
        <w:rPr>
          <w:rFonts w:ascii="Georgia" w:eastAsiaTheme="minorHAnsi" w:hAnsi="Georgia" w:cstheme="minorBidi"/>
          <w:color w:val="404040" w:themeColor="text1" w:themeTint="BF"/>
          <w:sz w:val="20"/>
          <w:szCs w:val="20"/>
        </w:rPr>
        <w:t xml:space="preserve">solar </w:t>
      </w:r>
      <w:r w:rsidRPr="000916C2">
        <w:rPr>
          <w:rFonts w:ascii="Georgia" w:eastAsiaTheme="minorHAnsi" w:hAnsi="Georgia" w:cstheme="minorBidi"/>
          <w:color w:val="404040" w:themeColor="text1" w:themeTint="BF"/>
          <w:sz w:val="20"/>
          <w:szCs w:val="20"/>
        </w:rPr>
        <w:t>plants totalling 64.2MWp in August 2020. These investment</w:t>
      </w:r>
      <w:r w:rsidR="00676F39">
        <w:rPr>
          <w:rFonts w:ascii="Georgia" w:eastAsiaTheme="minorHAnsi" w:hAnsi="Georgia" w:cstheme="minorBidi"/>
          <w:color w:val="404040" w:themeColor="text1" w:themeTint="BF"/>
          <w:sz w:val="20"/>
          <w:szCs w:val="20"/>
        </w:rPr>
        <w:t xml:space="preserve">s, totalling £120 million, were </w:t>
      </w:r>
      <w:r w:rsidRPr="000916C2">
        <w:rPr>
          <w:rFonts w:ascii="Georgia" w:eastAsiaTheme="minorHAnsi" w:hAnsi="Georgia" w:cstheme="minorBidi"/>
          <w:color w:val="404040" w:themeColor="text1" w:themeTint="BF"/>
          <w:sz w:val="20"/>
          <w:szCs w:val="20"/>
        </w:rPr>
        <w:t xml:space="preserve">financed from increased debt facilities, bringing our borrowings level to where the </w:t>
      </w:r>
      <w:r w:rsidR="002C679B">
        <w:rPr>
          <w:rFonts w:ascii="Georgia" w:eastAsiaTheme="minorHAnsi" w:hAnsi="Georgia" w:cstheme="minorBidi"/>
          <w:color w:val="404040" w:themeColor="text1" w:themeTint="BF"/>
          <w:sz w:val="20"/>
          <w:szCs w:val="20"/>
        </w:rPr>
        <w:t>B</w:t>
      </w:r>
      <w:r w:rsidRPr="000916C2">
        <w:rPr>
          <w:rFonts w:ascii="Georgia" w:eastAsiaTheme="minorHAnsi" w:hAnsi="Georgia" w:cstheme="minorBidi"/>
          <w:color w:val="404040" w:themeColor="text1" w:themeTint="BF"/>
          <w:sz w:val="20"/>
          <w:szCs w:val="20"/>
        </w:rPr>
        <w:t>oard believes is appropriate in the range of 40-50% of GAV. We continue to actively explore other asset opportunities in our pipeline.</w:t>
      </w:r>
    </w:p>
    <w:p w14:paraId="071472FC" w14:textId="77777777" w:rsidR="000916C2" w:rsidRPr="000916C2" w:rsidRDefault="000916C2" w:rsidP="000916C2">
      <w:pPr>
        <w:jc w:val="both"/>
        <w:rPr>
          <w:rFonts w:ascii="Georgia" w:eastAsiaTheme="minorHAnsi" w:hAnsi="Georgia" w:cstheme="minorBidi"/>
          <w:color w:val="404040" w:themeColor="text1" w:themeTint="BF"/>
          <w:sz w:val="20"/>
          <w:szCs w:val="20"/>
        </w:rPr>
      </w:pPr>
    </w:p>
    <w:p w14:paraId="368BD08A" w14:textId="41B4B287" w:rsidR="000916C2" w:rsidRPr="000916C2" w:rsidRDefault="000916C2" w:rsidP="000916C2">
      <w:pPr>
        <w:jc w:val="both"/>
        <w:rPr>
          <w:rFonts w:ascii="Georgia" w:eastAsiaTheme="minorHAnsi" w:hAnsi="Georgia" w:cstheme="minorBidi"/>
          <w:color w:val="404040" w:themeColor="text1" w:themeTint="BF"/>
          <w:sz w:val="20"/>
          <w:szCs w:val="20"/>
        </w:rPr>
      </w:pPr>
      <w:r w:rsidRPr="000916C2">
        <w:rPr>
          <w:rFonts w:ascii="Georgia" w:eastAsiaTheme="minorHAnsi" w:hAnsi="Georgia" w:cstheme="minorBidi"/>
          <w:color w:val="404040" w:themeColor="text1" w:themeTint="BF"/>
          <w:sz w:val="20"/>
          <w:szCs w:val="20"/>
        </w:rPr>
        <w:t xml:space="preserve">These acquisitions will underpin our objective to sustain market leading earnings and dividend payments in the years ahead. They enable us to build on the excellent asset performance which has contributed to our ability to convert high levels of </w:t>
      </w:r>
      <w:r w:rsidR="00676F39">
        <w:rPr>
          <w:rFonts w:ascii="Georgia" w:eastAsiaTheme="minorHAnsi" w:hAnsi="Georgia" w:cstheme="minorBidi"/>
          <w:color w:val="404040" w:themeColor="text1" w:themeTint="BF"/>
          <w:sz w:val="20"/>
          <w:szCs w:val="20"/>
        </w:rPr>
        <w:t>ir</w:t>
      </w:r>
      <w:r w:rsidRPr="000916C2">
        <w:rPr>
          <w:rFonts w:ascii="Georgia" w:eastAsiaTheme="minorHAnsi" w:hAnsi="Georgia" w:cstheme="minorBidi"/>
          <w:color w:val="404040" w:themeColor="text1" w:themeTint="BF"/>
          <w:sz w:val="20"/>
          <w:szCs w:val="20"/>
        </w:rPr>
        <w:t>radiation into generation and revenues.</w:t>
      </w:r>
    </w:p>
    <w:p w14:paraId="2CCC114E" w14:textId="2C260857" w:rsidR="000916C2" w:rsidRDefault="000916C2" w:rsidP="000916C2">
      <w:pPr>
        <w:jc w:val="both"/>
        <w:rPr>
          <w:rFonts w:ascii="Georgia" w:eastAsiaTheme="minorHAnsi" w:hAnsi="Georgia" w:cstheme="minorBidi"/>
          <w:color w:val="404040" w:themeColor="text1" w:themeTint="BF"/>
          <w:sz w:val="20"/>
          <w:szCs w:val="20"/>
        </w:rPr>
      </w:pPr>
    </w:p>
    <w:p w14:paraId="4A1AB6EA" w14:textId="5F7E0120" w:rsidR="00676F39" w:rsidRDefault="00676F39" w:rsidP="000916C2">
      <w:pPr>
        <w:jc w:val="both"/>
        <w:rPr>
          <w:rFonts w:ascii="Georgia" w:eastAsiaTheme="minorHAnsi" w:hAnsi="Georgia" w:cstheme="minorBidi"/>
          <w:color w:val="404040" w:themeColor="text1" w:themeTint="BF"/>
          <w:sz w:val="20"/>
          <w:szCs w:val="20"/>
        </w:rPr>
      </w:pPr>
    </w:p>
    <w:p w14:paraId="7FFE1425" w14:textId="77777777" w:rsidR="0018214B" w:rsidRDefault="0018214B" w:rsidP="000916C2">
      <w:pPr>
        <w:jc w:val="both"/>
        <w:rPr>
          <w:rFonts w:ascii="Georgia" w:eastAsiaTheme="minorHAnsi" w:hAnsi="Georgia" w:cstheme="minorBidi"/>
          <w:color w:val="404040" w:themeColor="text1" w:themeTint="BF"/>
          <w:sz w:val="20"/>
          <w:szCs w:val="20"/>
        </w:rPr>
      </w:pPr>
    </w:p>
    <w:p w14:paraId="7073CD15" w14:textId="35D32EBB" w:rsidR="002C679B" w:rsidRDefault="002C679B" w:rsidP="000916C2">
      <w:pPr>
        <w:jc w:val="both"/>
        <w:rPr>
          <w:rFonts w:ascii="Georgia" w:eastAsiaTheme="minorHAnsi" w:hAnsi="Georgia" w:cstheme="minorBidi"/>
          <w:color w:val="404040" w:themeColor="text1" w:themeTint="BF"/>
          <w:sz w:val="20"/>
          <w:szCs w:val="20"/>
        </w:rPr>
      </w:pPr>
    </w:p>
    <w:p w14:paraId="01B487FD" w14:textId="77777777" w:rsidR="0018214B" w:rsidRDefault="0018214B" w:rsidP="000916C2">
      <w:pPr>
        <w:jc w:val="both"/>
        <w:rPr>
          <w:rFonts w:ascii="Georgia" w:eastAsiaTheme="minorHAnsi" w:hAnsi="Georgia" w:cstheme="minorBidi"/>
          <w:color w:val="404040" w:themeColor="text1" w:themeTint="BF"/>
          <w:sz w:val="20"/>
          <w:szCs w:val="20"/>
        </w:rPr>
      </w:pPr>
    </w:p>
    <w:p w14:paraId="500640E8" w14:textId="7AC836B1" w:rsidR="002C679B" w:rsidRDefault="002C679B" w:rsidP="000916C2">
      <w:pPr>
        <w:jc w:val="both"/>
        <w:rPr>
          <w:rFonts w:ascii="Georgia" w:eastAsiaTheme="minorHAnsi" w:hAnsi="Georgia" w:cstheme="minorBidi"/>
          <w:color w:val="404040" w:themeColor="text1" w:themeTint="BF"/>
          <w:sz w:val="20"/>
          <w:szCs w:val="20"/>
        </w:rPr>
      </w:pPr>
    </w:p>
    <w:p w14:paraId="11603355" w14:textId="77777777" w:rsidR="002C679B" w:rsidRPr="0031547F" w:rsidRDefault="002C679B" w:rsidP="002C679B">
      <w:pPr>
        <w:pStyle w:val="Heading2"/>
        <w:spacing w:before="0"/>
      </w:pPr>
      <w:r w:rsidRPr="0031547F">
        <w:rPr>
          <w:color w:val="auto"/>
        </w:rPr>
        <w:lastRenderedPageBreak/>
        <w:t>Chairman’s Statement (continued)</w:t>
      </w:r>
    </w:p>
    <w:p w14:paraId="631B20D0" w14:textId="77777777" w:rsidR="002C679B" w:rsidRPr="000916C2" w:rsidRDefault="002C679B" w:rsidP="000916C2">
      <w:pPr>
        <w:jc w:val="both"/>
        <w:rPr>
          <w:rFonts w:ascii="Georgia" w:eastAsiaTheme="minorHAnsi" w:hAnsi="Georgia" w:cstheme="minorBidi"/>
          <w:color w:val="404040" w:themeColor="text1" w:themeTint="BF"/>
          <w:sz w:val="20"/>
          <w:szCs w:val="20"/>
        </w:rPr>
      </w:pPr>
    </w:p>
    <w:p w14:paraId="2BC0A8A4" w14:textId="2178FCAC" w:rsidR="000916C2" w:rsidRPr="000916C2" w:rsidRDefault="000916C2" w:rsidP="000916C2">
      <w:pPr>
        <w:jc w:val="both"/>
        <w:rPr>
          <w:rFonts w:ascii="Georgia" w:eastAsiaTheme="minorHAnsi" w:hAnsi="Georgia" w:cstheme="minorBidi"/>
          <w:color w:val="404040" w:themeColor="text1" w:themeTint="BF"/>
          <w:sz w:val="20"/>
          <w:szCs w:val="20"/>
        </w:rPr>
      </w:pPr>
      <w:r w:rsidRPr="000916C2">
        <w:rPr>
          <w:rFonts w:ascii="Georgia" w:eastAsiaTheme="minorHAnsi" w:hAnsi="Georgia" w:cstheme="minorBidi"/>
          <w:color w:val="404040" w:themeColor="text1" w:themeTint="BF"/>
          <w:sz w:val="20"/>
          <w:szCs w:val="20"/>
        </w:rPr>
        <w:t xml:space="preserve">Our asset portfolio benefits from high regulated revenues and beneficial power price fixes from September 2018, when the power markets reached six year highs, which enabled our </w:t>
      </w:r>
      <w:r w:rsidR="000C09E9">
        <w:rPr>
          <w:rFonts w:ascii="Georgia" w:eastAsiaTheme="minorHAnsi" w:hAnsi="Georgia" w:cstheme="minorBidi"/>
          <w:color w:val="404040" w:themeColor="text1" w:themeTint="BF"/>
          <w:sz w:val="20"/>
          <w:szCs w:val="20"/>
        </w:rPr>
        <w:t xml:space="preserve">Investment </w:t>
      </w:r>
      <w:r w:rsidRPr="000916C2">
        <w:rPr>
          <w:rFonts w:ascii="Georgia" w:eastAsiaTheme="minorHAnsi" w:hAnsi="Georgia" w:cstheme="minorBidi"/>
          <w:color w:val="404040" w:themeColor="text1" w:themeTint="BF"/>
          <w:sz w:val="20"/>
          <w:szCs w:val="20"/>
        </w:rPr>
        <w:t>Adviser to avoid price fixes in the exceptional circumstances at the heig</w:t>
      </w:r>
      <w:r>
        <w:rPr>
          <w:rFonts w:ascii="Georgia" w:eastAsiaTheme="minorHAnsi" w:hAnsi="Georgia" w:cstheme="minorBidi"/>
          <w:color w:val="404040" w:themeColor="text1" w:themeTint="BF"/>
          <w:sz w:val="20"/>
          <w:szCs w:val="20"/>
        </w:rPr>
        <w:t>ht of the Covid-</w:t>
      </w:r>
      <w:r w:rsidRPr="000916C2">
        <w:rPr>
          <w:rFonts w:ascii="Georgia" w:eastAsiaTheme="minorHAnsi" w:hAnsi="Georgia" w:cstheme="minorBidi"/>
          <w:color w:val="404040" w:themeColor="text1" w:themeTint="BF"/>
          <w:sz w:val="20"/>
          <w:szCs w:val="20"/>
        </w:rPr>
        <w:t>19 pandemic. The high regulated revenues the Company receives from its current po</w:t>
      </w:r>
      <w:r w:rsidR="002C679B">
        <w:rPr>
          <w:rFonts w:ascii="Georgia" w:eastAsiaTheme="minorHAnsi" w:hAnsi="Georgia" w:cstheme="minorBidi"/>
          <w:color w:val="404040" w:themeColor="text1" w:themeTint="BF"/>
          <w:sz w:val="20"/>
          <w:szCs w:val="20"/>
        </w:rPr>
        <w:t>rtfolio</w:t>
      </w:r>
      <w:r w:rsidRPr="000916C2">
        <w:rPr>
          <w:rFonts w:ascii="Georgia" w:eastAsiaTheme="minorHAnsi" w:hAnsi="Georgia" w:cstheme="minorBidi"/>
          <w:color w:val="404040" w:themeColor="text1" w:themeTint="BF"/>
          <w:sz w:val="20"/>
          <w:szCs w:val="20"/>
        </w:rPr>
        <w:t xml:space="preserve"> will be further enhanced by the August acquisitions. </w:t>
      </w:r>
    </w:p>
    <w:p w14:paraId="1C96EAB2" w14:textId="54888F8A" w:rsidR="00D63536" w:rsidRPr="00A90128" w:rsidRDefault="00D63536" w:rsidP="00F02825">
      <w:pPr>
        <w:pStyle w:val="BluefieldBody"/>
        <w:rPr>
          <w:b/>
          <w:bCs/>
          <w:color w:val="404040"/>
          <w:highlight w:val="yellow"/>
          <w:u w:color="404040"/>
          <w:lang w:val="en-US"/>
        </w:rPr>
      </w:pPr>
    </w:p>
    <w:p w14:paraId="66E9919D" w14:textId="27D619E6"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 xml:space="preserve">Despite the turbulent economic conditions created by Covid-19, the Company’s NAV </w:t>
      </w:r>
      <w:r w:rsidR="000C09E9">
        <w:rPr>
          <w:rFonts w:ascii="Georgia" w:eastAsiaTheme="minorHAnsi" w:hAnsi="Georgia" w:cstheme="minorBidi"/>
          <w:color w:val="404040" w:themeColor="text1" w:themeTint="BF"/>
          <w:sz w:val="20"/>
          <w:szCs w:val="20"/>
        </w:rPr>
        <w:t xml:space="preserve">per share </w:t>
      </w:r>
      <w:r w:rsidRPr="0028309F">
        <w:rPr>
          <w:rFonts w:ascii="Georgia" w:eastAsiaTheme="minorHAnsi" w:hAnsi="Georgia" w:cstheme="minorBidi"/>
          <w:color w:val="404040" w:themeColor="text1" w:themeTint="BF"/>
          <w:sz w:val="20"/>
          <w:szCs w:val="20"/>
        </w:rPr>
        <w:t>has remained in line with June 2019. The main drivers behind this have been continued demand for subsidised renewable assets coupled with significant progress made by the Company with respect to lease extensions on the portfolio, which have offset downward shifts within power price forecasts released since December 2019.</w:t>
      </w:r>
    </w:p>
    <w:p w14:paraId="298423D4" w14:textId="77777777"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 xml:space="preserve"> </w:t>
      </w:r>
    </w:p>
    <w:p w14:paraId="4D5F5627" w14:textId="3A87F7C0"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As detailed in the Investment Adviser’s report, the Company has now achieved successful planning determinations on 15 year lease extensions on over 240MWp, with activity continuing on t</w:t>
      </w:r>
      <w:r w:rsidR="00643471">
        <w:rPr>
          <w:rFonts w:ascii="Georgia" w:eastAsiaTheme="minorHAnsi" w:hAnsi="Georgia" w:cstheme="minorBidi"/>
          <w:color w:val="404040" w:themeColor="text1" w:themeTint="BF"/>
          <w:sz w:val="20"/>
          <w:szCs w:val="20"/>
        </w:rPr>
        <w:t xml:space="preserve">he remainder of the portfolio. </w:t>
      </w:r>
      <w:r w:rsidRPr="0028309F">
        <w:rPr>
          <w:rFonts w:ascii="Georgia" w:eastAsiaTheme="minorHAnsi" w:hAnsi="Georgia" w:cstheme="minorBidi"/>
          <w:color w:val="404040" w:themeColor="text1" w:themeTint="BF"/>
          <w:sz w:val="20"/>
          <w:szCs w:val="20"/>
        </w:rPr>
        <w:t xml:space="preserve">Significantly, the Company has not experienced, at the time of writing, any planning rejections. </w:t>
      </w:r>
    </w:p>
    <w:p w14:paraId="5D7903B6" w14:textId="0FBC4B3A" w:rsidR="0028309F" w:rsidRPr="0028309F" w:rsidRDefault="0028309F" w:rsidP="0028309F">
      <w:pPr>
        <w:jc w:val="both"/>
        <w:rPr>
          <w:rFonts w:ascii="Georgia" w:eastAsiaTheme="minorHAnsi" w:hAnsi="Georgia" w:cstheme="minorBidi"/>
          <w:color w:val="404040" w:themeColor="text1" w:themeTint="BF"/>
          <w:sz w:val="20"/>
          <w:szCs w:val="20"/>
        </w:rPr>
      </w:pPr>
    </w:p>
    <w:p w14:paraId="06904C64" w14:textId="77777777" w:rsidR="0028309F" w:rsidRPr="0028309F" w:rsidRDefault="0028309F" w:rsidP="0028309F">
      <w:pPr>
        <w:jc w:val="both"/>
        <w:rPr>
          <w:rFonts w:ascii="Georgia" w:eastAsiaTheme="minorHAnsi" w:hAnsi="Georgia" w:cstheme="minorBidi"/>
          <w:b/>
          <w:color w:val="404040" w:themeColor="text1" w:themeTint="BF"/>
          <w:sz w:val="20"/>
          <w:szCs w:val="20"/>
        </w:rPr>
      </w:pPr>
      <w:r w:rsidRPr="0028309F">
        <w:rPr>
          <w:rFonts w:ascii="Georgia" w:eastAsiaTheme="minorHAnsi" w:hAnsi="Georgia" w:cstheme="minorBidi"/>
          <w:b/>
          <w:color w:val="404040" w:themeColor="text1" w:themeTint="BF"/>
          <w:sz w:val="20"/>
          <w:szCs w:val="20"/>
        </w:rPr>
        <w:t>Underlying Earnings and Dividend Income</w:t>
      </w:r>
    </w:p>
    <w:p w14:paraId="68CF41B0" w14:textId="77777777" w:rsidR="0028309F" w:rsidRPr="0028309F" w:rsidRDefault="0028309F" w:rsidP="0028309F">
      <w:pPr>
        <w:jc w:val="both"/>
        <w:rPr>
          <w:rFonts w:ascii="Georgia" w:eastAsiaTheme="minorHAnsi" w:hAnsi="Georgia" w:cstheme="minorBidi"/>
          <w:color w:val="404040" w:themeColor="text1" w:themeTint="BF"/>
          <w:sz w:val="20"/>
          <w:szCs w:val="20"/>
          <w:u w:val="single"/>
        </w:rPr>
      </w:pPr>
    </w:p>
    <w:p w14:paraId="7217E0F7" w14:textId="1BCA2137"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 xml:space="preserve">The underlying earnings for the year were £44.6m or 12.03pps (2018/19 numbers were £40.7m and 11.01pps respectively). After amortising our long term </w:t>
      </w:r>
      <w:r w:rsidR="002A16EC">
        <w:rPr>
          <w:rFonts w:ascii="Georgia" w:eastAsiaTheme="minorHAnsi" w:hAnsi="Georgia" w:cstheme="minorBidi"/>
          <w:color w:val="404040" w:themeColor="text1" w:themeTint="BF"/>
          <w:sz w:val="20"/>
          <w:szCs w:val="20"/>
        </w:rPr>
        <w:t>debt</w:t>
      </w:r>
      <w:r w:rsidRPr="0028309F">
        <w:rPr>
          <w:rFonts w:ascii="Georgia" w:eastAsiaTheme="minorHAnsi" w:hAnsi="Georgia" w:cstheme="minorBidi"/>
          <w:color w:val="404040" w:themeColor="text1" w:themeTint="BF"/>
          <w:sz w:val="20"/>
          <w:szCs w:val="20"/>
        </w:rPr>
        <w:t xml:space="preserve">, the available profits, including brought forward reserves, were £37.5m or 10.13pps (2018/19: £33.0m or 8.91pps) </w:t>
      </w:r>
    </w:p>
    <w:p w14:paraId="191E5061" w14:textId="77777777" w:rsidR="0028309F" w:rsidRPr="0028309F" w:rsidRDefault="0028309F" w:rsidP="0028309F">
      <w:pPr>
        <w:jc w:val="both"/>
        <w:rPr>
          <w:rFonts w:ascii="Georgia" w:eastAsiaTheme="minorHAnsi" w:hAnsi="Georgia" w:cstheme="minorBidi"/>
          <w:color w:val="404040" w:themeColor="text1" w:themeTint="BF"/>
          <w:sz w:val="20"/>
          <w:szCs w:val="20"/>
        </w:rPr>
      </w:pPr>
    </w:p>
    <w:p w14:paraId="3AFE5B67" w14:textId="5D957A0A"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The Board has elected to pay out our target dividend of 7.90pps and to retain the excess</w:t>
      </w:r>
      <w:r w:rsidR="00676F39">
        <w:rPr>
          <w:rFonts w:ascii="Georgia" w:eastAsiaTheme="minorHAnsi" w:hAnsi="Georgia" w:cstheme="minorBidi"/>
          <w:color w:val="404040" w:themeColor="text1" w:themeTint="BF"/>
          <w:sz w:val="20"/>
          <w:szCs w:val="20"/>
        </w:rPr>
        <w:t xml:space="preserve"> underlying</w:t>
      </w:r>
      <w:r w:rsidRPr="0028309F">
        <w:rPr>
          <w:rFonts w:ascii="Georgia" w:eastAsiaTheme="minorHAnsi" w:hAnsi="Georgia" w:cstheme="minorBidi"/>
          <w:color w:val="404040" w:themeColor="text1" w:themeTint="BF"/>
          <w:sz w:val="20"/>
          <w:szCs w:val="20"/>
        </w:rPr>
        <w:t xml:space="preserve"> earnings </w:t>
      </w:r>
      <w:r w:rsidR="000C09E9" w:rsidRPr="0028309F">
        <w:rPr>
          <w:rFonts w:ascii="Georgia" w:eastAsiaTheme="minorHAnsi" w:hAnsi="Georgia" w:cstheme="minorBidi"/>
          <w:color w:val="404040" w:themeColor="text1" w:themeTint="BF"/>
          <w:sz w:val="20"/>
          <w:szCs w:val="20"/>
        </w:rPr>
        <w:t xml:space="preserve">of 1.63pps </w:t>
      </w:r>
      <w:r w:rsidRPr="0028309F">
        <w:rPr>
          <w:rFonts w:ascii="Georgia" w:eastAsiaTheme="minorHAnsi" w:hAnsi="Georgia" w:cstheme="minorBidi"/>
          <w:color w:val="404040" w:themeColor="text1" w:themeTint="BF"/>
          <w:sz w:val="20"/>
          <w:szCs w:val="20"/>
        </w:rPr>
        <w:t xml:space="preserve">generated in the period, resulting in carried forward surplus earnings of 2.23pps. This adds to the Board’s confidence that the Company will continue to retain its position as the sector’s highest dividend distributor for the foreseeable future. </w:t>
      </w:r>
    </w:p>
    <w:p w14:paraId="4B0540CE" w14:textId="77777777" w:rsidR="0028309F" w:rsidRPr="0028309F" w:rsidRDefault="0028309F" w:rsidP="0028309F">
      <w:pPr>
        <w:jc w:val="both"/>
        <w:rPr>
          <w:rFonts w:ascii="Georgia" w:eastAsiaTheme="minorHAnsi" w:hAnsi="Georgia" w:cstheme="minorBidi"/>
          <w:color w:val="404040" w:themeColor="text1" w:themeTint="BF"/>
          <w:sz w:val="20"/>
          <w:szCs w:val="20"/>
        </w:rPr>
      </w:pPr>
    </w:p>
    <w:p w14:paraId="2393F621" w14:textId="77777777" w:rsidR="0028309F" w:rsidRPr="0028309F" w:rsidRDefault="0028309F" w:rsidP="0028309F">
      <w:pPr>
        <w:jc w:val="both"/>
        <w:rPr>
          <w:rFonts w:ascii="Georgia" w:eastAsiaTheme="minorHAnsi" w:hAnsi="Georgia" w:cstheme="minorBidi"/>
          <w:b/>
          <w:color w:val="404040" w:themeColor="text1" w:themeTint="BF"/>
          <w:sz w:val="20"/>
          <w:szCs w:val="20"/>
        </w:rPr>
      </w:pPr>
      <w:r w:rsidRPr="0028309F">
        <w:rPr>
          <w:rFonts w:ascii="Georgia" w:eastAsiaTheme="minorHAnsi" w:hAnsi="Georgia" w:cstheme="minorBidi"/>
          <w:b/>
          <w:color w:val="404040" w:themeColor="text1" w:themeTint="BF"/>
          <w:sz w:val="20"/>
          <w:szCs w:val="20"/>
        </w:rPr>
        <w:t>Valuation and Discount Rate</w:t>
      </w:r>
    </w:p>
    <w:p w14:paraId="7E561AEA" w14:textId="77777777" w:rsidR="0028309F" w:rsidRPr="0028309F" w:rsidRDefault="0028309F" w:rsidP="0028309F">
      <w:pPr>
        <w:jc w:val="both"/>
        <w:rPr>
          <w:rFonts w:ascii="Georgia" w:eastAsiaTheme="minorHAnsi" w:hAnsi="Georgia" w:cstheme="minorBidi"/>
          <w:color w:val="404040" w:themeColor="text1" w:themeTint="BF"/>
          <w:sz w:val="20"/>
          <w:szCs w:val="20"/>
        </w:rPr>
      </w:pPr>
    </w:p>
    <w:p w14:paraId="4853756C" w14:textId="56D37704"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Valuation methodology remains consistent with previous reporting periods, with the Board receiving a valuation recommendation from the Investment Adviser</w:t>
      </w:r>
      <w:r>
        <w:rPr>
          <w:rFonts w:ascii="Georgia" w:eastAsiaTheme="minorHAnsi" w:hAnsi="Georgia" w:cstheme="minorBidi"/>
          <w:color w:val="404040" w:themeColor="text1" w:themeTint="BF"/>
          <w:sz w:val="20"/>
          <w:szCs w:val="20"/>
        </w:rPr>
        <w:t xml:space="preserve"> </w:t>
      </w:r>
      <w:r w:rsidRPr="0028309F">
        <w:rPr>
          <w:rFonts w:ascii="Georgia" w:eastAsiaTheme="minorHAnsi" w:hAnsi="Georgia" w:cstheme="minorBidi"/>
          <w:color w:val="404040" w:themeColor="text1" w:themeTint="BF"/>
          <w:sz w:val="20"/>
          <w:szCs w:val="20"/>
        </w:rPr>
        <w:t xml:space="preserve">which is derived from a comprehensive DCF model. This valuation is then benchmarked, on a capacity basis, against comparable transactional activity for UK based solar assets. </w:t>
      </w:r>
    </w:p>
    <w:p w14:paraId="44CC9829" w14:textId="77777777" w:rsidR="0028309F" w:rsidRPr="0028309F" w:rsidRDefault="0028309F" w:rsidP="0028309F">
      <w:pPr>
        <w:jc w:val="both"/>
        <w:rPr>
          <w:rFonts w:ascii="Georgia" w:eastAsiaTheme="minorHAnsi" w:hAnsi="Georgia" w:cstheme="minorBidi"/>
          <w:color w:val="404040" w:themeColor="text1" w:themeTint="BF"/>
          <w:sz w:val="20"/>
          <w:szCs w:val="20"/>
        </w:rPr>
      </w:pPr>
    </w:p>
    <w:p w14:paraId="77F63442" w14:textId="5778E394"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 xml:space="preserve">As a result of successful asset extension activity by the Investment Adviser over the past 12 months, the Directors’ Valuation as at 30 June 2020 now includes 245MWp (ca 50% of the portfolio by capacity) being valued on the basis of an additional 15 years of operational life, and a weighted average life of the portfolio of 27.4 years (up from 24.2 years in June 2019).  </w:t>
      </w:r>
    </w:p>
    <w:p w14:paraId="3B3FC03D" w14:textId="77777777" w:rsidR="0028309F" w:rsidRPr="0028309F" w:rsidRDefault="0028309F" w:rsidP="0028309F">
      <w:pPr>
        <w:jc w:val="both"/>
        <w:rPr>
          <w:rFonts w:ascii="Georgia" w:eastAsiaTheme="minorHAnsi" w:hAnsi="Georgia" w:cstheme="minorBidi"/>
          <w:color w:val="404040" w:themeColor="text1" w:themeTint="BF"/>
          <w:sz w:val="20"/>
          <w:szCs w:val="20"/>
        </w:rPr>
      </w:pPr>
    </w:p>
    <w:p w14:paraId="17BEAC2B" w14:textId="77777777"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 xml:space="preserve">Demand for subsidised renewable assets has continued to be high and despite continued softening in long term power forecasts, transaction activity has returned to levels last seen in 2018. As such, asset valuations for portfolios with comparable subsidy bandings to the </w:t>
      </w:r>
      <w:proofErr w:type="spellStart"/>
      <w:r w:rsidRPr="0028309F">
        <w:rPr>
          <w:rFonts w:ascii="Georgia" w:eastAsiaTheme="minorHAnsi" w:hAnsi="Georgia" w:cstheme="minorBidi"/>
          <w:color w:val="404040" w:themeColor="text1" w:themeTint="BF"/>
          <w:sz w:val="20"/>
          <w:szCs w:val="20"/>
        </w:rPr>
        <w:t>Company’s</w:t>
      </w:r>
      <w:proofErr w:type="spellEnd"/>
      <w:r w:rsidRPr="0028309F">
        <w:rPr>
          <w:rFonts w:ascii="Georgia" w:eastAsiaTheme="minorHAnsi" w:hAnsi="Georgia" w:cstheme="minorBidi"/>
          <w:color w:val="404040" w:themeColor="text1" w:themeTint="BF"/>
          <w:sz w:val="20"/>
          <w:szCs w:val="20"/>
        </w:rPr>
        <w:t xml:space="preserve"> have continued to remain between ca £1.20m/</w:t>
      </w:r>
      <w:proofErr w:type="spellStart"/>
      <w:r w:rsidRPr="0028309F">
        <w:rPr>
          <w:rFonts w:ascii="Georgia" w:eastAsiaTheme="minorHAnsi" w:hAnsi="Georgia" w:cstheme="minorBidi"/>
          <w:color w:val="404040" w:themeColor="text1" w:themeTint="BF"/>
          <w:sz w:val="20"/>
          <w:szCs w:val="20"/>
        </w:rPr>
        <w:t>MWp</w:t>
      </w:r>
      <w:proofErr w:type="spellEnd"/>
      <w:r w:rsidRPr="0028309F">
        <w:rPr>
          <w:rFonts w:ascii="Georgia" w:eastAsiaTheme="minorHAnsi" w:hAnsi="Georgia" w:cstheme="minorBidi"/>
          <w:color w:val="404040" w:themeColor="text1" w:themeTint="BF"/>
          <w:sz w:val="20"/>
          <w:szCs w:val="20"/>
        </w:rPr>
        <w:t xml:space="preserve"> to ca £1.40m/</w:t>
      </w:r>
      <w:proofErr w:type="spellStart"/>
      <w:r w:rsidRPr="0028309F">
        <w:rPr>
          <w:rFonts w:ascii="Georgia" w:eastAsiaTheme="minorHAnsi" w:hAnsi="Georgia" w:cstheme="minorBidi"/>
          <w:color w:val="404040" w:themeColor="text1" w:themeTint="BF"/>
          <w:sz w:val="20"/>
          <w:szCs w:val="20"/>
        </w:rPr>
        <w:t>MWp</w:t>
      </w:r>
      <w:proofErr w:type="spellEnd"/>
      <w:r w:rsidRPr="0028309F">
        <w:rPr>
          <w:rFonts w:ascii="Georgia" w:eastAsiaTheme="minorHAnsi" w:hAnsi="Georgia" w:cstheme="minorBidi"/>
          <w:color w:val="404040" w:themeColor="text1" w:themeTint="BF"/>
          <w:sz w:val="20"/>
          <w:szCs w:val="20"/>
        </w:rPr>
        <w:t xml:space="preserve">. </w:t>
      </w:r>
    </w:p>
    <w:p w14:paraId="08DFB675" w14:textId="1B3D3799" w:rsidR="0028309F" w:rsidRPr="0028309F" w:rsidRDefault="0028309F" w:rsidP="0028309F">
      <w:pPr>
        <w:jc w:val="both"/>
        <w:rPr>
          <w:rFonts w:ascii="Georgia" w:eastAsiaTheme="minorHAnsi" w:hAnsi="Georgia" w:cstheme="minorBidi"/>
          <w:color w:val="404040" w:themeColor="text1" w:themeTint="BF"/>
          <w:sz w:val="20"/>
          <w:szCs w:val="20"/>
        </w:rPr>
      </w:pPr>
    </w:p>
    <w:p w14:paraId="5A646157" w14:textId="3C9AE957" w:rsidR="0028309F" w:rsidRPr="0028309F" w:rsidRDefault="0028309F" w:rsidP="0028309F">
      <w:pPr>
        <w:jc w:val="both"/>
        <w:rPr>
          <w:rFonts w:ascii="Georgia" w:eastAsiaTheme="minorHAnsi" w:hAnsi="Georgia" w:cstheme="minorBidi"/>
          <w:color w:val="404040" w:themeColor="text1" w:themeTint="BF"/>
          <w:sz w:val="20"/>
          <w:szCs w:val="20"/>
        </w:rPr>
      </w:pPr>
      <w:r w:rsidRPr="0028309F">
        <w:rPr>
          <w:rFonts w:ascii="Georgia" w:eastAsiaTheme="minorHAnsi" w:hAnsi="Georgia" w:cstheme="minorBidi"/>
          <w:color w:val="404040" w:themeColor="text1" w:themeTint="BF"/>
          <w:sz w:val="20"/>
          <w:szCs w:val="20"/>
        </w:rPr>
        <w:t>By valuing the Company’s portfolio at an Enterprise Value of £602.5m (£1.26m/</w:t>
      </w:r>
      <w:proofErr w:type="spellStart"/>
      <w:r w:rsidRPr="0028309F">
        <w:rPr>
          <w:rFonts w:ascii="Georgia" w:eastAsiaTheme="minorHAnsi" w:hAnsi="Georgia" w:cstheme="minorBidi"/>
          <w:color w:val="404040" w:themeColor="text1" w:themeTint="BF"/>
          <w:sz w:val="20"/>
          <w:szCs w:val="20"/>
        </w:rPr>
        <w:t>MWp</w:t>
      </w:r>
      <w:proofErr w:type="spellEnd"/>
      <w:r w:rsidRPr="0028309F">
        <w:rPr>
          <w:rFonts w:ascii="Georgia" w:eastAsiaTheme="minorHAnsi" w:hAnsi="Georgia" w:cstheme="minorBidi"/>
          <w:color w:val="404040" w:themeColor="text1" w:themeTint="BF"/>
          <w:sz w:val="20"/>
          <w:szCs w:val="20"/>
        </w:rPr>
        <w:t>), the Directors’ Valuation as at 30 June 2020 is comparable to precedent market transactions, in keeping with the Company’s valuation methodology of ‘willing buyer/willing seller’. Ensuring the Directors</w:t>
      </w:r>
      <w:r w:rsidR="002A16EC">
        <w:rPr>
          <w:rFonts w:ascii="Georgia" w:eastAsiaTheme="minorHAnsi" w:hAnsi="Georgia" w:cstheme="minorBidi"/>
          <w:color w:val="404040" w:themeColor="text1" w:themeTint="BF"/>
          <w:sz w:val="20"/>
          <w:szCs w:val="20"/>
        </w:rPr>
        <w:t>’</w:t>
      </w:r>
      <w:r w:rsidRPr="0028309F">
        <w:rPr>
          <w:rFonts w:ascii="Georgia" w:eastAsiaTheme="minorHAnsi" w:hAnsi="Georgia" w:cstheme="minorBidi"/>
          <w:color w:val="404040" w:themeColor="text1" w:themeTint="BF"/>
          <w:sz w:val="20"/>
          <w:szCs w:val="20"/>
        </w:rPr>
        <w:t xml:space="preserve"> Valuation remains comparable with transactional valuations, whilst accommodating the latest power price forecasts, has resulted in the Directors reducing the equity discount rate to 6.00% (from 7.18% in June 2019 and 6.50% in December 2019). </w:t>
      </w:r>
    </w:p>
    <w:p w14:paraId="57F732E0" w14:textId="77777777" w:rsidR="0028309F" w:rsidRPr="0028309F" w:rsidRDefault="0028309F" w:rsidP="0028309F">
      <w:pPr>
        <w:jc w:val="both"/>
        <w:rPr>
          <w:rFonts w:ascii="Georgia" w:eastAsiaTheme="minorHAnsi" w:hAnsi="Georgia" w:cstheme="minorBidi"/>
          <w:color w:val="404040" w:themeColor="text1" w:themeTint="BF"/>
          <w:sz w:val="20"/>
          <w:szCs w:val="20"/>
        </w:rPr>
      </w:pPr>
    </w:p>
    <w:p w14:paraId="78199195" w14:textId="65F09E9D" w:rsidR="001034AB" w:rsidRDefault="0028309F" w:rsidP="001034AB">
      <w:pPr>
        <w:jc w:val="both"/>
        <w:rPr>
          <w:rFonts w:ascii="Georgia" w:hAnsi="Georgia"/>
          <w:color w:val="404040" w:themeColor="text1" w:themeTint="BF"/>
          <w:sz w:val="20"/>
          <w:szCs w:val="20"/>
          <w:highlight w:val="yellow"/>
        </w:rPr>
      </w:pPr>
      <w:r w:rsidRPr="0028309F">
        <w:rPr>
          <w:rFonts w:ascii="Georgia" w:eastAsiaTheme="minorHAnsi" w:hAnsi="Georgia" w:cstheme="minorBidi"/>
          <w:color w:val="404040" w:themeColor="text1" w:themeTint="BF"/>
          <w:sz w:val="20"/>
          <w:szCs w:val="20"/>
        </w:rPr>
        <w:t xml:space="preserve">Furthermore, following the successful trial subscription </w:t>
      </w:r>
      <w:r w:rsidR="000C09E9" w:rsidRPr="0028309F">
        <w:rPr>
          <w:rFonts w:ascii="Georgia" w:eastAsiaTheme="minorHAnsi" w:hAnsi="Georgia" w:cstheme="minorBidi"/>
          <w:color w:val="404040" w:themeColor="text1" w:themeTint="BF"/>
          <w:sz w:val="20"/>
          <w:szCs w:val="20"/>
        </w:rPr>
        <w:t xml:space="preserve">over the past 18 months </w:t>
      </w:r>
      <w:r w:rsidRPr="0028309F">
        <w:rPr>
          <w:rFonts w:ascii="Georgia" w:eastAsiaTheme="minorHAnsi" w:hAnsi="Georgia" w:cstheme="minorBidi"/>
          <w:color w:val="404040" w:themeColor="text1" w:themeTint="BF"/>
          <w:sz w:val="20"/>
          <w:szCs w:val="20"/>
        </w:rPr>
        <w:t>to a third power price forecaster, the Board has determined the Directors’ Valuation as at 30 June 2020 should be based on a blended curve of three leading forecasters rather than</w:t>
      </w:r>
      <w:r w:rsidR="000C09E9">
        <w:rPr>
          <w:rFonts w:ascii="Georgia" w:eastAsiaTheme="minorHAnsi" w:hAnsi="Georgia" w:cstheme="minorBidi"/>
          <w:color w:val="404040" w:themeColor="text1" w:themeTint="BF"/>
          <w:sz w:val="20"/>
          <w:szCs w:val="20"/>
        </w:rPr>
        <w:t xml:space="preserve"> two</w:t>
      </w:r>
      <w:r w:rsidRPr="0028309F">
        <w:rPr>
          <w:rFonts w:ascii="Georgia" w:eastAsiaTheme="minorHAnsi" w:hAnsi="Georgia" w:cstheme="minorBidi"/>
          <w:color w:val="404040" w:themeColor="text1" w:themeTint="BF"/>
          <w:sz w:val="20"/>
          <w:szCs w:val="20"/>
        </w:rPr>
        <w:t>, as h</w:t>
      </w:r>
      <w:r w:rsidR="000C09E9">
        <w:rPr>
          <w:rFonts w:ascii="Georgia" w:eastAsiaTheme="minorHAnsi" w:hAnsi="Georgia" w:cstheme="minorBidi"/>
          <w:color w:val="404040" w:themeColor="text1" w:themeTint="BF"/>
          <w:sz w:val="20"/>
          <w:szCs w:val="20"/>
        </w:rPr>
        <w:t>as been the case since 2016</w:t>
      </w:r>
      <w:r w:rsidRPr="0028309F">
        <w:rPr>
          <w:rFonts w:ascii="Georgia" w:eastAsiaTheme="minorHAnsi" w:hAnsi="Georgia" w:cstheme="minorBidi"/>
          <w:color w:val="404040" w:themeColor="text1" w:themeTint="BF"/>
          <w:sz w:val="20"/>
          <w:szCs w:val="20"/>
        </w:rPr>
        <w:t>. The blended curve is shown within the Valuation section of the R</w:t>
      </w:r>
      <w:r w:rsidR="002A16EC">
        <w:rPr>
          <w:rFonts w:ascii="Georgia" w:eastAsiaTheme="minorHAnsi" w:hAnsi="Georgia" w:cstheme="minorBidi"/>
          <w:color w:val="404040" w:themeColor="text1" w:themeTint="BF"/>
          <w:sz w:val="20"/>
          <w:szCs w:val="20"/>
        </w:rPr>
        <w:t>eport of the Investment Adviser</w:t>
      </w:r>
      <w:r w:rsidRPr="0028309F">
        <w:rPr>
          <w:rFonts w:ascii="Georgia" w:eastAsiaTheme="minorHAnsi" w:hAnsi="Georgia" w:cstheme="minorBidi"/>
          <w:color w:val="404040" w:themeColor="text1" w:themeTint="BF"/>
          <w:sz w:val="20"/>
          <w:szCs w:val="20"/>
        </w:rPr>
        <w:t xml:space="preserve">, on page </w:t>
      </w:r>
      <w:r w:rsidR="00C34790">
        <w:rPr>
          <w:rFonts w:ascii="Georgia" w:eastAsiaTheme="minorHAnsi" w:hAnsi="Georgia" w:cstheme="minorBidi"/>
          <w:color w:val="404040" w:themeColor="text1" w:themeTint="BF"/>
          <w:sz w:val="20"/>
          <w:szCs w:val="20"/>
        </w:rPr>
        <w:t>62</w:t>
      </w:r>
      <w:r w:rsidRPr="0028309F">
        <w:rPr>
          <w:rFonts w:ascii="Georgia" w:eastAsiaTheme="minorHAnsi" w:hAnsi="Georgia" w:cstheme="minorBidi"/>
          <w:color w:val="404040" w:themeColor="text1" w:themeTint="BF"/>
          <w:sz w:val="20"/>
          <w:szCs w:val="20"/>
        </w:rPr>
        <w:t>.  Blending three leading curves enables the Company to reduce the timing risk associated with using a smaller number of forecasts in what has become an increasingly volatile market.</w:t>
      </w:r>
    </w:p>
    <w:p w14:paraId="22F6D431" w14:textId="66AF2A67" w:rsidR="00947857" w:rsidRDefault="00947857" w:rsidP="001034AB">
      <w:pPr>
        <w:jc w:val="both"/>
        <w:rPr>
          <w:rFonts w:ascii="Georgia" w:hAnsi="Georgia"/>
          <w:color w:val="404040" w:themeColor="text1" w:themeTint="BF"/>
          <w:sz w:val="20"/>
          <w:szCs w:val="20"/>
          <w:highlight w:val="yellow"/>
        </w:rPr>
      </w:pPr>
    </w:p>
    <w:p w14:paraId="6BD15DA5" w14:textId="77777777" w:rsidR="00D63536" w:rsidRPr="0031547F" w:rsidRDefault="00D63536" w:rsidP="00D63536">
      <w:pPr>
        <w:pStyle w:val="Heading2"/>
        <w:spacing w:before="0"/>
      </w:pPr>
      <w:r w:rsidRPr="0031547F">
        <w:rPr>
          <w:color w:val="auto"/>
        </w:rPr>
        <w:lastRenderedPageBreak/>
        <w:t>Chairman’s Statement (continued)</w:t>
      </w:r>
    </w:p>
    <w:p w14:paraId="5A026FBC" w14:textId="656C46CB" w:rsidR="00B42EA2" w:rsidRPr="00A90128" w:rsidRDefault="00B42EA2" w:rsidP="0046455B">
      <w:pPr>
        <w:pStyle w:val="body"/>
        <w:rPr>
          <w:b/>
          <w:bCs/>
          <w:color w:val="404040"/>
          <w:szCs w:val="20"/>
          <w:highlight w:val="yellow"/>
          <w:u w:color="404040"/>
          <w:lang w:val="en-US"/>
        </w:rPr>
      </w:pPr>
    </w:p>
    <w:p w14:paraId="0BC08A28" w14:textId="77777777" w:rsidR="0028309F" w:rsidRPr="0028309F" w:rsidRDefault="0028309F" w:rsidP="0028309F">
      <w:pPr>
        <w:jc w:val="both"/>
        <w:rPr>
          <w:rFonts w:ascii="Georgia" w:hAnsi="Georgia"/>
          <w:b/>
          <w:color w:val="404040" w:themeColor="text1" w:themeTint="BF"/>
          <w:sz w:val="20"/>
          <w:szCs w:val="20"/>
        </w:rPr>
      </w:pPr>
      <w:r w:rsidRPr="0028309F">
        <w:rPr>
          <w:rFonts w:ascii="Georgia" w:hAnsi="Georgia"/>
          <w:b/>
          <w:color w:val="404040" w:themeColor="text1" w:themeTint="BF"/>
          <w:sz w:val="20"/>
          <w:szCs w:val="20"/>
        </w:rPr>
        <w:t>Investment Strategy</w:t>
      </w:r>
    </w:p>
    <w:p w14:paraId="7480DE1F" w14:textId="77777777" w:rsidR="0028309F" w:rsidRPr="0028309F" w:rsidRDefault="0028309F" w:rsidP="0028309F">
      <w:pPr>
        <w:jc w:val="both"/>
        <w:rPr>
          <w:rFonts w:ascii="Georgia" w:hAnsi="Georgia"/>
          <w:b/>
          <w:color w:val="404040" w:themeColor="text1" w:themeTint="BF"/>
          <w:sz w:val="20"/>
          <w:szCs w:val="20"/>
        </w:rPr>
      </w:pPr>
    </w:p>
    <w:p w14:paraId="0ED630F1" w14:textId="5FF863EE" w:rsidR="0028309F" w:rsidRPr="0028309F" w:rsidRDefault="002A16EC" w:rsidP="0028309F">
      <w:pPr>
        <w:jc w:val="both"/>
        <w:rPr>
          <w:rFonts w:ascii="Georgia" w:hAnsi="Georgia"/>
          <w:color w:val="404040" w:themeColor="text1" w:themeTint="BF"/>
          <w:sz w:val="20"/>
          <w:szCs w:val="20"/>
        </w:rPr>
      </w:pPr>
      <w:r>
        <w:rPr>
          <w:rFonts w:ascii="Georgia" w:hAnsi="Georgia"/>
          <w:color w:val="404040" w:themeColor="text1" w:themeTint="BF"/>
          <w:sz w:val="20"/>
          <w:szCs w:val="20"/>
        </w:rPr>
        <w:t xml:space="preserve">In June 2020 </w:t>
      </w:r>
      <w:r w:rsidR="0028309F" w:rsidRPr="0028309F">
        <w:rPr>
          <w:rFonts w:ascii="Georgia" w:hAnsi="Georgia"/>
          <w:color w:val="404040" w:themeColor="text1" w:themeTint="BF"/>
          <w:sz w:val="20"/>
          <w:szCs w:val="20"/>
        </w:rPr>
        <w:t xml:space="preserve">the Company </w:t>
      </w:r>
      <w:r w:rsidR="00676F39">
        <w:rPr>
          <w:rFonts w:ascii="Georgia" w:hAnsi="Georgia"/>
          <w:color w:val="404040" w:themeColor="text1" w:themeTint="BF"/>
          <w:sz w:val="20"/>
          <w:szCs w:val="20"/>
        </w:rPr>
        <w:t>requested</w:t>
      </w:r>
      <w:r w:rsidR="000C09E9">
        <w:rPr>
          <w:rFonts w:ascii="Georgia" w:hAnsi="Georgia"/>
          <w:color w:val="404040" w:themeColor="text1" w:themeTint="BF"/>
          <w:sz w:val="20"/>
          <w:szCs w:val="20"/>
        </w:rPr>
        <w:t>,</w:t>
      </w:r>
      <w:r w:rsidR="00676F39">
        <w:rPr>
          <w:rFonts w:ascii="Georgia" w:hAnsi="Georgia"/>
          <w:color w:val="404040" w:themeColor="text1" w:themeTint="BF"/>
          <w:sz w:val="20"/>
          <w:szCs w:val="20"/>
        </w:rPr>
        <w:t xml:space="preserve"> and subs</w:t>
      </w:r>
      <w:r w:rsidR="000C09E9">
        <w:rPr>
          <w:rFonts w:ascii="Georgia" w:hAnsi="Georgia"/>
          <w:color w:val="404040" w:themeColor="text1" w:themeTint="BF"/>
          <w:sz w:val="20"/>
          <w:szCs w:val="20"/>
        </w:rPr>
        <w:t>equently received, in our July E</w:t>
      </w:r>
      <w:r w:rsidR="00676F39">
        <w:rPr>
          <w:rFonts w:ascii="Georgia" w:hAnsi="Georgia"/>
          <w:color w:val="404040" w:themeColor="text1" w:themeTint="BF"/>
          <w:sz w:val="20"/>
          <w:szCs w:val="20"/>
        </w:rPr>
        <w:t>GM, approval to enhance its investment strategy.</w:t>
      </w:r>
    </w:p>
    <w:p w14:paraId="4A2053C2" w14:textId="77777777" w:rsidR="0028309F" w:rsidRPr="0028309F" w:rsidRDefault="0028309F" w:rsidP="0028309F">
      <w:pPr>
        <w:jc w:val="both"/>
        <w:rPr>
          <w:rFonts w:ascii="Georgia" w:hAnsi="Georgia"/>
          <w:color w:val="404040" w:themeColor="text1" w:themeTint="BF"/>
          <w:sz w:val="20"/>
          <w:szCs w:val="20"/>
        </w:rPr>
      </w:pPr>
    </w:p>
    <w:p w14:paraId="553A1AE2" w14:textId="6D2EAEA4"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Whilst the Company will continue to be primarily invested in long life UK solar energy i</w:t>
      </w:r>
      <w:r w:rsidR="002A16EC">
        <w:rPr>
          <w:rFonts w:ascii="Georgia" w:hAnsi="Georgia"/>
          <w:color w:val="404040" w:themeColor="text1" w:themeTint="BF"/>
          <w:sz w:val="20"/>
          <w:szCs w:val="20"/>
        </w:rPr>
        <w:t>nfrastructure, it is now able</w:t>
      </w:r>
      <w:r w:rsidRPr="0028309F">
        <w:rPr>
          <w:rFonts w:ascii="Georgia" w:hAnsi="Georgia"/>
          <w:color w:val="404040" w:themeColor="text1" w:themeTint="BF"/>
          <w:sz w:val="20"/>
          <w:szCs w:val="20"/>
        </w:rPr>
        <w:t xml:space="preserve"> to invest up to a maximum of 25% of the Company’s Gross Asset value</w:t>
      </w:r>
      <w:r>
        <w:rPr>
          <w:rFonts w:ascii="Georgia" w:hAnsi="Georgia"/>
          <w:color w:val="404040" w:themeColor="text1" w:themeTint="BF"/>
          <w:sz w:val="20"/>
          <w:szCs w:val="20"/>
        </w:rPr>
        <w:t xml:space="preserve"> </w:t>
      </w:r>
      <w:r w:rsidRPr="0028309F">
        <w:rPr>
          <w:rFonts w:ascii="Georgia" w:hAnsi="Georgia"/>
          <w:color w:val="404040" w:themeColor="text1" w:themeTint="BF"/>
          <w:sz w:val="20"/>
          <w:szCs w:val="20"/>
        </w:rPr>
        <w:t xml:space="preserve">in other renewable energy assets (including non-subsidised assets) and energy storage assets. </w:t>
      </w:r>
    </w:p>
    <w:p w14:paraId="31262F09" w14:textId="77777777"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 </w:t>
      </w:r>
    </w:p>
    <w:p w14:paraId="20E74B6E" w14:textId="1D55F33C"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Furthermore, the Company is now able to invest up to 10% of its Gross Asset Value</w:t>
      </w:r>
      <w:r w:rsidR="00B620F2">
        <w:rPr>
          <w:rFonts w:ascii="Georgia" w:hAnsi="Georgia"/>
          <w:color w:val="404040" w:themeColor="text1" w:themeTint="BF"/>
          <w:sz w:val="20"/>
          <w:szCs w:val="20"/>
        </w:rPr>
        <w:t>*</w:t>
      </w:r>
      <w:r w:rsidRPr="0028309F">
        <w:rPr>
          <w:rFonts w:ascii="Georgia" w:hAnsi="Georgia"/>
          <w:color w:val="404040" w:themeColor="text1" w:themeTint="BF"/>
          <w:sz w:val="20"/>
          <w:szCs w:val="20"/>
        </w:rPr>
        <w:t xml:space="preserve"> into assets outside the UK to enable the Company to participate in acquisitions of portfolios with a mix of UK and non-UK assets (although it remains the Company's policy not to be a long term holder of non-UK assets) as well as up to 5% of its Gross Asset Value into UK solar development opportunities that are pre-construction and may be without the requisite planning approvals or grid availability at the time of investment.</w:t>
      </w:r>
    </w:p>
    <w:p w14:paraId="644588A9" w14:textId="77777777"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 </w:t>
      </w:r>
    </w:p>
    <w:p w14:paraId="5A98A318" w14:textId="77777777"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Notwithstanding the limits outlined above, the aggregate exposure to other renewable energy assets (including non-subsidised assets) and energy storage technologies, UK solar development opportunities and/or non-UK assets will be limited to a maximum of 30% of the Company's Gross Asset Value as calculated at the time of investment.</w:t>
      </w:r>
    </w:p>
    <w:p w14:paraId="2CB5B88C" w14:textId="77777777" w:rsidR="0028309F" w:rsidRPr="0028309F" w:rsidRDefault="0028309F" w:rsidP="0028309F">
      <w:pPr>
        <w:jc w:val="both"/>
        <w:rPr>
          <w:rFonts w:ascii="Georgia" w:hAnsi="Georgia"/>
          <w:color w:val="404040" w:themeColor="text1" w:themeTint="BF"/>
          <w:sz w:val="20"/>
          <w:szCs w:val="20"/>
        </w:rPr>
      </w:pPr>
    </w:p>
    <w:p w14:paraId="52758AC1" w14:textId="4F5909AD"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The widening of the Investment Policy is deliberately focused on the renewable technologies that are closest to solar in terms of risk and return and the mandate change creates an opportunity for Shareholders to benefit from continuing growth in renewables through their investment in</w:t>
      </w:r>
      <w:r>
        <w:rPr>
          <w:rFonts w:ascii="Georgia" w:hAnsi="Georgia"/>
          <w:color w:val="404040" w:themeColor="text1" w:themeTint="BF"/>
          <w:sz w:val="20"/>
          <w:szCs w:val="20"/>
        </w:rPr>
        <w:t xml:space="preserve"> </w:t>
      </w:r>
      <w:r w:rsidRPr="0028309F">
        <w:rPr>
          <w:rFonts w:ascii="Georgia" w:hAnsi="Georgia"/>
          <w:color w:val="404040" w:themeColor="text1" w:themeTint="BF"/>
          <w:sz w:val="20"/>
          <w:szCs w:val="20"/>
        </w:rPr>
        <w:t xml:space="preserve">the Company. </w:t>
      </w:r>
    </w:p>
    <w:p w14:paraId="4AA12150" w14:textId="77777777" w:rsidR="00947857" w:rsidRPr="00A90128" w:rsidRDefault="00947857" w:rsidP="00947857">
      <w:pPr>
        <w:jc w:val="both"/>
        <w:rPr>
          <w:rFonts w:ascii="Georgia" w:hAnsi="Georgia"/>
          <w:b/>
          <w:color w:val="404040" w:themeColor="text1" w:themeTint="BF"/>
          <w:sz w:val="20"/>
          <w:szCs w:val="20"/>
          <w:highlight w:val="yellow"/>
        </w:rPr>
      </w:pPr>
    </w:p>
    <w:p w14:paraId="2287D8ED" w14:textId="77777777" w:rsidR="00947857" w:rsidRPr="00701E98" w:rsidRDefault="00947857" w:rsidP="00947857">
      <w:pPr>
        <w:jc w:val="both"/>
        <w:rPr>
          <w:rFonts w:ascii="Georgia" w:hAnsi="Georgia"/>
          <w:b/>
          <w:color w:val="404040" w:themeColor="text1" w:themeTint="BF"/>
          <w:sz w:val="20"/>
          <w:szCs w:val="20"/>
        </w:rPr>
      </w:pPr>
      <w:r w:rsidRPr="00701E98">
        <w:rPr>
          <w:rFonts w:ascii="Georgia" w:hAnsi="Georgia"/>
          <w:b/>
          <w:color w:val="404040" w:themeColor="text1" w:themeTint="BF"/>
          <w:sz w:val="20"/>
          <w:szCs w:val="20"/>
        </w:rPr>
        <w:t>Non-Subsidised Renewables</w:t>
      </w:r>
    </w:p>
    <w:p w14:paraId="5099ADED" w14:textId="77777777" w:rsidR="00947857" w:rsidRPr="00701E98" w:rsidRDefault="00947857" w:rsidP="00947857">
      <w:pPr>
        <w:jc w:val="both"/>
        <w:rPr>
          <w:rFonts w:ascii="Georgia" w:hAnsi="Georgia"/>
          <w:color w:val="404040" w:themeColor="text1" w:themeTint="BF"/>
          <w:sz w:val="20"/>
          <w:szCs w:val="20"/>
        </w:rPr>
      </w:pPr>
    </w:p>
    <w:p w14:paraId="32B22EEC" w14:textId="77777777" w:rsidR="00947857" w:rsidRPr="00701E98" w:rsidRDefault="00947857" w:rsidP="00947857">
      <w:pPr>
        <w:jc w:val="both"/>
        <w:rPr>
          <w:rFonts w:ascii="Georgia" w:hAnsi="Georgia"/>
          <w:color w:val="404040" w:themeColor="text1" w:themeTint="BF"/>
          <w:sz w:val="20"/>
          <w:szCs w:val="20"/>
        </w:rPr>
      </w:pPr>
      <w:r w:rsidRPr="00701E98">
        <w:rPr>
          <w:rFonts w:ascii="Georgia" w:hAnsi="Georgia"/>
          <w:color w:val="404040" w:themeColor="text1" w:themeTint="BF"/>
          <w:sz w:val="20"/>
          <w:szCs w:val="20"/>
        </w:rPr>
        <w:t xml:space="preserve">The subsidy free market in the UK is now with us. </w:t>
      </w:r>
    </w:p>
    <w:p w14:paraId="78BED4B2" w14:textId="77777777" w:rsidR="00947857" w:rsidRPr="00701E98" w:rsidRDefault="00947857" w:rsidP="00947857">
      <w:pPr>
        <w:jc w:val="both"/>
        <w:rPr>
          <w:rFonts w:ascii="Georgia" w:hAnsi="Georgia"/>
          <w:color w:val="404040" w:themeColor="text1" w:themeTint="BF"/>
          <w:sz w:val="20"/>
          <w:szCs w:val="20"/>
        </w:rPr>
      </w:pPr>
    </w:p>
    <w:p w14:paraId="61CA7DB6" w14:textId="77777777"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 xml:space="preserve">As the Investment Adviser has been preparing for its arrival for the past 18 months, the Company currently has a proprietary solar development pipeline in excess of 350MWp through its agreements with a select number of developers and contract partners. </w:t>
      </w:r>
    </w:p>
    <w:p w14:paraId="3045953F" w14:textId="77777777" w:rsidR="0028309F" w:rsidRPr="0028309F" w:rsidRDefault="0028309F" w:rsidP="0028309F">
      <w:pPr>
        <w:jc w:val="both"/>
        <w:rPr>
          <w:rFonts w:ascii="Georgia" w:hAnsi="Georgia"/>
          <w:color w:val="404040" w:themeColor="text1" w:themeTint="BF"/>
          <w:sz w:val="20"/>
          <w:szCs w:val="20"/>
        </w:rPr>
      </w:pPr>
    </w:p>
    <w:p w14:paraId="787B5B77" w14:textId="77777777"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 xml:space="preserve">I have written previously about how this new market is well suited to the Investment Adviser’s approach of working with developers and contractors in order to control the quality and scale of the new pipeline – an approach that is essential for assets that will, in all likelihood, derive 100% of their revenue from the sale of electricity. </w:t>
      </w:r>
    </w:p>
    <w:p w14:paraId="2F70CC4F" w14:textId="1EA0386F" w:rsidR="0028309F" w:rsidRPr="0028309F" w:rsidRDefault="0028309F" w:rsidP="0028309F">
      <w:pPr>
        <w:jc w:val="both"/>
        <w:rPr>
          <w:rFonts w:ascii="Georgia" w:hAnsi="Georgia"/>
          <w:color w:val="404040" w:themeColor="text1" w:themeTint="BF"/>
          <w:sz w:val="20"/>
          <w:szCs w:val="20"/>
        </w:rPr>
      </w:pPr>
    </w:p>
    <w:p w14:paraId="155AB1B8" w14:textId="60D788BF"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Looking past the severe depression in power prices c</w:t>
      </w:r>
      <w:r w:rsidR="000C09E9">
        <w:rPr>
          <w:rFonts w:ascii="Georgia" w:hAnsi="Georgia"/>
          <w:color w:val="404040" w:themeColor="text1" w:themeTint="BF"/>
          <w:sz w:val="20"/>
          <w:szCs w:val="20"/>
        </w:rPr>
        <w:t>aused by Covid-19 between March</w:t>
      </w:r>
      <w:r w:rsidRPr="0028309F">
        <w:rPr>
          <w:rFonts w:ascii="Georgia" w:hAnsi="Georgia"/>
          <w:color w:val="404040" w:themeColor="text1" w:themeTint="BF"/>
          <w:sz w:val="20"/>
          <w:szCs w:val="20"/>
        </w:rPr>
        <w:t xml:space="preserve"> – July 2020 and the hiatus this has placed on meaningful levels of construction, we believe the conditions are in place for unsubsidised on-shore wind and solar to be scalable in the coming years and for the Company to be a beneficiary. </w:t>
      </w:r>
    </w:p>
    <w:p w14:paraId="53608A1A" w14:textId="53C67ECB" w:rsidR="0028309F" w:rsidRPr="000C09E9" w:rsidRDefault="0028309F" w:rsidP="0028309F">
      <w:pPr>
        <w:jc w:val="both"/>
        <w:rPr>
          <w:rFonts w:ascii="Georgia" w:hAnsi="Georgia"/>
          <w:b/>
          <w:bCs/>
          <w:color w:val="404040" w:themeColor="text1" w:themeTint="BF"/>
          <w:sz w:val="20"/>
          <w:szCs w:val="20"/>
        </w:rPr>
      </w:pPr>
    </w:p>
    <w:p w14:paraId="399EF25E" w14:textId="7DE4227B"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The Board will continue to ensure that these potential new projects are capable of enhancing</w:t>
      </w:r>
      <w:r w:rsidR="00DA60D6">
        <w:rPr>
          <w:rFonts w:ascii="Georgia" w:hAnsi="Georgia"/>
          <w:color w:val="404040" w:themeColor="text1" w:themeTint="BF"/>
          <w:sz w:val="20"/>
          <w:szCs w:val="20"/>
        </w:rPr>
        <w:t xml:space="preserve"> the dividend opportunity for S</w:t>
      </w:r>
      <w:r w:rsidRPr="0028309F">
        <w:rPr>
          <w:rFonts w:ascii="Georgia" w:hAnsi="Georgia"/>
          <w:color w:val="404040" w:themeColor="text1" w:themeTint="BF"/>
          <w:sz w:val="20"/>
          <w:szCs w:val="20"/>
        </w:rPr>
        <w:t>hareholders by a judicious use of debt and equity financing that leads to the expectation of higher earnings per share.</w:t>
      </w:r>
    </w:p>
    <w:p w14:paraId="522C276C" w14:textId="0B3AB605" w:rsidR="005C2FDE" w:rsidRDefault="005C2FDE" w:rsidP="005C2FDE">
      <w:pPr>
        <w:jc w:val="both"/>
        <w:rPr>
          <w:rFonts w:ascii="Georgia" w:hAnsi="Georgia"/>
          <w:color w:val="404040" w:themeColor="text1" w:themeTint="BF"/>
          <w:sz w:val="20"/>
          <w:szCs w:val="20"/>
          <w:highlight w:val="yellow"/>
        </w:rPr>
      </w:pPr>
    </w:p>
    <w:p w14:paraId="66659064" w14:textId="6124867A" w:rsidR="00947857" w:rsidRDefault="00947857" w:rsidP="005C2FDE">
      <w:pPr>
        <w:jc w:val="both"/>
        <w:rPr>
          <w:rFonts w:ascii="Georgia" w:hAnsi="Georgia"/>
          <w:color w:val="404040" w:themeColor="text1" w:themeTint="BF"/>
          <w:sz w:val="20"/>
          <w:szCs w:val="20"/>
          <w:highlight w:val="yellow"/>
        </w:rPr>
      </w:pPr>
    </w:p>
    <w:p w14:paraId="5147CDC3" w14:textId="6AC6A304" w:rsidR="00947857" w:rsidRDefault="00947857" w:rsidP="005C2FDE">
      <w:pPr>
        <w:jc w:val="both"/>
        <w:rPr>
          <w:rFonts w:ascii="Georgia" w:hAnsi="Georgia"/>
          <w:color w:val="404040" w:themeColor="text1" w:themeTint="BF"/>
          <w:sz w:val="20"/>
          <w:szCs w:val="20"/>
          <w:highlight w:val="yellow"/>
        </w:rPr>
      </w:pPr>
    </w:p>
    <w:p w14:paraId="6168C6C3" w14:textId="77777777" w:rsidR="00947857" w:rsidRPr="00A90128" w:rsidRDefault="00947857" w:rsidP="005C2FDE">
      <w:pPr>
        <w:jc w:val="both"/>
        <w:rPr>
          <w:rFonts w:ascii="Georgia" w:hAnsi="Georgia"/>
          <w:color w:val="404040" w:themeColor="text1" w:themeTint="BF"/>
          <w:sz w:val="20"/>
          <w:szCs w:val="20"/>
          <w:highlight w:val="yellow"/>
        </w:rPr>
      </w:pPr>
    </w:p>
    <w:p w14:paraId="41D866A2" w14:textId="38C7881F" w:rsidR="00046F6F" w:rsidRPr="00A90128" w:rsidRDefault="00046F6F" w:rsidP="005C2FDE">
      <w:pPr>
        <w:jc w:val="both"/>
        <w:rPr>
          <w:rFonts w:ascii="Georgia" w:hAnsi="Georgia"/>
          <w:color w:val="404040" w:themeColor="text1" w:themeTint="BF"/>
          <w:sz w:val="20"/>
          <w:szCs w:val="20"/>
          <w:highlight w:val="yellow"/>
        </w:rPr>
      </w:pPr>
    </w:p>
    <w:p w14:paraId="59BDEC45" w14:textId="1843A32F" w:rsidR="00401DEE" w:rsidRPr="00A90128" w:rsidRDefault="00401DEE" w:rsidP="005C2FDE">
      <w:pPr>
        <w:jc w:val="both"/>
        <w:rPr>
          <w:rFonts w:ascii="Georgia" w:hAnsi="Georgia"/>
          <w:color w:val="404040" w:themeColor="text1" w:themeTint="BF"/>
          <w:sz w:val="20"/>
          <w:szCs w:val="20"/>
          <w:highlight w:val="yellow"/>
        </w:rPr>
      </w:pPr>
    </w:p>
    <w:p w14:paraId="75D80F53" w14:textId="29867D49" w:rsidR="00401DEE" w:rsidRPr="00A90128" w:rsidRDefault="00401DEE" w:rsidP="005C2FDE">
      <w:pPr>
        <w:jc w:val="both"/>
        <w:rPr>
          <w:rFonts w:ascii="Georgia" w:hAnsi="Georgia"/>
          <w:color w:val="404040" w:themeColor="text1" w:themeTint="BF"/>
          <w:sz w:val="20"/>
          <w:szCs w:val="20"/>
          <w:highlight w:val="yellow"/>
        </w:rPr>
      </w:pPr>
    </w:p>
    <w:p w14:paraId="27811996" w14:textId="77777777" w:rsidR="00401DEE" w:rsidRPr="00A90128" w:rsidRDefault="00401DEE" w:rsidP="005C2FDE">
      <w:pPr>
        <w:jc w:val="both"/>
        <w:rPr>
          <w:rFonts w:ascii="Georgia" w:hAnsi="Georgia"/>
          <w:color w:val="404040" w:themeColor="text1" w:themeTint="BF"/>
          <w:sz w:val="20"/>
          <w:szCs w:val="20"/>
          <w:highlight w:val="yellow"/>
        </w:rPr>
      </w:pPr>
    </w:p>
    <w:p w14:paraId="7BF4FD7D" w14:textId="1E27D854" w:rsidR="0061035E" w:rsidRPr="00A90128" w:rsidRDefault="0061035E" w:rsidP="005545B7">
      <w:pPr>
        <w:jc w:val="both"/>
        <w:rPr>
          <w:rFonts w:ascii="Georgia" w:hAnsi="Georgia"/>
          <w:b/>
          <w:color w:val="404040" w:themeColor="text1" w:themeTint="BF"/>
          <w:sz w:val="20"/>
          <w:szCs w:val="20"/>
          <w:highlight w:val="yellow"/>
        </w:rPr>
      </w:pPr>
    </w:p>
    <w:p w14:paraId="00ADA8F6" w14:textId="77777777" w:rsidR="0061035E" w:rsidRPr="00A90128" w:rsidRDefault="0061035E" w:rsidP="005545B7">
      <w:pPr>
        <w:jc w:val="both"/>
        <w:rPr>
          <w:rFonts w:ascii="Georgia" w:hAnsi="Georgia"/>
          <w:b/>
          <w:color w:val="404040" w:themeColor="text1" w:themeTint="BF"/>
          <w:sz w:val="20"/>
          <w:szCs w:val="20"/>
          <w:highlight w:val="yellow"/>
        </w:rPr>
      </w:pPr>
    </w:p>
    <w:p w14:paraId="2137A549" w14:textId="007ABC58" w:rsidR="0061035E" w:rsidRPr="00B620F2" w:rsidRDefault="00B620F2" w:rsidP="005545B7">
      <w:pPr>
        <w:jc w:val="both"/>
        <w:rPr>
          <w:rFonts w:ascii="Georgia" w:hAnsi="Georgia"/>
          <w:color w:val="404040" w:themeColor="text1" w:themeTint="BF"/>
          <w:sz w:val="18"/>
          <w:szCs w:val="20"/>
        </w:rPr>
      </w:pPr>
      <w:r w:rsidRPr="00B620F2">
        <w:rPr>
          <w:rFonts w:ascii="Georgia" w:hAnsi="Georgia"/>
          <w:color w:val="404040" w:themeColor="text1" w:themeTint="BF"/>
          <w:sz w:val="18"/>
          <w:szCs w:val="20"/>
        </w:rPr>
        <w:t>*Gross Asset Value is an Alternative Performance Measure</w:t>
      </w:r>
      <w:r w:rsidR="0018214B">
        <w:rPr>
          <w:rFonts w:ascii="Georgia" w:hAnsi="Georgia"/>
          <w:color w:val="404040" w:themeColor="text1" w:themeTint="BF"/>
          <w:sz w:val="18"/>
          <w:szCs w:val="20"/>
        </w:rPr>
        <w:t>, which represents the total value of the Company’s portfolio without deducting financing debt.</w:t>
      </w:r>
    </w:p>
    <w:p w14:paraId="65D56E17" w14:textId="77777777" w:rsidR="00046F6F" w:rsidRPr="0031547F" w:rsidRDefault="00046F6F" w:rsidP="00046F6F">
      <w:pPr>
        <w:pStyle w:val="Heading2"/>
        <w:spacing w:before="0"/>
      </w:pPr>
      <w:r w:rsidRPr="0031547F">
        <w:rPr>
          <w:color w:val="auto"/>
        </w:rPr>
        <w:lastRenderedPageBreak/>
        <w:t>Chairman’s Statement (continued)</w:t>
      </w:r>
    </w:p>
    <w:p w14:paraId="6ECC92AC" w14:textId="77777777" w:rsidR="0061035E" w:rsidRPr="00A90128" w:rsidRDefault="0061035E" w:rsidP="005545B7">
      <w:pPr>
        <w:jc w:val="both"/>
        <w:rPr>
          <w:rFonts w:ascii="Georgia" w:hAnsi="Georgia"/>
          <w:b/>
          <w:color w:val="404040" w:themeColor="text1" w:themeTint="BF"/>
          <w:sz w:val="20"/>
          <w:szCs w:val="20"/>
          <w:highlight w:val="yellow"/>
        </w:rPr>
      </w:pPr>
    </w:p>
    <w:p w14:paraId="13505AC0" w14:textId="77777777" w:rsidR="00947857" w:rsidRPr="00701E98" w:rsidRDefault="00947857" w:rsidP="00947857">
      <w:pPr>
        <w:jc w:val="both"/>
        <w:rPr>
          <w:rFonts w:ascii="Georgia" w:hAnsi="Georgia"/>
          <w:b/>
          <w:color w:val="404040" w:themeColor="text1" w:themeTint="BF"/>
          <w:sz w:val="20"/>
          <w:szCs w:val="20"/>
        </w:rPr>
      </w:pPr>
      <w:r w:rsidRPr="00701E98">
        <w:rPr>
          <w:rFonts w:ascii="Georgia" w:hAnsi="Georgia"/>
          <w:b/>
          <w:color w:val="404040" w:themeColor="text1" w:themeTint="BF"/>
          <w:sz w:val="20"/>
          <w:szCs w:val="20"/>
        </w:rPr>
        <w:t>Debt Strategy</w:t>
      </w:r>
    </w:p>
    <w:p w14:paraId="0CB63DBD" w14:textId="77777777" w:rsidR="00947857" w:rsidRPr="00701E98" w:rsidRDefault="00947857" w:rsidP="00947857">
      <w:pPr>
        <w:jc w:val="both"/>
        <w:rPr>
          <w:rFonts w:ascii="Georgia" w:hAnsi="Georgia"/>
          <w:color w:val="404040" w:themeColor="text1" w:themeTint="BF"/>
          <w:sz w:val="20"/>
          <w:szCs w:val="20"/>
        </w:rPr>
      </w:pPr>
    </w:p>
    <w:p w14:paraId="0674FC42" w14:textId="6273302B"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 xml:space="preserve">The Group has used the period to continue to amortise its debt, paying down </w:t>
      </w:r>
      <w:r w:rsidR="00002225">
        <w:rPr>
          <w:rFonts w:ascii="Georgia" w:hAnsi="Georgia"/>
          <w:color w:val="404040" w:themeColor="text1" w:themeTint="BF"/>
          <w:sz w:val="20"/>
          <w:szCs w:val="20"/>
        </w:rPr>
        <w:t>£9.2m (£8.8m in 2018/19) or 2.50</w:t>
      </w:r>
      <w:r w:rsidRPr="0028309F">
        <w:rPr>
          <w:rFonts w:ascii="Georgia" w:hAnsi="Georgia"/>
          <w:color w:val="404040" w:themeColor="text1" w:themeTint="BF"/>
          <w:sz w:val="20"/>
          <w:szCs w:val="20"/>
        </w:rPr>
        <w:t>pps. Overall leverage, at</w:t>
      </w:r>
      <w:r w:rsidR="0053060E">
        <w:rPr>
          <w:rFonts w:ascii="Georgia" w:hAnsi="Georgia"/>
          <w:color w:val="404040" w:themeColor="text1" w:themeTint="BF"/>
          <w:sz w:val="20"/>
          <w:szCs w:val="20"/>
        </w:rPr>
        <w:t xml:space="preserve"> </w:t>
      </w:r>
      <w:r w:rsidRPr="0028309F">
        <w:rPr>
          <w:rFonts w:ascii="Georgia" w:hAnsi="Georgia"/>
          <w:color w:val="404040" w:themeColor="text1" w:themeTint="BF"/>
          <w:sz w:val="20"/>
          <w:szCs w:val="20"/>
        </w:rPr>
        <w:t>34% of GAV as at 30 June 2020, was at the low end of where we think is optimal for the Company.</w:t>
      </w:r>
    </w:p>
    <w:p w14:paraId="50FE1358" w14:textId="77777777" w:rsidR="0028309F" w:rsidRPr="0028309F" w:rsidRDefault="0028309F" w:rsidP="0028309F">
      <w:pPr>
        <w:jc w:val="both"/>
        <w:rPr>
          <w:rFonts w:ascii="Georgia" w:hAnsi="Georgia"/>
          <w:color w:val="404040" w:themeColor="text1" w:themeTint="BF"/>
          <w:sz w:val="20"/>
          <w:szCs w:val="20"/>
        </w:rPr>
      </w:pPr>
    </w:p>
    <w:p w14:paraId="3E38E69E" w14:textId="0D5E7FBB"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 xml:space="preserve">However, in completing the acquisition of a 64.2MWp solar portfolio in August 2020 using a bespoke £110.0 million, three-year term loan facility with National Westminster Bank plc (‘NatWest’) the </w:t>
      </w:r>
      <w:r w:rsidR="00B620F2">
        <w:rPr>
          <w:rFonts w:ascii="Georgia" w:hAnsi="Georgia"/>
          <w:color w:val="404040" w:themeColor="text1" w:themeTint="BF"/>
          <w:sz w:val="20"/>
          <w:szCs w:val="20"/>
        </w:rPr>
        <w:t>Group</w:t>
      </w:r>
      <w:r w:rsidRPr="0028309F">
        <w:rPr>
          <w:rFonts w:ascii="Georgia" w:hAnsi="Georgia"/>
          <w:color w:val="404040" w:themeColor="text1" w:themeTint="BF"/>
          <w:sz w:val="20"/>
          <w:szCs w:val="20"/>
        </w:rPr>
        <w:t xml:space="preserve">'s total outstanding debt has increased to £332.0 million.  The debt financing enables the </w:t>
      </w:r>
      <w:r w:rsidR="00B620F2">
        <w:rPr>
          <w:rFonts w:ascii="Georgia" w:hAnsi="Georgia"/>
          <w:color w:val="404040" w:themeColor="text1" w:themeTint="BF"/>
          <w:sz w:val="20"/>
          <w:szCs w:val="20"/>
        </w:rPr>
        <w:t>Group</w:t>
      </w:r>
      <w:r w:rsidRPr="0028309F">
        <w:rPr>
          <w:rFonts w:ascii="Georgia" w:hAnsi="Georgia"/>
          <w:color w:val="404040" w:themeColor="text1" w:themeTint="BF"/>
          <w:sz w:val="20"/>
          <w:szCs w:val="20"/>
        </w:rPr>
        <w:t xml:space="preserve"> to achieve the aim of optimising the </w:t>
      </w:r>
      <w:r w:rsidR="00B620F2">
        <w:rPr>
          <w:rFonts w:ascii="Georgia" w:hAnsi="Georgia"/>
          <w:color w:val="404040" w:themeColor="text1" w:themeTint="BF"/>
          <w:sz w:val="20"/>
          <w:szCs w:val="20"/>
        </w:rPr>
        <w:t>Group</w:t>
      </w:r>
      <w:r w:rsidRPr="0028309F">
        <w:rPr>
          <w:rFonts w:ascii="Georgia" w:hAnsi="Georgia"/>
          <w:color w:val="404040" w:themeColor="text1" w:themeTint="BF"/>
          <w:sz w:val="20"/>
          <w:szCs w:val="20"/>
        </w:rPr>
        <w:t xml:space="preserve">’s leverage level, increasing it to </w:t>
      </w:r>
      <w:r w:rsidRPr="00C81485">
        <w:rPr>
          <w:rFonts w:ascii="Georgia" w:hAnsi="Georgia"/>
          <w:color w:val="404040" w:themeColor="text1" w:themeTint="BF"/>
          <w:sz w:val="20"/>
          <w:szCs w:val="20"/>
        </w:rPr>
        <w:t xml:space="preserve">ca </w:t>
      </w:r>
      <w:r w:rsidR="002A16EC" w:rsidRPr="00C81485">
        <w:rPr>
          <w:rFonts w:ascii="Georgia" w:hAnsi="Georgia"/>
          <w:color w:val="404040" w:themeColor="text1" w:themeTint="BF"/>
          <w:sz w:val="20"/>
          <w:szCs w:val="20"/>
        </w:rPr>
        <w:t>4</w:t>
      </w:r>
      <w:r w:rsidR="00C81485">
        <w:rPr>
          <w:rFonts w:ascii="Georgia" w:hAnsi="Georgia"/>
          <w:color w:val="404040" w:themeColor="text1" w:themeTint="BF"/>
          <w:sz w:val="20"/>
          <w:szCs w:val="20"/>
        </w:rPr>
        <w:t>4</w:t>
      </w:r>
      <w:r w:rsidRPr="0028309F">
        <w:rPr>
          <w:rFonts w:ascii="Georgia" w:hAnsi="Georgia"/>
          <w:color w:val="404040" w:themeColor="text1" w:themeTint="BF"/>
          <w:sz w:val="20"/>
          <w:szCs w:val="20"/>
        </w:rPr>
        <w:t>% of GAV.</w:t>
      </w:r>
    </w:p>
    <w:p w14:paraId="27F41876" w14:textId="77777777" w:rsidR="0028309F" w:rsidRPr="0028309F" w:rsidRDefault="0028309F" w:rsidP="0028309F">
      <w:pPr>
        <w:jc w:val="both"/>
        <w:rPr>
          <w:rFonts w:ascii="Georgia" w:hAnsi="Georgia"/>
          <w:color w:val="404040" w:themeColor="text1" w:themeTint="BF"/>
          <w:sz w:val="20"/>
          <w:szCs w:val="20"/>
        </w:rPr>
      </w:pPr>
    </w:p>
    <w:p w14:paraId="5A5B3145" w14:textId="338B2630" w:rsidR="0028309F" w:rsidRPr="0028309F" w:rsidRDefault="0028309F" w:rsidP="0028309F">
      <w:pPr>
        <w:jc w:val="both"/>
        <w:rPr>
          <w:rFonts w:ascii="Georgia" w:hAnsi="Georgia"/>
          <w:color w:val="404040" w:themeColor="text1" w:themeTint="BF"/>
          <w:sz w:val="20"/>
          <w:szCs w:val="20"/>
        </w:rPr>
      </w:pPr>
      <w:r w:rsidRPr="0028309F">
        <w:rPr>
          <w:rFonts w:ascii="Georgia" w:hAnsi="Georgia"/>
          <w:color w:val="404040" w:themeColor="text1" w:themeTint="BF"/>
          <w:sz w:val="20"/>
          <w:szCs w:val="20"/>
        </w:rPr>
        <w:t>Further details of the acquisition and the terms of the debt are outlined within the R</w:t>
      </w:r>
      <w:r w:rsidR="00B620F2">
        <w:rPr>
          <w:rFonts w:ascii="Georgia" w:hAnsi="Georgia"/>
          <w:color w:val="404040" w:themeColor="text1" w:themeTint="BF"/>
          <w:sz w:val="20"/>
          <w:szCs w:val="20"/>
        </w:rPr>
        <w:t>eport of the Investment Adviser</w:t>
      </w:r>
      <w:r w:rsidRPr="0028309F">
        <w:rPr>
          <w:rFonts w:ascii="Georgia" w:hAnsi="Georgia"/>
          <w:color w:val="404040" w:themeColor="text1" w:themeTint="BF"/>
          <w:sz w:val="20"/>
          <w:szCs w:val="20"/>
        </w:rPr>
        <w:t xml:space="preserve"> on page </w:t>
      </w:r>
      <w:r w:rsidR="00DA60D6">
        <w:rPr>
          <w:rFonts w:ascii="Georgia" w:hAnsi="Georgia"/>
          <w:color w:val="404040" w:themeColor="text1" w:themeTint="BF"/>
          <w:sz w:val="20"/>
          <w:szCs w:val="20"/>
        </w:rPr>
        <w:t>44</w:t>
      </w:r>
      <w:r w:rsidRPr="0028309F">
        <w:rPr>
          <w:rFonts w:ascii="Georgia" w:hAnsi="Georgia"/>
          <w:color w:val="404040" w:themeColor="text1" w:themeTint="BF"/>
          <w:sz w:val="20"/>
          <w:szCs w:val="20"/>
        </w:rPr>
        <w:t>.</w:t>
      </w:r>
    </w:p>
    <w:p w14:paraId="640DD829" w14:textId="1671AF63" w:rsidR="00947857" w:rsidRDefault="00947857" w:rsidP="00947857">
      <w:pPr>
        <w:jc w:val="both"/>
        <w:rPr>
          <w:rFonts w:ascii="Georgia" w:hAnsi="Georgia"/>
          <w:color w:val="404040" w:themeColor="text1" w:themeTint="BF"/>
          <w:sz w:val="20"/>
          <w:szCs w:val="20"/>
          <w:highlight w:val="yellow"/>
        </w:rPr>
      </w:pPr>
    </w:p>
    <w:p w14:paraId="022A79F6" w14:textId="77777777" w:rsidR="00947857" w:rsidRPr="00701E98" w:rsidRDefault="00947857" w:rsidP="00947857">
      <w:pPr>
        <w:jc w:val="both"/>
        <w:rPr>
          <w:rFonts w:ascii="Georgia" w:hAnsi="Georgia"/>
          <w:b/>
          <w:color w:val="404040" w:themeColor="text1" w:themeTint="BF"/>
          <w:sz w:val="20"/>
          <w:szCs w:val="20"/>
        </w:rPr>
      </w:pPr>
      <w:r w:rsidRPr="00701E98">
        <w:rPr>
          <w:rFonts w:ascii="Georgia" w:hAnsi="Georgia"/>
          <w:b/>
          <w:color w:val="404040" w:themeColor="text1" w:themeTint="BF"/>
          <w:sz w:val="20"/>
          <w:szCs w:val="20"/>
        </w:rPr>
        <w:t>Power Prices</w:t>
      </w:r>
    </w:p>
    <w:p w14:paraId="32957669" w14:textId="77777777" w:rsidR="00947857" w:rsidRDefault="00947857" w:rsidP="00947857">
      <w:pPr>
        <w:jc w:val="both"/>
        <w:rPr>
          <w:rFonts w:ascii="Georgia" w:hAnsi="Georgia"/>
          <w:color w:val="404040" w:themeColor="text1" w:themeTint="BF"/>
          <w:sz w:val="20"/>
          <w:szCs w:val="20"/>
          <w:highlight w:val="yellow"/>
        </w:rPr>
      </w:pPr>
    </w:p>
    <w:p w14:paraId="2A9440CE" w14:textId="033D0C93" w:rsidR="00947857" w:rsidRDefault="0028309F" w:rsidP="00947857">
      <w:pPr>
        <w:jc w:val="both"/>
        <w:rPr>
          <w:rFonts w:ascii="Georgia" w:hAnsi="Georgia"/>
          <w:color w:val="404040" w:themeColor="text1" w:themeTint="BF"/>
          <w:sz w:val="20"/>
          <w:szCs w:val="20"/>
        </w:rPr>
      </w:pPr>
      <w:r w:rsidRPr="00E33526">
        <w:rPr>
          <w:rFonts w:ascii="Georgia" w:hAnsi="Georgia"/>
          <w:color w:val="404040" w:themeColor="text1" w:themeTint="BF"/>
          <w:sz w:val="20"/>
          <w:szCs w:val="20"/>
        </w:rPr>
        <w:t xml:space="preserve">Looking back over the Company’s financial year, </w:t>
      </w:r>
      <w:r>
        <w:rPr>
          <w:rFonts w:ascii="Georgia" w:hAnsi="Georgia"/>
          <w:color w:val="404040" w:themeColor="text1" w:themeTint="BF"/>
          <w:sz w:val="20"/>
          <w:szCs w:val="20"/>
        </w:rPr>
        <w:t xml:space="preserve">the </w:t>
      </w:r>
      <w:r w:rsidRPr="00E33526">
        <w:rPr>
          <w:rFonts w:ascii="Georgia" w:hAnsi="Georgia"/>
          <w:color w:val="404040" w:themeColor="text1" w:themeTint="BF"/>
          <w:sz w:val="20"/>
          <w:szCs w:val="20"/>
        </w:rPr>
        <w:t xml:space="preserve">wholesale power market </w:t>
      </w:r>
      <w:r>
        <w:rPr>
          <w:rFonts w:ascii="Georgia" w:hAnsi="Georgia"/>
          <w:color w:val="404040" w:themeColor="text1" w:themeTint="BF"/>
          <w:sz w:val="20"/>
          <w:szCs w:val="20"/>
        </w:rPr>
        <w:t xml:space="preserve">continued its decline from the highs in September </w:t>
      </w:r>
      <w:r w:rsidR="00E15F61">
        <w:rPr>
          <w:rFonts w:ascii="Georgia" w:hAnsi="Georgia"/>
          <w:color w:val="404040" w:themeColor="text1" w:themeTint="BF"/>
          <w:sz w:val="20"/>
          <w:szCs w:val="20"/>
        </w:rPr>
        <w:t>2018</w:t>
      </w:r>
      <w:r w:rsidR="00E15F61" w:rsidRPr="00E33526">
        <w:rPr>
          <w:rFonts w:ascii="Georgia" w:hAnsi="Georgia"/>
          <w:color w:val="404040" w:themeColor="text1" w:themeTint="BF"/>
          <w:sz w:val="20"/>
          <w:szCs w:val="20"/>
        </w:rPr>
        <w:t xml:space="preserve"> </w:t>
      </w:r>
      <w:r w:rsidR="00E15F61">
        <w:rPr>
          <w:rFonts w:ascii="Georgia" w:hAnsi="Georgia"/>
          <w:color w:val="404040" w:themeColor="text1" w:themeTint="BF"/>
          <w:sz w:val="20"/>
          <w:szCs w:val="20"/>
        </w:rPr>
        <w:t>as</w:t>
      </w:r>
      <w:r>
        <w:rPr>
          <w:rFonts w:ascii="Georgia" w:hAnsi="Georgia"/>
          <w:color w:val="404040" w:themeColor="text1" w:themeTint="BF"/>
          <w:sz w:val="20"/>
          <w:szCs w:val="20"/>
        </w:rPr>
        <w:t xml:space="preserve"> over-supply of LNG and saturated levels of UK gas storage were</w:t>
      </w:r>
      <w:r w:rsidR="002A16EC">
        <w:rPr>
          <w:rFonts w:ascii="Georgia" w:hAnsi="Georgia"/>
          <w:color w:val="404040" w:themeColor="text1" w:themeTint="BF"/>
          <w:sz w:val="20"/>
          <w:szCs w:val="20"/>
        </w:rPr>
        <w:t xml:space="preserve"> </w:t>
      </w:r>
      <w:r>
        <w:rPr>
          <w:rFonts w:ascii="Georgia" w:hAnsi="Georgia"/>
          <w:color w:val="404040" w:themeColor="text1" w:themeTint="BF"/>
          <w:sz w:val="20"/>
          <w:szCs w:val="20"/>
        </w:rPr>
        <w:t>exacerbated by the</w:t>
      </w:r>
      <w:r w:rsidRPr="00DA0B42">
        <w:rPr>
          <w:rFonts w:ascii="Georgia" w:hAnsi="Georgia"/>
          <w:color w:val="404040" w:themeColor="text1" w:themeTint="BF"/>
          <w:sz w:val="20"/>
          <w:szCs w:val="20"/>
        </w:rPr>
        <w:t xml:space="preserve"> </w:t>
      </w:r>
      <w:r>
        <w:rPr>
          <w:rFonts w:ascii="Georgia" w:hAnsi="Georgia"/>
          <w:color w:val="404040" w:themeColor="text1" w:themeTint="BF"/>
          <w:sz w:val="20"/>
          <w:szCs w:val="20"/>
        </w:rPr>
        <w:t xml:space="preserve">stringent lock down conditions imposed in March 2020 in response to Covid-19 and the material depression this created regarding overall </w:t>
      </w:r>
      <w:r w:rsidRPr="00DA0B42">
        <w:rPr>
          <w:rFonts w:ascii="Georgia" w:hAnsi="Georgia"/>
          <w:color w:val="404040" w:themeColor="text1" w:themeTint="BF"/>
          <w:sz w:val="20"/>
          <w:szCs w:val="20"/>
        </w:rPr>
        <w:t xml:space="preserve">demand </w:t>
      </w:r>
      <w:r>
        <w:rPr>
          <w:rFonts w:ascii="Georgia" w:hAnsi="Georgia"/>
          <w:color w:val="404040" w:themeColor="text1" w:themeTint="BF"/>
          <w:sz w:val="20"/>
          <w:szCs w:val="20"/>
        </w:rPr>
        <w:t xml:space="preserve">for electricity </w:t>
      </w:r>
      <w:r w:rsidRPr="00DA0B42">
        <w:rPr>
          <w:rFonts w:ascii="Georgia" w:hAnsi="Georgia"/>
          <w:color w:val="404040" w:themeColor="text1" w:themeTint="BF"/>
          <w:sz w:val="20"/>
          <w:szCs w:val="20"/>
        </w:rPr>
        <w:t>in the UK</w:t>
      </w:r>
      <w:r>
        <w:rPr>
          <w:rFonts w:ascii="Georgia" w:hAnsi="Georgia"/>
          <w:color w:val="404040" w:themeColor="text1" w:themeTint="BF"/>
          <w:sz w:val="20"/>
          <w:szCs w:val="20"/>
        </w:rPr>
        <w:t>.</w:t>
      </w:r>
    </w:p>
    <w:p w14:paraId="2ACB695A" w14:textId="77777777" w:rsidR="0028309F" w:rsidRDefault="0028309F" w:rsidP="00947857">
      <w:pPr>
        <w:jc w:val="both"/>
        <w:rPr>
          <w:rFonts w:ascii="Georgia" w:hAnsi="Georgia"/>
          <w:color w:val="404040" w:themeColor="text1" w:themeTint="BF"/>
          <w:sz w:val="20"/>
          <w:szCs w:val="20"/>
          <w:highlight w:val="yellow"/>
        </w:rPr>
      </w:pPr>
    </w:p>
    <w:p w14:paraId="2835DB1E" w14:textId="05CF2E2E" w:rsidR="00947857" w:rsidRDefault="0028309F" w:rsidP="00947857">
      <w:pPr>
        <w:jc w:val="both"/>
        <w:rPr>
          <w:rFonts w:ascii="Georgia" w:hAnsi="Georgia"/>
          <w:color w:val="404040" w:themeColor="text1" w:themeTint="BF"/>
          <w:sz w:val="20"/>
          <w:szCs w:val="20"/>
        </w:rPr>
      </w:pPr>
      <w:r>
        <w:rPr>
          <w:rFonts w:ascii="Georgia" w:hAnsi="Georgia"/>
          <w:color w:val="404040" w:themeColor="text1" w:themeTint="BF"/>
          <w:sz w:val="20"/>
          <w:szCs w:val="20"/>
        </w:rPr>
        <w:t>However, due to the flexibility of the Company’s power fixing strategy it has</w:t>
      </w:r>
      <w:r w:rsidRPr="00CF6EBB">
        <w:rPr>
          <w:rFonts w:ascii="Georgia" w:hAnsi="Georgia"/>
          <w:color w:val="404040" w:themeColor="text1" w:themeTint="BF"/>
          <w:sz w:val="20"/>
          <w:szCs w:val="20"/>
        </w:rPr>
        <w:t xml:space="preserve"> continued to benefit</w:t>
      </w:r>
      <w:r>
        <w:rPr>
          <w:rFonts w:ascii="Georgia" w:hAnsi="Georgia"/>
          <w:color w:val="404040" w:themeColor="text1" w:themeTint="BF"/>
          <w:sz w:val="20"/>
          <w:szCs w:val="20"/>
        </w:rPr>
        <w:t xml:space="preserve"> over the period</w:t>
      </w:r>
      <w:r w:rsidRPr="00CF6EBB">
        <w:rPr>
          <w:rFonts w:ascii="Georgia" w:hAnsi="Georgia"/>
          <w:color w:val="404040" w:themeColor="text1" w:themeTint="BF"/>
          <w:sz w:val="20"/>
          <w:szCs w:val="20"/>
        </w:rPr>
        <w:t xml:space="preserve"> from the contribution of offtake agreements struck for up to 27 months from September 2018 when prices reached six year highs (up to £67</w:t>
      </w:r>
      <w:r w:rsidR="002A16EC">
        <w:rPr>
          <w:rFonts w:ascii="Georgia" w:hAnsi="Georgia"/>
          <w:color w:val="404040" w:themeColor="text1" w:themeTint="BF"/>
          <w:sz w:val="20"/>
          <w:szCs w:val="20"/>
        </w:rPr>
        <w:t>/</w:t>
      </w:r>
      <w:r w:rsidRPr="00CF6EBB">
        <w:rPr>
          <w:rFonts w:ascii="Georgia" w:hAnsi="Georgia"/>
          <w:color w:val="404040" w:themeColor="text1" w:themeTint="BF"/>
          <w:sz w:val="20"/>
          <w:szCs w:val="20"/>
        </w:rPr>
        <w:t>MWh)</w:t>
      </w:r>
      <w:r>
        <w:rPr>
          <w:rFonts w:ascii="Georgia" w:hAnsi="Georgia"/>
          <w:color w:val="404040" w:themeColor="text1" w:themeTint="BF"/>
          <w:sz w:val="20"/>
          <w:szCs w:val="20"/>
        </w:rPr>
        <w:t>,</w:t>
      </w:r>
      <w:r w:rsidRPr="00CF6EBB">
        <w:rPr>
          <w:rFonts w:ascii="Georgia" w:hAnsi="Georgia"/>
          <w:color w:val="404040" w:themeColor="text1" w:themeTint="BF"/>
          <w:sz w:val="20"/>
          <w:szCs w:val="20"/>
        </w:rPr>
        <w:t xml:space="preserve"> as well as strategically avoiding </w:t>
      </w:r>
      <w:r w:rsidRPr="006A3C20">
        <w:rPr>
          <w:rFonts w:ascii="Georgia" w:hAnsi="Georgia"/>
          <w:color w:val="404040" w:themeColor="text1" w:themeTint="BF"/>
          <w:sz w:val="20"/>
          <w:szCs w:val="20"/>
        </w:rPr>
        <w:t xml:space="preserve">fixing any PPAs during the period April 2020 and July 2020 when day ahead power prices have been close to </w:t>
      </w:r>
      <w:r w:rsidR="002A1942">
        <w:rPr>
          <w:rFonts w:ascii="Georgia" w:hAnsi="Georgia"/>
          <w:color w:val="404040" w:themeColor="text1" w:themeTint="BF"/>
          <w:sz w:val="20"/>
          <w:szCs w:val="20"/>
        </w:rPr>
        <w:t>when day ahead power prices fell to historic lows.</w:t>
      </w:r>
    </w:p>
    <w:p w14:paraId="62FDA723" w14:textId="1D8CC2D0" w:rsidR="00947857" w:rsidRDefault="00947857" w:rsidP="00947857">
      <w:pPr>
        <w:jc w:val="both"/>
        <w:rPr>
          <w:rFonts w:ascii="Georgia" w:hAnsi="Georgia"/>
          <w:color w:val="404040" w:themeColor="text1" w:themeTint="BF"/>
          <w:sz w:val="20"/>
          <w:szCs w:val="20"/>
        </w:rPr>
      </w:pPr>
    </w:p>
    <w:p w14:paraId="1078A1E1" w14:textId="48D4D549" w:rsidR="0028309F" w:rsidRDefault="00676F39" w:rsidP="0028309F">
      <w:pPr>
        <w:jc w:val="both"/>
        <w:rPr>
          <w:rFonts w:ascii="Georgia" w:hAnsi="Georgia"/>
          <w:b/>
          <w:color w:val="404040" w:themeColor="text1" w:themeTint="BF"/>
          <w:sz w:val="20"/>
          <w:szCs w:val="20"/>
        </w:rPr>
      </w:pPr>
      <w:r>
        <w:rPr>
          <w:rFonts w:ascii="Georgia" w:hAnsi="Georgia"/>
          <w:b/>
          <w:color w:val="404040" w:themeColor="text1" w:themeTint="BF"/>
          <w:sz w:val="20"/>
          <w:szCs w:val="20"/>
        </w:rPr>
        <w:t>Covid</w:t>
      </w:r>
      <w:r w:rsidR="0028309F" w:rsidRPr="008F7143">
        <w:rPr>
          <w:rFonts w:ascii="Georgia" w:hAnsi="Georgia"/>
          <w:b/>
          <w:color w:val="404040" w:themeColor="text1" w:themeTint="BF"/>
          <w:sz w:val="20"/>
          <w:szCs w:val="20"/>
        </w:rPr>
        <w:t>-19 Contingency Planning</w:t>
      </w:r>
    </w:p>
    <w:p w14:paraId="7EE6F46D" w14:textId="77777777" w:rsidR="0028309F" w:rsidRPr="008F7143" w:rsidRDefault="0028309F" w:rsidP="0028309F">
      <w:pPr>
        <w:jc w:val="both"/>
        <w:rPr>
          <w:rFonts w:ascii="Georgia" w:hAnsi="Georgia"/>
          <w:b/>
          <w:color w:val="404040" w:themeColor="text1" w:themeTint="BF"/>
          <w:sz w:val="20"/>
          <w:szCs w:val="20"/>
        </w:rPr>
      </w:pPr>
    </w:p>
    <w:p w14:paraId="00E25F89" w14:textId="47409BE2" w:rsidR="0028309F" w:rsidRPr="00973704" w:rsidRDefault="0028309F" w:rsidP="00C57AE1">
      <w:pPr>
        <w:pStyle w:val="bs"/>
        <w:spacing w:before="0" w:beforeAutospacing="0" w:after="242" w:afterAutospacing="0"/>
        <w:jc w:val="both"/>
        <w:rPr>
          <w:rFonts w:ascii="Georgia" w:hAnsi="Georgia"/>
          <w:color w:val="404040" w:themeColor="text1" w:themeTint="BF"/>
          <w:sz w:val="20"/>
          <w:szCs w:val="20"/>
          <w:lang w:eastAsia="en-US"/>
        </w:rPr>
      </w:pPr>
      <w:r w:rsidRPr="00F17C6F">
        <w:rPr>
          <w:rFonts w:ascii="Georgia" w:hAnsi="Georgia"/>
          <w:color w:val="404040" w:themeColor="text1" w:themeTint="BF"/>
          <w:sz w:val="20"/>
          <w:szCs w:val="20"/>
          <w:lang w:eastAsia="en-US"/>
        </w:rPr>
        <w:t xml:space="preserve">The Board has been delighted with the exceptional response by our Investment Adviser and all their employees, including those in both Bluefield Services and Bluefield Operations, to the rapid onset and extended period of the </w:t>
      </w:r>
      <w:proofErr w:type="spellStart"/>
      <w:r w:rsidRPr="00F17C6F">
        <w:rPr>
          <w:rFonts w:ascii="Georgia" w:hAnsi="Georgia"/>
          <w:color w:val="404040" w:themeColor="text1" w:themeTint="BF"/>
          <w:sz w:val="20"/>
          <w:szCs w:val="20"/>
          <w:lang w:eastAsia="en-US"/>
        </w:rPr>
        <w:t>Covid</w:t>
      </w:r>
      <w:proofErr w:type="spellEnd"/>
      <w:r w:rsidRPr="00F17C6F">
        <w:rPr>
          <w:rFonts w:ascii="Georgia" w:hAnsi="Georgia"/>
          <w:color w:val="404040" w:themeColor="text1" w:themeTint="BF"/>
          <w:sz w:val="20"/>
          <w:szCs w:val="20"/>
          <w:lang w:eastAsia="en-US"/>
        </w:rPr>
        <w:t xml:space="preserve"> 19 pandemic. Full details of this response are set out in the report</w:t>
      </w:r>
      <w:r w:rsidR="00236862">
        <w:rPr>
          <w:rFonts w:ascii="Georgia" w:hAnsi="Georgia"/>
          <w:color w:val="404040" w:themeColor="text1" w:themeTint="BF"/>
          <w:sz w:val="20"/>
          <w:szCs w:val="20"/>
          <w:lang w:eastAsia="en-US"/>
        </w:rPr>
        <w:t xml:space="preserve"> of the Investment Advis</w:t>
      </w:r>
      <w:r w:rsidR="002A16EC">
        <w:rPr>
          <w:rFonts w:ascii="Georgia" w:hAnsi="Georgia"/>
          <w:color w:val="404040" w:themeColor="text1" w:themeTint="BF"/>
          <w:sz w:val="20"/>
          <w:szCs w:val="20"/>
          <w:lang w:eastAsia="en-US"/>
        </w:rPr>
        <w:t>e</w:t>
      </w:r>
      <w:r w:rsidR="00236862">
        <w:rPr>
          <w:rFonts w:ascii="Georgia" w:hAnsi="Georgia"/>
          <w:color w:val="404040" w:themeColor="text1" w:themeTint="BF"/>
          <w:sz w:val="20"/>
          <w:szCs w:val="20"/>
          <w:lang w:eastAsia="en-US"/>
        </w:rPr>
        <w:t>r</w:t>
      </w:r>
      <w:r w:rsidRPr="00F17C6F">
        <w:rPr>
          <w:rFonts w:ascii="Georgia" w:hAnsi="Georgia"/>
          <w:color w:val="404040" w:themeColor="text1" w:themeTint="BF"/>
          <w:sz w:val="20"/>
          <w:szCs w:val="20"/>
          <w:lang w:eastAsia="en-US"/>
        </w:rPr>
        <w:t xml:space="preserve"> - and while challenges still remain as the world seeks to overcome this catastrophe</w:t>
      </w:r>
      <w:r w:rsidR="000C09E9">
        <w:rPr>
          <w:rFonts w:ascii="Georgia" w:hAnsi="Georgia"/>
          <w:color w:val="404040" w:themeColor="text1" w:themeTint="BF"/>
          <w:sz w:val="20"/>
          <w:szCs w:val="20"/>
          <w:lang w:eastAsia="en-US"/>
        </w:rPr>
        <w:t>,</w:t>
      </w:r>
      <w:r w:rsidRPr="00F17C6F">
        <w:rPr>
          <w:rFonts w:ascii="Georgia" w:hAnsi="Georgia"/>
          <w:color w:val="404040" w:themeColor="text1" w:themeTint="BF"/>
          <w:sz w:val="20"/>
          <w:szCs w:val="20"/>
          <w:lang w:eastAsia="en-US"/>
        </w:rPr>
        <w:t xml:space="preserve"> we are confident our </w:t>
      </w:r>
      <w:r w:rsidR="000C09E9">
        <w:rPr>
          <w:rFonts w:ascii="Georgia" w:hAnsi="Georgia"/>
          <w:color w:val="404040" w:themeColor="text1" w:themeTint="BF"/>
          <w:sz w:val="20"/>
          <w:szCs w:val="20"/>
          <w:lang w:eastAsia="en-US"/>
        </w:rPr>
        <w:t>Investment A</w:t>
      </w:r>
      <w:r w:rsidRPr="00F17C6F">
        <w:rPr>
          <w:rFonts w:ascii="Georgia" w:hAnsi="Georgia"/>
          <w:color w:val="404040" w:themeColor="text1" w:themeTint="BF"/>
          <w:sz w:val="20"/>
          <w:szCs w:val="20"/>
          <w:lang w:eastAsia="en-US"/>
        </w:rPr>
        <w:t>dviser has the expertise and commitment to sustain this excellent response</w:t>
      </w:r>
      <w:r w:rsidR="00C57AE1">
        <w:rPr>
          <w:rFonts w:ascii="Georgia" w:hAnsi="Georgia"/>
          <w:color w:val="404040" w:themeColor="text1" w:themeTint="BF"/>
          <w:sz w:val="20"/>
          <w:szCs w:val="20"/>
          <w:lang w:eastAsia="en-US"/>
        </w:rPr>
        <w:t>.</w:t>
      </w:r>
    </w:p>
    <w:p w14:paraId="0777CA3D" w14:textId="77777777" w:rsidR="0028309F" w:rsidRPr="00973704" w:rsidRDefault="0028309F" w:rsidP="0028309F">
      <w:pPr>
        <w:jc w:val="both"/>
        <w:rPr>
          <w:rFonts w:ascii="Georgia" w:hAnsi="Georgia"/>
          <w:b/>
          <w:color w:val="404040" w:themeColor="text1" w:themeTint="BF"/>
          <w:sz w:val="20"/>
          <w:szCs w:val="20"/>
        </w:rPr>
      </w:pPr>
      <w:r w:rsidRPr="00973704">
        <w:rPr>
          <w:rFonts w:ascii="Georgia" w:hAnsi="Georgia"/>
          <w:b/>
          <w:color w:val="404040" w:themeColor="text1" w:themeTint="BF"/>
          <w:sz w:val="20"/>
          <w:szCs w:val="20"/>
        </w:rPr>
        <w:t>Environmental, Social and Governance</w:t>
      </w:r>
    </w:p>
    <w:p w14:paraId="199633DF" w14:textId="77777777" w:rsidR="0028309F" w:rsidRPr="00973704" w:rsidRDefault="0028309F" w:rsidP="0028309F">
      <w:pPr>
        <w:jc w:val="both"/>
        <w:rPr>
          <w:color w:val="404040" w:themeColor="text1" w:themeTint="BF"/>
          <w:szCs w:val="20"/>
        </w:rPr>
      </w:pPr>
    </w:p>
    <w:p w14:paraId="3250A959" w14:textId="6A7449C6" w:rsidR="0028309F" w:rsidRPr="00973704" w:rsidRDefault="0018214B" w:rsidP="0028309F">
      <w:pPr>
        <w:jc w:val="both"/>
        <w:rPr>
          <w:rFonts w:ascii="Georgia" w:hAnsi="Georgia"/>
          <w:color w:val="404040" w:themeColor="text1" w:themeTint="BF"/>
          <w:sz w:val="20"/>
          <w:szCs w:val="20"/>
        </w:rPr>
      </w:pPr>
      <w:r>
        <w:rPr>
          <w:rFonts w:ascii="Georgia" w:hAnsi="Georgia"/>
          <w:color w:val="404040" w:themeColor="text1" w:themeTint="BF"/>
          <w:sz w:val="20"/>
          <w:szCs w:val="20"/>
        </w:rPr>
        <w:t>In</w:t>
      </w:r>
      <w:r w:rsidR="0028309F" w:rsidRPr="00973704">
        <w:rPr>
          <w:rFonts w:ascii="Georgia" w:hAnsi="Georgia"/>
          <w:color w:val="404040" w:themeColor="text1" w:themeTint="BF"/>
          <w:sz w:val="20"/>
          <w:szCs w:val="20"/>
        </w:rPr>
        <w:t xml:space="preserve"> this report </w:t>
      </w:r>
      <w:r w:rsidR="0028309F">
        <w:rPr>
          <w:rFonts w:ascii="Georgia" w:hAnsi="Georgia"/>
          <w:color w:val="404040" w:themeColor="text1" w:themeTint="BF"/>
          <w:sz w:val="20"/>
          <w:szCs w:val="20"/>
        </w:rPr>
        <w:t>we</w:t>
      </w:r>
      <w:r w:rsidR="0028309F" w:rsidRPr="00973704">
        <w:rPr>
          <w:rFonts w:ascii="Georgia" w:hAnsi="Georgia"/>
          <w:color w:val="404040" w:themeColor="text1" w:themeTint="BF"/>
          <w:sz w:val="20"/>
          <w:szCs w:val="20"/>
        </w:rPr>
        <w:t xml:space="preserve"> introduce a detailed Environmental, Social and Governance (ESG) report that, for the first time, lays out a more detailed and representative ESG position for the Company</w:t>
      </w:r>
      <w:r w:rsidR="0028309F">
        <w:rPr>
          <w:rFonts w:ascii="Georgia" w:hAnsi="Georgia"/>
          <w:color w:val="404040" w:themeColor="text1" w:themeTint="BF"/>
          <w:sz w:val="20"/>
          <w:szCs w:val="20"/>
        </w:rPr>
        <w:t>, the</w:t>
      </w:r>
      <w:r w:rsidR="0028309F" w:rsidRPr="00973704">
        <w:rPr>
          <w:rFonts w:ascii="Georgia" w:hAnsi="Georgia"/>
          <w:color w:val="404040" w:themeColor="text1" w:themeTint="BF"/>
          <w:sz w:val="20"/>
          <w:szCs w:val="20"/>
        </w:rPr>
        <w:t xml:space="preserve"> Investment Adviser and </w:t>
      </w:r>
      <w:r w:rsidR="0028309F">
        <w:rPr>
          <w:rFonts w:ascii="Georgia" w:hAnsi="Georgia"/>
          <w:color w:val="404040" w:themeColor="text1" w:themeTint="BF"/>
          <w:sz w:val="20"/>
          <w:szCs w:val="20"/>
        </w:rPr>
        <w:t xml:space="preserve">the </w:t>
      </w:r>
      <w:r w:rsidR="0028309F" w:rsidRPr="00973704">
        <w:rPr>
          <w:rFonts w:ascii="Georgia" w:hAnsi="Georgia"/>
          <w:color w:val="404040" w:themeColor="text1" w:themeTint="BF"/>
          <w:sz w:val="20"/>
          <w:szCs w:val="20"/>
        </w:rPr>
        <w:t xml:space="preserve">key service providers. </w:t>
      </w:r>
      <w:r w:rsidR="0028309F">
        <w:rPr>
          <w:rFonts w:ascii="Georgia" w:hAnsi="Georgia"/>
          <w:color w:val="404040" w:themeColor="text1" w:themeTint="BF"/>
          <w:sz w:val="20"/>
          <w:szCs w:val="20"/>
        </w:rPr>
        <w:t xml:space="preserve">It is an area of great importance and we look forward to continuing to focus on this in coming years. </w:t>
      </w:r>
    </w:p>
    <w:p w14:paraId="5B7D876C" w14:textId="77777777" w:rsidR="0028309F" w:rsidRPr="00973704" w:rsidRDefault="0028309F" w:rsidP="0028309F">
      <w:pPr>
        <w:jc w:val="both"/>
        <w:rPr>
          <w:color w:val="404040" w:themeColor="text1" w:themeTint="BF"/>
          <w:szCs w:val="20"/>
        </w:rPr>
      </w:pPr>
    </w:p>
    <w:p w14:paraId="79C11262" w14:textId="77777777" w:rsidR="0028309F" w:rsidRDefault="0028309F" w:rsidP="0028309F">
      <w:pPr>
        <w:jc w:val="both"/>
        <w:rPr>
          <w:rFonts w:ascii="Georgia" w:hAnsi="Georgia"/>
          <w:b/>
          <w:bCs/>
          <w:color w:val="404040" w:themeColor="text1" w:themeTint="BF"/>
          <w:sz w:val="20"/>
          <w:szCs w:val="20"/>
        </w:rPr>
      </w:pPr>
      <w:r w:rsidRPr="00973704">
        <w:rPr>
          <w:rFonts w:ascii="Georgia" w:hAnsi="Georgia"/>
          <w:b/>
          <w:bCs/>
          <w:color w:val="404040" w:themeColor="text1" w:themeTint="BF"/>
          <w:sz w:val="20"/>
          <w:szCs w:val="20"/>
        </w:rPr>
        <w:t>Board of Directors</w:t>
      </w:r>
    </w:p>
    <w:p w14:paraId="7EEB4185" w14:textId="77777777" w:rsidR="0028309F" w:rsidRDefault="0028309F" w:rsidP="0028309F">
      <w:pPr>
        <w:jc w:val="both"/>
        <w:rPr>
          <w:rFonts w:ascii="Georgia" w:hAnsi="Georgia"/>
          <w:b/>
          <w:bCs/>
          <w:color w:val="404040" w:themeColor="text1" w:themeTint="BF"/>
          <w:sz w:val="20"/>
          <w:szCs w:val="20"/>
        </w:rPr>
      </w:pPr>
    </w:p>
    <w:p w14:paraId="223D7857" w14:textId="1B0A8355" w:rsidR="0028309F" w:rsidRPr="00F17C6F" w:rsidRDefault="0028309F" w:rsidP="0028309F">
      <w:pPr>
        <w:jc w:val="both"/>
        <w:rPr>
          <w:rFonts w:ascii="Georgia" w:hAnsi="Georgia"/>
          <w:color w:val="404040" w:themeColor="text1" w:themeTint="BF"/>
          <w:sz w:val="20"/>
          <w:szCs w:val="20"/>
        </w:rPr>
      </w:pPr>
      <w:r w:rsidRPr="00F17C6F">
        <w:rPr>
          <w:rFonts w:ascii="Georgia" w:hAnsi="Georgia"/>
          <w:color w:val="404040" w:themeColor="text1" w:themeTint="BF"/>
          <w:sz w:val="20"/>
          <w:szCs w:val="20"/>
        </w:rPr>
        <w:t>With the exception of Meriel, al</w:t>
      </w:r>
      <w:r w:rsidR="002A16EC">
        <w:rPr>
          <w:rFonts w:ascii="Georgia" w:hAnsi="Georgia"/>
          <w:color w:val="404040" w:themeColor="text1" w:themeTint="BF"/>
          <w:sz w:val="20"/>
          <w:szCs w:val="20"/>
        </w:rPr>
        <w:t>l our Board members joined the C</w:t>
      </w:r>
      <w:r w:rsidRPr="00F17C6F">
        <w:rPr>
          <w:rFonts w:ascii="Georgia" w:hAnsi="Georgia"/>
          <w:color w:val="404040" w:themeColor="text1" w:themeTint="BF"/>
          <w:sz w:val="20"/>
          <w:szCs w:val="20"/>
        </w:rPr>
        <w:t>ompany at the time of our creation in 2013 and this coming financial year will see us advance our plans for board succession and refreshment, recognising</w:t>
      </w:r>
      <w:r w:rsidR="000C09E9">
        <w:rPr>
          <w:rFonts w:ascii="Georgia" w:hAnsi="Georgia"/>
          <w:color w:val="404040" w:themeColor="text1" w:themeTint="BF"/>
          <w:sz w:val="20"/>
          <w:szCs w:val="20"/>
        </w:rPr>
        <w:t xml:space="preserve"> the need for skills cognisant of </w:t>
      </w:r>
      <w:r w:rsidRPr="00F17C6F">
        <w:rPr>
          <w:rFonts w:ascii="Georgia" w:hAnsi="Georgia"/>
          <w:color w:val="404040" w:themeColor="text1" w:themeTint="BF"/>
          <w:sz w:val="20"/>
          <w:szCs w:val="20"/>
        </w:rPr>
        <w:t>the challenges ahead, but also combining those skills with an appropriate level of continuity and ‘corporate memory’ of the successes and challenges of our first seven years</w:t>
      </w:r>
      <w:r w:rsidR="00B24322">
        <w:rPr>
          <w:rFonts w:ascii="Georgia" w:hAnsi="Georgia"/>
          <w:color w:val="404040" w:themeColor="text1" w:themeTint="BF"/>
          <w:sz w:val="20"/>
          <w:szCs w:val="20"/>
        </w:rPr>
        <w:t>.</w:t>
      </w:r>
    </w:p>
    <w:p w14:paraId="50D83496" w14:textId="3AD5118E" w:rsidR="00947857" w:rsidRDefault="00947857" w:rsidP="00947857">
      <w:pPr>
        <w:jc w:val="both"/>
        <w:rPr>
          <w:rFonts w:ascii="Georgia" w:hAnsi="Georgia"/>
          <w:color w:val="404040" w:themeColor="text1" w:themeTint="BF"/>
          <w:sz w:val="20"/>
          <w:szCs w:val="20"/>
        </w:rPr>
      </w:pPr>
    </w:p>
    <w:p w14:paraId="1B0F3793" w14:textId="093839CE" w:rsidR="00947857" w:rsidRDefault="00947857" w:rsidP="00947857">
      <w:pPr>
        <w:jc w:val="both"/>
        <w:rPr>
          <w:rFonts w:ascii="Georgia" w:hAnsi="Georgia"/>
          <w:color w:val="404040" w:themeColor="text1" w:themeTint="BF"/>
          <w:sz w:val="20"/>
          <w:szCs w:val="20"/>
        </w:rPr>
      </w:pPr>
    </w:p>
    <w:p w14:paraId="4D0E46A3" w14:textId="41E0E8F1" w:rsidR="00947857" w:rsidRDefault="00947857" w:rsidP="00947857">
      <w:pPr>
        <w:jc w:val="both"/>
        <w:rPr>
          <w:rFonts w:ascii="Georgia" w:hAnsi="Georgia"/>
          <w:color w:val="404040" w:themeColor="text1" w:themeTint="BF"/>
          <w:sz w:val="20"/>
          <w:szCs w:val="20"/>
        </w:rPr>
      </w:pPr>
    </w:p>
    <w:p w14:paraId="6C553D97" w14:textId="2CA5F983" w:rsidR="00947857" w:rsidRDefault="00947857" w:rsidP="00947857">
      <w:pPr>
        <w:jc w:val="both"/>
        <w:rPr>
          <w:rFonts w:ascii="Georgia" w:hAnsi="Georgia"/>
          <w:color w:val="404040" w:themeColor="text1" w:themeTint="BF"/>
          <w:sz w:val="20"/>
          <w:szCs w:val="20"/>
        </w:rPr>
      </w:pPr>
    </w:p>
    <w:p w14:paraId="7661D77A" w14:textId="432D2BF1" w:rsidR="00947857" w:rsidRDefault="00947857" w:rsidP="00947857">
      <w:pPr>
        <w:jc w:val="both"/>
        <w:rPr>
          <w:rFonts w:ascii="Georgia" w:hAnsi="Georgia"/>
          <w:color w:val="404040" w:themeColor="text1" w:themeTint="BF"/>
          <w:sz w:val="20"/>
          <w:szCs w:val="20"/>
        </w:rPr>
      </w:pPr>
    </w:p>
    <w:p w14:paraId="36FB9F15" w14:textId="67BB1ADA" w:rsidR="00947857" w:rsidRDefault="00947857" w:rsidP="00947857">
      <w:pPr>
        <w:jc w:val="both"/>
        <w:rPr>
          <w:rFonts w:ascii="Georgia" w:hAnsi="Georgia"/>
          <w:color w:val="404040" w:themeColor="text1" w:themeTint="BF"/>
          <w:sz w:val="20"/>
          <w:szCs w:val="20"/>
        </w:rPr>
      </w:pPr>
    </w:p>
    <w:p w14:paraId="10021E73" w14:textId="77777777" w:rsidR="00947857" w:rsidRDefault="00947857" w:rsidP="00947857">
      <w:pPr>
        <w:jc w:val="both"/>
        <w:rPr>
          <w:rFonts w:ascii="Georgia" w:hAnsi="Georgia"/>
          <w:color w:val="404040" w:themeColor="text1" w:themeTint="BF"/>
          <w:sz w:val="20"/>
          <w:szCs w:val="20"/>
          <w:highlight w:val="yellow"/>
        </w:rPr>
      </w:pPr>
    </w:p>
    <w:p w14:paraId="16C4FF54" w14:textId="77777777" w:rsidR="00947857" w:rsidRPr="00701E98" w:rsidRDefault="00947857" w:rsidP="00947857">
      <w:pPr>
        <w:pStyle w:val="Heading2"/>
        <w:spacing w:before="0"/>
      </w:pPr>
      <w:r w:rsidRPr="00701E98">
        <w:rPr>
          <w:color w:val="auto"/>
        </w:rPr>
        <w:lastRenderedPageBreak/>
        <w:t>Chairman’s Statement (continued)</w:t>
      </w:r>
    </w:p>
    <w:p w14:paraId="1E8407AB" w14:textId="77777777" w:rsidR="00947857" w:rsidRDefault="00947857" w:rsidP="00947857">
      <w:pPr>
        <w:jc w:val="both"/>
        <w:rPr>
          <w:rFonts w:ascii="Georgia" w:hAnsi="Georgia"/>
          <w:b/>
          <w:color w:val="404040" w:themeColor="text1" w:themeTint="BF"/>
          <w:sz w:val="20"/>
          <w:szCs w:val="20"/>
          <w:highlight w:val="yellow"/>
        </w:rPr>
      </w:pPr>
    </w:p>
    <w:p w14:paraId="3E31DC31" w14:textId="77777777" w:rsidR="0028309F" w:rsidRPr="00973704" w:rsidRDefault="0028309F" w:rsidP="0028309F">
      <w:pPr>
        <w:jc w:val="both"/>
        <w:rPr>
          <w:b/>
          <w:szCs w:val="20"/>
        </w:rPr>
      </w:pPr>
      <w:r w:rsidRPr="00973704">
        <w:rPr>
          <w:rFonts w:ascii="Georgia" w:hAnsi="Georgia"/>
          <w:b/>
          <w:color w:val="404040" w:themeColor="text1" w:themeTint="BF"/>
          <w:sz w:val="20"/>
          <w:szCs w:val="20"/>
        </w:rPr>
        <w:t>Summary</w:t>
      </w:r>
    </w:p>
    <w:p w14:paraId="19D91AF2" w14:textId="77777777" w:rsidR="0028309F" w:rsidRPr="00973704" w:rsidRDefault="0028309F" w:rsidP="0028309F">
      <w:pPr>
        <w:jc w:val="both"/>
        <w:rPr>
          <w:szCs w:val="20"/>
        </w:rPr>
      </w:pPr>
    </w:p>
    <w:p w14:paraId="38EB72E8" w14:textId="0652B3DC" w:rsidR="0028309F" w:rsidRPr="00973704" w:rsidRDefault="0028309F" w:rsidP="0028309F">
      <w:pPr>
        <w:jc w:val="both"/>
        <w:rPr>
          <w:szCs w:val="20"/>
        </w:rPr>
      </w:pPr>
      <w:r w:rsidRPr="00973704">
        <w:rPr>
          <w:rFonts w:ascii="Georgia" w:hAnsi="Georgia"/>
          <w:color w:val="404040" w:themeColor="text1" w:themeTint="BF"/>
          <w:sz w:val="20"/>
          <w:szCs w:val="20"/>
        </w:rPr>
        <w:t xml:space="preserve">The performance </w:t>
      </w:r>
      <w:r>
        <w:rPr>
          <w:rFonts w:ascii="Georgia" w:hAnsi="Georgia"/>
          <w:color w:val="404040" w:themeColor="text1" w:themeTint="BF"/>
          <w:sz w:val="20"/>
          <w:szCs w:val="20"/>
        </w:rPr>
        <w:t>of</w:t>
      </w:r>
      <w:r w:rsidRPr="00973704">
        <w:rPr>
          <w:rFonts w:ascii="Georgia" w:hAnsi="Georgia"/>
          <w:color w:val="404040" w:themeColor="text1" w:themeTint="BF"/>
          <w:sz w:val="20"/>
          <w:szCs w:val="20"/>
        </w:rPr>
        <w:t xml:space="preserve"> the Company in</w:t>
      </w:r>
      <w:r>
        <w:rPr>
          <w:rFonts w:ascii="Georgia" w:hAnsi="Georgia"/>
          <w:color w:val="404040" w:themeColor="text1" w:themeTint="BF"/>
          <w:sz w:val="20"/>
          <w:szCs w:val="20"/>
        </w:rPr>
        <w:t xml:space="preserve"> the past year</w:t>
      </w:r>
      <w:r w:rsidRPr="00973704">
        <w:rPr>
          <w:rFonts w:ascii="Georgia" w:hAnsi="Georgia"/>
          <w:color w:val="404040" w:themeColor="text1" w:themeTint="BF"/>
          <w:sz w:val="20"/>
          <w:szCs w:val="20"/>
        </w:rPr>
        <w:t xml:space="preserve"> </w:t>
      </w:r>
      <w:r>
        <w:rPr>
          <w:rFonts w:ascii="Georgia" w:hAnsi="Georgia"/>
          <w:color w:val="404040" w:themeColor="text1" w:themeTint="BF"/>
          <w:sz w:val="20"/>
          <w:szCs w:val="20"/>
        </w:rPr>
        <w:t xml:space="preserve">has been </w:t>
      </w:r>
      <w:r w:rsidRPr="00973704">
        <w:rPr>
          <w:rFonts w:ascii="Georgia" w:hAnsi="Georgia"/>
          <w:color w:val="404040" w:themeColor="text1" w:themeTint="BF"/>
          <w:sz w:val="20"/>
          <w:szCs w:val="20"/>
        </w:rPr>
        <w:t xml:space="preserve">very pleasing and consolidates an above </w:t>
      </w:r>
      <w:r>
        <w:rPr>
          <w:rFonts w:ascii="Georgia" w:hAnsi="Georgia"/>
          <w:color w:val="404040" w:themeColor="text1" w:themeTint="BF"/>
          <w:sz w:val="20"/>
          <w:szCs w:val="20"/>
        </w:rPr>
        <w:t>target</w:t>
      </w:r>
      <w:r w:rsidRPr="00973704">
        <w:rPr>
          <w:rFonts w:ascii="Georgia" w:hAnsi="Georgia"/>
          <w:color w:val="404040" w:themeColor="text1" w:themeTint="BF"/>
          <w:sz w:val="20"/>
          <w:szCs w:val="20"/>
        </w:rPr>
        <w:t xml:space="preserve"> performance since IPO. This strength of the financial performance, the valuation and</w:t>
      </w:r>
      <w:r>
        <w:rPr>
          <w:rFonts w:ascii="Georgia" w:hAnsi="Georgia"/>
          <w:color w:val="404040" w:themeColor="text1" w:themeTint="BF"/>
          <w:sz w:val="20"/>
          <w:szCs w:val="20"/>
        </w:rPr>
        <w:t xml:space="preserve"> our conservative</w:t>
      </w:r>
      <w:r w:rsidRPr="00973704">
        <w:rPr>
          <w:rFonts w:ascii="Georgia" w:hAnsi="Georgia"/>
          <w:color w:val="404040" w:themeColor="text1" w:themeTint="BF"/>
          <w:sz w:val="20"/>
          <w:szCs w:val="20"/>
        </w:rPr>
        <w:t xml:space="preserve"> debt levels mean that the Company is in a position to look at growing </w:t>
      </w:r>
      <w:r w:rsidR="002A16EC">
        <w:rPr>
          <w:rFonts w:ascii="Georgia" w:hAnsi="Georgia"/>
          <w:color w:val="404040" w:themeColor="text1" w:themeTint="BF"/>
          <w:sz w:val="20"/>
          <w:szCs w:val="20"/>
        </w:rPr>
        <w:t>its</w:t>
      </w:r>
      <w:r w:rsidRPr="00973704">
        <w:rPr>
          <w:rFonts w:ascii="Georgia" w:hAnsi="Georgia"/>
          <w:color w:val="404040" w:themeColor="text1" w:themeTint="BF"/>
          <w:sz w:val="20"/>
          <w:szCs w:val="20"/>
        </w:rPr>
        <w:t xml:space="preserve"> asset base through either secondary or primary acquisitions, whilst continuing the focus on the optimisation of the current portfolio</w:t>
      </w:r>
      <w:r>
        <w:rPr>
          <w:rFonts w:ascii="Georgia" w:hAnsi="Georgia"/>
          <w:color w:val="404040" w:themeColor="text1" w:themeTint="BF"/>
          <w:sz w:val="20"/>
          <w:szCs w:val="20"/>
        </w:rPr>
        <w:t xml:space="preserve"> and the delivery of attractive income</w:t>
      </w:r>
      <w:r w:rsidRPr="00973704">
        <w:rPr>
          <w:rFonts w:ascii="Georgia" w:hAnsi="Georgia"/>
          <w:color w:val="404040" w:themeColor="text1" w:themeTint="BF"/>
          <w:sz w:val="20"/>
          <w:szCs w:val="20"/>
        </w:rPr>
        <w:t xml:space="preserve">. </w:t>
      </w:r>
      <w:r w:rsidRPr="00973704">
        <w:rPr>
          <w:szCs w:val="20"/>
        </w:rPr>
        <w:t xml:space="preserve"> </w:t>
      </w:r>
    </w:p>
    <w:p w14:paraId="3BA40293" w14:textId="77777777" w:rsidR="0028309F" w:rsidRDefault="0028309F" w:rsidP="0028309F">
      <w:pPr>
        <w:jc w:val="both"/>
        <w:rPr>
          <w:rFonts w:ascii="Georgia" w:hAnsi="Georgia"/>
          <w:color w:val="404040" w:themeColor="text1" w:themeTint="BF"/>
          <w:sz w:val="20"/>
          <w:szCs w:val="20"/>
        </w:rPr>
      </w:pPr>
    </w:p>
    <w:p w14:paraId="0D64344F" w14:textId="007ABF51" w:rsidR="0028309F" w:rsidRPr="00973704" w:rsidRDefault="00676F39" w:rsidP="0028309F">
      <w:pPr>
        <w:jc w:val="both"/>
        <w:rPr>
          <w:rFonts w:ascii="Georgia" w:hAnsi="Georgia"/>
          <w:color w:val="404040" w:themeColor="text1" w:themeTint="BF"/>
          <w:sz w:val="20"/>
          <w:szCs w:val="20"/>
        </w:rPr>
      </w:pPr>
      <w:r w:rsidRPr="00727B83">
        <w:rPr>
          <w:rFonts w:ascii="Georgia" w:hAnsi="Georgia"/>
          <w:color w:val="404040" w:themeColor="text1" w:themeTint="BF"/>
          <w:sz w:val="20"/>
          <w:szCs w:val="20"/>
        </w:rPr>
        <w:t>I am well aware that the past six months have been a challenging time for all our staff, whether working from home or in the field, and the Board and I would like to extend our thanks for their service and support in delivering another set of exceptional results.</w:t>
      </w:r>
    </w:p>
    <w:p w14:paraId="58376D33" w14:textId="77777777" w:rsidR="0028309F" w:rsidRPr="00973704" w:rsidRDefault="0028309F" w:rsidP="0028309F">
      <w:pPr>
        <w:jc w:val="both"/>
        <w:rPr>
          <w:rFonts w:ascii="Georgia" w:hAnsi="Georgia"/>
          <w:color w:val="404040" w:themeColor="text1" w:themeTint="BF"/>
          <w:sz w:val="20"/>
          <w:szCs w:val="20"/>
        </w:rPr>
      </w:pPr>
    </w:p>
    <w:p w14:paraId="616527B3" w14:textId="77777777" w:rsidR="0028309F" w:rsidRPr="00973704" w:rsidRDefault="0028309F" w:rsidP="0028309F">
      <w:pPr>
        <w:jc w:val="both"/>
        <w:rPr>
          <w:rFonts w:ascii="Georgia" w:hAnsi="Georgia"/>
          <w:b/>
          <w:color w:val="404040" w:themeColor="text1" w:themeTint="BF"/>
          <w:sz w:val="20"/>
          <w:szCs w:val="20"/>
        </w:rPr>
      </w:pPr>
      <w:r w:rsidRPr="00973704">
        <w:rPr>
          <w:rFonts w:ascii="Georgia" w:hAnsi="Georgia"/>
          <w:b/>
          <w:color w:val="404040" w:themeColor="text1" w:themeTint="BF"/>
          <w:sz w:val="20"/>
          <w:szCs w:val="20"/>
        </w:rPr>
        <w:t>John Rennocks</w:t>
      </w:r>
    </w:p>
    <w:p w14:paraId="00B0E6A2" w14:textId="77777777" w:rsidR="0028309F" w:rsidRPr="00973704" w:rsidRDefault="0028309F" w:rsidP="0028309F">
      <w:pPr>
        <w:jc w:val="both"/>
        <w:rPr>
          <w:rFonts w:ascii="Georgia" w:hAnsi="Georgia"/>
          <w:color w:val="404040" w:themeColor="text1" w:themeTint="BF"/>
          <w:sz w:val="20"/>
          <w:szCs w:val="20"/>
        </w:rPr>
      </w:pPr>
      <w:r w:rsidRPr="00973704">
        <w:rPr>
          <w:rFonts w:ascii="Georgia" w:hAnsi="Georgia"/>
          <w:color w:val="404040" w:themeColor="text1" w:themeTint="BF"/>
          <w:sz w:val="20"/>
          <w:szCs w:val="20"/>
        </w:rPr>
        <w:t>Chairman</w:t>
      </w:r>
    </w:p>
    <w:p w14:paraId="1D8C77D8" w14:textId="4355D685" w:rsidR="0028309F" w:rsidRDefault="00851867" w:rsidP="0028309F">
      <w:pPr>
        <w:jc w:val="both"/>
      </w:pPr>
      <w:r>
        <w:rPr>
          <w:rFonts w:ascii="Georgia" w:hAnsi="Georgia"/>
          <w:color w:val="404040" w:themeColor="text1" w:themeTint="BF"/>
          <w:sz w:val="20"/>
          <w:szCs w:val="20"/>
        </w:rPr>
        <w:t>21</w:t>
      </w:r>
      <w:r w:rsidR="0028309F" w:rsidRPr="00973704">
        <w:rPr>
          <w:rFonts w:ascii="Georgia" w:hAnsi="Georgia"/>
          <w:color w:val="404040" w:themeColor="text1" w:themeTint="BF"/>
          <w:sz w:val="20"/>
          <w:szCs w:val="20"/>
        </w:rPr>
        <w:t xml:space="preserve"> September 2020</w:t>
      </w:r>
    </w:p>
    <w:p w14:paraId="6950082E" w14:textId="3E1EC8F2" w:rsidR="00947857" w:rsidRDefault="00947857" w:rsidP="00947857">
      <w:pPr>
        <w:jc w:val="both"/>
        <w:rPr>
          <w:rFonts w:ascii="Georgia" w:hAnsi="Georgia"/>
          <w:color w:val="404040" w:themeColor="text1" w:themeTint="BF"/>
          <w:sz w:val="20"/>
          <w:szCs w:val="20"/>
        </w:rPr>
      </w:pPr>
    </w:p>
    <w:p w14:paraId="3E0FD44A" w14:textId="20BE2844" w:rsidR="00947857" w:rsidRDefault="00947857" w:rsidP="00947857">
      <w:pPr>
        <w:jc w:val="both"/>
        <w:rPr>
          <w:rFonts w:ascii="Georgia" w:hAnsi="Georgia"/>
          <w:color w:val="404040" w:themeColor="text1" w:themeTint="BF"/>
          <w:sz w:val="20"/>
          <w:szCs w:val="20"/>
        </w:rPr>
      </w:pPr>
    </w:p>
    <w:p w14:paraId="3A1B7C5D" w14:textId="4D129076" w:rsidR="00947857" w:rsidRDefault="00947857" w:rsidP="00947857">
      <w:pPr>
        <w:jc w:val="both"/>
        <w:rPr>
          <w:rFonts w:ascii="Georgia" w:hAnsi="Georgia"/>
          <w:color w:val="404040" w:themeColor="text1" w:themeTint="BF"/>
          <w:sz w:val="20"/>
          <w:szCs w:val="20"/>
        </w:rPr>
      </w:pPr>
    </w:p>
    <w:p w14:paraId="5C3CD1E3" w14:textId="7E026D42" w:rsidR="00947857" w:rsidRDefault="00947857" w:rsidP="00947857">
      <w:pPr>
        <w:jc w:val="both"/>
        <w:rPr>
          <w:rFonts w:ascii="Georgia" w:hAnsi="Georgia"/>
          <w:color w:val="404040" w:themeColor="text1" w:themeTint="BF"/>
          <w:sz w:val="20"/>
          <w:szCs w:val="20"/>
        </w:rPr>
      </w:pPr>
    </w:p>
    <w:p w14:paraId="3E268559" w14:textId="6F4090A1" w:rsidR="00947857" w:rsidRDefault="00947857" w:rsidP="00947857">
      <w:pPr>
        <w:jc w:val="both"/>
        <w:rPr>
          <w:rFonts w:ascii="Georgia" w:hAnsi="Georgia"/>
          <w:color w:val="404040" w:themeColor="text1" w:themeTint="BF"/>
          <w:sz w:val="20"/>
          <w:szCs w:val="20"/>
        </w:rPr>
      </w:pPr>
    </w:p>
    <w:p w14:paraId="1AF97198" w14:textId="77777777" w:rsidR="00947857" w:rsidRPr="00973704" w:rsidRDefault="00947857" w:rsidP="00947857">
      <w:pPr>
        <w:jc w:val="both"/>
        <w:rPr>
          <w:szCs w:val="20"/>
        </w:rPr>
      </w:pPr>
    </w:p>
    <w:p w14:paraId="6538544B" w14:textId="22906AFE" w:rsidR="00947857" w:rsidRPr="00334162" w:rsidRDefault="00947857" w:rsidP="00947857">
      <w:pPr>
        <w:pStyle w:val="Heading2"/>
        <w:spacing w:before="0"/>
      </w:pPr>
      <w:r w:rsidRPr="00334162">
        <w:lastRenderedPageBreak/>
        <w:t>The Company’s Investment Portfolio</w:t>
      </w:r>
    </w:p>
    <w:p w14:paraId="5BB49060" w14:textId="74EEA27A" w:rsidR="007B3943" w:rsidRPr="003E7262" w:rsidRDefault="003E7262" w:rsidP="007B3943">
      <w:pPr>
        <w:rPr>
          <w:noProof/>
          <w:highlight w:val="yellow"/>
          <w:lang w:eastAsia="en-GB"/>
        </w:rPr>
      </w:pPr>
      <w:r>
        <w:rPr>
          <w:noProof/>
          <w:lang w:eastAsia="zh-CN"/>
        </w:rPr>
        <w:drawing>
          <wp:inline distT="0" distB="0" distL="0" distR="0" wp14:anchorId="5063718F" wp14:editId="4930AD82">
            <wp:extent cx="5879703" cy="8516679"/>
            <wp:effectExtent l="0" t="0" r="6985" b="0"/>
            <wp:docPr id="4" name="Picture 4" descr="cid:EF4DC843-A974-4BAD-A678-6427448E7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51BD8-C1B8-4516-B3E6-CBC2A979BE51" descr="cid:EF4DC843-A974-4BAD-A678-6427448E7CAC"/>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880716" cy="8518146"/>
                    </a:xfrm>
                    <a:prstGeom prst="rect">
                      <a:avLst/>
                    </a:prstGeom>
                    <a:noFill/>
                    <a:ln>
                      <a:noFill/>
                    </a:ln>
                  </pic:spPr>
                </pic:pic>
              </a:graphicData>
            </a:graphic>
          </wp:inline>
        </w:drawing>
      </w:r>
    </w:p>
    <w:p w14:paraId="39139FF9" w14:textId="77777777" w:rsidR="007B3943" w:rsidRPr="00334162" w:rsidRDefault="007B3943" w:rsidP="007B3943">
      <w:pPr>
        <w:pStyle w:val="Heading2"/>
        <w:spacing w:before="0"/>
      </w:pPr>
      <w:r w:rsidRPr="00334162">
        <w:lastRenderedPageBreak/>
        <w:t xml:space="preserve">Analysis of the Company’s Investment Portfolio </w:t>
      </w:r>
    </w:p>
    <w:p w14:paraId="594A7175" w14:textId="7F950953" w:rsidR="007B3943" w:rsidRPr="00A90128" w:rsidRDefault="003E7262" w:rsidP="003E7262">
      <w:pPr>
        <w:pStyle w:val="body"/>
        <w:rPr>
          <w:noProof/>
          <w:highlight w:val="yellow"/>
          <w:lang w:eastAsia="zh-CN"/>
        </w:rPr>
      </w:pPr>
      <w:r>
        <w:rPr>
          <w:noProof/>
          <w:lang w:eastAsia="zh-CN"/>
        </w:rPr>
        <w:drawing>
          <wp:inline distT="0" distB="0" distL="0" distR="0" wp14:anchorId="1C60E120" wp14:editId="4E5C30F7">
            <wp:extent cx="5837274" cy="8455220"/>
            <wp:effectExtent l="0" t="0" r="0" b="3175"/>
            <wp:docPr id="6" name="Picture 6" descr="cid:986196B7-65BC-4852-81A7-49A770BA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280E02-0C8B-4C7A-804D-2FCAAC3C77B6" descr="cid:986196B7-65BC-4852-81A7-49A770BA652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838453" cy="8456928"/>
                    </a:xfrm>
                    <a:prstGeom prst="rect">
                      <a:avLst/>
                    </a:prstGeom>
                    <a:noFill/>
                    <a:ln>
                      <a:noFill/>
                    </a:ln>
                  </pic:spPr>
                </pic:pic>
              </a:graphicData>
            </a:graphic>
          </wp:inline>
        </w:drawing>
      </w:r>
    </w:p>
    <w:p w14:paraId="17EF774A" w14:textId="77777777" w:rsidR="007B3943" w:rsidRPr="00E1798B" w:rsidRDefault="007B3943" w:rsidP="007B3943">
      <w:pPr>
        <w:pStyle w:val="Heading2"/>
        <w:spacing w:before="0"/>
      </w:pPr>
      <w:r w:rsidRPr="00E1798B">
        <w:lastRenderedPageBreak/>
        <w:t>Analysis of the Company’s Investment Portfolio (continued)</w:t>
      </w:r>
    </w:p>
    <w:p w14:paraId="59D6C960" w14:textId="3635A600" w:rsidR="007B3943" w:rsidRPr="00A90128" w:rsidRDefault="00D966B7" w:rsidP="007B3943">
      <w:pPr>
        <w:pStyle w:val="body"/>
        <w:rPr>
          <w:noProof/>
          <w:highlight w:val="yellow"/>
          <w:lang w:eastAsia="zh-CN"/>
        </w:rPr>
      </w:pPr>
      <w:r>
        <w:rPr>
          <w:noProof/>
          <w:lang w:eastAsia="zh-CN"/>
        </w:rPr>
        <w:drawing>
          <wp:inline distT="0" distB="0" distL="0" distR="0" wp14:anchorId="4532EAAA" wp14:editId="75DCFED2">
            <wp:extent cx="5871414" cy="8506047"/>
            <wp:effectExtent l="0" t="0" r="0" b="0"/>
            <wp:docPr id="22" name="Picture 22" descr="cid:6B11FDE6-839E-4AE9-AF55-ACFBEFE98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8FA8AD-C361-471E-8080-17E73295E937" descr="cid:6B11FDE6-839E-4AE9-AF55-ACFBEFE98D9B"/>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872128" cy="8507081"/>
                    </a:xfrm>
                    <a:prstGeom prst="rect">
                      <a:avLst/>
                    </a:prstGeom>
                    <a:noFill/>
                    <a:ln>
                      <a:noFill/>
                    </a:ln>
                  </pic:spPr>
                </pic:pic>
              </a:graphicData>
            </a:graphic>
          </wp:inline>
        </w:drawing>
      </w:r>
      <w:r w:rsidR="007B3943" w:rsidRPr="00A90128" w:rsidDel="002F13BC">
        <w:rPr>
          <w:noProof/>
          <w:highlight w:val="yellow"/>
          <w:lang w:eastAsia="zh-CN"/>
        </w:rPr>
        <w:t xml:space="preserve"> </w:t>
      </w:r>
    </w:p>
    <w:p w14:paraId="1FF85DD0" w14:textId="77777777" w:rsidR="007B3943" w:rsidRPr="00E1798B" w:rsidRDefault="007B3943" w:rsidP="007B3943">
      <w:pPr>
        <w:pStyle w:val="Heading2"/>
        <w:spacing w:before="0"/>
      </w:pPr>
      <w:r w:rsidRPr="00E1798B">
        <w:lastRenderedPageBreak/>
        <w:t>Analysis of the Company’s Investment Portfolio (continued)</w:t>
      </w:r>
    </w:p>
    <w:p w14:paraId="5BF25D8E" w14:textId="6CFBE963" w:rsidR="007B3943" w:rsidRPr="00A90128" w:rsidRDefault="00D966B7" w:rsidP="007B3943">
      <w:pPr>
        <w:pStyle w:val="body"/>
        <w:rPr>
          <w:noProof/>
          <w:highlight w:val="yellow"/>
          <w:lang w:eastAsia="zh-CN"/>
        </w:rPr>
      </w:pPr>
      <w:r>
        <w:rPr>
          <w:noProof/>
          <w:lang w:eastAsia="zh-CN"/>
        </w:rPr>
        <w:drawing>
          <wp:inline distT="0" distB="0" distL="0" distR="0" wp14:anchorId="27DB3091" wp14:editId="4BB8F05B">
            <wp:extent cx="5834717" cy="8452884"/>
            <wp:effectExtent l="0" t="0" r="0" b="5715"/>
            <wp:docPr id="28" name="Picture 28" descr="cid:D4015C9C-71C5-46B0-8DA7-AF814962A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E1C977-EDF8-431E-935A-3900BA051061" descr="cid:D4015C9C-71C5-46B0-8DA7-AF814962AC4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835561" cy="8454107"/>
                    </a:xfrm>
                    <a:prstGeom prst="rect">
                      <a:avLst/>
                    </a:prstGeom>
                    <a:noFill/>
                    <a:ln>
                      <a:noFill/>
                    </a:ln>
                  </pic:spPr>
                </pic:pic>
              </a:graphicData>
            </a:graphic>
          </wp:inline>
        </w:drawing>
      </w:r>
      <w:r w:rsidR="007B3943" w:rsidRPr="00A90128" w:rsidDel="00236F74">
        <w:rPr>
          <w:noProof/>
          <w:highlight w:val="yellow"/>
          <w:lang w:eastAsia="zh-CN"/>
        </w:rPr>
        <w:t xml:space="preserve"> </w:t>
      </w:r>
    </w:p>
    <w:p w14:paraId="7BFBF835" w14:textId="77777777" w:rsidR="007B3943" w:rsidRPr="00A90128" w:rsidRDefault="007B3943" w:rsidP="007B3943">
      <w:pPr>
        <w:pStyle w:val="Heading2"/>
        <w:spacing w:before="0"/>
        <w:rPr>
          <w:color w:val="auto"/>
        </w:rPr>
      </w:pPr>
      <w:r w:rsidRPr="00A90128">
        <w:rPr>
          <w:color w:val="auto"/>
        </w:rPr>
        <w:lastRenderedPageBreak/>
        <w:t>Strategic Report</w:t>
      </w:r>
    </w:p>
    <w:p w14:paraId="0C6E117A" w14:textId="77777777" w:rsidR="007B3943" w:rsidRPr="00A90128" w:rsidRDefault="007B3943" w:rsidP="007B3943"/>
    <w:p w14:paraId="156739A3" w14:textId="77777777" w:rsidR="00F502F8" w:rsidRPr="00A90128" w:rsidRDefault="00F502F8" w:rsidP="000916C2">
      <w:pPr>
        <w:pStyle w:val="ListParagraph"/>
        <w:numPr>
          <w:ilvl w:val="0"/>
          <w:numId w:val="2"/>
        </w:numPr>
        <w:ind w:left="357" w:hanging="357"/>
        <w:rPr>
          <w:rFonts w:ascii="Georgia" w:hAnsi="Georgia" w:cs="Calibri"/>
          <w:b/>
          <w:color w:val="404040" w:themeColor="text1" w:themeTint="BF"/>
          <w:sz w:val="20"/>
        </w:rPr>
      </w:pPr>
      <w:r w:rsidRPr="00A90128">
        <w:rPr>
          <w:rFonts w:ascii="Georgia" w:hAnsi="Georgia" w:cs="Calibri"/>
          <w:b/>
          <w:color w:val="404040" w:themeColor="text1" w:themeTint="BF"/>
          <w:sz w:val="20"/>
        </w:rPr>
        <w:t>Company’s Objectives and Strategy</w:t>
      </w:r>
    </w:p>
    <w:p w14:paraId="341ACCC6" w14:textId="77777777" w:rsidR="00F502F8" w:rsidRPr="00A90128" w:rsidRDefault="00F502F8" w:rsidP="00F502F8">
      <w:pPr>
        <w:rPr>
          <w:rFonts w:ascii="Georgia" w:hAnsi="Georgia" w:cs="Calibri"/>
          <w:b/>
          <w:color w:val="404040" w:themeColor="text1" w:themeTint="BF"/>
          <w:sz w:val="20"/>
        </w:rPr>
      </w:pPr>
    </w:p>
    <w:p w14:paraId="1D14192D" w14:textId="22D241C5" w:rsidR="00C57AE1" w:rsidRDefault="00320DD0" w:rsidP="00C57AE1">
      <w:pPr>
        <w:pStyle w:val="BluefieldBody"/>
      </w:pPr>
      <w:r>
        <w:t>The Company seeks to provide S</w:t>
      </w:r>
      <w:r w:rsidR="00C57AE1" w:rsidRPr="00A90128">
        <w:t>hareholders with an attractive, sustainable return, principally in the form of quarterly income distributions, by in</w:t>
      </w:r>
      <w:r w:rsidR="00B24322">
        <w:t>vesting in a portfolio of large-</w:t>
      </w:r>
      <w:r w:rsidR="00C57AE1" w:rsidRPr="00A90128">
        <w:t>scale UK based solar energy infrastructure assets. The Company ha</w:t>
      </w:r>
      <w:r w:rsidR="00C57AE1">
        <w:t>d</w:t>
      </w:r>
      <w:r w:rsidR="00C57AE1" w:rsidRPr="00A90128">
        <w:t xml:space="preserve"> a dividend target that </w:t>
      </w:r>
      <w:r w:rsidR="00C57AE1">
        <w:t>was</w:t>
      </w:r>
      <w:r w:rsidR="00C57AE1" w:rsidRPr="00A90128">
        <w:t xml:space="preserve"> increased at the end of each financial year in line with RPI</w:t>
      </w:r>
      <w:r w:rsidR="00C57AE1">
        <w:t xml:space="preserve"> during the financial year.  This was amended to a progressive dividend target after year end.  </w:t>
      </w:r>
      <w:r w:rsidR="00C57AE1" w:rsidRPr="00A90128">
        <w:t>Subject to maintaining a prudent level of reserves, the Company aims to achieve this through optimisation of asset performance, acquisitions and the use of gearing. The Company’s dividend target for the fina</w:t>
      </w:r>
      <w:r w:rsidR="00C57AE1" w:rsidRPr="00E35F0C">
        <w:t xml:space="preserve">ncial year ended 30 June 2020 is 7.90pps and the Company has declared </w:t>
      </w:r>
      <w:r w:rsidR="00C57AE1">
        <w:t xml:space="preserve">four interim </w:t>
      </w:r>
      <w:r w:rsidR="00C57AE1" w:rsidRPr="00E35F0C">
        <w:t xml:space="preserve">dividends </w:t>
      </w:r>
      <w:r w:rsidR="00C57AE1">
        <w:t xml:space="preserve">totalling </w:t>
      </w:r>
      <w:r w:rsidR="00C57AE1" w:rsidRPr="00E35F0C">
        <w:t>this amount.</w:t>
      </w:r>
    </w:p>
    <w:p w14:paraId="2FFDC8DC" w14:textId="77777777" w:rsidR="00F502F8" w:rsidRDefault="00F502F8" w:rsidP="00F502F8">
      <w:pPr>
        <w:pStyle w:val="BluefieldBody"/>
      </w:pPr>
    </w:p>
    <w:p w14:paraId="360F67EE" w14:textId="0D84F453" w:rsidR="00F502F8" w:rsidRPr="001B56EC" w:rsidRDefault="00F502F8" w:rsidP="00F502F8">
      <w:pPr>
        <w:pStyle w:val="BluefieldBody"/>
      </w:pPr>
      <w:r w:rsidRPr="001B56EC">
        <w:t xml:space="preserve">The Operational and Financial Review section on </w:t>
      </w:r>
      <w:r w:rsidRPr="006F3DF3">
        <w:t xml:space="preserve">page </w:t>
      </w:r>
      <w:r w:rsidR="00E54B78" w:rsidRPr="00E54B78">
        <w:t>21</w:t>
      </w:r>
      <w:r w:rsidRPr="001B56EC">
        <w:t xml:space="preserve"> provides further information relating to performance during the </w:t>
      </w:r>
      <w:r>
        <w:t>year</w:t>
      </w:r>
      <w:r w:rsidRPr="001B56EC">
        <w:t>.</w:t>
      </w:r>
    </w:p>
    <w:p w14:paraId="0812F54C" w14:textId="77777777" w:rsidR="00F502F8" w:rsidRPr="001B56EC" w:rsidRDefault="00F502F8" w:rsidP="00F502F8">
      <w:pPr>
        <w:rPr>
          <w:rFonts w:ascii="Georgia" w:hAnsi="Georgia" w:cs="Calibri"/>
          <w:b/>
          <w:color w:val="404040" w:themeColor="text1" w:themeTint="BF"/>
          <w:sz w:val="20"/>
        </w:rPr>
      </w:pPr>
    </w:p>
    <w:p w14:paraId="5A59244C" w14:textId="77777777" w:rsidR="00F502F8" w:rsidRPr="001B56EC" w:rsidRDefault="00F502F8" w:rsidP="000916C2">
      <w:pPr>
        <w:pStyle w:val="ListParagraph"/>
        <w:numPr>
          <w:ilvl w:val="0"/>
          <w:numId w:val="2"/>
        </w:numPr>
        <w:ind w:left="357" w:hanging="357"/>
        <w:rPr>
          <w:rFonts w:ascii="Georgia" w:hAnsi="Georgia" w:cs="Calibri"/>
          <w:b/>
          <w:color w:val="404040" w:themeColor="text1" w:themeTint="BF"/>
          <w:sz w:val="20"/>
        </w:rPr>
      </w:pPr>
      <w:r w:rsidRPr="001B56EC">
        <w:rPr>
          <w:rFonts w:ascii="Georgia" w:hAnsi="Georgia" w:cs="Calibri"/>
          <w:b/>
          <w:color w:val="404040" w:themeColor="text1" w:themeTint="BF"/>
          <w:sz w:val="20"/>
        </w:rPr>
        <w:t>Company’s Operating Model</w:t>
      </w:r>
    </w:p>
    <w:p w14:paraId="28D26096" w14:textId="77777777" w:rsidR="00F502F8" w:rsidRPr="001B56EC" w:rsidRDefault="00F502F8" w:rsidP="00F502F8">
      <w:pPr>
        <w:rPr>
          <w:rFonts w:ascii="Georgia" w:hAnsi="Georgia" w:cs="Calibri"/>
          <w:b/>
          <w:color w:val="404040" w:themeColor="text1" w:themeTint="BF"/>
          <w:sz w:val="20"/>
        </w:rPr>
      </w:pPr>
    </w:p>
    <w:p w14:paraId="29D02054" w14:textId="77777777" w:rsidR="00F502F8" w:rsidRPr="001B56EC" w:rsidRDefault="00F502F8" w:rsidP="00F502F8">
      <w:pPr>
        <w:rPr>
          <w:rFonts w:ascii="Georgia" w:hAnsi="Georgia" w:cs="Calibri"/>
          <w:b/>
          <w:color w:val="404040" w:themeColor="text1" w:themeTint="BF"/>
          <w:sz w:val="20"/>
        </w:rPr>
      </w:pPr>
      <w:r w:rsidRPr="001B56EC">
        <w:rPr>
          <w:rFonts w:ascii="Georgia" w:hAnsi="Georgia" w:cs="Calibri"/>
          <w:b/>
          <w:color w:val="404040" w:themeColor="text1" w:themeTint="BF"/>
          <w:sz w:val="20"/>
        </w:rPr>
        <w:t>Structure</w:t>
      </w:r>
    </w:p>
    <w:p w14:paraId="57CACB2B" w14:textId="77777777" w:rsidR="007B3943" w:rsidRPr="001B56EC" w:rsidRDefault="007B3943" w:rsidP="007B3943">
      <w:pPr>
        <w:rPr>
          <w:rFonts w:ascii="Georgia" w:hAnsi="Georgia" w:cs="Calibri"/>
          <w:b/>
          <w:color w:val="404040" w:themeColor="text1" w:themeTint="BF"/>
          <w:sz w:val="20"/>
        </w:rPr>
      </w:pPr>
    </w:p>
    <w:p w14:paraId="19E11B06" w14:textId="77777777" w:rsidR="007B3943" w:rsidRDefault="007B3943" w:rsidP="007B3943">
      <w:pPr>
        <w:jc w:val="both"/>
        <w:rPr>
          <w:rFonts w:ascii="Georgia" w:hAnsi="Georgia" w:cs="Calibri"/>
          <w:color w:val="404040" w:themeColor="text1" w:themeTint="BF"/>
          <w:sz w:val="20"/>
        </w:rPr>
      </w:pPr>
      <w:r w:rsidRPr="001B56EC">
        <w:rPr>
          <w:rFonts w:ascii="Georgia" w:hAnsi="Georgia" w:cs="Calibri"/>
          <w:color w:val="404040" w:themeColor="text1" w:themeTint="BF"/>
          <w:sz w:val="20"/>
        </w:rPr>
        <w:t xml:space="preserve">The Company holds and manages its investments through a </w:t>
      </w:r>
      <w:r w:rsidRPr="002B4E15">
        <w:rPr>
          <w:rFonts w:ascii="Georgia" w:hAnsi="Georgia" w:cs="Calibri"/>
          <w:color w:val="404040" w:themeColor="text1" w:themeTint="BF"/>
          <w:sz w:val="20"/>
        </w:rPr>
        <w:t>UK limited company</w:t>
      </w:r>
      <w:r w:rsidRPr="001B56EC">
        <w:rPr>
          <w:rFonts w:ascii="Georgia" w:hAnsi="Georgia" w:cs="Calibri"/>
          <w:color w:val="404040" w:themeColor="text1" w:themeTint="BF"/>
          <w:sz w:val="20"/>
        </w:rPr>
        <w:t>,</w:t>
      </w:r>
      <w:r w:rsidRPr="001B56EC">
        <w:t xml:space="preserve"> </w:t>
      </w:r>
      <w:r w:rsidRPr="001B56EC">
        <w:rPr>
          <w:rFonts w:ascii="Georgia" w:hAnsi="Georgia" w:cs="Calibri"/>
          <w:color w:val="404040" w:themeColor="text1" w:themeTint="BF"/>
          <w:sz w:val="20"/>
        </w:rPr>
        <w:t xml:space="preserve">BSIFIL, in which it is the sole shareholder. </w:t>
      </w:r>
    </w:p>
    <w:p w14:paraId="6BD665F5" w14:textId="77777777" w:rsidR="007B3943" w:rsidRDefault="007B3943" w:rsidP="007B3943">
      <w:pPr>
        <w:jc w:val="both"/>
        <w:rPr>
          <w:rFonts w:ascii="Georgia" w:hAnsi="Georgia" w:cs="Calibri"/>
          <w:color w:val="404040" w:themeColor="text1" w:themeTint="BF"/>
          <w:sz w:val="20"/>
        </w:rPr>
      </w:pPr>
    </w:p>
    <w:p w14:paraId="1B124B5D" w14:textId="403EDC2D" w:rsidR="007B3943" w:rsidRDefault="00D966B7" w:rsidP="007B3943">
      <w:pPr>
        <w:jc w:val="both"/>
        <w:rPr>
          <w:rFonts w:ascii="Georgia" w:hAnsi="Georgia" w:cs="Calibri"/>
          <w:color w:val="404040" w:themeColor="text1" w:themeTint="BF"/>
          <w:sz w:val="20"/>
          <w:highlight w:val="yellow"/>
        </w:rPr>
      </w:pPr>
      <w:r>
        <w:rPr>
          <w:noProof/>
          <w:lang w:eastAsia="zh-CN"/>
        </w:rPr>
        <w:drawing>
          <wp:inline distT="0" distB="0" distL="0" distR="0" wp14:anchorId="47D4B53D" wp14:editId="3A8DD5C4">
            <wp:extent cx="3498112" cy="5066973"/>
            <wp:effectExtent l="0" t="0" r="7620" b="635"/>
            <wp:docPr id="17" name="Picture 17" descr="cid:B6EA202D-670F-45B4-BC7B-EEEADC190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DB889A-6426-4CA7-A9B5-B314B024F4D0" descr="cid:B6EA202D-670F-45B4-BC7B-EEEADC190B9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500605" cy="5070585"/>
                    </a:xfrm>
                    <a:prstGeom prst="rect">
                      <a:avLst/>
                    </a:prstGeom>
                    <a:noFill/>
                    <a:ln>
                      <a:noFill/>
                    </a:ln>
                  </pic:spPr>
                </pic:pic>
              </a:graphicData>
            </a:graphic>
          </wp:inline>
        </w:drawing>
      </w:r>
    </w:p>
    <w:p w14:paraId="38B5A03A" w14:textId="77777777" w:rsidR="00621ECF" w:rsidRPr="00A90128" w:rsidRDefault="00621ECF" w:rsidP="00621ECF"/>
    <w:p w14:paraId="692AC417" w14:textId="77777777" w:rsidR="00796C70" w:rsidRPr="0058090C" w:rsidRDefault="00796C70" w:rsidP="00796C70">
      <w:pPr>
        <w:pStyle w:val="Heading2"/>
        <w:spacing w:before="0"/>
        <w:rPr>
          <w:color w:val="auto"/>
        </w:rPr>
      </w:pPr>
      <w:r w:rsidRPr="0058090C">
        <w:rPr>
          <w:color w:val="auto"/>
        </w:rPr>
        <w:lastRenderedPageBreak/>
        <w:t>Strategic Report (continued)</w:t>
      </w:r>
    </w:p>
    <w:p w14:paraId="28B19B52" w14:textId="77777777" w:rsidR="00796C70" w:rsidRPr="0058090C" w:rsidRDefault="00796C70" w:rsidP="00B56E61">
      <w:pPr>
        <w:rPr>
          <w:rFonts w:ascii="Georgia" w:hAnsi="Georgia" w:cs="Calibri"/>
          <w:b/>
          <w:color w:val="404040" w:themeColor="text1" w:themeTint="BF"/>
          <w:sz w:val="20"/>
        </w:rPr>
      </w:pPr>
    </w:p>
    <w:p w14:paraId="40A06105" w14:textId="77777777" w:rsidR="00796C70" w:rsidRPr="0058090C" w:rsidRDefault="00796C70" w:rsidP="006A0F20">
      <w:pPr>
        <w:rPr>
          <w:rFonts w:ascii="Georgia" w:hAnsi="Georgia" w:cs="Calibri"/>
          <w:b/>
          <w:color w:val="404040" w:themeColor="text1" w:themeTint="BF"/>
          <w:sz w:val="20"/>
        </w:rPr>
      </w:pPr>
      <w:r w:rsidRPr="0058090C">
        <w:rPr>
          <w:rFonts w:ascii="Georgia" w:hAnsi="Georgia" w:cs="Calibri"/>
          <w:b/>
          <w:color w:val="404040" w:themeColor="text1" w:themeTint="BF"/>
          <w:sz w:val="20"/>
        </w:rPr>
        <w:t>2.</w:t>
      </w:r>
      <w:r w:rsidRPr="0058090C">
        <w:rPr>
          <w:rFonts w:ascii="Georgia" w:hAnsi="Georgia" w:cs="Calibri"/>
          <w:b/>
          <w:color w:val="404040" w:themeColor="text1" w:themeTint="BF"/>
          <w:sz w:val="20"/>
        </w:rPr>
        <w:tab/>
      </w:r>
      <w:r w:rsidRPr="0058090C">
        <w:rPr>
          <w:rFonts w:ascii="Georgia" w:hAnsi="Georgia" w:cs="Calibri"/>
          <w:b/>
          <w:color w:val="404040" w:themeColor="text1" w:themeTint="BF"/>
          <w:sz w:val="20"/>
        </w:rPr>
        <w:tab/>
        <w:t xml:space="preserve"> Company’s Operating Model (continued)</w:t>
      </w:r>
    </w:p>
    <w:p w14:paraId="7282A118" w14:textId="33DD5CAB" w:rsidR="00796C70" w:rsidRPr="009625B4" w:rsidRDefault="00796C70" w:rsidP="00B56E61">
      <w:pPr>
        <w:rPr>
          <w:rFonts w:ascii="Georgia" w:hAnsi="Georgia" w:cs="Calibri"/>
          <w:b/>
          <w:color w:val="404040" w:themeColor="text1" w:themeTint="BF"/>
          <w:sz w:val="20"/>
          <w:highlight w:val="yellow"/>
        </w:rPr>
      </w:pPr>
    </w:p>
    <w:p w14:paraId="5C2C04E8" w14:textId="77777777" w:rsidR="00EF7762" w:rsidRPr="001B56EC" w:rsidRDefault="00EF7762" w:rsidP="00EF7762">
      <w:pPr>
        <w:rPr>
          <w:rFonts w:ascii="Georgia" w:hAnsi="Georgia" w:cs="Calibri"/>
          <w:b/>
          <w:color w:val="404040" w:themeColor="text1" w:themeTint="BF"/>
          <w:sz w:val="20"/>
        </w:rPr>
      </w:pPr>
      <w:r w:rsidRPr="001B56EC">
        <w:rPr>
          <w:rFonts w:ascii="Georgia" w:hAnsi="Georgia" w:cs="Calibri"/>
          <w:b/>
          <w:color w:val="404040" w:themeColor="text1" w:themeTint="BF"/>
          <w:sz w:val="20"/>
        </w:rPr>
        <w:t>Management</w:t>
      </w:r>
    </w:p>
    <w:p w14:paraId="1FC51C8A" w14:textId="77777777" w:rsidR="00EF7762" w:rsidRPr="001B56EC" w:rsidRDefault="00EF7762" w:rsidP="00EF7762">
      <w:pPr>
        <w:rPr>
          <w:rFonts w:ascii="Georgia" w:hAnsi="Georgia" w:cs="Calibri"/>
          <w:b/>
          <w:color w:val="404040" w:themeColor="text1" w:themeTint="BF"/>
          <w:sz w:val="20"/>
        </w:rPr>
      </w:pPr>
    </w:p>
    <w:p w14:paraId="67E48EF5" w14:textId="77777777" w:rsidR="00EF7762" w:rsidRPr="001B56EC" w:rsidRDefault="00EF7762" w:rsidP="00EF7762">
      <w:pPr>
        <w:rPr>
          <w:rFonts w:ascii="Georgia" w:hAnsi="Georgia" w:cs="Calibri"/>
          <w:i/>
          <w:color w:val="404040" w:themeColor="text1" w:themeTint="BF"/>
          <w:sz w:val="20"/>
        </w:rPr>
      </w:pPr>
      <w:r w:rsidRPr="001B56EC">
        <w:rPr>
          <w:rFonts w:ascii="Georgia" w:hAnsi="Georgia" w:cs="Calibri"/>
          <w:i/>
          <w:color w:val="404040" w:themeColor="text1" w:themeTint="BF"/>
          <w:sz w:val="20"/>
        </w:rPr>
        <w:t>Board and Committees</w:t>
      </w:r>
    </w:p>
    <w:p w14:paraId="464D2904" w14:textId="5945F655" w:rsidR="00EF7762" w:rsidRPr="001B56EC" w:rsidRDefault="00EF7762" w:rsidP="00EF7762">
      <w:pPr>
        <w:pStyle w:val="BluefieldBody"/>
      </w:pPr>
      <w:r w:rsidRPr="001B56EC">
        <w:t xml:space="preserve">The </w:t>
      </w:r>
      <w:r>
        <w:t xml:space="preserve">independent </w:t>
      </w:r>
      <w:r w:rsidRPr="001B56EC">
        <w:t xml:space="preserve">Board is responsible to </w:t>
      </w:r>
      <w:r w:rsidR="00320DD0">
        <w:t>S</w:t>
      </w:r>
      <w:r w:rsidRPr="001B56EC">
        <w:t>hareholders for the overall management of the Company. The Board has adopted a Schedule of Matters Reserved for the Board which sets out the particular duties of the Board. Such reserved powers include decisions relating to the determination of investment policy, approval of new investments, oversight of the Investment Adviser, approval of changes in strategy, risk assessment, Board composition, capital structure, statutory obligations and public disclosure, financial reporting and entering into any material contracts by the Company.</w:t>
      </w:r>
    </w:p>
    <w:p w14:paraId="192B5A65" w14:textId="77777777" w:rsidR="00EF7762" w:rsidRPr="001B56EC" w:rsidRDefault="00EF7762" w:rsidP="00EF7762">
      <w:pPr>
        <w:rPr>
          <w:rFonts w:ascii="Georgia" w:hAnsi="Georgia" w:cs="Calibri"/>
          <w:color w:val="404040" w:themeColor="text1" w:themeTint="BF"/>
          <w:sz w:val="20"/>
        </w:rPr>
      </w:pPr>
    </w:p>
    <w:p w14:paraId="2F37834C" w14:textId="77777777" w:rsidR="00EF7762" w:rsidRDefault="00EF7762" w:rsidP="00EF7762">
      <w:pPr>
        <w:jc w:val="both"/>
        <w:rPr>
          <w:rFonts w:ascii="Georgia" w:hAnsi="Georgia" w:cs="Calibri"/>
          <w:color w:val="404040" w:themeColor="text1" w:themeTint="BF"/>
          <w:sz w:val="20"/>
        </w:rPr>
      </w:pPr>
      <w:r w:rsidRPr="001B56EC">
        <w:rPr>
          <w:rFonts w:ascii="Georgia" w:hAnsi="Georgia" w:cs="Calibri"/>
          <w:color w:val="404040" w:themeColor="text1" w:themeTint="BF"/>
          <w:sz w:val="20"/>
        </w:rPr>
        <w:t xml:space="preserve">Through the Committees and the use of external independent advisers, the Board manages risk and governance of the Company. The Board consists </w:t>
      </w:r>
      <w:r>
        <w:rPr>
          <w:rFonts w:ascii="Georgia" w:hAnsi="Georgia" w:cs="Calibri"/>
          <w:color w:val="404040" w:themeColor="text1" w:themeTint="BF"/>
          <w:sz w:val="20"/>
        </w:rPr>
        <w:t>of five</w:t>
      </w:r>
      <w:r w:rsidRPr="001B56EC">
        <w:rPr>
          <w:rFonts w:ascii="Georgia" w:hAnsi="Georgia" w:cs="Calibri"/>
          <w:color w:val="404040" w:themeColor="text1" w:themeTint="BF"/>
          <w:sz w:val="20"/>
        </w:rPr>
        <w:t xml:space="preserve"> independent non-executive Directors</w:t>
      </w:r>
      <w:r>
        <w:rPr>
          <w:rFonts w:ascii="Georgia" w:hAnsi="Georgia" w:cs="Calibri"/>
          <w:color w:val="404040" w:themeColor="text1" w:themeTint="BF"/>
          <w:sz w:val="20"/>
        </w:rPr>
        <w:t>, three of whom are Guernsey residents</w:t>
      </w:r>
      <w:r w:rsidRPr="001B56EC">
        <w:rPr>
          <w:rFonts w:ascii="Georgia" w:hAnsi="Georgia" w:cs="Calibri"/>
          <w:color w:val="404040" w:themeColor="text1" w:themeTint="BF"/>
          <w:sz w:val="20"/>
        </w:rPr>
        <w:t>. See the Corporate Governance Report for further details.</w:t>
      </w:r>
    </w:p>
    <w:p w14:paraId="7FB4D3B2" w14:textId="77777777" w:rsidR="00EF7762" w:rsidRPr="001B56EC" w:rsidRDefault="00EF7762" w:rsidP="00EF7762">
      <w:pPr>
        <w:jc w:val="both"/>
        <w:rPr>
          <w:rFonts w:ascii="Georgia" w:hAnsi="Georgia" w:cs="Calibri"/>
          <w:color w:val="404040" w:themeColor="text1" w:themeTint="BF"/>
          <w:sz w:val="20"/>
        </w:rPr>
      </w:pPr>
    </w:p>
    <w:p w14:paraId="572A52BE" w14:textId="77777777" w:rsidR="00EF7762" w:rsidRPr="001B56EC" w:rsidRDefault="00EF7762" w:rsidP="00EF7762">
      <w:pPr>
        <w:rPr>
          <w:rFonts w:ascii="Georgia" w:hAnsi="Georgia" w:cs="Calibri"/>
          <w:i/>
          <w:color w:val="404040" w:themeColor="text1" w:themeTint="BF"/>
          <w:sz w:val="20"/>
        </w:rPr>
      </w:pPr>
      <w:r w:rsidRPr="001B56EC">
        <w:rPr>
          <w:rFonts w:ascii="Georgia" w:hAnsi="Georgia" w:cs="Calibri"/>
          <w:i/>
          <w:color w:val="404040" w:themeColor="text1" w:themeTint="BF"/>
          <w:sz w:val="20"/>
        </w:rPr>
        <w:t>Investment Adviser</w:t>
      </w:r>
    </w:p>
    <w:p w14:paraId="0DB51F43" w14:textId="77777777" w:rsidR="00EF7762" w:rsidRDefault="00EF7762" w:rsidP="00EF7762">
      <w:pPr>
        <w:jc w:val="both"/>
        <w:rPr>
          <w:rFonts w:ascii="Georgia" w:hAnsi="Georgia" w:cs="Calibri"/>
          <w:color w:val="404040" w:themeColor="text1" w:themeTint="BF"/>
          <w:sz w:val="20"/>
        </w:rPr>
      </w:pPr>
      <w:r>
        <w:rPr>
          <w:rFonts w:ascii="Georgia" w:hAnsi="Georgia" w:cs="Calibri"/>
          <w:color w:val="404040" w:themeColor="text1" w:themeTint="BF"/>
          <w:sz w:val="20"/>
        </w:rPr>
        <w:t>T</w:t>
      </w:r>
      <w:r w:rsidRPr="001B56EC">
        <w:rPr>
          <w:rFonts w:ascii="Georgia" w:hAnsi="Georgia" w:cs="Calibri"/>
          <w:color w:val="404040" w:themeColor="text1" w:themeTint="BF"/>
          <w:sz w:val="20"/>
        </w:rPr>
        <w:t xml:space="preserve">he Investment Adviser’s key responsibilities include identifying and recommending suitable investments for the Company and negotiating the terms on which such investments will be made. </w:t>
      </w:r>
    </w:p>
    <w:p w14:paraId="787D17D1" w14:textId="77777777" w:rsidR="00EF7762" w:rsidRPr="001B56EC" w:rsidRDefault="00EF7762" w:rsidP="00EF7762">
      <w:pPr>
        <w:rPr>
          <w:rFonts w:ascii="Georgia" w:hAnsi="Georgia" w:cs="Calibri"/>
          <w:i/>
          <w:color w:val="404040" w:themeColor="text1" w:themeTint="BF"/>
          <w:sz w:val="20"/>
        </w:rPr>
      </w:pPr>
    </w:p>
    <w:p w14:paraId="72079BE4" w14:textId="77777777" w:rsidR="00EF7762" w:rsidRDefault="00EF7762" w:rsidP="00EF7762">
      <w:pPr>
        <w:jc w:val="both"/>
        <w:rPr>
          <w:rFonts w:ascii="Georgia" w:hAnsi="Georgia" w:cs="Calibri"/>
          <w:color w:val="404040" w:themeColor="text1" w:themeTint="BF"/>
          <w:sz w:val="20"/>
        </w:rPr>
      </w:pPr>
      <w:r w:rsidRPr="001B56EC">
        <w:rPr>
          <w:rFonts w:ascii="Georgia" w:hAnsi="Georgia" w:cs="Calibri"/>
          <w:color w:val="404040" w:themeColor="text1" w:themeTint="BF"/>
          <w:sz w:val="20"/>
        </w:rPr>
        <w:t>Through a Technical Services Agreement with BSIFIL the Investment Adviser is also responsible for all issues relating to the supervision and monitoring of existing investments (included within the fee cap under the Investment Advisory Agreement).</w:t>
      </w:r>
      <w:r>
        <w:rPr>
          <w:rFonts w:ascii="Georgia" w:hAnsi="Georgia" w:cs="Calibri"/>
          <w:color w:val="404040" w:themeColor="text1" w:themeTint="BF"/>
          <w:sz w:val="20"/>
        </w:rPr>
        <w:t xml:space="preserve"> The Company has appointed BSL, a company with the same ownership as the Investment Adviser, to provide asset management services for the Company’s portfolio.</w:t>
      </w:r>
      <w:r w:rsidRPr="001B56EC">
        <w:rPr>
          <w:rFonts w:ascii="Georgia" w:hAnsi="Georgia" w:cs="Calibri"/>
          <w:color w:val="404040" w:themeColor="text1" w:themeTint="BF"/>
          <w:sz w:val="20"/>
        </w:rPr>
        <w:t xml:space="preserve"> </w:t>
      </w:r>
    </w:p>
    <w:p w14:paraId="28F47A7B" w14:textId="77777777" w:rsidR="00EF7762" w:rsidRDefault="00EF7762" w:rsidP="00EF7762">
      <w:pPr>
        <w:jc w:val="both"/>
        <w:rPr>
          <w:rFonts w:ascii="Georgia" w:hAnsi="Georgia" w:cs="Calibri"/>
          <w:color w:val="404040" w:themeColor="text1" w:themeTint="BF"/>
          <w:sz w:val="20"/>
        </w:rPr>
      </w:pPr>
    </w:p>
    <w:p w14:paraId="460B95E1" w14:textId="4A73CA66" w:rsidR="00EF7762" w:rsidRDefault="00EF7762" w:rsidP="00EF7762">
      <w:pPr>
        <w:jc w:val="both"/>
        <w:rPr>
          <w:rFonts w:ascii="Georgia" w:hAnsi="Georgia" w:cs="Calibri"/>
          <w:color w:val="404040" w:themeColor="text1" w:themeTint="BF"/>
          <w:sz w:val="20"/>
        </w:rPr>
      </w:pPr>
      <w:r>
        <w:rPr>
          <w:rFonts w:ascii="Georgia" w:hAnsi="Georgia" w:cs="Calibri"/>
          <w:color w:val="404040" w:themeColor="text1" w:themeTint="BF"/>
          <w:sz w:val="20"/>
        </w:rPr>
        <w:t>During the year</w:t>
      </w:r>
      <w:r w:rsidRPr="000A5386">
        <w:rPr>
          <w:rFonts w:ascii="Georgia" w:hAnsi="Georgia" w:cs="Calibri"/>
          <w:color w:val="404040" w:themeColor="text1" w:themeTint="BF"/>
          <w:sz w:val="20"/>
        </w:rPr>
        <w:t xml:space="preserve"> the Investment Adviser has been paid a </w:t>
      </w:r>
      <w:r w:rsidR="008F65E2">
        <w:rPr>
          <w:rFonts w:ascii="Georgia" w:hAnsi="Georgia" w:cs="Calibri"/>
          <w:color w:val="404040" w:themeColor="text1" w:themeTint="BF"/>
          <w:sz w:val="20"/>
        </w:rPr>
        <w:t xml:space="preserve">blended </w:t>
      </w:r>
      <w:r w:rsidRPr="000A5386">
        <w:rPr>
          <w:rFonts w:ascii="Georgia" w:hAnsi="Georgia" w:cs="Calibri"/>
          <w:color w:val="404040" w:themeColor="text1" w:themeTint="BF"/>
          <w:sz w:val="20"/>
        </w:rPr>
        <w:t xml:space="preserve">base </w:t>
      </w:r>
      <w:r w:rsidRPr="002D2E6D">
        <w:rPr>
          <w:rFonts w:ascii="Georgia" w:hAnsi="Georgia" w:cs="Calibri"/>
          <w:color w:val="404040" w:themeColor="text1" w:themeTint="BF"/>
          <w:sz w:val="20"/>
        </w:rPr>
        <w:t xml:space="preserve">fee </w:t>
      </w:r>
      <w:r w:rsidR="009971B9" w:rsidRPr="002D2E6D">
        <w:rPr>
          <w:rFonts w:ascii="Georgia" w:hAnsi="Georgia" w:cs="Calibri"/>
          <w:color w:val="404040" w:themeColor="text1" w:themeTint="BF"/>
          <w:sz w:val="20"/>
        </w:rPr>
        <w:t xml:space="preserve">of </w:t>
      </w:r>
      <w:r w:rsidR="00B24322">
        <w:rPr>
          <w:rFonts w:ascii="Georgia" w:hAnsi="Georgia" w:cs="Calibri"/>
          <w:color w:val="404040" w:themeColor="text1" w:themeTint="BF"/>
          <w:sz w:val="20"/>
        </w:rPr>
        <w:t>0.</w:t>
      </w:r>
      <w:r w:rsidR="002D2E6D" w:rsidRPr="002D2E6D">
        <w:rPr>
          <w:rFonts w:ascii="Georgia" w:hAnsi="Georgia" w:cs="Calibri"/>
          <w:color w:val="404040" w:themeColor="text1" w:themeTint="BF"/>
          <w:sz w:val="20"/>
        </w:rPr>
        <w:t>7</w:t>
      </w:r>
      <w:r w:rsidRPr="002D2E6D">
        <w:rPr>
          <w:rFonts w:ascii="Georgia" w:hAnsi="Georgia" w:cs="Calibri"/>
          <w:color w:val="404040" w:themeColor="text1" w:themeTint="BF"/>
          <w:sz w:val="20"/>
        </w:rPr>
        <w:t>%</w:t>
      </w:r>
      <w:r w:rsidRPr="009971B9">
        <w:rPr>
          <w:rFonts w:ascii="Georgia" w:hAnsi="Georgia" w:cs="Calibri"/>
          <w:color w:val="404040" w:themeColor="text1" w:themeTint="BF"/>
          <w:sz w:val="20"/>
        </w:rPr>
        <w:t xml:space="preserve"> of</w:t>
      </w:r>
      <w:r w:rsidRPr="000A5386">
        <w:rPr>
          <w:rFonts w:ascii="Georgia" w:hAnsi="Georgia" w:cs="Calibri"/>
          <w:color w:val="404040" w:themeColor="text1" w:themeTint="BF"/>
          <w:sz w:val="20"/>
        </w:rPr>
        <w:t xml:space="preserve"> NAV at 30 June </w:t>
      </w:r>
      <w:r w:rsidR="00904E51">
        <w:rPr>
          <w:rFonts w:ascii="Georgia" w:hAnsi="Georgia" w:cs="Calibri"/>
          <w:color w:val="404040" w:themeColor="text1" w:themeTint="BF"/>
          <w:sz w:val="20"/>
        </w:rPr>
        <w:t>2020</w:t>
      </w:r>
      <w:r w:rsidR="00E3041B">
        <w:rPr>
          <w:rFonts w:ascii="Georgia" w:hAnsi="Georgia" w:cs="Calibri"/>
          <w:color w:val="404040" w:themeColor="text1" w:themeTint="BF"/>
          <w:sz w:val="20"/>
        </w:rPr>
        <w:t>.</w:t>
      </w:r>
    </w:p>
    <w:p w14:paraId="4581A05F" w14:textId="77777777" w:rsidR="00EF7762" w:rsidRDefault="00EF7762" w:rsidP="00EF7762">
      <w:pPr>
        <w:jc w:val="both"/>
        <w:rPr>
          <w:rFonts w:ascii="Georgia" w:hAnsi="Georgia" w:cs="Calibri"/>
          <w:color w:val="404040" w:themeColor="text1" w:themeTint="BF"/>
          <w:sz w:val="20"/>
        </w:rPr>
      </w:pPr>
    </w:p>
    <w:p w14:paraId="18F228DE" w14:textId="47D99AB4" w:rsidR="00EF7762" w:rsidRDefault="00EF7762" w:rsidP="00EF7762">
      <w:pPr>
        <w:jc w:val="both"/>
        <w:rPr>
          <w:rFonts w:ascii="Georgia" w:hAnsi="Georgia" w:cs="Calibri"/>
          <w:color w:val="404040" w:themeColor="text1" w:themeTint="BF"/>
          <w:sz w:val="20"/>
        </w:rPr>
      </w:pPr>
      <w:r w:rsidRPr="00E1798B">
        <w:rPr>
          <w:rFonts w:ascii="Georgia" w:hAnsi="Georgia" w:cs="Calibri"/>
          <w:color w:val="404040" w:themeColor="text1" w:themeTint="BF"/>
          <w:sz w:val="20"/>
        </w:rPr>
        <w:t>A summary of the fees paid to the Investment Adviser is given in Note 16 of the financial statements.  The</w:t>
      </w:r>
      <w:r w:rsidR="009971B9" w:rsidRPr="00E1798B">
        <w:rPr>
          <w:rFonts w:ascii="Georgia" w:hAnsi="Georgia" w:cs="Calibri"/>
          <w:color w:val="404040" w:themeColor="text1" w:themeTint="BF"/>
          <w:sz w:val="20"/>
        </w:rPr>
        <w:t xml:space="preserve"> fees paid to BSL and BOL, the Solar Asset M</w:t>
      </w:r>
      <w:r w:rsidRPr="00E1798B">
        <w:rPr>
          <w:rFonts w:ascii="Georgia" w:hAnsi="Georgia" w:cs="Calibri"/>
          <w:color w:val="404040" w:themeColor="text1" w:themeTint="BF"/>
          <w:sz w:val="20"/>
        </w:rPr>
        <w:t>anagement and Operations and Maintenance businesses under common ownership with the Investment Adviser are also detailed in Note 16.</w:t>
      </w:r>
    </w:p>
    <w:p w14:paraId="1D1683A6" w14:textId="53844F57" w:rsidR="00EF7762" w:rsidRPr="001B56EC" w:rsidRDefault="00EF7762" w:rsidP="00EF7762">
      <w:pPr>
        <w:jc w:val="both"/>
        <w:rPr>
          <w:rFonts w:ascii="Georgia" w:hAnsi="Georgia" w:cs="Calibri"/>
          <w:color w:val="404040" w:themeColor="text1" w:themeTint="BF"/>
          <w:sz w:val="20"/>
        </w:rPr>
      </w:pPr>
    </w:p>
    <w:p w14:paraId="03C53739" w14:textId="77777777" w:rsidR="00EF7762" w:rsidRPr="001B56EC" w:rsidRDefault="00EF7762" w:rsidP="00EF7762">
      <w:pPr>
        <w:jc w:val="both"/>
        <w:rPr>
          <w:rFonts w:ascii="Georgia" w:hAnsi="Georgia" w:cs="Calibri"/>
          <w:i/>
          <w:color w:val="404040" w:themeColor="text1" w:themeTint="BF"/>
          <w:sz w:val="20"/>
        </w:rPr>
      </w:pPr>
      <w:r w:rsidRPr="001B56EC">
        <w:rPr>
          <w:rFonts w:ascii="Georgia" w:hAnsi="Georgia" w:cs="Calibri"/>
          <w:i/>
          <w:color w:val="404040" w:themeColor="text1" w:themeTint="BF"/>
          <w:sz w:val="20"/>
        </w:rPr>
        <w:t>Administrator</w:t>
      </w:r>
    </w:p>
    <w:p w14:paraId="38C7532B" w14:textId="67892784" w:rsidR="00EF7762" w:rsidRPr="001B56EC" w:rsidRDefault="00EF7762" w:rsidP="00EF7762">
      <w:pPr>
        <w:jc w:val="both"/>
        <w:rPr>
          <w:rFonts w:ascii="Georgia" w:hAnsi="Georgia" w:cs="Calibri"/>
          <w:color w:val="404040" w:themeColor="text1" w:themeTint="BF"/>
          <w:sz w:val="20"/>
        </w:rPr>
      </w:pPr>
      <w:r w:rsidRPr="001B56EC">
        <w:rPr>
          <w:rFonts w:ascii="Georgia" w:hAnsi="Georgia" w:cs="Calibri"/>
          <w:color w:val="404040" w:themeColor="text1" w:themeTint="BF"/>
          <w:sz w:val="20"/>
        </w:rPr>
        <w:t>The Board has delegated administration and company secretarial services to the Administrator. Further details on the responsibilities assigned to the Investment Adviser and the Administrator can be found in the Corporate Governance Report.</w:t>
      </w:r>
    </w:p>
    <w:p w14:paraId="51CE5B3B" w14:textId="77777777" w:rsidR="00EF7762" w:rsidRPr="001B56EC" w:rsidRDefault="00EF7762" w:rsidP="00EF7762"/>
    <w:p w14:paraId="748ED2A1" w14:textId="77777777" w:rsidR="00EF7762" w:rsidRPr="001B56EC" w:rsidRDefault="00EF7762" w:rsidP="00EF7762">
      <w:pPr>
        <w:rPr>
          <w:rFonts w:ascii="Georgia" w:hAnsi="Georgia" w:cs="Calibri"/>
          <w:b/>
          <w:color w:val="404040" w:themeColor="text1" w:themeTint="BF"/>
          <w:sz w:val="20"/>
        </w:rPr>
      </w:pPr>
      <w:r w:rsidRPr="001B56EC">
        <w:rPr>
          <w:rFonts w:ascii="Georgia" w:hAnsi="Georgia" w:cs="Calibri"/>
          <w:b/>
          <w:color w:val="404040" w:themeColor="text1" w:themeTint="BF"/>
          <w:sz w:val="20"/>
        </w:rPr>
        <w:t>Employees and Officers of the Company</w:t>
      </w:r>
    </w:p>
    <w:p w14:paraId="26334F6B" w14:textId="77777777" w:rsidR="00EF7762" w:rsidRPr="001B56EC" w:rsidRDefault="00EF7762" w:rsidP="00EF7762">
      <w:pPr>
        <w:rPr>
          <w:rFonts w:ascii="Georgia" w:hAnsi="Georgia" w:cs="Calibri"/>
          <w:color w:val="404040" w:themeColor="text1" w:themeTint="BF"/>
          <w:sz w:val="20"/>
        </w:rPr>
      </w:pPr>
    </w:p>
    <w:p w14:paraId="197A8920" w14:textId="32376EBD" w:rsidR="00EF7762" w:rsidRPr="001B56EC" w:rsidRDefault="00EF7762" w:rsidP="00EF7762">
      <w:pPr>
        <w:jc w:val="both"/>
        <w:rPr>
          <w:rFonts w:ascii="Georgia" w:hAnsi="Georgia" w:cs="Calibri"/>
          <w:color w:val="404040" w:themeColor="text1" w:themeTint="BF"/>
          <w:sz w:val="20"/>
        </w:rPr>
      </w:pPr>
      <w:r w:rsidRPr="001B56EC">
        <w:rPr>
          <w:rFonts w:ascii="Georgia" w:hAnsi="Georgia" w:cs="Calibri"/>
          <w:color w:val="404040" w:themeColor="text1" w:themeTint="BF"/>
          <w:sz w:val="20"/>
        </w:rPr>
        <w:t>The Company does not have any employees and therefore policies for employees are not required. The Directors of</w:t>
      </w:r>
      <w:r w:rsidR="00A0160D">
        <w:rPr>
          <w:rFonts w:ascii="Georgia" w:hAnsi="Georgia" w:cs="Calibri"/>
          <w:color w:val="404040" w:themeColor="text1" w:themeTint="BF"/>
          <w:sz w:val="20"/>
        </w:rPr>
        <w:t xml:space="preserve"> the Compa</w:t>
      </w:r>
      <w:r w:rsidR="0092020A">
        <w:rPr>
          <w:rFonts w:ascii="Georgia" w:hAnsi="Georgia" w:cs="Calibri"/>
          <w:color w:val="404040" w:themeColor="text1" w:themeTint="BF"/>
          <w:sz w:val="20"/>
        </w:rPr>
        <w:t xml:space="preserve">ny are listed on </w:t>
      </w:r>
      <w:r w:rsidR="0092020A" w:rsidRPr="00EF3839">
        <w:rPr>
          <w:rFonts w:ascii="Georgia" w:hAnsi="Georgia" w:cs="Calibri"/>
          <w:color w:val="404040" w:themeColor="text1" w:themeTint="BF"/>
          <w:sz w:val="20"/>
        </w:rPr>
        <w:t>page</w:t>
      </w:r>
      <w:r w:rsidR="00E330EC" w:rsidRPr="00EF3839">
        <w:rPr>
          <w:rFonts w:ascii="Georgia" w:hAnsi="Georgia" w:cs="Calibri"/>
          <w:color w:val="404040" w:themeColor="text1" w:themeTint="BF"/>
          <w:sz w:val="20"/>
        </w:rPr>
        <w:t>s</w:t>
      </w:r>
      <w:r w:rsidR="0092020A" w:rsidRPr="00EF3839">
        <w:rPr>
          <w:rFonts w:ascii="Georgia" w:hAnsi="Georgia" w:cs="Calibri"/>
          <w:color w:val="404040" w:themeColor="text1" w:themeTint="BF"/>
          <w:sz w:val="20"/>
        </w:rPr>
        <w:t xml:space="preserve"> </w:t>
      </w:r>
      <w:r w:rsidR="00EF3839" w:rsidRPr="00EF3839">
        <w:rPr>
          <w:rFonts w:ascii="Georgia" w:hAnsi="Georgia" w:cs="Calibri"/>
          <w:color w:val="404040" w:themeColor="text1" w:themeTint="BF"/>
          <w:sz w:val="20"/>
        </w:rPr>
        <w:t>86</w:t>
      </w:r>
      <w:r w:rsidR="00E330EC" w:rsidRPr="00EF3839">
        <w:rPr>
          <w:rFonts w:ascii="Georgia" w:hAnsi="Georgia" w:cs="Calibri"/>
          <w:color w:val="404040" w:themeColor="text1" w:themeTint="BF"/>
          <w:sz w:val="20"/>
        </w:rPr>
        <w:t xml:space="preserve"> to </w:t>
      </w:r>
      <w:r w:rsidR="00EF3839">
        <w:rPr>
          <w:rFonts w:ascii="Georgia" w:hAnsi="Georgia" w:cs="Calibri"/>
          <w:color w:val="404040" w:themeColor="text1" w:themeTint="BF"/>
          <w:sz w:val="20"/>
        </w:rPr>
        <w:t>87</w:t>
      </w:r>
      <w:r w:rsidR="0092020A">
        <w:rPr>
          <w:rFonts w:ascii="Georgia" w:hAnsi="Georgia" w:cs="Calibri"/>
          <w:color w:val="404040" w:themeColor="text1" w:themeTint="BF"/>
          <w:sz w:val="20"/>
        </w:rPr>
        <w:t>.</w:t>
      </w:r>
    </w:p>
    <w:p w14:paraId="0CEB4E85" w14:textId="77777777" w:rsidR="00EF7762" w:rsidRPr="001B56EC" w:rsidRDefault="00EF7762" w:rsidP="00EF7762"/>
    <w:p w14:paraId="3A2FF924" w14:textId="77777777" w:rsidR="00EF7762" w:rsidRPr="001B56EC" w:rsidRDefault="00EF7762" w:rsidP="00EF7762">
      <w:pPr>
        <w:autoSpaceDE w:val="0"/>
        <w:autoSpaceDN w:val="0"/>
        <w:adjustRightInd w:val="0"/>
        <w:jc w:val="both"/>
        <w:rPr>
          <w:rFonts w:ascii="Georgia" w:hAnsi="Georgia" w:cs="Calibri"/>
          <w:b/>
          <w:color w:val="404040" w:themeColor="text1" w:themeTint="BF"/>
          <w:sz w:val="20"/>
        </w:rPr>
      </w:pPr>
      <w:r w:rsidRPr="001B56EC">
        <w:rPr>
          <w:rFonts w:ascii="Georgia" w:hAnsi="Georgia" w:cs="Calibri"/>
          <w:b/>
          <w:color w:val="404040" w:themeColor="text1" w:themeTint="BF"/>
          <w:sz w:val="20"/>
        </w:rPr>
        <w:t>Investment Process</w:t>
      </w:r>
    </w:p>
    <w:p w14:paraId="5D75B617" w14:textId="77777777" w:rsidR="00EF7762" w:rsidRPr="001B56EC" w:rsidRDefault="00EF7762" w:rsidP="00EF7762">
      <w:pPr>
        <w:autoSpaceDE w:val="0"/>
        <w:autoSpaceDN w:val="0"/>
        <w:adjustRightInd w:val="0"/>
        <w:jc w:val="both"/>
        <w:rPr>
          <w:rFonts w:ascii="Georgia" w:hAnsi="Georgia" w:cs="Calibri"/>
          <w:b/>
          <w:color w:val="404040" w:themeColor="text1" w:themeTint="BF"/>
          <w:sz w:val="20"/>
        </w:rPr>
      </w:pPr>
    </w:p>
    <w:p w14:paraId="07D76C4C" w14:textId="77777777" w:rsidR="00EF7762" w:rsidRPr="001B56EC" w:rsidRDefault="00EF7762" w:rsidP="00EF7762">
      <w:pPr>
        <w:pStyle w:val="BluefieldBody"/>
      </w:pPr>
      <w:r w:rsidRPr="001B56EC">
        <w:t xml:space="preserve">Through its record of investment in the UK solar energy market, the Investment Adviser has developed a rigorous approach to investment selection, appraisal and commitment. </w:t>
      </w:r>
    </w:p>
    <w:p w14:paraId="3296EF0D" w14:textId="0F68E9A1" w:rsidR="00EF7762" w:rsidRDefault="00EF7762" w:rsidP="00796C70">
      <w:pPr>
        <w:jc w:val="both"/>
        <w:rPr>
          <w:rFonts w:ascii="Georgia" w:hAnsi="Georgia" w:cs="Calibri"/>
          <w:color w:val="404040" w:themeColor="text1" w:themeTint="BF"/>
          <w:sz w:val="20"/>
          <w:highlight w:val="yellow"/>
        </w:rPr>
      </w:pPr>
    </w:p>
    <w:p w14:paraId="46D77272" w14:textId="3229EAB0" w:rsidR="009971B9" w:rsidRDefault="009971B9" w:rsidP="00796C70">
      <w:pPr>
        <w:jc w:val="both"/>
        <w:rPr>
          <w:rFonts w:ascii="Georgia" w:hAnsi="Georgia" w:cs="Calibri"/>
          <w:color w:val="404040" w:themeColor="text1" w:themeTint="BF"/>
          <w:sz w:val="20"/>
          <w:highlight w:val="yellow"/>
        </w:rPr>
      </w:pPr>
    </w:p>
    <w:p w14:paraId="0D1D2B98" w14:textId="442CC4CB" w:rsidR="007E1432" w:rsidRDefault="007E1432" w:rsidP="00796C70">
      <w:pPr>
        <w:jc w:val="both"/>
        <w:rPr>
          <w:rFonts w:ascii="Georgia" w:hAnsi="Georgia" w:cs="Calibri"/>
          <w:color w:val="404040" w:themeColor="text1" w:themeTint="BF"/>
          <w:sz w:val="20"/>
          <w:highlight w:val="yellow"/>
        </w:rPr>
      </w:pPr>
    </w:p>
    <w:p w14:paraId="04867565" w14:textId="14849CF1" w:rsidR="00E3041B" w:rsidRDefault="00E3041B" w:rsidP="00796C70">
      <w:pPr>
        <w:jc w:val="both"/>
        <w:rPr>
          <w:rFonts w:ascii="Georgia" w:hAnsi="Georgia" w:cs="Calibri"/>
          <w:color w:val="404040" w:themeColor="text1" w:themeTint="BF"/>
          <w:sz w:val="20"/>
          <w:highlight w:val="yellow"/>
        </w:rPr>
      </w:pPr>
    </w:p>
    <w:p w14:paraId="3E85826C" w14:textId="77777777" w:rsidR="00E3041B" w:rsidRDefault="00E3041B" w:rsidP="00796C70">
      <w:pPr>
        <w:jc w:val="both"/>
        <w:rPr>
          <w:rFonts w:ascii="Georgia" w:hAnsi="Georgia" w:cs="Calibri"/>
          <w:color w:val="404040" w:themeColor="text1" w:themeTint="BF"/>
          <w:sz w:val="20"/>
          <w:highlight w:val="yellow"/>
        </w:rPr>
      </w:pPr>
    </w:p>
    <w:p w14:paraId="05E41908" w14:textId="5B893E29" w:rsidR="007E1432" w:rsidRDefault="007E1432" w:rsidP="00796C70">
      <w:pPr>
        <w:jc w:val="both"/>
        <w:rPr>
          <w:rFonts w:ascii="Georgia" w:hAnsi="Georgia" w:cs="Calibri"/>
          <w:color w:val="404040" w:themeColor="text1" w:themeTint="BF"/>
          <w:sz w:val="20"/>
          <w:highlight w:val="yellow"/>
        </w:rPr>
      </w:pPr>
    </w:p>
    <w:p w14:paraId="1B8A2223" w14:textId="526F8CC6" w:rsidR="001D63BC" w:rsidRDefault="001D63BC" w:rsidP="00796C70">
      <w:pPr>
        <w:jc w:val="both"/>
        <w:rPr>
          <w:rFonts w:ascii="Georgia" w:hAnsi="Georgia" w:cs="Calibri"/>
          <w:color w:val="404040" w:themeColor="text1" w:themeTint="BF"/>
          <w:sz w:val="20"/>
          <w:highlight w:val="yellow"/>
        </w:rPr>
      </w:pPr>
    </w:p>
    <w:p w14:paraId="516B7A83" w14:textId="29330049" w:rsidR="007E1432" w:rsidRDefault="007E1432" w:rsidP="00796C70">
      <w:pPr>
        <w:jc w:val="both"/>
        <w:rPr>
          <w:rFonts w:ascii="Georgia" w:hAnsi="Georgia" w:cs="Calibri"/>
          <w:color w:val="404040" w:themeColor="text1" w:themeTint="BF"/>
          <w:sz w:val="20"/>
          <w:highlight w:val="yellow"/>
        </w:rPr>
      </w:pPr>
    </w:p>
    <w:p w14:paraId="249EB741" w14:textId="1851A269" w:rsidR="007E1432" w:rsidRDefault="007E1432" w:rsidP="00796C70">
      <w:pPr>
        <w:jc w:val="both"/>
        <w:rPr>
          <w:rFonts w:ascii="Georgia" w:hAnsi="Georgia" w:cs="Calibri"/>
          <w:color w:val="404040" w:themeColor="text1" w:themeTint="BF"/>
          <w:sz w:val="20"/>
          <w:highlight w:val="yellow"/>
        </w:rPr>
      </w:pPr>
    </w:p>
    <w:p w14:paraId="0ED04461" w14:textId="77777777" w:rsidR="007E1432" w:rsidRPr="009625B4" w:rsidRDefault="007E1432" w:rsidP="00796C70">
      <w:pPr>
        <w:jc w:val="both"/>
        <w:rPr>
          <w:rFonts w:ascii="Georgia" w:hAnsi="Georgia" w:cs="Calibri"/>
          <w:color w:val="404040" w:themeColor="text1" w:themeTint="BF"/>
          <w:sz w:val="20"/>
          <w:highlight w:val="yellow"/>
        </w:rPr>
      </w:pPr>
    </w:p>
    <w:p w14:paraId="59E424D7" w14:textId="77777777" w:rsidR="008C00AB" w:rsidRPr="00FB7D45" w:rsidRDefault="008C00AB" w:rsidP="008C00AB">
      <w:pPr>
        <w:pStyle w:val="Heading2"/>
        <w:spacing w:before="0"/>
        <w:rPr>
          <w:rFonts w:cs="Calibri"/>
          <w:i/>
          <w:color w:val="404040" w:themeColor="text1" w:themeTint="BF"/>
          <w:sz w:val="20"/>
        </w:rPr>
      </w:pPr>
      <w:r w:rsidRPr="00FB7D45">
        <w:rPr>
          <w:color w:val="auto"/>
        </w:rPr>
        <w:lastRenderedPageBreak/>
        <w:t>Strategic Report (continued)</w:t>
      </w:r>
    </w:p>
    <w:p w14:paraId="20662D37" w14:textId="77777777" w:rsidR="008C00AB" w:rsidRPr="00FB7D45" w:rsidRDefault="008C00AB" w:rsidP="008C00AB">
      <w:pPr>
        <w:rPr>
          <w:rFonts w:ascii="Georgia" w:hAnsi="Georgia" w:cs="Calibri"/>
          <w:i/>
          <w:color w:val="404040" w:themeColor="text1" w:themeTint="BF"/>
          <w:sz w:val="20"/>
        </w:rPr>
      </w:pPr>
    </w:p>
    <w:p w14:paraId="0AE15A0B" w14:textId="77777777" w:rsidR="00E42A95" w:rsidRPr="00FB7D45" w:rsidRDefault="00FB0861" w:rsidP="000916C2">
      <w:pPr>
        <w:pStyle w:val="ListParagraph"/>
        <w:numPr>
          <w:ilvl w:val="0"/>
          <w:numId w:val="5"/>
        </w:numPr>
        <w:ind w:left="357" w:hanging="357"/>
        <w:rPr>
          <w:rFonts w:ascii="Georgia" w:hAnsi="Georgia" w:cs="Calibri"/>
          <w:b/>
          <w:color w:val="404040" w:themeColor="text1" w:themeTint="BF"/>
          <w:sz w:val="20"/>
        </w:rPr>
      </w:pPr>
      <w:r w:rsidRPr="00FB7D45">
        <w:rPr>
          <w:rFonts w:ascii="Georgia" w:hAnsi="Georgia" w:cs="Calibri"/>
          <w:b/>
          <w:color w:val="404040" w:themeColor="text1" w:themeTint="BF"/>
          <w:sz w:val="20"/>
        </w:rPr>
        <w:t>Company’s Operating Model (continued)</w:t>
      </w:r>
    </w:p>
    <w:p w14:paraId="02482148" w14:textId="77777777" w:rsidR="00FB0861" w:rsidRPr="009625B4" w:rsidRDefault="00FB0861" w:rsidP="00B56E61">
      <w:pPr>
        <w:rPr>
          <w:rFonts w:ascii="Georgia" w:hAnsi="Georgia" w:cs="Calibri"/>
          <w:b/>
          <w:color w:val="404040" w:themeColor="text1" w:themeTint="BF"/>
          <w:sz w:val="20"/>
          <w:highlight w:val="yellow"/>
        </w:rPr>
      </w:pPr>
    </w:p>
    <w:p w14:paraId="79A88E37" w14:textId="77777777" w:rsidR="00EF7762" w:rsidRPr="001B56EC" w:rsidRDefault="00EF7762" w:rsidP="00EF7762">
      <w:pPr>
        <w:autoSpaceDE w:val="0"/>
        <w:autoSpaceDN w:val="0"/>
        <w:adjustRightInd w:val="0"/>
        <w:jc w:val="both"/>
        <w:rPr>
          <w:rFonts w:ascii="Georgia" w:hAnsi="Georgia" w:cs="Calibri"/>
          <w:b/>
          <w:color w:val="404040" w:themeColor="text1" w:themeTint="BF"/>
          <w:sz w:val="20"/>
        </w:rPr>
      </w:pPr>
      <w:r w:rsidRPr="001B56EC">
        <w:rPr>
          <w:rFonts w:ascii="Georgia" w:hAnsi="Georgia" w:cs="Calibri"/>
          <w:b/>
          <w:color w:val="404040" w:themeColor="text1" w:themeTint="BF"/>
          <w:sz w:val="20"/>
        </w:rPr>
        <w:t>Investment Process (continued)</w:t>
      </w:r>
    </w:p>
    <w:p w14:paraId="287BF1A2" w14:textId="7DF059D9" w:rsidR="00FC5872" w:rsidRPr="001B56EC" w:rsidRDefault="00FC5872" w:rsidP="00FC5872">
      <w:pPr>
        <w:jc w:val="both"/>
        <w:rPr>
          <w:rFonts w:ascii="Georgia" w:hAnsi="Georgia" w:cs="Calibri"/>
          <w:i/>
          <w:color w:val="404040" w:themeColor="text1" w:themeTint="BF"/>
          <w:sz w:val="20"/>
        </w:rPr>
      </w:pPr>
    </w:p>
    <w:p w14:paraId="2FFBBC93" w14:textId="6F428E25" w:rsidR="00FC5872" w:rsidRDefault="00FC5872" w:rsidP="00EF6D72">
      <w:pPr>
        <w:jc w:val="both"/>
        <w:rPr>
          <w:rFonts w:ascii="Georgia" w:hAnsi="Georgia" w:cs="Calibri"/>
          <w:i/>
          <w:color w:val="404040" w:themeColor="text1" w:themeTint="BF"/>
          <w:sz w:val="20"/>
          <w:highlight w:val="yellow"/>
        </w:rPr>
      </w:pPr>
      <w:r w:rsidRPr="001B56EC">
        <w:rPr>
          <w:rFonts w:ascii="Georgia" w:hAnsi="Georgia" w:cs="Calibri"/>
          <w:i/>
          <w:color w:val="404040" w:themeColor="text1" w:themeTint="BF"/>
          <w:sz w:val="20"/>
        </w:rPr>
        <w:t>Repeat transaction experience with specialist advisers</w:t>
      </w:r>
    </w:p>
    <w:p w14:paraId="37F6F96B" w14:textId="67541AF9" w:rsidR="00FC5872" w:rsidRDefault="00FC5872" w:rsidP="00EF6D72">
      <w:pPr>
        <w:pStyle w:val="BluefieldBody"/>
        <w:rPr>
          <w:highlight w:val="yellow"/>
        </w:rPr>
      </w:pPr>
      <w:r w:rsidRPr="001B56EC">
        <w:t xml:space="preserve">The Investment Adviser has worked with </w:t>
      </w:r>
      <w:r>
        <w:t>a range of specialist</w:t>
      </w:r>
      <w:r w:rsidRPr="001B56EC">
        <w:t xml:space="preserve"> advisers </w:t>
      </w:r>
      <w:r>
        <w:t xml:space="preserve">from multiple disciplines </w:t>
      </w:r>
      <w:r w:rsidRPr="001B56EC">
        <w:t xml:space="preserve">in each of the transactions it has executed in the UK market </w:t>
      </w:r>
      <w:r>
        <w:t>and</w:t>
      </w:r>
      <w:r w:rsidRPr="001B56EC">
        <w:t xml:space="preserve"> is able to source relevant expertise to address project issues both during and following a transaction.</w:t>
      </w:r>
    </w:p>
    <w:p w14:paraId="18490082" w14:textId="77777777" w:rsidR="00FC5872" w:rsidRPr="009625B4" w:rsidRDefault="00FC5872" w:rsidP="00B56E61">
      <w:pPr>
        <w:rPr>
          <w:rFonts w:ascii="Georgia" w:hAnsi="Georgia" w:cs="Calibri"/>
          <w:i/>
          <w:color w:val="404040" w:themeColor="text1" w:themeTint="BF"/>
          <w:sz w:val="20"/>
          <w:highlight w:val="yellow"/>
        </w:rPr>
      </w:pPr>
    </w:p>
    <w:p w14:paraId="72619CC5" w14:textId="77777777" w:rsidR="00EF7762" w:rsidRPr="001B56EC" w:rsidRDefault="00EF7762" w:rsidP="00EF7762">
      <w:pPr>
        <w:jc w:val="both"/>
        <w:rPr>
          <w:rFonts w:ascii="Georgia" w:hAnsi="Georgia" w:cs="Calibri"/>
          <w:i/>
          <w:color w:val="404040" w:themeColor="text1" w:themeTint="BF"/>
          <w:sz w:val="20"/>
        </w:rPr>
      </w:pPr>
      <w:r w:rsidRPr="001B56EC">
        <w:rPr>
          <w:rFonts w:ascii="Georgia" w:hAnsi="Georgia" w:cs="Calibri"/>
          <w:i/>
          <w:color w:val="404040" w:themeColor="text1" w:themeTint="BF"/>
          <w:sz w:val="20"/>
        </w:rPr>
        <w:t xml:space="preserve">Application of standardised terms developed </w:t>
      </w:r>
      <w:r>
        <w:rPr>
          <w:rFonts w:ascii="Georgia" w:hAnsi="Georgia" w:cs="Calibri"/>
          <w:i/>
          <w:color w:val="404040" w:themeColor="text1" w:themeTint="BF"/>
          <w:sz w:val="20"/>
        </w:rPr>
        <w:t>from</w:t>
      </w:r>
      <w:r w:rsidRPr="001B56EC">
        <w:rPr>
          <w:rFonts w:ascii="Georgia" w:hAnsi="Georgia" w:cs="Calibri"/>
          <w:i/>
          <w:color w:val="404040" w:themeColor="text1" w:themeTint="BF"/>
          <w:sz w:val="20"/>
        </w:rPr>
        <w:t xml:space="preserve"> direct experience</w:t>
      </w:r>
    </w:p>
    <w:p w14:paraId="093BE625" w14:textId="49F1E2FB" w:rsidR="00EF7762" w:rsidRDefault="00EF7762" w:rsidP="00EF7762">
      <w:pPr>
        <w:pStyle w:val="BluefieldBody"/>
      </w:pPr>
      <w:r w:rsidRPr="001B56EC">
        <w:t>The Investment Adviser has developed standardised terms which have been specifically tested by reference to real transaction and project operational experience. Whilst contract terms are specifically negotiated and tailored for each individual project,</w:t>
      </w:r>
      <w:r>
        <w:t xml:space="preserve"> the Investment Adviser always includes contractual protection </w:t>
      </w:r>
      <w:r w:rsidRPr="001B56EC">
        <w:t>regarding recovery of revenue</w:t>
      </w:r>
      <w:r>
        <w:t xml:space="preserve"> </w:t>
      </w:r>
      <w:r w:rsidRPr="006A0F20">
        <w:t xml:space="preserve">losses for underperformance and obligations for correction of defects. </w:t>
      </w:r>
    </w:p>
    <w:p w14:paraId="0A3B2BFC" w14:textId="77777777" w:rsidR="00180874" w:rsidRPr="009625B4" w:rsidRDefault="00180874" w:rsidP="00180874">
      <w:pPr>
        <w:jc w:val="both"/>
        <w:rPr>
          <w:rFonts w:ascii="Georgia" w:hAnsi="Georgia" w:cs="Calibri"/>
          <w:color w:val="404040" w:themeColor="text1" w:themeTint="BF"/>
          <w:sz w:val="20"/>
          <w:highlight w:val="yellow"/>
        </w:rPr>
      </w:pPr>
    </w:p>
    <w:p w14:paraId="123AA2D2" w14:textId="7777777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Rigorous internal approval process</w:t>
      </w:r>
    </w:p>
    <w:p w14:paraId="6E851FFD" w14:textId="13A9415A"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All investment recommendations issued to the Company</w:t>
      </w:r>
      <w:r>
        <w:rPr>
          <w:rFonts w:ascii="Georgia" w:hAnsi="Georgia" w:cs="Calibri"/>
          <w:color w:val="404040" w:themeColor="text1" w:themeTint="BF"/>
          <w:sz w:val="20"/>
        </w:rPr>
        <w:t xml:space="preserve">, </w:t>
      </w:r>
      <w:r w:rsidRPr="001B56EC">
        <w:rPr>
          <w:rFonts w:ascii="Georgia" w:hAnsi="Georgia" w:cs="Calibri"/>
          <w:color w:val="404040" w:themeColor="text1" w:themeTint="BF"/>
          <w:sz w:val="20"/>
        </w:rPr>
        <w:t>are made following the formalised review process described below:</w:t>
      </w:r>
    </w:p>
    <w:p w14:paraId="0429149D"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p>
    <w:p w14:paraId="37088D7F" w14:textId="7777777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(1) Investment origination and review by Managing Partners</w:t>
      </w:r>
    </w:p>
    <w:p w14:paraId="5E291F65" w14:textId="67814F66"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Before incurring costs in relation to the preparation of a transaction, a project is concept reviewed by the Investment Adviser’s Managing Partners, following which</w:t>
      </w:r>
      <w:r w:rsidR="00323475">
        <w:rPr>
          <w:rFonts w:ascii="Georgia" w:hAnsi="Georgia" w:cs="Calibri"/>
          <w:color w:val="404040" w:themeColor="text1" w:themeTint="BF"/>
          <w:sz w:val="20"/>
        </w:rPr>
        <w:t>,</w:t>
      </w:r>
      <w:r w:rsidRPr="001B56EC">
        <w:rPr>
          <w:rFonts w:ascii="Georgia" w:hAnsi="Georgia" w:cs="Calibri"/>
          <w:color w:val="404040" w:themeColor="text1" w:themeTint="BF"/>
          <w:sz w:val="20"/>
        </w:rPr>
        <w:t xml:space="preserve"> a letter of interest or memorandum of understanding is issued and project exclusivity is secured.</w:t>
      </w:r>
    </w:p>
    <w:p w14:paraId="6AA652DC"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p>
    <w:p w14:paraId="09C5B4B7" w14:textId="7777777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(2) Director Concept Approval</w:t>
      </w:r>
    </w:p>
    <w:p w14:paraId="00B28E73"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 xml:space="preserve">In the event that material costs are to be incurred in pursuing a transaction, a concept paper is issued by the Investment Adviser for review by the </w:t>
      </w:r>
      <w:r>
        <w:rPr>
          <w:rFonts w:ascii="Georgia" w:hAnsi="Georgia" w:cs="Calibri"/>
          <w:color w:val="404040" w:themeColor="text1" w:themeTint="BF"/>
          <w:sz w:val="20"/>
        </w:rPr>
        <w:t>Board</w:t>
      </w:r>
      <w:r w:rsidRPr="001B56EC">
        <w:rPr>
          <w:rFonts w:ascii="Georgia" w:hAnsi="Georgia" w:cs="Calibri"/>
          <w:color w:val="404040" w:themeColor="text1" w:themeTint="BF"/>
          <w:sz w:val="20"/>
        </w:rPr>
        <w:t>. This concept review fixes a project</w:t>
      </w:r>
      <w:r>
        <w:rPr>
          <w:rFonts w:ascii="Georgia" w:hAnsi="Georgia" w:cs="Calibri"/>
          <w:color w:val="404040" w:themeColor="text1" w:themeTint="BF"/>
          <w:sz w:val="20"/>
        </w:rPr>
        <w:t xml:space="preserve"> evaluation</w:t>
      </w:r>
      <w:r w:rsidRPr="001B56EC">
        <w:rPr>
          <w:rFonts w:ascii="Georgia" w:hAnsi="Georgia" w:cs="Calibri"/>
          <w:color w:val="404040" w:themeColor="text1" w:themeTint="BF"/>
          <w:sz w:val="20"/>
        </w:rPr>
        <w:t xml:space="preserve"> budget as well as confirming the project proposal is in line with the Company’s investment policy and strategy.</w:t>
      </w:r>
    </w:p>
    <w:p w14:paraId="5D0F8D92" w14:textId="77777777" w:rsidR="00EF7762" w:rsidRPr="001B56EC" w:rsidRDefault="00EF7762" w:rsidP="00EF7762">
      <w:pPr>
        <w:tabs>
          <w:tab w:val="left" w:pos="5520"/>
        </w:tabs>
        <w:autoSpaceDE w:val="0"/>
        <w:autoSpaceDN w:val="0"/>
        <w:adjustRightInd w:val="0"/>
        <w:jc w:val="both"/>
        <w:rPr>
          <w:rFonts w:ascii="Georgia" w:hAnsi="Georgia" w:cs="Calibri"/>
          <w:color w:val="404040" w:themeColor="text1" w:themeTint="BF"/>
          <w:sz w:val="20"/>
        </w:rPr>
      </w:pPr>
      <w:r>
        <w:rPr>
          <w:rFonts w:ascii="Georgia" w:hAnsi="Georgia" w:cs="Calibri"/>
          <w:color w:val="404040" w:themeColor="text1" w:themeTint="BF"/>
          <w:sz w:val="20"/>
        </w:rPr>
        <w:tab/>
      </w:r>
    </w:p>
    <w:p w14:paraId="38B6F1EF" w14:textId="7777777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(3) Due diligence</w:t>
      </w:r>
    </w:p>
    <w:p w14:paraId="5D6C1F3C" w14:textId="5BAF196C"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 xml:space="preserve">In addition to applying its direct commercial experience in executing solar </w:t>
      </w:r>
      <w:r w:rsidRPr="001B56EC">
        <w:rPr>
          <w:rFonts w:ascii="Georgia" w:eastAsia="Calibri" w:hAnsi="Georgia" w:cs="Arial"/>
          <w:bCs/>
          <w:color w:val="404040" w:themeColor="text1" w:themeTint="BF"/>
          <w:sz w:val="20"/>
          <w:szCs w:val="20"/>
        </w:rPr>
        <w:t xml:space="preserve">PV </w:t>
      </w:r>
      <w:r w:rsidRPr="001B56EC">
        <w:rPr>
          <w:rFonts w:ascii="Georgia" w:hAnsi="Georgia" w:cs="Calibri"/>
          <w:color w:val="404040" w:themeColor="text1" w:themeTint="BF"/>
          <w:sz w:val="20"/>
        </w:rPr>
        <w:t>project acquisitions and managing operational solar plants, the Investment Adviser</w:t>
      </w:r>
      <w:r>
        <w:rPr>
          <w:rFonts w:ascii="Georgia" w:hAnsi="Georgia" w:cs="Calibri"/>
          <w:color w:val="404040" w:themeColor="text1" w:themeTint="BF"/>
          <w:sz w:val="20"/>
        </w:rPr>
        <w:t xml:space="preserve"> </w:t>
      </w:r>
      <w:r w:rsidRPr="001B56EC">
        <w:rPr>
          <w:rFonts w:ascii="Georgia" w:hAnsi="Georgia" w:cs="Calibri"/>
          <w:color w:val="404040" w:themeColor="text1" w:themeTint="BF"/>
          <w:sz w:val="20"/>
        </w:rPr>
        <w:t xml:space="preserve">engages legal, technical and, where required, insurance and accounting advisers </w:t>
      </w:r>
      <w:r>
        <w:rPr>
          <w:rFonts w:ascii="Georgia" w:hAnsi="Georgia" w:cs="Calibri"/>
          <w:color w:val="404040" w:themeColor="text1" w:themeTint="BF"/>
          <w:sz w:val="20"/>
        </w:rPr>
        <w:t xml:space="preserve">from its extensive network </w:t>
      </w:r>
      <w:r w:rsidRPr="001B56EC">
        <w:rPr>
          <w:rFonts w:ascii="Georgia" w:hAnsi="Georgia" w:cs="Calibri"/>
          <w:color w:val="404040" w:themeColor="text1" w:themeTint="BF"/>
          <w:sz w:val="20"/>
        </w:rPr>
        <w:t xml:space="preserve">to </w:t>
      </w:r>
      <w:r w:rsidRPr="00605815">
        <w:rPr>
          <w:rFonts w:ascii="Georgia" w:hAnsi="Georgia" w:cs="Calibri"/>
          <w:color w:val="404040" w:themeColor="text1" w:themeTint="BF"/>
          <w:sz w:val="20"/>
        </w:rPr>
        <w:t>undertake independent due diligence</w:t>
      </w:r>
      <w:r>
        <w:rPr>
          <w:rFonts w:ascii="Georgia" w:hAnsi="Georgia" w:cs="Calibri"/>
          <w:color w:val="404040" w:themeColor="text1" w:themeTint="BF"/>
          <w:sz w:val="20"/>
        </w:rPr>
        <w:t>.</w:t>
      </w:r>
    </w:p>
    <w:p w14:paraId="17F73098"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p>
    <w:p w14:paraId="010FEB00" w14:textId="7777777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(4) Bluefield Partners LLP Investment Committee</w:t>
      </w:r>
    </w:p>
    <w:p w14:paraId="5AB6FFD1"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Investment recommendations issued by the Investment Adviser are made following the submission of a detailed investment paper to the Investment Committee. The Investment Committee operates on the basis of unanimous consent and has a record of making detailed evaluation of project risks. The investment paper submitted to the Investment Committee discloses all interests which the Investment Adviser and any of its affiliates may have in the proposed transaction.</w:t>
      </w:r>
    </w:p>
    <w:p w14:paraId="3980E432"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p>
    <w:p w14:paraId="20BF2D5B" w14:textId="7777777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(5) Board approval</w:t>
      </w:r>
    </w:p>
    <w:p w14:paraId="613BB1B5" w14:textId="676F3D3E"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Following approval by the Investment Adviser Investment Committee, investment recommendations are issued by the Investment Advise</w:t>
      </w:r>
      <w:r>
        <w:rPr>
          <w:rFonts w:ascii="Georgia" w:hAnsi="Georgia" w:cs="Calibri"/>
          <w:color w:val="404040" w:themeColor="text1" w:themeTint="BF"/>
          <w:sz w:val="20"/>
        </w:rPr>
        <w:t xml:space="preserve">r </w:t>
      </w:r>
      <w:r w:rsidRPr="001B56EC">
        <w:rPr>
          <w:rFonts w:ascii="Georgia" w:hAnsi="Georgia" w:cs="Calibri"/>
          <w:color w:val="404040" w:themeColor="text1" w:themeTint="BF"/>
          <w:sz w:val="20"/>
        </w:rPr>
        <w:t xml:space="preserve">for review by the boards of the Company and BSIFIL. </w:t>
      </w:r>
      <w:r>
        <w:rPr>
          <w:rFonts w:ascii="Georgia" w:hAnsi="Georgia" w:cs="Calibri"/>
          <w:color w:val="404040" w:themeColor="text1" w:themeTint="BF"/>
          <w:sz w:val="20"/>
        </w:rPr>
        <w:t>The boards</w:t>
      </w:r>
      <w:r w:rsidRPr="001B56EC">
        <w:rPr>
          <w:rFonts w:ascii="Georgia" w:hAnsi="Georgia" w:cs="Calibri"/>
          <w:color w:val="404040" w:themeColor="text1" w:themeTint="BF"/>
          <w:sz w:val="20"/>
        </w:rPr>
        <w:t xml:space="preserve"> undertake detailed review meetings with the Investment Adviser to assess the </w:t>
      </w:r>
      <w:r>
        <w:rPr>
          <w:rFonts w:ascii="Georgia" w:hAnsi="Georgia" w:cs="Calibri"/>
          <w:color w:val="404040" w:themeColor="text1" w:themeTint="BF"/>
          <w:sz w:val="20"/>
        </w:rPr>
        <w:t>recommended projects</w:t>
      </w:r>
      <w:r w:rsidRPr="001B56EC">
        <w:rPr>
          <w:rFonts w:ascii="Georgia" w:hAnsi="Georgia" w:cs="Calibri"/>
          <w:color w:val="404040" w:themeColor="text1" w:themeTint="BF"/>
          <w:sz w:val="20"/>
        </w:rPr>
        <w:t xml:space="preserve">. If the boards of </w:t>
      </w:r>
      <w:r>
        <w:rPr>
          <w:rFonts w:ascii="Georgia" w:hAnsi="Georgia" w:cs="Calibri"/>
          <w:color w:val="404040" w:themeColor="text1" w:themeTint="BF"/>
          <w:sz w:val="20"/>
        </w:rPr>
        <w:t xml:space="preserve">both </w:t>
      </w:r>
      <w:r w:rsidRPr="001B56EC">
        <w:rPr>
          <w:rFonts w:ascii="Georgia" w:hAnsi="Georgia" w:cs="Calibri"/>
          <w:color w:val="404040" w:themeColor="text1" w:themeTint="BF"/>
          <w:sz w:val="20"/>
        </w:rPr>
        <w:t xml:space="preserve">the Company and BSIFIL approve the relevant transaction, the Investment Adviser is authorised to execute </w:t>
      </w:r>
      <w:r>
        <w:rPr>
          <w:rFonts w:ascii="Georgia" w:hAnsi="Georgia" w:cs="Calibri"/>
          <w:color w:val="404040" w:themeColor="text1" w:themeTint="BF"/>
          <w:sz w:val="20"/>
        </w:rPr>
        <w:t>it</w:t>
      </w:r>
      <w:r w:rsidRPr="001B56EC">
        <w:rPr>
          <w:rFonts w:ascii="Georgia" w:hAnsi="Georgia" w:cs="Calibri"/>
          <w:color w:val="404040" w:themeColor="text1" w:themeTint="BF"/>
          <w:sz w:val="20"/>
        </w:rPr>
        <w:t xml:space="preserve"> in accordance with the Investment Adviser’s recommendation and any condition stipulated in the boards’ approval</w:t>
      </w:r>
      <w:r>
        <w:rPr>
          <w:rFonts w:ascii="Georgia" w:hAnsi="Georgia" w:cs="Calibri"/>
          <w:color w:val="404040" w:themeColor="text1" w:themeTint="BF"/>
          <w:sz w:val="20"/>
        </w:rPr>
        <w:t>s</w:t>
      </w:r>
      <w:r w:rsidRPr="001B56EC">
        <w:rPr>
          <w:rFonts w:ascii="Georgia" w:hAnsi="Georgia" w:cs="Calibri"/>
          <w:color w:val="404040" w:themeColor="text1" w:themeTint="BF"/>
          <w:sz w:val="20"/>
        </w:rPr>
        <w:t>.</w:t>
      </w:r>
      <w:r>
        <w:rPr>
          <w:rFonts w:ascii="Georgia" w:hAnsi="Georgia" w:cs="Calibri"/>
          <w:color w:val="404040" w:themeColor="text1" w:themeTint="BF"/>
          <w:sz w:val="20"/>
        </w:rPr>
        <w:t xml:space="preserve"> The boards are regularly updated on the pipeline of potential new investments to help provide context for capital allocation decisions.</w:t>
      </w:r>
    </w:p>
    <w:p w14:paraId="4A1D48B1" w14:textId="77777777" w:rsidR="00EF7762" w:rsidRPr="001B56EC" w:rsidRDefault="00EF7762" w:rsidP="00EF7762">
      <w:pPr>
        <w:autoSpaceDE w:val="0"/>
        <w:autoSpaceDN w:val="0"/>
        <w:adjustRightInd w:val="0"/>
        <w:jc w:val="both"/>
        <w:rPr>
          <w:rFonts w:ascii="Georgia" w:hAnsi="Georgia" w:cs="Calibri"/>
          <w:color w:val="404040" w:themeColor="text1" w:themeTint="BF"/>
          <w:sz w:val="20"/>
        </w:rPr>
      </w:pPr>
      <w:r w:rsidRPr="001B56EC">
        <w:t xml:space="preserve">  </w:t>
      </w:r>
    </w:p>
    <w:p w14:paraId="607A8345" w14:textId="318D5AC7" w:rsidR="00EF7762" w:rsidRPr="001B56EC" w:rsidRDefault="00EF7762" w:rsidP="00EF7762">
      <w:pPr>
        <w:autoSpaceDE w:val="0"/>
        <w:autoSpaceDN w:val="0"/>
        <w:adjustRightInd w:val="0"/>
        <w:jc w:val="both"/>
        <w:rPr>
          <w:rFonts w:ascii="Georgia" w:hAnsi="Georgia" w:cs="Calibri"/>
          <w:i/>
          <w:color w:val="404040" w:themeColor="text1" w:themeTint="BF"/>
          <w:sz w:val="20"/>
        </w:rPr>
      </w:pPr>
      <w:r w:rsidRPr="001B56EC">
        <w:rPr>
          <w:rFonts w:ascii="Georgia" w:hAnsi="Georgia" w:cs="Calibri"/>
          <w:i/>
          <w:color w:val="404040" w:themeColor="text1" w:themeTint="BF"/>
          <w:sz w:val="20"/>
        </w:rPr>
        <w:t>(6) Closing memorandum</w:t>
      </w:r>
    </w:p>
    <w:p w14:paraId="3F934F6E" w14:textId="53B3A85B" w:rsidR="00935186" w:rsidRPr="009625B4" w:rsidRDefault="00EF7762" w:rsidP="0024470F">
      <w:pPr>
        <w:pStyle w:val="BluefieldBody"/>
        <w:rPr>
          <w:highlight w:val="yellow"/>
        </w:rPr>
      </w:pPr>
      <w:r w:rsidRPr="001B56EC">
        <w:rPr>
          <w:rFonts w:cs="Calibri"/>
        </w:rPr>
        <w:t xml:space="preserve">Prior to executing the transaction, the Investment Adviser completes a closing memorandum confirming that the final transaction is in accordance with the terms presented in the investment paper to the Investment Committee; detailing any material variations and outlining how any conditions to the approval of the Investment Committee and/or Board approval have been addressed. This closing memorandum is countersigned by an appointed member of the Investment Committee prior to </w:t>
      </w:r>
      <w:r>
        <w:rPr>
          <w:rFonts w:cs="Calibri"/>
        </w:rPr>
        <w:t>completing</w:t>
      </w:r>
      <w:r w:rsidRPr="001B56EC">
        <w:rPr>
          <w:rFonts w:cs="Calibri"/>
        </w:rPr>
        <w:t xml:space="preserve"> the transaction. </w:t>
      </w:r>
    </w:p>
    <w:p w14:paraId="1163FF61" w14:textId="77777777" w:rsidR="00BF3AC2" w:rsidRPr="00FB7D45" w:rsidRDefault="00BF3AC2" w:rsidP="00BF3AC2">
      <w:pPr>
        <w:pStyle w:val="Heading2"/>
        <w:spacing w:before="0"/>
        <w:rPr>
          <w:color w:val="auto"/>
        </w:rPr>
      </w:pPr>
      <w:r w:rsidRPr="00FB7D45">
        <w:rPr>
          <w:color w:val="auto"/>
        </w:rPr>
        <w:lastRenderedPageBreak/>
        <w:t>Strategic Report (continued)</w:t>
      </w:r>
    </w:p>
    <w:p w14:paraId="4448DB38" w14:textId="77777777" w:rsidR="00BF3AC2" w:rsidRPr="00FB7D45" w:rsidRDefault="00BF3AC2" w:rsidP="00BF3AC2"/>
    <w:p w14:paraId="3A0EC8EA" w14:textId="77777777" w:rsidR="00BF3AC2" w:rsidRPr="00FB7D45" w:rsidRDefault="00BF3AC2" w:rsidP="000916C2">
      <w:pPr>
        <w:pStyle w:val="ListParagraph"/>
        <w:numPr>
          <w:ilvl w:val="0"/>
          <w:numId w:val="6"/>
        </w:numPr>
        <w:ind w:left="357" w:hanging="357"/>
        <w:rPr>
          <w:rFonts w:ascii="Georgia" w:hAnsi="Georgia" w:cs="Calibri"/>
          <w:b/>
          <w:color w:val="404040" w:themeColor="text1" w:themeTint="BF"/>
          <w:sz w:val="20"/>
        </w:rPr>
      </w:pPr>
      <w:r w:rsidRPr="00FB7D45">
        <w:rPr>
          <w:rFonts w:ascii="Georgia" w:hAnsi="Georgia" w:cs="Calibri"/>
          <w:b/>
          <w:color w:val="404040" w:themeColor="text1" w:themeTint="BF"/>
          <w:sz w:val="20"/>
        </w:rPr>
        <w:t>Company’s Operating Model (continued)</w:t>
      </w:r>
    </w:p>
    <w:p w14:paraId="643E7D1E" w14:textId="77777777" w:rsidR="00BF3AC2" w:rsidRPr="009625B4" w:rsidRDefault="00BF3AC2" w:rsidP="00BF3AC2">
      <w:pPr>
        <w:autoSpaceDE w:val="0"/>
        <w:autoSpaceDN w:val="0"/>
        <w:adjustRightInd w:val="0"/>
        <w:jc w:val="both"/>
        <w:rPr>
          <w:rFonts w:ascii="Georgia" w:hAnsi="Georgia" w:cs="Calibri"/>
          <w:b/>
          <w:color w:val="404040" w:themeColor="text1" w:themeTint="BF"/>
          <w:sz w:val="20"/>
          <w:highlight w:val="yellow"/>
        </w:rPr>
      </w:pPr>
    </w:p>
    <w:p w14:paraId="56686CFB" w14:textId="77777777" w:rsidR="00C200A9" w:rsidRPr="001B56EC" w:rsidRDefault="00C200A9" w:rsidP="00C200A9">
      <w:pPr>
        <w:rPr>
          <w:rFonts w:ascii="Georgia" w:hAnsi="Georgia" w:cs="Calibri"/>
          <w:b/>
          <w:color w:val="404040" w:themeColor="text1" w:themeTint="BF"/>
          <w:sz w:val="20"/>
        </w:rPr>
      </w:pPr>
      <w:r w:rsidRPr="001B56EC">
        <w:rPr>
          <w:rFonts w:ascii="Georgia" w:hAnsi="Georgia" w:cs="Calibri"/>
          <w:b/>
          <w:color w:val="404040" w:themeColor="text1" w:themeTint="BF"/>
          <w:sz w:val="20"/>
        </w:rPr>
        <w:t>Managing conflicts of interest</w:t>
      </w:r>
    </w:p>
    <w:p w14:paraId="7F29AB27" w14:textId="77777777" w:rsidR="00C200A9" w:rsidRPr="001B56EC" w:rsidRDefault="00C200A9" w:rsidP="00C200A9">
      <w:pPr>
        <w:rPr>
          <w:rFonts w:ascii="Georgia" w:hAnsi="Georgia" w:cs="Calibri"/>
          <w:b/>
          <w:color w:val="404040" w:themeColor="text1" w:themeTint="BF"/>
          <w:sz w:val="20"/>
        </w:rPr>
      </w:pPr>
    </w:p>
    <w:p w14:paraId="7C97EC6D" w14:textId="65E5908B" w:rsidR="00C200A9" w:rsidRPr="001B56EC" w:rsidRDefault="00CC61E6" w:rsidP="00C200A9">
      <w:pPr>
        <w:jc w:val="both"/>
        <w:rPr>
          <w:rFonts w:ascii="Georgia" w:hAnsi="Georgia" w:cs="Calibri"/>
          <w:color w:val="404040" w:themeColor="text1" w:themeTint="BF"/>
          <w:sz w:val="20"/>
        </w:rPr>
      </w:pPr>
      <w:r w:rsidRPr="001B56EC">
        <w:rPr>
          <w:rFonts w:ascii="Georgia" w:hAnsi="Georgia" w:cs="Calibri"/>
          <w:color w:val="404040" w:themeColor="text1" w:themeTint="BF"/>
          <w:sz w:val="20"/>
        </w:rPr>
        <w:t xml:space="preserve">The Investment Adviser </w:t>
      </w:r>
      <w:r>
        <w:rPr>
          <w:rFonts w:ascii="Georgia" w:hAnsi="Georgia" w:cs="Calibri"/>
          <w:color w:val="404040" w:themeColor="text1" w:themeTint="BF"/>
          <w:sz w:val="20"/>
        </w:rPr>
        <w:t xml:space="preserve">is regulated by the FCA and is bound by conduct of business rules relating to management of conflicts of interest. </w:t>
      </w:r>
      <w:r w:rsidR="00C200A9" w:rsidRPr="001B56EC">
        <w:rPr>
          <w:rFonts w:ascii="Georgia" w:hAnsi="Georgia" w:cs="Calibri"/>
          <w:color w:val="404040" w:themeColor="text1" w:themeTint="BF"/>
          <w:sz w:val="20"/>
        </w:rPr>
        <w:t xml:space="preserve">The Investment Adviser and any of its members, directors, officers, employees, agents and connected persons, and any person or company with whom they are affiliated or by whom they are employed may be involved in other financial, investment or other professional activities which may cause potential conflicts of interest with the Company and its investments. </w:t>
      </w:r>
    </w:p>
    <w:p w14:paraId="6B561C23" w14:textId="77777777" w:rsidR="00C200A9" w:rsidRPr="001B56EC" w:rsidRDefault="00C200A9" w:rsidP="00C200A9">
      <w:pPr>
        <w:jc w:val="both"/>
        <w:rPr>
          <w:rFonts w:ascii="Georgia" w:hAnsi="Georgia" w:cs="Calibri"/>
          <w:color w:val="404040" w:themeColor="text1" w:themeTint="BF"/>
          <w:sz w:val="20"/>
        </w:rPr>
      </w:pPr>
    </w:p>
    <w:p w14:paraId="403514EC" w14:textId="77777777" w:rsidR="00CC61E6" w:rsidRPr="001B56EC" w:rsidRDefault="00CC61E6" w:rsidP="00CC61E6">
      <w:pPr>
        <w:jc w:val="both"/>
        <w:rPr>
          <w:rFonts w:ascii="Georgia" w:hAnsi="Georgia" w:cs="Calibri"/>
          <w:color w:val="404040" w:themeColor="text1" w:themeTint="BF"/>
          <w:sz w:val="20"/>
        </w:rPr>
      </w:pPr>
      <w:r w:rsidRPr="001B56EC">
        <w:rPr>
          <w:rFonts w:ascii="Georgia" w:hAnsi="Georgia" w:cs="Calibri"/>
          <w:color w:val="404040" w:themeColor="text1" w:themeTint="BF"/>
          <w:sz w:val="20"/>
        </w:rPr>
        <w:t xml:space="preserve">The </w:t>
      </w:r>
      <w:r>
        <w:rPr>
          <w:rFonts w:ascii="Georgia" w:hAnsi="Georgia" w:cs="Calibri"/>
          <w:color w:val="404040" w:themeColor="text1" w:themeTint="BF"/>
          <w:sz w:val="20"/>
        </w:rPr>
        <w:t>Board has</w:t>
      </w:r>
      <w:r w:rsidRPr="001B56EC">
        <w:rPr>
          <w:rFonts w:ascii="Georgia" w:hAnsi="Georgia" w:cs="Calibri"/>
          <w:color w:val="404040" w:themeColor="text1" w:themeTint="BF"/>
          <w:sz w:val="20"/>
        </w:rPr>
        <w:t xml:space="preserve"> noted that the Investment Adviser has other clients and ha</w:t>
      </w:r>
      <w:r>
        <w:rPr>
          <w:rFonts w:ascii="Georgia" w:hAnsi="Georgia" w:cs="Calibri"/>
          <w:color w:val="404040" w:themeColor="text1" w:themeTint="BF"/>
          <w:sz w:val="20"/>
        </w:rPr>
        <w:t>s</w:t>
      </w:r>
      <w:r w:rsidRPr="001B56EC">
        <w:rPr>
          <w:rFonts w:ascii="Georgia" w:hAnsi="Georgia" w:cs="Calibri"/>
          <w:color w:val="404040" w:themeColor="text1" w:themeTint="BF"/>
          <w:sz w:val="20"/>
        </w:rPr>
        <w:t xml:space="preserve"> satisfied </w:t>
      </w:r>
      <w:r>
        <w:rPr>
          <w:rFonts w:ascii="Georgia" w:hAnsi="Georgia" w:cs="Calibri"/>
          <w:color w:val="404040" w:themeColor="text1" w:themeTint="BF"/>
          <w:sz w:val="20"/>
        </w:rPr>
        <w:t>it</w:t>
      </w:r>
      <w:r w:rsidRPr="001B56EC">
        <w:rPr>
          <w:rFonts w:ascii="Georgia" w:hAnsi="Georgia" w:cs="Calibri"/>
          <w:color w:val="404040" w:themeColor="text1" w:themeTint="BF"/>
          <w:sz w:val="20"/>
        </w:rPr>
        <w:t>sel</w:t>
      </w:r>
      <w:r>
        <w:rPr>
          <w:rFonts w:ascii="Georgia" w:hAnsi="Georgia" w:cs="Calibri"/>
          <w:color w:val="404040" w:themeColor="text1" w:themeTint="BF"/>
          <w:sz w:val="20"/>
        </w:rPr>
        <w:t>f</w:t>
      </w:r>
      <w:r w:rsidRPr="001B56EC">
        <w:rPr>
          <w:rFonts w:ascii="Georgia" w:hAnsi="Georgia" w:cs="Calibri"/>
          <w:color w:val="404040" w:themeColor="text1" w:themeTint="BF"/>
          <w:sz w:val="20"/>
        </w:rPr>
        <w:t xml:space="preserve"> that the Investment Adviser has procedures in place to address potential conflicts of interest</w:t>
      </w:r>
      <w:r>
        <w:rPr>
          <w:rFonts w:ascii="Georgia" w:hAnsi="Georgia" w:cs="Calibri"/>
          <w:color w:val="404040" w:themeColor="text1" w:themeTint="BF"/>
          <w:sz w:val="20"/>
        </w:rPr>
        <w:t xml:space="preserve"> which, together with any mitigation measures, </w:t>
      </w:r>
      <w:r w:rsidRPr="001B56EC">
        <w:rPr>
          <w:rFonts w:ascii="Georgia" w:hAnsi="Georgia" w:cs="Calibri"/>
          <w:color w:val="404040" w:themeColor="text1" w:themeTint="BF"/>
          <w:sz w:val="20"/>
        </w:rPr>
        <w:t>are disclosed in the investment recommendation for each investment.</w:t>
      </w:r>
    </w:p>
    <w:p w14:paraId="6277D4B0" w14:textId="77777777" w:rsidR="00C200A9" w:rsidRPr="001B56EC" w:rsidRDefault="00C200A9" w:rsidP="00C200A9">
      <w:pPr>
        <w:pStyle w:val="body"/>
        <w:rPr>
          <w:b/>
        </w:rPr>
      </w:pPr>
    </w:p>
    <w:p w14:paraId="2A274259" w14:textId="77777777" w:rsidR="00C200A9" w:rsidRPr="001B56EC" w:rsidRDefault="00C200A9" w:rsidP="000916C2">
      <w:pPr>
        <w:pStyle w:val="ListParagraph"/>
        <w:numPr>
          <w:ilvl w:val="0"/>
          <w:numId w:val="6"/>
        </w:numPr>
        <w:ind w:left="357" w:hanging="357"/>
        <w:rPr>
          <w:b/>
        </w:rPr>
      </w:pPr>
      <w:r w:rsidRPr="001B56EC">
        <w:rPr>
          <w:rFonts w:ascii="Georgia" w:hAnsi="Georgia" w:cs="Calibri"/>
          <w:b/>
          <w:color w:val="404040" w:themeColor="text1" w:themeTint="BF"/>
          <w:sz w:val="20"/>
        </w:rPr>
        <w:t>Investment Policy</w:t>
      </w:r>
    </w:p>
    <w:p w14:paraId="3F292514" w14:textId="77777777" w:rsidR="00C200A9" w:rsidRPr="001B56EC" w:rsidRDefault="00C200A9" w:rsidP="00C200A9">
      <w:pPr>
        <w:pStyle w:val="body"/>
        <w:rPr>
          <w:b/>
        </w:rPr>
      </w:pPr>
    </w:p>
    <w:p w14:paraId="28803474" w14:textId="7E25E8CB" w:rsidR="00C200A9" w:rsidRPr="0024470F" w:rsidRDefault="00C200A9" w:rsidP="00C200A9">
      <w:pPr>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The Company</w:t>
      </w:r>
      <w:r w:rsidRPr="0024470F">
        <w:rPr>
          <w:rFonts w:ascii="Georgia" w:hAnsi="Georgia" w:cs="Calibri"/>
          <w:color w:val="404040" w:themeColor="text1" w:themeTint="BF"/>
          <w:sz w:val="20"/>
          <w:szCs w:val="20"/>
        </w:rPr>
        <w:t xml:space="preserve"> invests in a diversified portfolio of solar energy assets, </w:t>
      </w:r>
      <w:r w:rsidR="00CC61E6">
        <w:rPr>
          <w:rFonts w:ascii="Georgia" w:hAnsi="Georgia" w:cs="Calibri"/>
          <w:color w:val="404040" w:themeColor="text1" w:themeTint="BF"/>
          <w:sz w:val="20"/>
          <w:szCs w:val="20"/>
        </w:rPr>
        <w:t>all</w:t>
      </w:r>
      <w:r w:rsidR="00CC61E6" w:rsidRPr="0024470F">
        <w:rPr>
          <w:rFonts w:ascii="Georgia" w:hAnsi="Georgia" w:cs="Calibri"/>
          <w:color w:val="404040" w:themeColor="text1" w:themeTint="BF"/>
          <w:sz w:val="20"/>
          <w:szCs w:val="20"/>
        </w:rPr>
        <w:t xml:space="preserve"> </w:t>
      </w:r>
      <w:r w:rsidRPr="0024470F">
        <w:rPr>
          <w:rFonts w:ascii="Georgia" w:hAnsi="Georgia" w:cs="Calibri"/>
          <w:color w:val="404040" w:themeColor="text1" w:themeTint="BF"/>
          <w:sz w:val="20"/>
          <w:szCs w:val="20"/>
        </w:rPr>
        <w:t xml:space="preserve">located within the UK, with a focus on utility scale assets and portfolios on greenfield, industrial and/or commercial sites. The </w:t>
      </w:r>
      <w:r>
        <w:rPr>
          <w:rFonts w:ascii="Georgia" w:hAnsi="Georgia" w:cs="Calibri"/>
          <w:color w:val="404040" w:themeColor="text1" w:themeTint="BF"/>
          <w:sz w:val="20"/>
          <w:szCs w:val="20"/>
        </w:rPr>
        <w:t>Company</w:t>
      </w:r>
      <w:r w:rsidRPr="0024470F">
        <w:rPr>
          <w:rFonts w:ascii="Georgia" w:hAnsi="Georgia" w:cs="Calibri"/>
          <w:color w:val="404040" w:themeColor="text1" w:themeTint="BF"/>
          <w:sz w:val="20"/>
          <w:szCs w:val="20"/>
        </w:rPr>
        <w:t xml:space="preserve"> targets long life solar energy infrastructure, expected to generate renewable energy output over a</w:t>
      </w:r>
      <w:r>
        <w:rPr>
          <w:rFonts w:ascii="Georgia" w:hAnsi="Georgia" w:cs="Calibri"/>
          <w:color w:val="404040" w:themeColor="text1" w:themeTint="BF"/>
          <w:sz w:val="20"/>
          <w:szCs w:val="20"/>
        </w:rPr>
        <w:t xml:space="preserve"> minimum</w:t>
      </w:r>
      <w:r w:rsidRPr="0024470F">
        <w:rPr>
          <w:rFonts w:ascii="Georgia" w:hAnsi="Georgia" w:cs="Calibri"/>
          <w:color w:val="404040" w:themeColor="text1" w:themeTint="BF"/>
          <w:sz w:val="20"/>
          <w:szCs w:val="20"/>
        </w:rPr>
        <w:t xml:space="preserve"> 25 year asset life.</w:t>
      </w:r>
    </w:p>
    <w:p w14:paraId="596904DB" w14:textId="77777777" w:rsidR="00C200A9" w:rsidRPr="0024470F" w:rsidRDefault="00C200A9" w:rsidP="00C200A9">
      <w:pPr>
        <w:ind w:right="396"/>
        <w:jc w:val="both"/>
        <w:rPr>
          <w:rFonts w:ascii="Georgia" w:hAnsi="Georgia"/>
          <w:sz w:val="20"/>
          <w:szCs w:val="20"/>
          <w:lang w:eastAsia="en-GB"/>
        </w:rPr>
      </w:pPr>
    </w:p>
    <w:p w14:paraId="2CEC20AC" w14:textId="77777777" w:rsidR="00C200A9" w:rsidRPr="0024470F" w:rsidRDefault="00C200A9" w:rsidP="00C200A9">
      <w:pPr>
        <w:jc w:val="both"/>
        <w:rPr>
          <w:rFonts w:ascii="Georgia" w:hAnsi="Georgia" w:cs="Calibri"/>
          <w:color w:val="404040" w:themeColor="text1" w:themeTint="BF"/>
          <w:sz w:val="20"/>
          <w:szCs w:val="20"/>
        </w:rPr>
      </w:pPr>
      <w:r w:rsidRPr="0024470F">
        <w:rPr>
          <w:rFonts w:ascii="Georgia" w:hAnsi="Georgia" w:cs="Calibri"/>
          <w:color w:val="404040" w:themeColor="text1" w:themeTint="BF"/>
          <w:sz w:val="20"/>
          <w:szCs w:val="20"/>
        </w:rPr>
        <w:t xml:space="preserve">Individual solar assets or portfolios of solar assets are held within SPVs into which the </w:t>
      </w:r>
      <w:r>
        <w:rPr>
          <w:rFonts w:ascii="Georgia" w:hAnsi="Georgia" w:cs="Calibri"/>
          <w:color w:val="404040" w:themeColor="text1" w:themeTint="BF"/>
          <w:sz w:val="20"/>
          <w:szCs w:val="20"/>
        </w:rPr>
        <w:t xml:space="preserve">Company </w:t>
      </w:r>
      <w:r w:rsidRPr="0024470F">
        <w:rPr>
          <w:rFonts w:ascii="Georgia" w:hAnsi="Georgia" w:cs="Calibri"/>
          <w:color w:val="404040" w:themeColor="text1" w:themeTint="BF"/>
          <w:sz w:val="20"/>
          <w:szCs w:val="20"/>
        </w:rPr>
        <w:t>invests through equity and/or debt in</w:t>
      </w:r>
      <w:r>
        <w:rPr>
          <w:rFonts w:ascii="Georgia" w:hAnsi="Georgia" w:cs="Calibri"/>
          <w:color w:val="404040" w:themeColor="text1" w:themeTint="BF"/>
          <w:sz w:val="20"/>
          <w:szCs w:val="20"/>
        </w:rPr>
        <w:t>struments. The Company</w:t>
      </w:r>
      <w:r w:rsidRPr="0024470F">
        <w:rPr>
          <w:rFonts w:ascii="Georgia" w:hAnsi="Georgia" w:cs="Calibri"/>
          <w:color w:val="404040" w:themeColor="text1" w:themeTint="BF"/>
          <w:sz w:val="20"/>
          <w:szCs w:val="20"/>
        </w:rPr>
        <w:t xml:space="preserve"> typically seeks legal and operational control through direct or indirect stakes of up to 1</w:t>
      </w:r>
      <w:r>
        <w:rPr>
          <w:rFonts w:ascii="Georgia" w:hAnsi="Georgia" w:cs="Calibri"/>
          <w:color w:val="404040" w:themeColor="text1" w:themeTint="BF"/>
          <w:sz w:val="20"/>
          <w:szCs w:val="20"/>
        </w:rPr>
        <w:t>00%</w:t>
      </w:r>
      <w:r w:rsidRPr="0024470F">
        <w:rPr>
          <w:rFonts w:ascii="Georgia" w:hAnsi="Georgia" w:cs="Calibri"/>
          <w:color w:val="404040" w:themeColor="text1" w:themeTint="BF"/>
          <w:sz w:val="20"/>
          <w:szCs w:val="20"/>
        </w:rPr>
        <w:t xml:space="preserve"> in such SPVs, but may participate in joint ventures or minority interests where</w:t>
      </w:r>
      <w:r>
        <w:rPr>
          <w:rFonts w:ascii="Georgia" w:hAnsi="Georgia" w:cs="Calibri"/>
          <w:color w:val="404040" w:themeColor="text1" w:themeTint="BF"/>
          <w:sz w:val="20"/>
          <w:szCs w:val="20"/>
        </w:rPr>
        <w:t xml:space="preserve"> this approach enables the Company</w:t>
      </w:r>
      <w:r w:rsidRPr="0024470F">
        <w:rPr>
          <w:rFonts w:ascii="Georgia" w:hAnsi="Georgia" w:cs="Calibri"/>
          <w:color w:val="404040" w:themeColor="text1" w:themeTint="BF"/>
          <w:sz w:val="20"/>
          <w:szCs w:val="20"/>
        </w:rPr>
        <w:t xml:space="preserve"> to gain exposure to assets within the Company’s i</w:t>
      </w:r>
      <w:r>
        <w:rPr>
          <w:rFonts w:ascii="Georgia" w:hAnsi="Georgia" w:cs="Calibri"/>
          <w:color w:val="404040" w:themeColor="text1" w:themeTint="BF"/>
          <w:sz w:val="20"/>
          <w:szCs w:val="20"/>
        </w:rPr>
        <w:t>nvestment policy which the Company</w:t>
      </w:r>
      <w:r w:rsidRPr="0024470F">
        <w:rPr>
          <w:rFonts w:ascii="Georgia" w:hAnsi="Georgia" w:cs="Calibri"/>
          <w:color w:val="404040" w:themeColor="text1" w:themeTint="BF"/>
          <w:sz w:val="20"/>
          <w:szCs w:val="20"/>
        </w:rPr>
        <w:t xml:space="preserve"> would not otherwise be able to acquire on a wholly-owned basis.</w:t>
      </w:r>
    </w:p>
    <w:p w14:paraId="79AE3B86" w14:textId="77777777" w:rsidR="00C200A9" w:rsidRPr="0024470F" w:rsidRDefault="00C200A9" w:rsidP="00C200A9">
      <w:pPr>
        <w:ind w:right="396"/>
        <w:jc w:val="both"/>
        <w:rPr>
          <w:rFonts w:ascii="Georgia" w:hAnsi="Georgia"/>
          <w:sz w:val="20"/>
          <w:szCs w:val="20"/>
          <w:lang w:eastAsia="en-GB"/>
        </w:rPr>
      </w:pPr>
    </w:p>
    <w:p w14:paraId="2C2E8A1A" w14:textId="0F4987D2" w:rsidR="00C200A9" w:rsidRDefault="00C200A9" w:rsidP="00C200A9">
      <w:pPr>
        <w:ind w:right="4"/>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The Company</w:t>
      </w:r>
      <w:r w:rsidRPr="0024470F">
        <w:rPr>
          <w:rFonts w:ascii="Georgia" w:hAnsi="Georgia" w:cs="Calibri"/>
          <w:color w:val="404040" w:themeColor="text1" w:themeTint="BF"/>
          <w:sz w:val="20"/>
          <w:szCs w:val="20"/>
        </w:rPr>
        <w:t xml:space="preserve"> may, at holding company level, make use of both short term debt finance and long term structural debt to facilitate the acquisition of investments, but such holding company level debt (when taken together with the SPV finance noted above) will also be</w:t>
      </w:r>
      <w:r>
        <w:rPr>
          <w:rFonts w:ascii="Georgia" w:hAnsi="Georgia" w:cs="Calibri"/>
          <w:color w:val="404040" w:themeColor="text1" w:themeTint="BF"/>
          <w:sz w:val="20"/>
          <w:szCs w:val="20"/>
        </w:rPr>
        <w:t xml:space="preserve"> limited so as not to exceed 50% </w:t>
      </w:r>
      <w:r w:rsidR="001D63BC">
        <w:rPr>
          <w:rFonts w:ascii="Georgia" w:hAnsi="Georgia" w:cs="Calibri"/>
          <w:color w:val="404040" w:themeColor="text1" w:themeTint="BF"/>
          <w:sz w:val="20"/>
          <w:szCs w:val="20"/>
        </w:rPr>
        <w:t>of the</w:t>
      </w:r>
      <w:r>
        <w:rPr>
          <w:rFonts w:ascii="Georgia" w:hAnsi="Georgia" w:cs="Calibri"/>
          <w:color w:val="404040" w:themeColor="text1" w:themeTint="BF"/>
          <w:sz w:val="20"/>
          <w:szCs w:val="20"/>
        </w:rPr>
        <w:t xml:space="preserve"> </w:t>
      </w:r>
      <w:r w:rsidR="009971B9">
        <w:rPr>
          <w:rFonts w:ascii="Georgia" w:hAnsi="Georgia" w:cs="Calibri"/>
          <w:color w:val="404040" w:themeColor="text1" w:themeTint="BF"/>
          <w:sz w:val="20"/>
          <w:szCs w:val="20"/>
        </w:rPr>
        <w:t>GAV</w:t>
      </w:r>
      <w:r w:rsidRPr="0024470F">
        <w:rPr>
          <w:rFonts w:ascii="Georgia" w:hAnsi="Georgia" w:cs="Calibri"/>
          <w:color w:val="404040" w:themeColor="text1" w:themeTint="BF"/>
          <w:sz w:val="20"/>
          <w:szCs w:val="20"/>
        </w:rPr>
        <w:t>.</w:t>
      </w:r>
      <w:r>
        <w:rPr>
          <w:rFonts w:ascii="Georgia" w:hAnsi="Georgia" w:cs="Calibri"/>
          <w:color w:val="404040" w:themeColor="text1" w:themeTint="BF"/>
          <w:sz w:val="20"/>
          <w:szCs w:val="20"/>
        </w:rPr>
        <w:t xml:space="preserve"> The Company</w:t>
      </w:r>
      <w:r w:rsidRPr="0024470F">
        <w:rPr>
          <w:rFonts w:ascii="Georgia" w:hAnsi="Georgia" w:cs="Calibri"/>
          <w:color w:val="404040" w:themeColor="text1" w:themeTint="BF"/>
          <w:sz w:val="20"/>
          <w:szCs w:val="20"/>
        </w:rPr>
        <w:t xml:space="preserve"> may make use of non-recourse finance at the SPV level to provide leverage for specific solar energy infrastructure assets or portfolios provided that at the time of entering into (or acquiring) any new financing, total non-recourse financing within the portfolio will not exceed 50</w:t>
      </w:r>
      <w:r>
        <w:rPr>
          <w:rFonts w:ascii="Georgia" w:hAnsi="Georgia" w:cs="Calibri"/>
          <w:color w:val="404040" w:themeColor="text1" w:themeTint="BF"/>
          <w:sz w:val="20"/>
          <w:szCs w:val="20"/>
        </w:rPr>
        <w:t>%</w:t>
      </w:r>
      <w:r w:rsidRPr="0024470F">
        <w:rPr>
          <w:rFonts w:ascii="Georgia" w:hAnsi="Georgia" w:cs="Calibri"/>
          <w:color w:val="404040" w:themeColor="text1" w:themeTint="BF"/>
          <w:sz w:val="20"/>
          <w:szCs w:val="20"/>
        </w:rPr>
        <w:t xml:space="preserve"> of the prevailing </w:t>
      </w:r>
      <w:r w:rsidR="009971B9">
        <w:rPr>
          <w:rFonts w:ascii="Georgia" w:hAnsi="Georgia" w:cs="Calibri"/>
          <w:color w:val="404040" w:themeColor="text1" w:themeTint="BF"/>
          <w:sz w:val="20"/>
          <w:szCs w:val="20"/>
        </w:rPr>
        <w:t>GAV.</w:t>
      </w:r>
      <w:r w:rsidRPr="0024470F">
        <w:rPr>
          <w:rFonts w:ascii="Georgia" w:hAnsi="Georgia" w:cs="Calibri"/>
          <w:color w:val="404040" w:themeColor="text1" w:themeTint="BF"/>
          <w:sz w:val="20"/>
          <w:szCs w:val="20"/>
        </w:rPr>
        <w:t xml:space="preserve"> </w:t>
      </w:r>
    </w:p>
    <w:p w14:paraId="1074DC31" w14:textId="77777777" w:rsidR="00C200A9" w:rsidRDefault="00C200A9" w:rsidP="00C200A9">
      <w:pPr>
        <w:ind w:right="396"/>
        <w:jc w:val="both"/>
        <w:rPr>
          <w:rFonts w:ascii="Georgia" w:hAnsi="Georgia" w:cs="Calibri"/>
          <w:color w:val="404040" w:themeColor="text1" w:themeTint="BF"/>
          <w:sz w:val="20"/>
          <w:szCs w:val="20"/>
        </w:rPr>
      </w:pPr>
    </w:p>
    <w:p w14:paraId="6E3007FC" w14:textId="1A6124D6" w:rsidR="00C200A9" w:rsidRPr="0024470F" w:rsidRDefault="00C200A9" w:rsidP="00C200A9">
      <w:pPr>
        <w:tabs>
          <w:tab w:val="left" w:pos="9356"/>
        </w:tabs>
        <w:ind w:right="4"/>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N</w:t>
      </w:r>
      <w:r w:rsidRPr="0024470F">
        <w:rPr>
          <w:rFonts w:ascii="Georgia" w:hAnsi="Georgia" w:cs="Calibri"/>
          <w:color w:val="404040" w:themeColor="text1" w:themeTint="BF"/>
          <w:sz w:val="20"/>
          <w:szCs w:val="20"/>
        </w:rPr>
        <w:t>o single investment in a solar energy infrastructure asset (excluding any third</w:t>
      </w:r>
      <w:r w:rsidR="00B24322">
        <w:rPr>
          <w:rFonts w:ascii="Georgia" w:hAnsi="Georgia" w:cs="Calibri"/>
          <w:color w:val="404040" w:themeColor="text1" w:themeTint="BF"/>
          <w:sz w:val="20"/>
          <w:szCs w:val="20"/>
        </w:rPr>
        <w:t>-</w:t>
      </w:r>
      <w:r w:rsidRPr="0024470F">
        <w:rPr>
          <w:rFonts w:ascii="Georgia" w:hAnsi="Georgia" w:cs="Calibri"/>
          <w:color w:val="404040" w:themeColor="text1" w:themeTint="BF"/>
          <w:sz w:val="20"/>
          <w:szCs w:val="20"/>
        </w:rPr>
        <w:t>party funding or debt financing in such asset) will represen</w:t>
      </w:r>
      <w:r>
        <w:rPr>
          <w:rFonts w:ascii="Georgia" w:hAnsi="Georgia" w:cs="Calibri"/>
          <w:color w:val="404040" w:themeColor="text1" w:themeTint="BF"/>
          <w:sz w:val="20"/>
          <w:szCs w:val="20"/>
        </w:rPr>
        <w:t xml:space="preserve">t, on acquisition, more than 25% </w:t>
      </w:r>
      <w:r w:rsidRPr="0024470F">
        <w:rPr>
          <w:rFonts w:ascii="Georgia" w:hAnsi="Georgia" w:cs="Calibri"/>
          <w:color w:val="404040" w:themeColor="text1" w:themeTint="BF"/>
          <w:sz w:val="20"/>
          <w:szCs w:val="20"/>
        </w:rPr>
        <w:t xml:space="preserve">of the </w:t>
      </w:r>
      <w:r w:rsidR="009971B9">
        <w:rPr>
          <w:rFonts w:ascii="Georgia" w:hAnsi="Georgia" w:cs="Calibri"/>
          <w:color w:val="404040" w:themeColor="text1" w:themeTint="BF"/>
          <w:sz w:val="20"/>
          <w:szCs w:val="20"/>
        </w:rPr>
        <w:t>NAV.</w:t>
      </w:r>
    </w:p>
    <w:p w14:paraId="43AF33A0" w14:textId="77777777" w:rsidR="00C200A9" w:rsidRPr="0024470F" w:rsidRDefault="00C200A9" w:rsidP="00C200A9">
      <w:pPr>
        <w:ind w:right="396"/>
        <w:jc w:val="both"/>
        <w:rPr>
          <w:rFonts w:ascii="Georgia" w:hAnsi="Georgia"/>
          <w:sz w:val="20"/>
          <w:szCs w:val="20"/>
          <w:lang w:eastAsia="en-GB"/>
        </w:rPr>
      </w:pPr>
    </w:p>
    <w:p w14:paraId="335C5C50" w14:textId="6245B7D1" w:rsidR="00C200A9" w:rsidRPr="0024470F" w:rsidRDefault="00C200A9" w:rsidP="00C200A9">
      <w:pPr>
        <w:jc w:val="both"/>
        <w:rPr>
          <w:rFonts w:ascii="Georgia" w:hAnsi="Georgia" w:cs="Calibri"/>
          <w:color w:val="404040" w:themeColor="text1" w:themeTint="BF"/>
          <w:sz w:val="20"/>
          <w:szCs w:val="20"/>
        </w:rPr>
      </w:pPr>
      <w:r w:rsidRPr="0024470F">
        <w:rPr>
          <w:rFonts w:ascii="Georgia" w:hAnsi="Georgia" w:cs="Calibri"/>
          <w:color w:val="404040" w:themeColor="text1" w:themeTint="BF"/>
          <w:sz w:val="20"/>
          <w:szCs w:val="20"/>
        </w:rPr>
        <w:t xml:space="preserve">The portfolio provides diversified exposure through investment in not less than five individual solar energy infrastructure assets. Diversification is achieved across various factors such as grid connection points, individual landowners and leases, providers of key components (such as PV panels and inverters) and assets being located across various geographical locations within the </w:t>
      </w:r>
      <w:r w:rsidR="009971B9">
        <w:rPr>
          <w:rFonts w:ascii="Georgia" w:hAnsi="Georgia" w:cs="Calibri"/>
          <w:color w:val="404040" w:themeColor="text1" w:themeTint="BF"/>
          <w:sz w:val="20"/>
          <w:szCs w:val="20"/>
        </w:rPr>
        <w:t>UK.</w:t>
      </w:r>
    </w:p>
    <w:p w14:paraId="794E4512" w14:textId="77777777" w:rsidR="00C200A9" w:rsidRPr="0024470F" w:rsidRDefault="00C200A9" w:rsidP="00C200A9">
      <w:pPr>
        <w:ind w:right="396"/>
        <w:jc w:val="both"/>
        <w:rPr>
          <w:rFonts w:ascii="Georgia" w:hAnsi="Georgia"/>
          <w:sz w:val="20"/>
          <w:szCs w:val="20"/>
          <w:lang w:eastAsia="en-GB"/>
        </w:rPr>
      </w:pPr>
    </w:p>
    <w:p w14:paraId="4ABCC5D7" w14:textId="7E74C152" w:rsidR="00C200A9" w:rsidRDefault="00C200A9" w:rsidP="00C200A9">
      <w:pPr>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The Company</w:t>
      </w:r>
      <w:r w:rsidRPr="0024470F">
        <w:rPr>
          <w:rFonts w:ascii="Georgia" w:hAnsi="Georgia" w:cs="Calibri"/>
          <w:color w:val="404040" w:themeColor="text1" w:themeTint="BF"/>
          <w:sz w:val="20"/>
          <w:szCs w:val="20"/>
        </w:rPr>
        <w:t xml:space="preserve"> aims to derive a significant portion of its targeted return through a combination of the</w:t>
      </w:r>
      <w:r>
        <w:rPr>
          <w:rFonts w:ascii="Georgia" w:hAnsi="Georgia" w:cs="Calibri"/>
          <w:color w:val="404040" w:themeColor="text1" w:themeTint="BF"/>
          <w:sz w:val="20"/>
          <w:szCs w:val="20"/>
        </w:rPr>
        <w:t xml:space="preserve"> sale of ROCs</w:t>
      </w:r>
      <w:r w:rsidRPr="0024470F">
        <w:rPr>
          <w:rFonts w:ascii="Georgia" w:hAnsi="Georgia" w:cs="Calibri"/>
          <w:color w:val="404040" w:themeColor="text1" w:themeTint="BF"/>
          <w:sz w:val="20"/>
          <w:szCs w:val="20"/>
        </w:rPr>
        <w:t xml:space="preserve"> and </w:t>
      </w:r>
      <w:proofErr w:type="spellStart"/>
      <w:r w:rsidRPr="0024470F">
        <w:rPr>
          <w:rFonts w:ascii="Georgia" w:hAnsi="Georgia" w:cs="Calibri"/>
          <w:color w:val="404040" w:themeColor="text1" w:themeTint="BF"/>
          <w:sz w:val="20"/>
          <w:szCs w:val="20"/>
        </w:rPr>
        <w:t>FiTs</w:t>
      </w:r>
      <w:proofErr w:type="spellEnd"/>
      <w:r w:rsidRPr="0024470F">
        <w:rPr>
          <w:rFonts w:ascii="Georgia" w:hAnsi="Georgia" w:cs="Calibri"/>
          <w:color w:val="404040" w:themeColor="text1" w:themeTint="BF"/>
          <w:sz w:val="20"/>
          <w:szCs w:val="20"/>
        </w:rPr>
        <w:t xml:space="preserve"> (or any such regulatory regimes that replace them from time to time). Both such regimes are currently underwritten by UK Government policy providing a </w:t>
      </w:r>
      <w:r>
        <w:rPr>
          <w:rFonts w:ascii="Georgia" w:hAnsi="Georgia" w:cs="Calibri"/>
          <w:color w:val="404040" w:themeColor="text1" w:themeTint="BF"/>
          <w:sz w:val="20"/>
          <w:szCs w:val="20"/>
        </w:rPr>
        <w:t>level of ROCs</w:t>
      </w:r>
      <w:r w:rsidRPr="0024470F">
        <w:rPr>
          <w:rFonts w:ascii="Georgia" w:hAnsi="Georgia" w:cs="Calibri"/>
          <w:color w:val="404040" w:themeColor="text1" w:themeTint="BF"/>
          <w:sz w:val="20"/>
          <w:szCs w:val="20"/>
        </w:rPr>
        <w:t xml:space="preserve"> or </w:t>
      </w:r>
      <w:proofErr w:type="spellStart"/>
      <w:r w:rsidRPr="0024470F">
        <w:rPr>
          <w:rFonts w:ascii="Georgia" w:hAnsi="Georgia" w:cs="Calibri"/>
          <w:color w:val="404040" w:themeColor="text1" w:themeTint="BF"/>
          <w:sz w:val="20"/>
          <w:szCs w:val="20"/>
        </w:rPr>
        <w:t>FiTs</w:t>
      </w:r>
      <w:proofErr w:type="spellEnd"/>
      <w:r w:rsidRPr="0024470F">
        <w:rPr>
          <w:rFonts w:ascii="Georgia" w:hAnsi="Georgia" w:cs="Calibri"/>
          <w:color w:val="404040" w:themeColor="text1" w:themeTint="BF"/>
          <w:sz w:val="20"/>
          <w:szCs w:val="20"/>
        </w:rPr>
        <w:t xml:space="preserve"> fixed for 20 years </w:t>
      </w:r>
      <w:r w:rsidR="00CC61E6">
        <w:rPr>
          <w:rFonts w:ascii="Georgia" w:hAnsi="Georgia" w:cs="Calibri"/>
          <w:color w:val="404040" w:themeColor="text1" w:themeTint="BF"/>
          <w:sz w:val="20"/>
          <w:szCs w:val="20"/>
        </w:rPr>
        <w:t xml:space="preserve">from inception </w:t>
      </w:r>
      <w:r w:rsidRPr="0024470F">
        <w:rPr>
          <w:rFonts w:ascii="Georgia" w:hAnsi="Georgia" w:cs="Calibri"/>
          <w:color w:val="404040" w:themeColor="text1" w:themeTint="BF"/>
          <w:sz w:val="20"/>
          <w:szCs w:val="20"/>
        </w:rPr>
        <w:t xml:space="preserve">for accredited projects and each regime currently benefits from an </w:t>
      </w:r>
      <w:r>
        <w:rPr>
          <w:rFonts w:ascii="Georgia" w:hAnsi="Georgia" w:cs="Calibri"/>
          <w:color w:val="404040" w:themeColor="text1" w:themeTint="BF"/>
          <w:sz w:val="20"/>
          <w:szCs w:val="20"/>
        </w:rPr>
        <w:t>annual RPI escalation. The Company</w:t>
      </w:r>
      <w:r w:rsidRPr="0024470F">
        <w:rPr>
          <w:rFonts w:ascii="Georgia" w:hAnsi="Georgia" w:cs="Calibri"/>
          <w:color w:val="404040" w:themeColor="text1" w:themeTint="BF"/>
          <w:sz w:val="20"/>
          <w:szCs w:val="20"/>
        </w:rPr>
        <w:t xml:space="preserve"> also intends, where appropriate, to enter into power purchase agreements with appropriate counterparties, such as co-located industrial energy consumers or wholesale energy purchasers.</w:t>
      </w:r>
    </w:p>
    <w:p w14:paraId="71E6EE3E" w14:textId="77777777" w:rsidR="00B56E61" w:rsidRPr="009625B4" w:rsidRDefault="00B56E61" w:rsidP="00B56E61">
      <w:pPr>
        <w:rPr>
          <w:rFonts w:ascii="Georgia" w:hAnsi="Georgia" w:cs="Calibri"/>
          <w:b/>
          <w:color w:val="404040" w:themeColor="text1" w:themeTint="BF"/>
          <w:sz w:val="20"/>
          <w:highlight w:val="yellow"/>
        </w:rPr>
      </w:pPr>
    </w:p>
    <w:p w14:paraId="434EC718" w14:textId="77777777" w:rsidR="00481E57" w:rsidRPr="00FB7D45" w:rsidRDefault="002D0E6D" w:rsidP="00E85EF6">
      <w:pPr>
        <w:pStyle w:val="Heading2"/>
        <w:spacing w:before="0"/>
      </w:pPr>
      <w:r w:rsidRPr="009625B4">
        <w:rPr>
          <w:rFonts w:cs="Calibri"/>
          <w:b/>
          <w:color w:val="404040" w:themeColor="text1" w:themeTint="BF"/>
          <w:sz w:val="20"/>
          <w:highlight w:val="yellow"/>
        </w:rPr>
        <w:br w:type="page"/>
      </w:r>
      <w:r w:rsidRPr="00FB7D45">
        <w:lastRenderedPageBreak/>
        <w:t>Strategic Report (continued)</w:t>
      </w:r>
    </w:p>
    <w:p w14:paraId="4038C640" w14:textId="77777777" w:rsidR="002D0E6D" w:rsidRPr="00FB7D45" w:rsidRDefault="002D0E6D" w:rsidP="00B56E61">
      <w:pPr>
        <w:rPr>
          <w:rFonts w:ascii="Georgia" w:hAnsi="Georgia" w:cs="Calibri"/>
          <w:b/>
          <w:color w:val="404040" w:themeColor="text1" w:themeTint="BF"/>
          <w:sz w:val="20"/>
        </w:rPr>
      </w:pPr>
    </w:p>
    <w:p w14:paraId="5D1A599E" w14:textId="77777777" w:rsidR="00E42A95" w:rsidRPr="00FB7D45" w:rsidRDefault="00FB0861" w:rsidP="000916C2">
      <w:pPr>
        <w:pStyle w:val="ListParagraph"/>
        <w:numPr>
          <w:ilvl w:val="0"/>
          <w:numId w:val="5"/>
        </w:numPr>
        <w:ind w:left="357" w:hanging="357"/>
        <w:rPr>
          <w:rFonts w:ascii="Georgia" w:hAnsi="Georgia" w:cs="Calibri"/>
          <w:b/>
          <w:color w:val="404040" w:themeColor="text1" w:themeTint="BF"/>
          <w:sz w:val="20"/>
        </w:rPr>
      </w:pPr>
      <w:r w:rsidRPr="00FB7D45">
        <w:rPr>
          <w:rFonts w:ascii="Georgia" w:hAnsi="Georgia" w:cs="Calibri"/>
          <w:b/>
          <w:color w:val="404040" w:themeColor="text1" w:themeTint="BF"/>
          <w:sz w:val="20"/>
        </w:rPr>
        <w:t>Company’s Operating Model (continued)</w:t>
      </w:r>
    </w:p>
    <w:p w14:paraId="56ECF078" w14:textId="77777777" w:rsidR="00FB0861" w:rsidRPr="009625B4" w:rsidRDefault="00FB0861" w:rsidP="00B56E61">
      <w:pPr>
        <w:rPr>
          <w:rFonts w:ascii="Georgia" w:hAnsi="Georgia" w:cs="Calibri"/>
          <w:b/>
          <w:color w:val="404040" w:themeColor="text1" w:themeTint="BF"/>
          <w:sz w:val="20"/>
          <w:highlight w:val="yellow"/>
        </w:rPr>
      </w:pPr>
    </w:p>
    <w:p w14:paraId="24B1ACAC" w14:textId="77777777" w:rsidR="00B24322" w:rsidRPr="00932366" w:rsidRDefault="00B24322" w:rsidP="00B24322">
      <w:pPr>
        <w:pStyle w:val="BluefieldBody"/>
      </w:pPr>
      <w:r w:rsidRPr="00932366">
        <w:t>The Company’s investment policy has the flexibility to</w:t>
      </w:r>
      <w:r>
        <w:t xml:space="preserve"> invest up to 5% of GAV into development opportunities and purchase assets pre or post construction in order to</w:t>
      </w:r>
      <w:r w:rsidRPr="00932366">
        <w:t>:</w:t>
      </w:r>
    </w:p>
    <w:p w14:paraId="26374C9A" w14:textId="77777777" w:rsidR="00C200A9" w:rsidRPr="00932366" w:rsidRDefault="00C200A9" w:rsidP="00C200A9">
      <w:pPr>
        <w:jc w:val="both"/>
        <w:rPr>
          <w:rFonts w:ascii="Georgia" w:hAnsi="Georgia" w:cs="Calibri"/>
          <w:color w:val="404040" w:themeColor="text1" w:themeTint="BF"/>
          <w:sz w:val="16"/>
        </w:rPr>
      </w:pPr>
    </w:p>
    <w:p w14:paraId="328266F2" w14:textId="7A63F452" w:rsidR="00C200A9" w:rsidRPr="00932366" w:rsidRDefault="00C200A9" w:rsidP="000916C2">
      <w:pPr>
        <w:pStyle w:val="ListParagraph"/>
        <w:numPr>
          <w:ilvl w:val="0"/>
          <w:numId w:val="4"/>
        </w:numPr>
        <w:ind w:left="454"/>
        <w:jc w:val="both"/>
        <w:rPr>
          <w:rFonts w:ascii="Georgia" w:hAnsi="Georgia" w:cs="Calibri"/>
          <w:color w:val="404040" w:themeColor="text1" w:themeTint="BF"/>
          <w:sz w:val="20"/>
        </w:rPr>
      </w:pPr>
      <w:r w:rsidRPr="00932366">
        <w:rPr>
          <w:rFonts w:ascii="Georgia" w:hAnsi="Georgia" w:cs="Calibri"/>
          <w:color w:val="404040" w:themeColor="text1" w:themeTint="BF"/>
          <w:sz w:val="20"/>
          <w:u w:val="single"/>
        </w:rPr>
        <w:t>Maximise quality and scale of deal flow</w:t>
      </w:r>
      <w:r>
        <w:rPr>
          <w:rFonts w:ascii="Georgia" w:hAnsi="Georgia" w:cs="Calibri"/>
          <w:color w:val="404040" w:themeColor="text1" w:themeTint="BF"/>
          <w:sz w:val="20"/>
        </w:rPr>
        <w:t>: T</w:t>
      </w:r>
      <w:r w:rsidRPr="00932366">
        <w:rPr>
          <w:rFonts w:ascii="Georgia" w:hAnsi="Georgia" w:cs="Calibri"/>
          <w:color w:val="404040" w:themeColor="text1" w:themeTint="BF"/>
          <w:sz w:val="20"/>
        </w:rPr>
        <w:t xml:space="preserve">he </w:t>
      </w:r>
      <w:r>
        <w:rPr>
          <w:rFonts w:ascii="Georgia" w:hAnsi="Georgia" w:cs="Calibri"/>
          <w:color w:val="404040" w:themeColor="text1" w:themeTint="BF"/>
          <w:sz w:val="20"/>
        </w:rPr>
        <w:t xml:space="preserve">flexibility of the </w:t>
      </w:r>
      <w:r w:rsidRPr="00932366">
        <w:rPr>
          <w:rFonts w:ascii="Georgia" w:hAnsi="Georgia" w:cs="Calibri"/>
          <w:color w:val="404040" w:themeColor="text1" w:themeTint="BF"/>
          <w:sz w:val="20"/>
        </w:rPr>
        <w:t>strategy maximises the pool of assets available to the Company. The majority of developers and contractors in the UK solar market were unable to fund on their own balance sheets, therefor</w:t>
      </w:r>
      <w:r w:rsidR="009971B9">
        <w:rPr>
          <w:rFonts w:ascii="Georgia" w:hAnsi="Georgia" w:cs="Calibri"/>
          <w:color w:val="404040" w:themeColor="text1" w:themeTint="BF"/>
          <w:sz w:val="20"/>
        </w:rPr>
        <w:t xml:space="preserve">e </w:t>
      </w:r>
      <w:r w:rsidR="00B24322">
        <w:rPr>
          <w:rFonts w:ascii="Georgia" w:hAnsi="Georgia" w:cs="Calibri"/>
          <w:color w:val="404040" w:themeColor="text1" w:themeTint="BF"/>
          <w:sz w:val="20"/>
        </w:rPr>
        <w:t>flexible</w:t>
      </w:r>
      <w:r w:rsidR="009971B9">
        <w:rPr>
          <w:rFonts w:ascii="Georgia" w:hAnsi="Georgia" w:cs="Calibri"/>
          <w:color w:val="404040" w:themeColor="text1" w:themeTint="BF"/>
          <w:sz w:val="20"/>
        </w:rPr>
        <w:t xml:space="preserve"> funders such as the Company</w:t>
      </w:r>
      <w:r w:rsidR="00B24322">
        <w:rPr>
          <w:rFonts w:ascii="Georgia" w:hAnsi="Georgia" w:cs="Calibri"/>
          <w:color w:val="404040" w:themeColor="text1" w:themeTint="BF"/>
          <w:sz w:val="20"/>
        </w:rPr>
        <w:t xml:space="preserve"> a</w:t>
      </w:r>
      <w:r w:rsidRPr="00932366">
        <w:rPr>
          <w:rFonts w:ascii="Georgia" w:hAnsi="Georgia" w:cs="Calibri"/>
          <w:color w:val="404040" w:themeColor="text1" w:themeTint="BF"/>
          <w:sz w:val="20"/>
        </w:rPr>
        <w:t>re able to select their construction partners and assets from the widest possible pool</w:t>
      </w:r>
      <w:r>
        <w:rPr>
          <w:rFonts w:ascii="Georgia" w:hAnsi="Georgia" w:cs="Calibri"/>
          <w:color w:val="404040" w:themeColor="text1" w:themeTint="BF"/>
          <w:sz w:val="20"/>
        </w:rPr>
        <w:t>. The maturing of the UK solar market has resulted in the Company being offered substantial operational asset portfolios</w:t>
      </w:r>
      <w:r w:rsidRPr="00932366">
        <w:rPr>
          <w:rFonts w:ascii="Georgia" w:hAnsi="Georgia" w:cs="Calibri"/>
          <w:color w:val="404040" w:themeColor="text1" w:themeTint="BF"/>
          <w:sz w:val="20"/>
        </w:rPr>
        <w:t>;</w:t>
      </w:r>
    </w:p>
    <w:p w14:paraId="4FB411D4" w14:textId="77777777" w:rsidR="00C200A9" w:rsidRPr="00932366" w:rsidRDefault="00C200A9" w:rsidP="00C200A9">
      <w:pPr>
        <w:pStyle w:val="ListParagraph"/>
        <w:ind w:left="454"/>
        <w:jc w:val="both"/>
        <w:rPr>
          <w:rFonts w:ascii="Georgia" w:hAnsi="Georgia" w:cs="Calibri"/>
          <w:color w:val="404040" w:themeColor="text1" w:themeTint="BF"/>
          <w:sz w:val="18"/>
        </w:rPr>
      </w:pPr>
    </w:p>
    <w:p w14:paraId="4A1CC988" w14:textId="77777777" w:rsidR="00C200A9" w:rsidRPr="00932366" w:rsidRDefault="00C200A9" w:rsidP="000916C2">
      <w:pPr>
        <w:pStyle w:val="ListParagraph"/>
        <w:numPr>
          <w:ilvl w:val="0"/>
          <w:numId w:val="4"/>
        </w:numPr>
        <w:ind w:left="454"/>
        <w:jc w:val="both"/>
        <w:rPr>
          <w:rFonts w:ascii="Georgia" w:hAnsi="Georgia" w:cs="Calibri"/>
          <w:color w:val="404040" w:themeColor="text1" w:themeTint="BF"/>
          <w:sz w:val="20"/>
        </w:rPr>
      </w:pPr>
      <w:r>
        <w:rPr>
          <w:rFonts w:ascii="Georgia" w:hAnsi="Georgia" w:cs="Calibri"/>
          <w:color w:val="404040" w:themeColor="text1" w:themeTint="BF"/>
          <w:sz w:val="20"/>
          <w:u w:val="single"/>
        </w:rPr>
        <w:t>Optimise the efficiency of the acquisitions</w:t>
      </w:r>
      <w:r>
        <w:rPr>
          <w:rFonts w:ascii="Georgia" w:hAnsi="Georgia" w:cs="Calibri"/>
          <w:color w:val="404040" w:themeColor="text1" w:themeTint="BF"/>
          <w:sz w:val="20"/>
        </w:rPr>
        <w:t>: F</w:t>
      </w:r>
      <w:r w:rsidRPr="00932366">
        <w:rPr>
          <w:rFonts w:ascii="Georgia" w:hAnsi="Georgia" w:cs="Calibri"/>
          <w:color w:val="404040" w:themeColor="text1" w:themeTint="BF"/>
          <w:sz w:val="20"/>
        </w:rPr>
        <w:t>unding through the construction phase removes a layer of financing cost provided by third party construction funders, typically passed on to the end acquirer</w:t>
      </w:r>
      <w:r>
        <w:rPr>
          <w:rFonts w:ascii="Georgia" w:hAnsi="Georgia" w:cs="Calibri"/>
          <w:color w:val="404040" w:themeColor="text1" w:themeTint="BF"/>
          <w:sz w:val="20"/>
        </w:rPr>
        <w:t>; likewise, when acquiring secondary assets, the Company has selected assets based on quality, cost and attractiveness of the financing attached to the acquisitions</w:t>
      </w:r>
      <w:r w:rsidRPr="00932366">
        <w:rPr>
          <w:rFonts w:ascii="Georgia" w:hAnsi="Georgia" w:cs="Calibri"/>
          <w:color w:val="404040" w:themeColor="text1" w:themeTint="BF"/>
          <w:sz w:val="20"/>
        </w:rPr>
        <w:t>;</w:t>
      </w:r>
    </w:p>
    <w:p w14:paraId="4D6C463D" w14:textId="77777777" w:rsidR="00C200A9" w:rsidRPr="00932366" w:rsidRDefault="00C200A9" w:rsidP="00C200A9">
      <w:pPr>
        <w:ind w:left="454"/>
        <w:jc w:val="both"/>
        <w:rPr>
          <w:rFonts w:ascii="Georgia" w:hAnsi="Georgia" w:cs="Calibri"/>
          <w:color w:val="404040" w:themeColor="text1" w:themeTint="BF"/>
          <w:sz w:val="18"/>
        </w:rPr>
      </w:pPr>
    </w:p>
    <w:p w14:paraId="4DCF7836" w14:textId="77777777" w:rsidR="00C200A9" w:rsidRPr="00932366" w:rsidRDefault="00C200A9" w:rsidP="000916C2">
      <w:pPr>
        <w:pStyle w:val="ListParagraph"/>
        <w:numPr>
          <w:ilvl w:val="0"/>
          <w:numId w:val="4"/>
        </w:numPr>
        <w:ind w:left="454"/>
        <w:jc w:val="both"/>
        <w:rPr>
          <w:rFonts w:ascii="Georgia" w:hAnsi="Georgia" w:cs="Calibri"/>
          <w:color w:val="404040" w:themeColor="text1" w:themeTint="BF"/>
          <w:sz w:val="20"/>
        </w:rPr>
      </w:pPr>
      <w:r w:rsidRPr="00932366">
        <w:rPr>
          <w:rFonts w:ascii="Georgia" w:hAnsi="Georgia" w:cs="Calibri"/>
          <w:color w:val="404040" w:themeColor="text1" w:themeTint="BF"/>
          <w:sz w:val="20"/>
          <w:u w:val="single"/>
        </w:rPr>
        <w:t>Minimise risk via appropriate contractual agreements</w:t>
      </w:r>
      <w:r w:rsidRPr="00932366">
        <w:rPr>
          <w:rFonts w:ascii="Georgia" w:hAnsi="Georgia" w:cs="Calibri"/>
          <w:color w:val="404040" w:themeColor="text1" w:themeTint="BF"/>
          <w:sz w:val="20"/>
        </w:rPr>
        <w:t xml:space="preserve">: Risk can be further </w:t>
      </w:r>
      <w:r>
        <w:rPr>
          <w:rFonts w:ascii="Georgia" w:hAnsi="Georgia" w:cs="Calibri"/>
          <w:color w:val="404040" w:themeColor="text1" w:themeTint="BF"/>
          <w:sz w:val="20"/>
        </w:rPr>
        <w:t>reduc</w:t>
      </w:r>
      <w:r w:rsidRPr="00932366">
        <w:rPr>
          <w:rFonts w:ascii="Georgia" w:hAnsi="Georgia" w:cs="Calibri"/>
          <w:color w:val="404040" w:themeColor="text1" w:themeTint="BF"/>
          <w:sz w:val="20"/>
        </w:rPr>
        <w:t xml:space="preserve">ed by appropriate contractual agreements. </w:t>
      </w:r>
      <w:r>
        <w:rPr>
          <w:rFonts w:ascii="Georgia" w:hAnsi="Georgia" w:cs="Calibri"/>
          <w:color w:val="404040" w:themeColor="text1" w:themeTint="BF"/>
          <w:sz w:val="20"/>
        </w:rPr>
        <w:t>For construction assets, t</w:t>
      </w:r>
      <w:r w:rsidRPr="00932366">
        <w:rPr>
          <w:rFonts w:ascii="Georgia" w:hAnsi="Georgia" w:cs="Calibri"/>
          <w:color w:val="404040" w:themeColor="text1" w:themeTint="BF"/>
          <w:sz w:val="20"/>
        </w:rPr>
        <w:t>hese include making milestone payments backed, typically, by bonds, security plant and equipment and significant cash hold backs</w:t>
      </w:r>
      <w:r w:rsidRPr="00932366">
        <w:rPr>
          <w:rFonts w:ascii="Georgia" w:hAnsi="Georgia"/>
          <w:color w:val="404040" w:themeColor="text1" w:themeTint="BF"/>
          <w:sz w:val="20"/>
          <w:szCs w:val="20"/>
        </w:rPr>
        <w:t>; and</w:t>
      </w:r>
    </w:p>
    <w:p w14:paraId="2B439898" w14:textId="77777777" w:rsidR="00C200A9" w:rsidRPr="00932366" w:rsidRDefault="00C200A9" w:rsidP="00C200A9">
      <w:pPr>
        <w:pStyle w:val="ListParagraph"/>
        <w:ind w:left="454"/>
        <w:rPr>
          <w:rFonts w:ascii="Georgia" w:hAnsi="Georgia" w:cs="Calibri"/>
          <w:color w:val="404040" w:themeColor="text1" w:themeTint="BF"/>
          <w:sz w:val="18"/>
        </w:rPr>
      </w:pPr>
    </w:p>
    <w:p w14:paraId="5B41C50D" w14:textId="77777777" w:rsidR="00C200A9" w:rsidRDefault="00C200A9" w:rsidP="000916C2">
      <w:pPr>
        <w:pStyle w:val="ListParagraph"/>
        <w:numPr>
          <w:ilvl w:val="0"/>
          <w:numId w:val="4"/>
        </w:numPr>
        <w:ind w:left="426" w:hanging="284"/>
        <w:jc w:val="both"/>
        <w:rPr>
          <w:rFonts w:ascii="Georgia" w:hAnsi="Georgia" w:cs="Calibri"/>
          <w:color w:val="404040" w:themeColor="text1" w:themeTint="BF"/>
          <w:sz w:val="20"/>
        </w:rPr>
      </w:pPr>
      <w:r w:rsidRPr="00932366">
        <w:rPr>
          <w:rFonts w:ascii="Georgia" w:hAnsi="Georgia" w:cs="Calibri"/>
          <w:color w:val="404040" w:themeColor="text1" w:themeTint="BF"/>
          <w:sz w:val="20"/>
          <w:u w:val="single"/>
        </w:rPr>
        <w:t xml:space="preserve">Acquire assets using </w:t>
      </w:r>
      <w:r>
        <w:rPr>
          <w:rFonts w:ascii="Georgia" w:hAnsi="Georgia" w:cs="Calibri"/>
          <w:color w:val="404040" w:themeColor="text1" w:themeTint="BF"/>
          <w:sz w:val="20"/>
          <w:u w:val="single"/>
        </w:rPr>
        <w:t>prudent</w:t>
      </w:r>
      <w:r w:rsidRPr="00932366">
        <w:rPr>
          <w:rFonts w:ascii="Georgia" w:hAnsi="Georgia" w:cs="Calibri"/>
          <w:color w:val="404040" w:themeColor="text1" w:themeTint="BF"/>
          <w:sz w:val="20"/>
          <w:u w:val="single"/>
        </w:rPr>
        <w:t xml:space="preserve"> assumptions:</w:t>
      </w:r>
      <w:r w:rsidRPr="00932366">
        <w:rPr>
          <w:rFonts w:ascii="Georgia" w:hAnsi="Georgia" w:cs="Calibri"/>
          <w:color w:val="404040" w:themeColor="text1" w:themeTint="BF"/>
          <w:sz w:val="20"/>
        </w:rPr>
        <w:t xml:space="preserve"> </w:t>
      </w:r>
      <w:r>
        <w:rPr>
          <w:rFonts w:ascii="Georgia" w:hAnsi="Georgia" w:cs="Calibri"/>
          <w:color w:val="404040" w:themeColor="text1" w:themeTint="BF"/>
          <w:sz w:val="20"/>
        </w:rPr>
        <w:t xml:space="preserve">As can be seen by the valuation contained in this report, the </w:t>
      </w:r>
      <w:r w:rsidRPr="00932366">
        <w:rPr>
          <w:rFonts w:ascii="Georgia" w:hAnsi="Georgia" w:cs="Calibri"/>
          <w:color w:val="404040" w:themeColor="text1" w:themeTint="BF"/>
          <w:sz w:val="20"/>
        </w:rPr>
        <w:t xml:space="preserve">Company </w:t>
      </w:r>
      <w:r>
        <w:rPr>
          <w:rFonts w:ascii="Georgia" w:hAnsi="Georgia" w:cs="Calibri"/>
          <w:color w:val="404040" w:themeColor="text1" w:themeTint="BF"/>
          <w:sz w:val="20"/>
        </w:rPr>
        <w:t xml:space="preserve">has </w:t>
      </w:r>
      <w:r w:rsidRPr="00932366">
        <w:rPr>
          <w:rFonts w:ascii="Georgia" w:hAnsi="Georgia" w:cs="Calibri"/>
          <w:color w:val="404040" w:themeColor="text1" w:themeTint="BF"/>
          <w:sz w:val="20"/>
        </w:rPr>
        <w:t>acquire</w:t>
      </w:r>
      <w:r>
        <w:rPr>
          <w:rFonts w:ascii="Georgia" w:hAnsi="Georgia" w:cs="Calibri"/>
          <w:color w:val="404040" w:themeColor="text1" w:themeTint="BF"/>
          <w:sz w:val="20"/>
        </w:rPr>
        <w:t>d</w:t>
      </w:r>
      <w:r w:rsidRPr="00932366">
        <w:rPr>
          <w:rFonts w:ascii="Georgia" w:hAnsi="Georgia" w:cs="Calibri"/>
          <w:color w:val="404040" w:themeColor="text1" w:themeTint="BF"/>
          <w:sz w:val="20"/>
        </w:rPr>
        <w:t xml:space="preserve"> assets based upon a </w:t>
      </w:r>
      <w:r>
        <w:rPr>
          <w:rFonts w:ascii="Georgia" w:hAnsi="Georgia" w:cs="Calibri"/>
          <w:color w:val="404040" w:themeColor="text1" w:themeTint="BF"/>
          <w:sz w:val="20"/>
        </w:rPr>
        <w:t>prudent</w:t>
      </w:r>
      <w:r w:rsidRPr="00932366">
        <w:rPr>
          <w:rFonts w:ascii="Georgia" w:hAnsi="Georgia" w:cs="Calibri"/>
          <w:color w:val="404040" w:themeColor="text1" w:themeTint="BF"/>
          <w:sz w:val="20"/>
        </w:rPr>
        <w:t xml:space="preserve"> set of assumptions.</w:t>
      </w:r>
      <w:r>
        <w:rPr>
          <w:rFonts w:ascii="Georgia" w:hAnsi="Georgia" w:cs="Calibri"/>
          <w:color w:val="404040" w:themeColor="text1" w:themeTint="BF"/>
          <w:sz w:val="20"/>
        </w:rPr>
        <w:t xml:space="preserve"> </w:t>
      </w:r>
    </w:p>
    <w:p w14:paraId="053168A8" w14:textId="77777777" w:rsidR="00C200A9" w:rsidRPr="00A0160D" w:rsidRDefault="00C200A9" w:rsidP="00C200A9">
      <w:pPr>
        <w:pStyle w:val="ListParagraph"/>
        <w:rPr>
          <w:rFonts w:ascii="Georgia" w:hAnsi="Georgia" w:cs="Calibri"/>
          <w:color w:val="404040" w:themeColor="text1" w:themeTint="BF"/>
          <w:sz w:val="20"/>
        </w:rPr>
      </w:pPr>
    </w:p>
    <w:p w14:paraId="53889BD8" w14:textId="77777777" w:rsidR="00C200A9" w:rsidRPr="00A0160D" w:rsidRDefault="00C200A9" w:rsidP="00C200A9">
      <w:pPr>
        <w:autoSpaceDE w:val="0"/>
        <w:autoSpaceDN w:val="0"/>
        <w:adjustRightInd w:val="0"/>
        <w:jc w:val="both"/>
        <w:rPr>
          <w:rFonts w:ascii="Georgia" w:hAnsi="Georgia" w:cs="Calibri"/>
          <w:b/>
          <w:color w:val="404040" w:themeColor="text1" w:themeTint="BF"/>
          <w:sz w:val="20"/>
        </w:rPr>
      </w:pPr>
      <w:r w:rsidRPr="00A0160D">
        <w:rPr>
          <w:rFonts w:ascii="Georgia" w:hAnsi="Georgia" w:cs="Calibri"/>
          <w:b/>
          <w:color w:val="404040" w:themeColor="text1" w:themeTint="BF"/>
          <w:sz w:val="20"/>
        </w:rPr>
        <w:t>Listing Rule Investment Restrictions</w:t>
      </w:r>
    </w:p>
    <w:p w14:paraId="3ACF8AC1" w14:textId="77777777" w:rsidR="00C200A9" w:rsidRPr="001B56EC" w:rsidRDefault="00C200A9" w:rsidP="00C200A9">
      <w:pPr>
        <w:autoSpaceDE w:val="0"/>
        <w:autoSpaceDN w:val="0"/>
        <w:adjustRightInd w:val="0"/>
        <w:jc w:val="both"/>
        <w:rPr>
          <w:rFonts w:ascii="Georgia" w:hAnsi="Georgia" w:cs="Calibri"/>
          <w:color w:val="404040" w:themeColor="text1" w:themeTint="BF"/>
          <w:sz w:val="20"/>
        </w:rPr>
      </w:pPr>
    </w:p>
    <w:p w14:paraId="470AED6C" w14:textId="77777777" w:rsidR="00C200A9" w:rsidRPr="00EF6D72" w:rsidRDefault="00C200A9" w:rsidP="00C200A9">
      <w:pPr>
        <w:autoSpaceDE w:val="0"/>
        <w:autoSpaceDN w:val="0"/>
        <w:adjustRightInd w:val="0"/>
        <w:jc w:val="both"/>
        <w:rPr>
          <w:rFonts w:ascii="Georgia" w:hAnsi="Georgia" w:cs="Calibri"/>
          <w:color w:val="404040" w:themeColor="text1" w:themeTint="BF"/>
          <w:sz w:val="20"/>
        </w:rPr>
      </w:pPr>
      <w:r w:rsidRPr="00EF6D72">
        <w:rPr>
          <w:rFonts w:ascii="Georgia" w:hAnsi="Georgia" w:cs="Calibri"/>
          <w:color w:val="404040" w:themeColor="text1" w:themeTint="BF"/>
          <w:sz w:val="20"/>
        </w:rPr>
        <w:t>The Company currently complies with the investment restrictions set out below and will continue to do so for so long as they remain requirements of the FCA:</w:t>
      </w:r>
    </w:p>
    <w:p w14:paraId="094323E0" w14:textId="77777777" w:rsidR="00C200A9" w:rsidRPr="00EF6D72" w:rsidRDefault="00C200A9" w:rsidP="00C200A9">
      <w:pPr>
        <w:autoSpaceDE w:val="0"/>
        <w:autoSpaceDN w:val="0"/>
        <w:adjustRightInd w:val="0"/>
        <w:jc w:val="both"/>
        <w:rPr>
          <w:rFonts w:ascii="Georgia" w:hAnsi="Georgia" w:cs="Calibri"/>
          <w:color w:val="404040" w:themeColor="text1" w:themeTint="BF"/>
          <w:sz w:val="20"/>
        </w:rPr>
      </w:pPr>
    </w:p>
    <w:p w14:paraId="6FC40178" w14:textId="77777777" w:rsidR="00C200A9" w:rsidRPr="00EF6D72" w:rsidRDefault="00C200A9" w:rsidP="000916C2">
      <w:pPr>
        <w:pStyle w:val="ListParagraph"/>
        <w:numPr>
          <w:ilvl w:val="0"/>
          <w:numId w:val="19"/>
        </w:numPr>
        <w:ind w:right="396"/>
        <w:jc w:val="both"/>
        <w:rPr>
          <w:rFonts w:ascii="Georgia" w:hAnsi="Georgia" w:cs="Calibri"/>
          <w:color w:val="404040" w:themeColor="text1" w:themeTint="BF"/>
          <w:sz w:val="20"/>
        </w:rPr>
      </w:pPr>
      <w:r w:rsidRPr="00EF6D72">
        <w:rPr>
          <w:rFonts w:ascii="Georgia" w:hAnsi="Georgia" w:cs="Calibri"/>
          <w:color w:val="404040" w:themeColor="text1" w:themeTint="BF"/>
          <w:sz w:val="20"/>
        </w:rPr>
        <w:t>neither the Company nor any of its subsidiaries will conduct any trading activity which is significant in the context of the Group as a whole;</w:t>
      </w:r>
    </w:p>
    <w:p w14:paraId="4D79422B" w14:textId="77777777" w:rsidR="00C200A9" w:rsidRPr="00EF6D72" w:rsidRDefault="00C200A9" w:rsidP="00C200A9">
      <w:pPr>
        <w:ind w:right="396"/>
        <w:jc w:val="both"/>
        <w:rPr>
          <w:rFonts w:ascii="Georgia" w:hAnsi="Georgia"/>
          <w:color w:val="404040" w:themeColor="text1" w:themeTint="BF"/>
          <w:sz w:val="20"/>
          <w:szCs w:val="20"/>
          <w:lang w:eastAsia="en-GB"/>
        </w:rPr>
      </w:pPr>
    </w:p>
    <w:p w14:paraId="3FEC42EA" w14:textId="77777777" w:rsidR="00C200A9" w:rsidRPr="00EF6D72" w:rsidRDefault="00C200A9" w:rsidP="000916C2">
      <w:pPr>
        <w:pStyle w:val="ListParagraph"/>
        <w:numPr>
          <w:ilvl w:val="0"/>
          <w:numId w:val="19"/>
        </w:numPr>
        <w:ind w:right="396"/>
        <w:jc w:val="both"/>
        <w:rPr>
          <w:rFonts w:ascii="Georgia" w:hAnsi="Georgia" w:cs="Calibri"/>
          <w:color w:val="404040" w:themeColor="text1" w:themeTint="BF"/>
          <w:sz w:val="20"/>
          <w:szCs w:val="20"/>
        </w:rPr>
      </w:pPr>
      <w:r w:rsidRPr="00EF6D72">
        <w:rPr>
          <w:rFonts w:ascii="Georgia" w:hAnsi="Georgia" w:cs="Calibri"/>
          <w:color w:val="404040" w:themeColor="text1" w:themeTint="BF"/>
          <w:sz w:val="20"/>
        </w:rPr>
        <w:t>the Company must, at all times, invest and manage its assets in a way which is consistent with its objective of spreading investment risk and in accordance with the published investment policy; and</w:t>
      </w:r>
    </w:p>
    <w:p w14:paraId="65CFD5EF" w14:textId="77777777" w:rsidR="00C200A9" w:rsidRPr="00EF6D72" w:rsidRDefault="00C200A9" w:rsidP="00C200A9">
      <w:pPr>
        <w:ind w:right="396"/>
        <w:jc w:val="both"/>
        <w:rPr>
          <w:color w:val="404040" w:themeColor="text1" w:themeTint="BF"/>
          <w:sz w:val="20"/>
          <w:szCs w:val="20"/>
          <w:lang w:eastAsia="en-GB"/>
        </w:rPr>
      </w:pPr>
    </w:p>
    <w:p w14:paraId="714F243D" w14:textId="73D4C203" w:rsidR="00C200A9" w:rsidRPr="00EF6D72" w:rsidRDefault="00C200A9" w:rsidP="000916C2">
      <w:pPr>
        <w:pStyle w:val="ListParagraph"/>
        <w:numPr>
          <w:ilvl w:val="0"/>
          <w:numId w:val="20"/>
        </w:numPr>
        <w:ind w:right="396"/>
        <w:jc w:val="both"/>
        <w:rPr>
          <w:color w:val="404040" w:themeColor="text1" w:themeTint="BF"/>
          <w:sz w:val="20"/>
          <w:szCs w:val="20"/>
          <w:lang w:eastAsia="en-GB"/>
        </w:rPr>
      </w:pPr>
      <w:r w:rsidRPr="00EF6D72">
        <w:rPr>
          <w:rFonts w:ascii="Georgia" w:hAnsi="Georgia" w:cs="Calibri"/>
          <w:color w:val="404040" w:themeColor="text1" w:themeTint="BF"/>
          <w:sz w:val="20"/>
          <w:szCs w:val="20"/>
        </w:rPr>
        <w:t xml:space="preserve">not more than 10% of the </w:t>
      </w:r>
      <w:r w:rsidR="009971B9" w:rsidRPr="00EF6D72">
        <w:rPr>
          <w:rFonts w:ascii="Georgia" w:hAnsi="Georgia" w:cs="Calibri"/>
          <w:color w:val="404040" w:themeColor="text1" w:themeTint="BF"/>
          <w:sz w:val="20"/>
          <w:szCs w:val="20"/>
        </w:rPr>
        <w:t>GAV</w:t>
      </w:r>
      <w:r w:rsidRPr="00EF6D72">
        <w:rPr>
          <w:rFonts w:ascii="Georgia" w:hAnsi="Georgia" w:cs="Calibri"/>
          <w:color w:val="404040" w:themeColor="text1" w:themeTint="BF"/>
          <w:sz w:val="20"/>
          <w:szCs w:val="20"/>
        </w:rPr>
        <w:t xml:space="preserve"> at the time of investment is made will be invested in other closed-ended investment funds which are listed on the Official List.</w:t>
      </w:r>
    </w:p>
    <w:p w14:paraId="042E2004" w14:textId="77777777" w:rsidR="00C200A9" w:rsidRPr="00EF6D72" w:rsidRDefault="00C200A9" w:rsidP="00C200A9">
      <w:pPr>
        <w:autoSpaceDE w:val="0"/>
        <w:autoSpaceDN w:val="0"/>
        <w:adjustRightInd w:val="0"/>
        <w:jc w:val="both"/>
        <w:rPr>
          <w:rFonts w:ascii="Georgia" w:hAnsi="Georgia" w:cs="Calibri"/>
          <w:b/>
          <w:color w:val="404040" w:themeColor="text1" w:themeTint="BF"/>
          <w:sz w:val="20"/>
          <w:szCs w:val="20"/>
        </w:rPr>
      </w:pPr>
    </w:p>
    <w:p w14:paraId="788EE3A2" w14:textId="77777777" w:rsidR="00C200A9" w:rsidRPr="00EF6D72" w:rsidRDefault="00C200A9" w:rsidP="00C200A9">
      <w:pPr>
        <w:autoSpaceDE w:val="0"/>
        <w:autoSpaceDN w:val="0"/>
        <w:adjustRightInd w:val="0"/>
        <w:jc w:val="both"/>
        <w:rPr>
          <w:rFonts w:ascii="Georgia" w:hAnsi="Georgia" w:cs="Calibri"/>
          <w:color w:val="404040" w:themeColor="text1" w:themeTint="BF"/>
          <w:sz w:val="20"/>
        </w:rPr>
      </w:pPr>
      <w:r w:rsidRPr="00EF6D72">
        <w:rPr>
          <w:rFonts w:ascii="Georgia" w:hAnsi="Georgia" w:cs="Calibri"/>
          <w:color w:val="404040" w:themeColor="text1" w:themeTint="BF"/>
          <w:sz w:val="20"/>
        </w:rPr>
        <w:t xml:space="preserve">As required by the </w:t>
      </w:r>
      <w:r w:rsidRPr="00EF6D72">
        <w:rPr>
          <w:rFonts w:ascii="Georgia" w:hAnsi="Georgia"/>
          <w:color w:val="404040" w:themeColor="text1" w:themeTint="BF"/>
          <w:sz w:val="20"/>
        </w:rPr>
        <w:t>Listing Rules</w:t>
      </w:r>
      <w:r w:rsidRPr="00EF6D72">
        <w:rPr>
          <w:rFonts w:ascii="Georgia" w:hAnsi="Georgia" w:cs="Calibri"/>
          <w:color w:val="404040" w:themeColor="text1" w:themeTint="BF"/>
          <w:sz w:val="20"/>
        </w:rPr>
        <w:t>, any material change to the investment policy of the Company will be made only with the prior approval of the FCA and Shareholders.</w:t>
      </w:r>
    </w:p>
    <w:p w14:paraId="1CBFC82C" w14:textId="77777777" w:rsidR="00C200A9" w:rsidRDefault="00C200A9" w:rsidP="00C200A9">
      <w:pPr>
        <w:autoSpaceDE w:val="0"/>
        <w:autoSpaceDN w:val="0"/>
        <w:adjustRightInd w:val="0"/>
        <w:jc w:val="both"/>
        <w:rPr>
          <w:rFonts w:ascii="Georgia" w:hAnsi="Georgia" w:cs="Calibri"/>
          <w:color w:val="404040" w:themeColor="text1" w:themeTint="BF"/>
          <w:sz w:val="20"/>
        </w:rPr>
      </w:pPr>
    </w:p>
    <w:p w14:paraId="046EFF74" w14:textId="77777777" w:rsidR="00C200A9" w:rsidRPr="001356C5" w:rsidRDefault="00C200A9" w:rsidP="000916C2">
      <w:pPr>
        <w:pStyle w:val="ListParagraph"/>
        <w:numPr>
          <w:ilvl w:val="0"/>
          <w:numId w:val="17"/>
        </w:numPr>
        <w:ind w:left="357" w:hanging="357"/>
        <w:rPr>
          <w:rFonts w:ascii="Georgia" w:hAnsi="Georgia" w:cs="Calibri"/>
          <w:b/>
          <w:color w:val="404040" w:themeColor="text1" w:themeTint="BF"/>
          <w:sz w:val="20"/>
        </w:rPr>
      </w:pPr>
      <w:r w:rsidRPr="001356C5">
        <w:rPr>
          <w:rFonts w:ascii="Georgia" w:hAnsi="Georgia" w:cs="Calibri"/>
          <w:b/>
          <w:color w:val="404040" w:themeColor="text1" w:themeTint="BF"/>
          <w:sz w:val="20"/>
        </w:rPr>
        <w:tab/>
        <w:t>Policies, approach and achievements adopted in respect of CSR</w:t>
      </w:r>
    </w:p>
    <w:p w14:paraId="314AB2D9" w14:textId="77777777" w:rsidR="00C200A9" w:rsidRPr="009E4559" w:rsidRDefault="00C200A9" w:rsidP="00C200A9">
      <w:pPr>
        <w:autoSpaceDE w:val="0"/>
        <w:autoSpaceDN w:val="0"/>
        <w:adjustRightInd w:val="0"/>
        <w:jc w:val="both"/>
        <w:rPr>
          <w:rFonts w:ascii="Georgia" w:hAnsi="Georgia" w:cs="Calibri"/>
          <w:color w:val="404040" w:themeColor="text1" w:themeTint="BF"/>
          <w:sz w:val="20"/>
        </w:rPr>
      </w:pPr>
    </w:p>
    <w:p w14:paraId="65CC7F04" w14:textId="2EF78D7A" w:rsidR="005D13CD" w:rsidRPr="009625B4" w:rsidRDefault="00C200A9" w:rsidP="003E34C2">
      <w:pPr>
        <w:autoSpaceDE w:val="0"/>
        <w:autoSpaceDN w:val="0"/>
        <w:adjustRightInd w:val="0"/>
        <w:jc w:val="both"/>
        <w:rPr>
          <w:rFonts w:ascii="Georgia" w:hAnsi="Georgia" w:cs="Calibri"/>
          <w:color w:val="404040" w:themeColor="text1" w:themeTint="BF"/>
          <w:sz w:val="20"/>
          <w:szCs w:val="20"/>
          <w:highlight w:val="yellow"/>
        </w:rPr>
      </w:pPr>
      <w:r w:rsidRPr="009E4559">
        <w:rPr>
          <w:rFonts w:ascii="Georgia" w:hAnsi="Georgia" w:cs="Calibri"/>
          <w:color w:val="404040" w:themeColor="text1" w:themeTint="BF"/>
          <w:sz w:val="20"/>
        </w:rPr>
        <w:t xml:space="preserve">The </w:t>
      </w:r>
      <w:r>
        <w:rPr>
          <w:rFonts w:ascii="Georgia" w:hAnsi="Georgia" w:cs="Calibri"/>
          <w:color w:val="404040" w:themeColor="text1" w:themeTint="BF"/>
          <w:sz w:val="20"/>
        </w:rPr>
        <w:t>Board</w:t>
      </w:r>
      <w:r w:rsidRPr="009E4559">
        <w:rPr>
          <w:rFonts w:ascii="Georgia" w:hAnsi="Georgia" w:cs="Calibri"/>
          <w:color w:val="404040" w:themeColor="text1" w:themeTint="BF"/>
          <w:sz w:val="20"/>
        </w:rPr>
        <w:t xml:space="preserve"> and the Investment Adviser are focused on the corporate objective of providing investors with an ethical, socially responsible and transparently managed Company. The best standards of governance and CSR are central to the Company’s ethics and important in ensuring the continued attractiveness of the Company to the broad group of stakeholders with which it interacts. </w:t>
      </w:r>
      <w:r>
        <w:rPr>
          <w:rFonts w:ascii="Georgia" w:hAnsi="Georgia" w:cs="Calibri"/>
          <w:color w:val="404040" w:themeColor="text1" w:themeTint="BF"/>
          <w:sz w:val="20"/>
        </w:rPr>
        <w:t>T</w:t>
      </w:r>
      <w:r w:rsidRPr="009E4559">
        <w:rPr>
          <w:rFonts w:ascii="Georgia" w:hAnsi="Georgia" w:cs="Calibri"/>
          <w:color w:val="404040" w:themeColor="text1" w:themeTint="BF"/>
          <w:sz w:val="20"/>
        </w:rPr>
        <w:t>he production of sustainable energy from the Company’s portfolio is expected to save the emission of millions of tonnes of CO2 throughout the life of the assets</w:t>
      </w:r>
      <w:r>
        <w:rPr>
          <w:rFonts w:ascii="Georgia" w:hAnsi="Georgia" w:cs="Calibri"/>
          <w:color w:val="404040" w:themeColor="text1" w:themeTint="BF"/>
          <w:sz w:val="20"/>
        </w:rPr>
        <w:t>. In addition</w:t>
      </w:r>
      <w:r w:rsidRPr="009E4559">
        <w:rPr>
          <w:rFonts w:ascii="Georgia" w:hAnsi="Georgia" w:cs="Calibri"/>
          <w:color w:val="404040" w:themeColor="text1" w:themeTint="BF"/>
          <w:sz w:val="20"/>
        </w:rPr>
        <w:t>, the Company seek</w:t>
      </w:r>
      <w:r>
        <w:rPr>
          <w:rFonts w:ascii="Georgia" w:hAnsi="Georgia" w:cs="Calibri"/>
          <w:color w:val="404040" w:themeColor="text1" w:themeTint="BF"/>
          <w:sz w:val="20"/>
        </w:rPr>
        <w:t>s</w:t>
      </w:r>
      <w:r w:rsidRPr="009E4559">
        <w:rPr>
          <w:rFonts w:ascii="Georgia" w:hAnsi="Georgia" w:cs="Calibri"/>
          <w:color w:val="404040" w:themeColor="text1" w:themeTint="BF"/>
          <w:sz w:val="20"/>
        </w:rPr>
        <w:t xml:space="preserve"> to increase biodiversity at </w:t>
      </w:r>
      <w:r>
        <w:rPr>
          <w:rFonts w:ascii="Georgia" w:hAnsi="Georgia" w:cs="Calibri"/>
          <w:color w:val="404040" w:themeColor="text1" w:themeTint="BF"/>
          <w:sz w:val="20"/>
        </w:rPr>
        <w:t>its</w:t>
      </w:r>
      <w:r w:rsidRPr="009E4559">
        <w:rPr>
          <w:rFonts w:ascii="Georgia" w:hAnsi="Georgia" w:cs="Calibri"/>
          <w:color w:val="404040" w:themeColor="text1" w:themeTint="BF"/>
          <w:sz w:val="20"/>
        </w:rPr>
        <w:t xml:space="preserve"> sites by appropriate planting and landscaping of the land it manages</w:t>
      </w:r>
      <w:r>
        <w:rPr>
          <w:rFonts w:ascii="Georgia" w:hAnsi="Georgia" w:cs="Calibri"/>
          <w:color w:val="404040" w:themeColor="text1" w:themeTint="BF"/>
          <w:sz w:val="20"/>
        </w:rPr>
        <w:t xml:space="preserve">, as detailed in the Environmental, Social and Governance report on </w:t>
      </w:r>
      <w:r w:rsidRPr="00A45D17">
        <w:rPr>
          <w:rFonts w:ascii="Georgia" w:hAnsi="Georgia" w:cs="Calibri"/>
          <w:color w:val="404040" w:themeColor="text1" w:themeTint="BF"/>
          <w:sz w:val="20"/>
        </w:rPr>
        <w:t xml:space="preserve">pages </w:t>
      </w:r>
      <w:r w:rsidR="00A45D17" w:rsidRPr="00A45D17">
        <w:rPr>
          <w:rFonts w:ascii="Georgia" w:hAnsi="Georgia" w:cs="Calibri"/>
          <w:color w:val="404040" w:themeColor="text1" w:themeTint="BF"/>
          <w:sz w:val="20"/>
        </w:rPr>
        <w:t>33</w:t>
      </w:r>
      <w:r w:rsidRPr="00A45D17">
        <w:rPr>
          <w:rFonts w:ascii="Georgia" w:hAnsi="Georgia" w:cs="Calibri"/>
          <w:color w:val="404040" w:themeColor="text1" w:themeTint="BF"/>
          <w:sz w:val="20"/>
        </w:rPr>
        <w:t xml:space="preserve"> to </w:t>
      </w:r>
      <w:r w:rsidR="00A45D17" w:rsidRPr="00A45D17">
        <w:rPr>
          <w:rFonts w:ascii="Georgia" w:hAnsi="Georgia" w:cs="Calibri"/>
          <w:color w:val="404040" w:themeColor="text1" w:themeTint="BF"/>
          <w:sz w:val="20"/>
        </w:rPr>
        <w:t>42</w:t>
      </w:r>
      <w:r w:rsidRPr="00A45D17">
        <w:rPr>
          <w:rFonts w:ascii="Georgia" w:hAnsi="Georgia" w:cs="Calibri"/>
          <w:color w:val="404040" w:themeColor="text1" w:themeTint="BF"/>
          <w:sz w:val="20"/>
        </w:rPr>
        <w:t>.</w:t>
      </w:r>
      <w:r w:rsidR="00C0723E" w:rsidRPr="00A45D17">
        <w:rPr>
          <w:rFonts w:ascii="Georgia" w:hAnsi="Georgia" w:cs="Calibri"/>
          <w:color w:val="404040" w:themeColor="text1" w:themeTint="BF"/>
          <w:sz w:val="20"/>
        </w:rPr>
        <w:t xml:space="preserve"> </w:t>
      </w:r>
      <w:r w:rsidR="003E34C2" w:rsidRPr="00A45D17">
        <w:rPr>
          <w:rFonts w:ascii="Georgia" w:hAnsi="Georgia" w:cs="Calibri"/>
          <w:color w:val="404040" w:themeColor="text1" w:themeTint="BF"/>
          <w:sz w:val="20"/>
        </w:rPr>
        <w:t>The</w:t>
      </w:r>
      <w:r w:rsidR="003E34C2">
        <w:rPr>
          <w:rFonts w:ascii="Georgia" w:hAnsi="Georgia" w:cs="Calibri"/>
          <w:color w:val="404040" w:themeColor="text1" w:themeTint="BF"/>
          <w:sz w:val="20"/>
        </w:rPr>
        <w:t xml:space="preserve"> Company was the first London listed investment company to achieve Guernsey Green Fund Status.</w:t>
      </w:r>
    </w:p>
    <w:p w14:paraId="107B4848" w14:textId="77777777" w:rsidR="007B0FE8" w:rsidRPr="009625B4" w:rsidRDefault="007B0FE8" w:rsidP="00C07498">
      <w:pPr>
        <w:jc w:val="both"/>
        <w:rPr>
          <w:rFonts w:ascii="Georgia" w:hAnsi="Georgia" w:cs="Calibri"/>
          <w:color w:val="404040" w:themeColor="text1" w:themeTint="BF"/>
          <w:sz w:val="20"/>
          <w:szCs w:val="20"/>
          <w:highlight w:val="yellow"/>
        </w:rPr>
      </w:pPr>
    </w:p>
    <w:p w14:paraId="6490A794" w14:textId="77777777" w:rsidR="007B0FE8" w:rsidRPr="009625B4" w:rsidRDefault="007B0FE8" w:rsidP="00C07498">
      <w:pPr>
        <w:jc w:val="both"/>
        <w:rPr>
          <w:rFonts w:ascii="Georgia" w:hAnsi="Georgia" w:cs="Calibri"/>
          <w:color w:val="404040" w:themeColor="text1" w:themeTint="BF"/>
          <w:sz w:val="20"/>
          <w:szCs w:val="20"/>
          <w:highlight w:val="yellow"/>
        </w:rPr>
      </w:pPr>
    </w:p>
    <w:p w14:paraId="1C79C62A" w14:textId="77777777" w:rsidR="007B0FE8" w:rsidRPr="009625B4" w:rsidRDefault="007B0FE8" w:rsidP="00C07498">
      <w:pPr>
        <w:jc w:val="both"/>
        <w:rPr>
          <w:rFonts w:ascii="Georgia" w:hAnsi="Georgia" w:cs="Calibri"/>
          <w:color w:val="404040" w:themeColor="text1" w:themeTint="BF"/>
          <w:sz w:val="20"/>
          <w:szCs w:val="20"/>
          <w:highlight w:val="yellow"/>
        </w:rPr>
      </w:pPr>
    </w:p>
    <w:p w14:paraId="06B3F43B" w14:textId="77777777" w:rsidR="007B0FE8" w:rsidRPr="009625B4" w:rsidRDefault="007B0FE8" w:rsidP="00C07498">
      <w:pPr>
        <w:jc w:val="both"/>
        <w:rPr>
          <w:rFonts w:ascii="Georgia" w:hAnsi="Georgia" w:cs="Calibri"/>
          <w:color w:val="404040" w:themeColor="text1" w:themeTint="BF"/>
          <w:sz w:val="20"/>
          <w:szCs w:val="20"/>
          <w:highlight w:val="yellow"/>
        </w:rPr>
      </w:pPr>
    </w:p>
    <w:p w14:paraId="31B1D80A" w14:textId="77777777" w:rsidR="00F92A99" w:rsidRPr="009625B4" w:rsidRDefault="00F92A99" w:rsidP="00C07498">
      <w:pPr>
        <w:jc w:val="both"/>
        <w:rPr>
          <w:rFonts w:ascii="Georgia" w:hAnsi="Georgia" w:cs="Calibri"/>
          <w:color w:val="404040" w:themeColor="text1" w:themeTint="BF"/>
          <w:sz w:val="20"/>
          <w:szCs w:val="20"/>
          <w:highlight w:val="yellow"/>
        </w:rPr>
      </w:pPr>
    </w:p>
    <w:p w14:paraId="3B327B4B" w14:textId="50A1AF3C" w:rsidR="00B56E61" w:rsidRPr="00FB7D45" w:rsidRDefault="002D0E6D" w:rsidP="00E85EF6">
      <w:pPr>
        <w:pStyle w:val="Heading2"/>
        <w:spacing w:before="0"/>
        <w:rPr>
          <w:color w:val="auto"/>
        </w:rPr>
      </w:pPr>
      <w:r w:rsidRPr="00FB7D45">
        <w:rPr>
          <w:color w:val="auto"/>
        </w:rPr>
        <w:lastRenderedPageBreak/>
        <w:t>S</w:t>
      </w:r>
      <w:r w:rsidR="00B56E61" w:rsidRPr="00FB7D45">
        <w:rPr>
          <w:color w:val="auto"/>
        </w:rPr>
        <w:t>trategic Report (continued)</w:t>
      </w:r>
    </w:p>
    <w:p w14:paraId="1AB0B41B" w14:textId="77777777" w:rsidR="00B56E61" w:rsidRPr="009625B4" w:rsidRDefault="00B56E61" w:rsidP="00B56E61">
      <w:pPr>
        <w:autoSpaceDE w:val="0"/>
        <w:autoSpaceDN w:val="0"/>
        <w:adjustRightInd w:val="0"/>
        <w:jc w:val="both"/>
        <w:rPr>
          <w:rFonts w:ascii="Georgia" w:hAnsi="Georgia" w:cs="Calibri"/>
          <w:b/>
          <w:color w:val="404040" w:themeColor="text1" w:themeTint="BF"/>
          <w:sz w:val="20"/>
          <w:highlight w:val="yellow"/>
        </w:rPr>
      </w:pPr>
    </w:p>
    <w:p w14:paraId="54D76F61" w14:textId="77777777" w:rsidR="00C200A9" w:rsidRPr="00D0561C" w:rsidRDefault="00C200A9" w:rsidP="00C200A9">
      <w:pPr>
        <w:autoSpaceDE w:val="0"/>
        <w:autoSpaceDN w:val="0"/>
        <w:adjustRightInd w:val="0"/>
        <w:jc w:val="both"/>
        <w:rPr>
          <w:rFonts w:ascii="Georgia" w:hAnsi="Georgia" w:cs="Calibri"/>
          <w:b/>
          <w:color w:val="404040" w:themeColor="text1" w:themeTint="BF"/>
          <w:sz w:val="20"/>
          <w:u w:val="single"/>
        </w:rPr>
      </w:pPr>
      <w:r w:rsidRPr="00D0561C">
        <w:rPr>
          <w:rFonts w:ascii="Georgia" w:hAnsi="Georgia" w:cs="Calibri"/>
          <w:b/>
          <w:color w:val="404040" w:themeColor="text1" w:themeTint="BF"/>
          <w:sz w:val="20"/>
          <w:u w:val="single"/>
        </w:rPr>
        <w:t>OPERATIONAL ISSUES</w:t>
      </w:r>
    </w:p>
    <w:p w14:paraId="67D8D04D" w14:textId="77777777" w:rsidR="00C200A9" w:rsidRPr="001320B6" w:rsidRDefault="00C200A9" w:rsidP="00C200A9">
      <w:pPr>
        <w:rPr>
          <w:rFonts w:ascii="Georgia" w:hAnsi="Georgia" w:cs="Calibri"/>
          <w:b/>
          <w:color w:val="404040" w:themeColor="text1" w:themeTint="BF"/>
          <w:sz w:val="20"/>
          <w:highlight w:val="yellow"/>
        </w:rPr>
      </w:pPr>
    </w:p>
    <w:p w14:paraId="03BC01AD" w14:textId="77777777" w:rsidR="00C200A9" w:rsidRPr="00A96B47" w:rsidRDefault="00C200A9" w:rsidP="000916C2">
      <w:pPr>
        <w:pStyle w:val="ListParagraph"/>
        <w:numPr>
          <w:ilvl w:val="0"/>
          <w:numId w:val="17"/>
        </w:numPr>
        <w:ind w:left="357" w:hanging="357"/>
        <w:rPr>
          <w:rFonts w:ascii="Georgia" w:hAnsi="Georgia" w:cs="Calibri"/>
          <w:b/>
          <w:color w:val="404040" w:themeColor="text1" w:themeTint="BF"/>
          <w:sz w:val="20"/>
        </w:rPr>
      </w:pPr>
      <w:r w:rsidRPr="00A96B47">
        <w:rPr>
          <w:rFonts w:ascii="Georgia" w:hAnsi="Georgia" w:cs="Calibri"/>
          <w:b/>
          <w:color w:val="404040" w:themeColor="text1" w:themeTint="BF"/>
          <w:sz w:val="20"/>
        </w:rPr>
        <w:t>Operational &amp; Financial Review for the period</w:t>
      </w:r>
    </w:p>
    <w:p w14:paraId="5E990C4F" w14:textId="77777777" w:rsidR="00C200A9" w:rsidRPr="00A96B47" w:rsidRDefault="00C200A9" w:rsidP="00C200A9">
      <w:pPr>
        <w:pStyle w:val="ListParagraph"/>
        <w:ind w:left="644"/>
        <w:rPr>
          <w:rFonts w:ascii="Georgia" w:hAnsi="Georgia" w:cs="Calibri"/>
          <w:b/>
          <w:color w:val="404040" w:themeColor="text1" w:themeTint="BF"/>
          <w:sz w:val="20"/>
        </w:rPr>
      </w:pPr>
    </w:p>
    <w:p w14:paraId="307A10F6" w14:textId="77777777" w:rsidR="00C200A9" w:rsidRPr="00A96B47" w:rsidRDefault="00C200A9" w:rsidP="00C200A9">
      <w:pPr>
        <w:rPr>
          <w:rFonts w:ascii="Georgia" w:hAnsi="Georgia" w:cs="Calibri"/>
          <w:b/>
          <w:color w:val="404040" w:themeColor="text1" w:themeTint="BF"/>
          <w:sz w:val="20"/>
        </w:rPr>
      </w:pPr>
      <w:r w:rsidRPr="00A96B47">
        <w:rPr>
          <w:rFonts w:ascii="Georgia" w:hAnsi="Georgia" w:cs="Calibri"/>
          <w:b/>
          <w:color w:val="404040" w:themeColor="text1" w:themeTint="BF"/>
          <w:sz w:val="20"/>
        </w:rPr>
        <w:t>Key Performance Indicators</w:t>
      </w:r>
    </w:p>
    <w:p w14:paraId="55E9742C" w14:textId="77777777" w:rsidR="00C200A9" w:rsidRPr="00A96B47" w:rsidRDefault="00C200A9" w:rsidP="00C200A9">
      <w:pPr>
        <w:rPr>
          <w:rFonts w:ascii="Georgia" w:hAnsi="Georgia" w:cs="Calibri"/>
          <w:b/>
          <w:color w:val="404040" w:themeColor="text1" w:themeTint="BF"/>
          <w:sz w:val="20"/>
        </w:rPr>
      </w:pPr>
    </w:p>
    <w:p w14:paraId="781AAEC5" w14:textId="77777777" w:rsidR="00C200A9" w:rsidRPr="00A96B47" w:rsidRDefault="00C200A9" w:rsidP="00C200A9">
      <w:pPr>
        <w:jc w:val="both"/>
        <w:rPr>
          <w:rFonts w:ascii="Georgia" w:hAnsi="Georgia" w:cs="Calibri"/>
          <w:color w:val="404040" w:themeColor="text1" w:themeTint="BF"/>
          <w:sz w:val="20"/>
        </w:rPr>
      </w:pPr>
      <w:r w:rsidRPr="00A96B47">
        <w:rPr>
          <w:rFonts w:ascii="Georgia" w:hAnsi="Georgia" w:cs="Calibri"/>
          <w:color w:val="404040" w:themeColor="text1" w:themeTint="BF"/>
          <w:sz w:val="20"/>
        </w:rPr>
        <w:t>The Board has identified the following indicators for assessing the Company’s annual performance in meeting its objectives:</w:t>
      </w:r>
    </w:p>
    <w:tbl>
      <w:tblPr>
        <w:tblStyle w:val="TableGrid"/>
        <w:tblW w:w="9497" w:type="dxa"/>
        <w:tblBorders>
          <w:top w:val="single" w:sz="4" w:space="0" w:color="D9DFE4"/>
          <w:left w:val="none" w:sz="0" w:space="0" w:color="auto"/>
          <w:bottom w:val="single" w:sz="4" w:space="0" w:color="D9DFE4"/>
          <w:right w:val="none" w:sz="0" w:space="0" w:color="auto"/>
          <w:insideH w:val="single" w:sz="4" w:space="0" w:color="D9DFE4"/>
          <w:insideV w:val="none" w:sz="0" w:space="0" w:color="auto"/>
        </w:tblBorders>
        <w:tblLayout w:type="fixed"/>
        <w:tblCellMar>
          <w:left w:w="0" w:type="dxa"/>
        </w:tblCellMar>
        <w:tblLook w:val="04A0" w:firstRow="1" w:lastRow="0" w:firstColumn="1" w:lastColumn="0" w:noHBand="0" w:noVBand="1"/>
      </w:tblPr>
      <w:tblGrid>
        <w:gridCol w:w="5245"/>
        <w:gridCol w:w="2126"/>
        <w:gridCol w:w="2126"/>
      </w:tblGrid>
      <w:tr w:rsidR="00C200A9" w:rsidRPr="00A96B47" w14:paraId="59AF14B9" w14:textId="77777777" w:rsidTr="00C200A9">
        <w:trPr>
          <w:trHeight w:val="217"/>
        </w:trPr>
        <w:tc>
          <w:tcPr>
            <w:tcW w:w="5245" w:type="dxa"/>
            <w:tcBorders>
              <w:top w:val="nil"/>
              <w:bottom w:val="single" w:sz="4" w:space="0" w:color="auto"/>
            </w:tcBorders>
            <w:vAlign w:val="center"/>
          </w:tcPr>
          <w:p w14:paraId="32AFC643" w14:textId="77777777" w:rsidR="00C200A9" w:rsidRPr="00A96B47" w:rsidRDefault="00C200A9" w:rsidP="00C200A9">
            <w:pPr>
              <w:pStyle w:val="ListParagraph"/>
              <w:autoSpaceDE w:val="0"/>
              <w:autoSpaceDN w:val="0"/>
              <w:spacing w:line="300" w:lineRule="auto"/>
              <w:ind w:left="0"/>
              <w:rPr>
                <w:rFonts w:ascii="Georgia" w:hAnsi="Georgia"/>
                <w:color w:val="404040" w:themeColor="text1" w:themeTint="BF"/>
                <w:sz w:val="20"/>
                <w:szCs w:val="20"/>
                <w:lang w:val="en-US"/>
              </w:rPr>
            </w:pPr>
          </w:p>
        </w:tc>
        <w:tc>
          <w:tcPr>
            <w:tcW w:w="2126" w:type="dxa"/>
            <w:tcBorders>
              <w:top w:val="nil"/>
              <w:bottom w:val="single" w:sz="4" w:space="0" w:color="auto"/>
            </w:tcBorders>
            <w:vAlign w:val="bottom"/>
          </w:tcPr>
          <w:p w14:paraId="1C55B436" w14:textId="3BB6A67E" w:rsidR="00C200A9" w:rsidRPr="00A96B47" w:rsidRDefault="004550EE" w:rsidP="00C200A9">
            <w:pPr>
              <w:rPr>
                <w:rFonts w:ascii="Georgia" w:hAnsi="Georgia"/>
                <w:b/>
                <w:color w:val="404040" w:themeColor="text1" w:themeTint="BF"/>
                <w:sz w:val="20"/>
                <w:lang w:val="en-US"/>
              </w:rPr>
            </w:pPr>
            <w:r>
              <w:rPr>
                <w:rFonts w:ascii="Georgia" w:hAnsi="Georgia"/>
                <w:b/>
                <w:color w:val="404040" w:themeColor="text1" w:themeTint="BF"/>
                <w:sz w:val="20"/>
                <w:lang w:val="en-US"/>
              </w:rPr>
              <w:t>As at 30 June 2020</w:t>
            </w:r>
          </w:p>
        </w:tc>
        <w:tc>
          <w:tcPr>
            <w:tcW w:w="2126" w:type="dxa"/>
            <w:tcBorders>
              <w:top w:val="nil"/>
              <w:bottom w:val="single" w:sz="4" w:space="0" w:color="auto"/>
            </w:tcBorders>
          </w:tcPr>
          <w:p w14:paraId="1EEF341E" w14:textId="22902932" w:rsidR="00C200A9" w:rsidRPr="00A96B47" w:rsidRDefault="004550EE" w:rsidP="00C200A9">
            <w:pPr>
              <w:rPr>
                <w:rFonts w:ascii="Georgia" w:hAnsi="Georgia"/>
                <w:b/>
                <w:color w:val="404040" w:themeColor="text1" w:themeTint="BF"/>
                <w:sz w:val="20"/>
              </w:rPr>
            </w:pPr>
            <w:r>
              <w:rPr>
                <w:rFonts w:ascii="Georgia" w:hAnsi="Georgia"/>
                <w:b/>
                <w:color w:val="404040" w:themeColor="text1" w:themeTint="BF"/>
                <w:sz w:val="20"/>
                <w:lang w:val="en-US"/>
              </w:rPr>
              <w:t xml:space="preserve">As at 30 June </w:t>
            </w:r>
            <w:r w:rsidR="00B13EAB">
              <w:rPr>
                <w:rFonts w:ascii="Georgia" w:hAnsi="Georgia"/>
                <w:b/>
                <w:color w:val="404040" w:themeColor="text1" w:themeTint="BF"/>
                <w:sz w:val="20"/>
                <w:lang w:val="en-US"/>
              </w:rPr>
              <w:t>2019</w:t>
            </w:r>
          </w:p>
        </w:tc>
      </w:tr>
      <w:tr w:rsidR="004550EE" w:rsidRPr="00A96B47" w14:paraId="3473B0F5" w14:textId="77777777" w:rsidTr="00B20CF2">
        <w:trPr>
          <w:trHeight w:val="416"/>
        </w:trPr>
        <w:tc>
          <w:tcPr>
            <w:tcW w:w="5245" w:type="dxa"/>
            <w:tcBorders>
              <w:top w:val="single" w:sz="4" w:space="0" w:color="auto"/>
              <w:bottom w:val="nil"/>
            </w:tcBorders>
            <w:vAlign w:val="center"/>
          </w:tcPr>
          <w:p w14:paraId="2CBAF565" w14:textId="0F6DEDAD" w:rsidR="004550EE" w:rsidRPr="00A96B47" w:rsidRDefault="004550EE" w:rsidP="004550EE">
            <w:pPr>
              <w:pStyle w:val="ListParagraph"/>
              <w:autoSpaceDE w:val="0"/>
              <w:autoSpaceDN w:val="0"/>
              <w:spacing w:line="300" w:lineRule="auto"/>
              <w:ind w:left="0"/>
              <w:rPr>
                <w:rFonts w:ascii="Georgia" w:hAnsi="Georgia"/>
                <w:color w:val="404040" w:themeColor="text1" w:themeTint="BF"/>
                <w:sz w:val="20"/>
                <w:lang w:val="en-US"/>
              </w:rPr>
            </w:pPr>
            <w:r w:rsidRPr="00A96B47">
              <w:rPr>
                <w:rFonts w:ascii="Georgia" w:hAnsi="Georgia"/>
                <w:color w:val="404040" w:themeColor="text1" w:themeTint="BF"/>
                <w:sz w:val="20"/>
                <w:lang w:val="en-US"/>
              </w:rPr>
              <w:t xml:space="preserve">Market </w:t>
            </w:r>
            <w:proofErr w:type="spellStart"/>
            <w:r w:rsidRPr="00A96B47">
              <w:rPr>
                <w:rFonts w:ascii="Georgia" w:hAnsi="Georgia"/>
                <w:color w:val="404040" w:themeColor="text1" w:themeTint="BF"/>
                <w:sz w:val="20"/>
                <w:lang w:val="en-US"/>
              </w:rPr>
              <w:t>Capitalisation</w:t>
            </w:r>
            <w:proofErr w:type="spellEnd"/>
            <w:r w:rsidR="00DF36B1">
              <w:rPr>
                <w:rFonts w:ascii="Georgia" w:hAnsi="Georgia"/>
                <w:color w:val="404040" w:themeColor="text1" w:themeTint="BF"/>
                <w:sz w:val="20"/>
                <w:lang w:val="en-US"/>
              </w:rPr>
              <w:t xml:space="preserve"> (£’000s)</w:t>
            </w:r>
          </w:p>
        </w:tc>
        <w:tc>
          <w:tcPr>
            <w:tcW w:w="2126" w:type="dxa"/>
            <w:tcBorders>
              <w:top w:val="single" w:sz="4" w:space="0" w:color="auto"/>
              <w:bottom w:val="nil"/>
            </w:tcBorders>
          </w:tcPr>
          <w:p w14:paraId="1B64E4A8" w14:textId="5ECFF9D4" w:rsidR="004550EE" w:rsidRPr="00982755" w:rsidRDefault="00982755" w:rsidP="00DF36B1">
            <w:pPr>
              <w:jc w:val="right"/>
              <w:rPr>
                <w:rFonts w:ascii="Georgia" w:hAnsi="Georgia"/>
                <w:b/>
                <w:color w:val="404040"/>
                <w:sz w:val="20"/>
              </w:rPr>
            </w:pPr>
            <w:r w:rsidRPr="00982755">
              <w:rPr>
                <w:rFonts w:ascii="Georgia" w:hAnsi="Georgia"/>
                <w:b/>
                <w:color w:val="404040"/>
                <w:sz w:val="20"/>
              </w:rPr>
              <w:t>498,322</w:t>
            </w:r>
          </w:p>
        </w:tc>
        <w:tc>
          <w:tcPr>
            <w:tcW w:w="2126" w:type="dxa"/>
            <w:tcBorders>
              <w:top w:val="single" w:sz="4" w:space="0" w:color="auto"/>
              <w:bottom w:val="nil"/>
            </w:tcBorders>
          </w:tcPr>
          <w:p w14:paraId="08A4C705" w14:textId="41BA4AC5" w:rsidR="004550EE" w:rsidRPr="009B3E03" w:rsidRDefault="00DF36B1" w:rsidP="004550EE">
            <w:pPr>
              <w:jc w:val="right"/>
              <w:rPr>
                <w:rFonts w:ascii="Georgia" w:hAnsi="Georgia"/>
                <w:b/>
                <w:color w:val="404040"/>
                <w:sz w:val="20"/>
              </w:rPr>
            </w:pPr>
            <w:r>
              <w:rPr>
                <w:rFonts w:ascii="Georgia" w:hAnsi="Georgia"/>
                <w:b/>
                <w:color w:val="404040"/>
                <w:sz w:val="20"/>
              </w:rPr>
              <w:t>504,891</w:t>
            </w:r>
          </w:p>
        </w:tc>
      </w:tr>
      <w:tr w:rsidR="004550EE" w:rsidRPr="00A96B47" w14:paraId="5F6D173F" w14:textId="77777777" w:rsidTr="00B20CF2">
        <w:trPr>
          <w:trHeight w:val="416"/>
        </w:trPr>
        <w:tc>
          <w:tcPr>
            <w:tcW w:w="5245" w:type="dxa"/>
            <w:tcBorders>
              <w:top w:val="nil"/>
              <w:bottom w:val="nil"/>
            </w:tcBorders>
            <w:vAlign w:val="center"/>
          </w:tcPr>
          <w:p w14:paraId="55586BF0" w14:textId="77777777" w:rsidR="004550EE" w:rsidRPr="00A96B47" w:rsidRDefault="004550EE" w:rsidP="004550EE">
            <w:pPr>
              <w:pStyle w:val="ListParagraph"/>
              <w:autoSpaceDE w:val="0"/>
              <w:autoSpaceDN w:val="0"/>
              <w:spacing w:line="300" w:lineRule="auto"/>
              <w:ind w:left="0"/>
              <w:rPr>
                <w:rFonts w:ascii="Georgia" w:hAnsi="Georgia"/>
                <w:color w:val="404040" w:themeColor="text1" w:themeTint="BF"/>
                <w:sz w:val="20"/>
                <w:lang w:val="en-US"/>
              </w:rPr>
            </w:pPr>
            <w:r w:rsidRPr="00A96B47">
              <w:rPr>
                <w:rFonts w:ascii="Georgia" w:hAnsi="Georgia"/>
                <w:color w:val="404040" w:themeColor="text1" w:themeTint="BF"/>
                <w:sz w:val="20"/>
                <w:lang w:val="en-US"/>
              </w:rPr>
              <w:t>Share price</w:t>
            </w:r>
          </w:p>
        </w:tc>
        <w:tc>
          <w:tcPr>
            <w:tcW w:w="2126" w:type="dxa"/>
            <w:tcBorders>
              <w:top w:val="nil"/>
              <w:bottom w:val="nil"/>
            </w:tcBorders>
          </w:tcPr>
          <w:p w14:paraId="3C31B439" w14:textId="4861C688" w:rsidR="004550EE" w:rsidRPr="00982755" w:rsidRDefault="00982755" w:rsidP="004550EE">
            <w:pPr>
              <w:jc w:val="right"/>
              <w:rPr>
                <w:rFonts w:ascii="Georgia" w:hAnsi="Georgia"/>
                <w:b/>
                <w:color w:val="404040"/>
                <w:sz w:val="20"/>
              </w:rPr>
            </w:pPr>
            <w:r w:rsidRPr="00982755">
              <w:rPr>
                <w:rFonts w:ascii="Georgia" w:hAnsi="Georgia"/>
                <w:b/>
                <w:color w:val="404040"/>
                <w:sz w:val="20"/>
              </w:rPr>
              <w:t>134</w:t>
            </w:r>
            <w:r w:rsidR="004550EE" w:rsidRPr="00982755">
              <w:rPr>
                <w:rFonts w:ascii="Georgia" w:hAnsi="Georgia"/>
                <w:b/>
                <w:color w:val="404040"/>
                <w:sz w:val="20"/>
              </w:rPr>
              <w:t>.50p</w:t>
            </w:r>
          </w:p>
        </w:tc>
        <w:tc>
          <w:tcPr>
            <w:tcW w:w="2126" w:type="dxa"/>
            <w:tcBorders>
              <w:top w:val="nil"/>
              <w:bottom w:val="nil"/>
            </w:tcBorders>
          </w:tcPr>
          <w:p w14:paraId="59DBC6F9" w14:textId="74B93E32" w:rsidR="004550EE" w:rsidRPr="009B3E03" w:rsidRDefault="004550EE" w:rsidP="004550EE">
            <w:pPr>
              <w:jc w:val="right"/>
              <w:rPr>
                <w:rFonts w:ascii="Georgia" w:hAnsi="Georgia"/>
                <w:b/>
                <w:color w:val="404040"/>
                <w:sz w:val="20"/>
              </w:rPr>
            </w:pPr>
            <w:r>
              <w:rPr>
                <w:rFonts w:ascii="Georgia" w:hAnsi="Georgia"/>
                <w:b/>
                <w:color w:val="404040"/>
                <w:sz w:val="20"/>
              </w:rPr>
              <w:t>136.50</w:t>
            </w:r>
            <w:r w:rsidRPr="009B3E03">
              <w:rPr>
                <w:rFonts w:ascii="Georgia" w:hAnsi="Georgia"/>
                <w:b/>
                <w:color w:val="404040"/>
                <w:sz w:val="20"/>
              </w:rPr>
              <w:t>p</w:t>
            </w:r>
          </w:p>
        </w:tc>
      </w:tr>
      <w:tr w:rsidR="004550EE" w:rsidRPr="00A96B47" w14:paraId="5FE2D173" w14:textId="77777777" w:rsidTr="00B20CF2">
        <w:trPr>
          <w:trHeight w:val="416"/>
        </w:trPr>
        <w:tc>
          <w:tcPr>
            <w:tcW w:w="5245" w:type="dxa"/>
            <w:tcBorders>
              <w:top w:val="nil"/>
              <w:bottom w:val="nil"/>
            </w:tcBorders>
            <w:vAlign w:val="center"/>
          </w:tcPr>
          <w:p w14:paraId="7721AF17" w14:textId="77777777" w:rsidR="004550EE" w:rsidRPr="00A96B47" w:rsidRDefault="004550EE" w:rsidP="004550EE">
            <w:pPr>
              <w:pStyle w:val="ListParagraph"/>
              <w:autoSpaceDE w:val="0"/>
              <w:autoSpaceDN w:val="0"/>
              <w:spacing w:line="300" w:lineRule="auto"/>
              <w:ind w:left="0"/>
              <w:rPr>
                <w:rFonts w:ascii="Georgia" w:hAnsi="Georgia"/>
                <w:color w:val="404040" w:themeColor="text1" w:themeTint="BF"/>
                <w:sz w:val="20"/>
                <w:lang w:val="en-US"/>
              </w:rPr>
            </w:pPr>
            <w:r w:rsidRPr="00A96B47">
              <w:rPr>
                <w:rFonts w:ascii="Georgia" w:hAnsi="Georgia"/>
                <w:color w:val="404040" w:themeColor="text1" w:themeTint="BF"/>
                <w:sz w:val="20"/>
                <w:lang w:val="en-US"/>
              </w:rPr>
              <w:t xml:space="preserve">Total dividends </w:t>
            </w:r>
            <w:r>
              <w:rPr>
                <w:rFonts w:ascii="Georgia" w:hAnsi="Georgia"/>
                <w:color w:val="404040" w:themeColor="text1" w:themeTint="BF"/>
                <w:sz w:val="20"/>
                <w:lang w:val="en-US"/>
              </w:rPr>
              <w:t xml:space="preserve">per share </w:t>
            </w:r>
            <w:r w:rsidRPr="00A96B47">
              <w:rPr>
                <w:rFonts w:ascii="Georgia" w:hAnsi="Georgia"/>
                <w:color w:val="404040" w:themeColor="text1" w:themeTint="BF"/>
                <w:sz w:val="20"/>
                <w:lang w:val="en-US"/>
              </w:rPr>
              <w:t>declared in relation to the year</w:t>
            </w:r>
          </w:p>
        </w:tc>
        <w:tc>
          <w:tcPr>
            <w:tcW w:w="2126" w:type="dxa"/>
            <w:tcBorders>
              <w:top w:val="nil"/>
              <w:bottom w:val="nil"/>
            </w:tcBorders>
          </w:tcPr>
          <w:p w14:paraId="6246F213" w14:textId="557A697E" w:rsidR="004550EE" w:rsidRPr="00982755" w:rsidRDefault="006F6195" w:rsidP="004550EE">
            <w:pPr>
              <w:jc w:val="right"/>
              <w:rPr>
                <w:rFonts w:ascii="Georgia" w:hAnsi="Georgia" w:cs="Arial"/>
                <w:b/>
                <w:bCs/>
                <w:color w:val="404040"/>
                <w:sz w:val="20"/>
                <w:szCs w:val="20"/>
              </w:rPr>
            </w:pPr>
            <w:r>
              <w:rPr>
                <w:rFonts w:ascii="Georgia" w:hAnsi="Georgia"/>
                <w:b/>
                <w:color w:val="404040"/>
                <w:sz w:val="20"/>
              </w:rPr>
              <w:t>7.90p</w:t>
            </w:r>
          </w:p>
        </w:tc>
        <w:tc>
          <w:tcPr>
            <w:tcW w:w="2126" w:type="dxa"/>
            <w:tcBorders>
              <w:top w:val="nil"/>
              <w:bottom w:val="nil"/>
            </w:tcBorders>
          </w:tcPr>
          <w:p w14:paraId="56C1B252" w14:textId="6EE1111D" w:rsidR="004550EE" w:rsidRPr="009B3E03" w:rsidRDefault="004550EE" w:rsidP="004550EE">
            <w:pPr>
              <w:jc w:val="right"/>
              <w:rPr>
                <w:rFonts w:ascii="Georgia" w:hAnsi="Georgia"/>
                <w:b/>
                <w:color w:val="404040"/>
                <w:sz w:val="20"/>
              </w:rPr>
            </w:pPr>
            <w:r w:rsidRPr="00EF6D72">
              <w:rPr>
                <w:rFonts w:ascii="Georgia" w:hAnsi="Georgia"/>
                <w:b/>
                <w:color w:val="404040"/>
                <w:sz w:val="20"/>
              </w:rPr>
              <w:t>8.3</w:t>
            </w:r>
            <w:r>
              <w:rPr>
                <w:rFonts w:ascii="Georgia" w:hAnsi="Georgia"/>
                <w:b/>
                <w:color w:val="404040"/>
                <w:sz w:val="20"/>
              </w:rPr>
              <w:t>1</w:t>
            </w:r>
            <w:r w:rsidRPr="00EF6D72">
              <w:rPr>
                <w:rFonts w:ascii="Georgia" w:hAnsi="Georgia"/>
                <w:b/>
                <w:color w:val="404040"/>
                <w:sz w:val="20"/>
              </w:rPr>
              <w:t>p</w:t>
            </w:r>
            <w:r w:rsidR="001D63BC">
              <w:rPr>
                <w:rFonts w:ascii="Georgia" w:hAnsi="Georgia"/>
                <w:b/>
                <w:color w:val="404040"/>
                <w:sz w:val="20"/>
              </w:rPr>
              <w:t>*</w:t>
            </w:r>
          </w:p>
        </w:tc>
      </w:tr>
      <w:tr w:rsidR="004550EE" w:rsidRPr="00A96B47" w14:paraId="17E4DDF6" w14:textId="77777777" w:rsidTr="00B20CF2">
        <w:trPr>
          <w:trHeight w:val="416"/>
        </w:trPr>
        <w:tc>
          <w:tcPr>
            <w:tcW w:w="5245" w:type="dxa"/>
            <w:tcBorders>
              <w:top w:val="nil"/>
              <w:bottom w:val="nil"/>
            </w:tcBorders>
            <w:vAlign w:val="center"/>
          </w:tcPr>
          <w:p w14:paraId="1B8A0491" w14:textId="06A70375" w:rsidR="004550EE" w:rsidRPr="00A96B47" w:rsidRDefault="004550EE" w:rsidP="004550EE">
            <w:pPr>
              <w:pStyle w:val="ListParagraph"/>
              <w:autoSpaceDE w:val="0"/>
              <w:autoSpaceDN w:val="0"/>
              <w:spacing w:line="300" w:lineRule="auto"/>
              <w:ind w:left="0"/>
              <w:rPr>
                <w:rFonts w:ascii="Georgia" w:hAnsi="Georgia"/>
                <w:color w:val="404040" w:themeColor="text1" w:themeTint="BF"/>
                <w:sz w:val="20"/>
                <w:lang w:val="en-US"/>
              </w:rPr>
            </w:pPr>
            <w:r w:rsidRPr="00A96B47">
              <w:rPr>
                <w:rFonts w:ascii="Georgia" w:hAnsi="Georgia"/>
                <w:color w:val="404040" w:themeColor="text1" w:themeTint="BF"/>
                <w:sz w:val="20"/>
                <w:lang w:val="en-US"/>
              </w:rPr>
              <w:t>NAV</w:t>
            </w:r>
            <w:r w:rsidR="00DF36B1">
              <w:rPr>
                <w:rFonts w:ascii="Georgia" w:hAnsi="Georgia"/>
                <w:color w:val="404040" w:themeColor="text1" w:themeTint="BF"/>
                <w:sz w:val="20"/>
                <w:lang w:val="en-US"/>
              </w:rPr>
              <w:t xml:space="preserve"> (£’000s)</w:t>
            </w:r>
          </w:p>
        </w:tc>
        <w:tc>
          <w:tcPr>
            <w:tcW w:w="2126" w:type="dxa"/>
            <w:tcBorders>
              <w:top w:val="nil"/>
              <w:bottom w:val="nil"/>
            </w:tcBorders>
          </w:tcPr>
          <w:p w14:paraId="18DDF5B6" w14:textId="1902182B" w:rsidR="004550EE" w:rsidRPr="00982755" w:rsidRDefault="003760FE" w:rsidP="00D127DF">
            <w:pPr>
              <w:jc w:val="right"/>
              <w:rPr>
                <w:rFonts w:ascii="Georgia" w:hAnsi="Georgia"/>
                <w:b/>
                <w:color w:val="404040"/>
                <w:sz w:val="20"/>
              </w:rPr>
            </w:pPr>
            <w:r>
              <w:rPr>
                <w:rFonts w:ascii="Georgia" w:hAnsi="Georgia"/>
                <w:b/>
                <w:color w:val="404040"/>
                <w:sz w:val="20"/>
              </w:rPr>
              <w:t>433</w:t>
            </w:r>
            <w:r w:rsidR="00DF36B1" w:rsidRPr="00982755">
              <w:rPr>
                <w:rFonts w:ascii="Georgia" w:hAnsi="Georgia"/>
                <w:b/>
                <w:color w:val="404040"/>
                <w:sz w:val="20"/>
              </w:rPr>
              <w:t>,</w:t>
            </w:r>
            <w:r w:rsidR="00D127DF">
              <w:rPr>
                <w:rFonts w:ascii="Georgia" w:hAnsi="Georgia"/>
                <w:b/>
                <w:color w:val="404040"/>
                <w:sz w:val="20"/>
              </w:rPr>
              <w:t>50</w:t>
            </w:r>
            <w:r>
              <w:rPr>
                <w:rFonts w:ascii="Georgia" w:hAnsi="Georgia"/>
                <w:b/>
                <w:color w:val="404040"/>
                <w:sz w:val="20"/>
              </w:rPr>
              <w:t>5</w:t>
            </w:r>
          </w:p>
        </w:tc>
        <w:tc>
          <w:tcPr>
            <w:tcW w:w="2126" w:type="dxa"/>
            <w:tcBorders>
              <w:top w:val="nil"/>
              <w:bottom w:val="nil"/>
            </w:tcBorders>
          </w:tcPr>
          <w:p w14:paraId="16280217" w14:textId="4C169C5D" w:rsidR="004550EE" w:rsidRPr="009B3E03" w:rsidRDefault="00DF36B1" w:rsidP="004550EE">
            <w:pPr>
              <w:jc w:val="right"/>
              <w:rPr>
                <w:rFonts w:ascii="Georgia" w:hAnsi="Georgia"/>
                <w:b/>
                <w:color w:val="404040"/>
                <w:sz w:val="20"/>
              </w:rPr>
            </w:pPr>
            <w:r>
              <w:rPr>
                <w:rFonts w:ascii="Georgia" w:hAnsi="Georgia"/>
                <w:b/>
                <w:color w:val="404040"/>
                <w:sz w:val="20"/>
              </w:rPr>
              <w:t>436,396</w:t>
            </w:r>
          </w:p>
        </w:tc>
      </w:tr>
      <w:tr w:rsidR="004550EE" w:rsidRPr="00A96B47" w14:paraId="6FA8B671" w14:textId="77777777" w:rsidTr="00B20CF2">
        <w:trPr>
          <w:trHeight w:val="416"/>
        </w:trPr>
        <w:tc>
          <w:tcPr>
            <w:tcW w:w="5245" w:type="dxa"/>
            <w:tcBorders>
              <w:top w:val="nil"/>
              <w:bottom w:val="nil"/>
            </w:tcBorders>
            <w:vAlign w:val="center"/>
          </w:tcPr>
          <w:p w14:paraId="4223E349" w14:textId="77777777" w:rsidR="004550EE" w:rsidRPr="00A96B47" w:rsidRDefault="004550EE" w:rsidP="004550EE">
            <w:pPr>
              <w:pStyle w:val="ListParagraph"/>
              <w:autoSpaceDE w:val="0"/>
              <w:autoSpaceDN w:val="0"/>
              <w:spacing w:line="300" w:lineRule="auto"/>
              <w:ind w:left="0"/>
              <w:rPr>
                <w:rFonts w:ascii="Georgia" w:hAnsi="Georgia"/>
                <w:color w:val="404040" w:themeColor="text1" w:themeTint="BF"/>
                <w:sz w:val="20"/>
                <w:lang w:val="en-US"/>
              </w:rPr>
            </w:pPr>
            <w:r w:rsidRPr="00A96B47">
              <w:rPr>
                <w:rFonts w:ascii="Georgia" w:hAnsi="Georgia"/>
                <w:color w:val="404040" w:themeColor="text1" w:themeTint="BF"/>
                <w:sz w:val="20"/>
                <w:lang w:val="en-US"/>
              </w:rPr>
              <w:t xml:space="preserve">NAV per share </w:t>
            </w:r>
          </w:p>
        </w:tc>
        <w:tc>
          <w:tcPr>
            <w:tcW w:w="2126" w:type="dxa"/>
            <w:tcBorders>
              <w:top w:val="nil"/>
              <w:bottom w:val="nil"/>
            </w:tcBorders>
          </w:tcPr>
          <w:p w14:paraId="75D334D8" w14:textId="1A4A28F7" w:rsidR="004550EE" w:rsidRPr="00982755" w:rsidRDefault="003760FE" w:rsidP="004550EE">
            <w:pPr>
              <w:jc w:val="right"/>
              <w:rPr>
                <w:rFonts w:ascii="Georgia" w:hAnsi="Georgia"/>
                <w:b/>
                <w:color w:val="404040"/>
                <w:sz w:val="20"/>
              </w:rPr>
            </w:pPr>
            <w:r>
              <w:rPr>
                <w:rFonts w:ascii="Georgia" w:hAnsi="Georgia"/>
                <w:b/>
                <w:color w:val="404040"/>
                <w:sz w:val="20"/>
              </w:rPr>
              <w:t>117.0</w:t>
            </w:r>
            <w:r w:rsidR="00D127DF">
              <w:rPr>
                <w:rFonts w:ascii="Georgia" w:hAnsi="Georgia"/>
                <w:b/>
                <w:color w:val="404040"/>
                <w:sz w:val="20"/>
              </w:rPr>
              <w:t>1</w:t>
            </w:r>
            <w:r w:rsidR="004550EE" w:rsidRPr="00982755">
              <w:rPr>
                <w:rFonts w:ascii="Georgia" w:hAnsi="Georgia"/>
                <w:b/>
                <w:color w:val="404040"/>
                <w:sz w:val="20"/>
              </w:rPr>
              <w:t>p</w:t>
            </w:r>
          </w:p>
        </w:tc>
        <w:tc>
          <w:tcPr>
            <w:tcW w:w="2126" w:type="dxa"/>
            <w:tcBorders>
              <w:top w:val="nil"/>
              <w:bottom w:val="nil"/>
            </w:tcBorders>
          </w:tcPr>
          <w:p w14:paraId="429F2DB1" w14:textId="28E02261" w:rsidR="004550EE" w:rsidRPr="009B3E03" w:rsidRDefault="004550EE" w:rsidP="004550EE">
            <w:pPr>
              <w:jc w:val="right"/>
              <w:rPr>
                <w:rFonts w:ascii="Georgia" w:hAnsi="Georgia"/>
                <w:b/>
                <w:color w:val="404040"/>
                <w:sz w:val="20"/>
              </w:rPr>
            </w:pPr>
            <w:r>
              <w:rPr>
                <w:rFonts w:ascii="Georgia" w:hAnsi="Georgia"/>
                <w:b/>
                <w:color w:val="404040"/>
                <w:sz w:val="20"/>
              </w:rPr>
              <w:t>117.98</w:t>
            </w:r>
            <w:r w:rsidRPr="009B3E03">
              <w:rPr>
                <w:rFonts w:ascii="Georgia" w:hAnsi="Georgia"/>
                <w:b/>
                <w:color w:val="404040"/>
                <w:sz w:val="20"/>
              </w:rPr>
              <w:t>p</w:t>
            </w:r>
          </w:p>
        </w:tc>
      </w:tr>
      <w:tr w:rsidR="004550EE" w:rsidRPr="00A96B47" w14:paraId="2FFF7B96" w14:textId="77777777" w:rsidTr="00B20CF2">
        <w:trPr>
          <w:trHeight w:val="416"/>
        </w:trPr>
        <w:tc>
          <w:tcPr>
            <w:tcW w:w="5245" w:type="dxa"/>
            <w:tcBorders>
              <w:top w:val="nil"/>
              <w:bottom w:val="single" w:sz="4" w:space="0" w:color="000000" w:themeColor="text1"/>
            </w:tcBorders>
            <w:vAlign w:val="center"/>
          </w:tcPr>
          <w:p w14:paraId="366BF068" w14:textId="406A6F17" w:rsidR="004550EE" w:rsidRPr="00A96B47" w:rsidRDefault="004550EE" w:rsidP="00320DD0">
            <w:pPr>
              <w:pStyle w:val="ListParagraph"/>
              <w:autoSpaceDE w:val="0"/>
              <w:autoSpaceDN w:val="0"/>
              <w:spacing w:line="300" w:lineRule="auto"/>
              <w:ind w:left="0"/>
              <w:rPr>
                <w:rFonts w:ascii="Georgia" w:hAnsi="Georgia"/>
                <w:color w:val="404040" w:themeColor="text1" w:themeTint="BF"/>
                <w:sz w:val="20"/>
                <w:lang w:val="en-US"/>
              </w:rPr>
            </w:pPr>
            <w:r w:rsidRPr="00A96B47">
              <w:rPr>
                <w:rFonts w:ascii="Georgia" w:hAnsi="Georgia"/>
                <w:color w:val="404040" w:themeColor="text1" w:themeTint="BF"/>
                <w:sz w:val="20"/>
                <w:lang w:val="en-US"/>
              </w:rPr>
              <w:t xml:space="preserve">Total Return to </w:t>
            </w:r>
            <w:r w:rsidR="00320DD0">
              <w:rPr>
                <w:rFonts w:ascii="Georgia" w:hAnsi="Georgia"/>
                <w:color w:val="404040" w:themeColor="text1" w:themeTint="BF"/>
                <w:sz w:val="20"/>
                <w:lang w:val="en-US"/>
              </w:rPr>
              <w:t>S</w:t>
            </w:r>
            <w:r w:rsidRPr="00A96B47">
              <w:rPr>
                <w:rFonts w:ascii="Georgia" w:hAnsi="Georgia"/>
                <w:color w:val="404040" w:themeColor="text1" w:themeTint="BF"/>
                <w:sz w:val="20"/>
                <w:lang w:val="en-US"/>
              </w:rPr>
              <w:t xml:space="preserve">hareholders (based on share price and dividends </w:t>
            </w:r>
            <w:r>
              <w:rPr>
                <w:rFonts w:ascii="Georgia" w:hAnsi="Georgia"/>
                <w:color w:val="404040" w:themeColor="text1" w:themeTint="BF"/>
                <w:sz w:val="20"/>
                <w:lang w:val="en-US"/>
              </w:rPr>
              <w:t>paid</w:t>
            </w:r>
            <w:r w:rsidRPr="00A96B47">
              <w:rPr>
                <w:rFonts w:ascii="Georgia" w:hAnsi="Georgia"/>
                <w:color w:val="404040" w:themeColor="text1" w:themeTint="BF"/>
                <w:sz w:val="20"/>
                <w:lang w:val="en-US"/>
              </w:rPr>
              <w:t xml:space="preserve"> in the year) </w:t>
            </w:r>
          </w:p>
        </w:tc>
        <w:tc>
          <w:tcPr>
            <w:tcW w:w="2126" w:type="dxa"/>
            <w:tcBorders>
              <w:top w:val="nil"/>
              <w:bottom w:val="single" w:sz="4" w:space="0" w:color="000000" w:themeColor="text1"/>
            </w:tcBorders>
          </w:tcPr>
          <w:p w14:paraId="65F29A39" w14:textId="644A2182" w:rsidR="004550EE" w:rsidRPr="00982755" w:rsidRDefault="00982755" w:rsidP="004550EE">
            <w:pPr>
              <w:jc w:val="right"/>
              <w:rPr>
                <w:rFonts w:ascii="Georgia" w:hAnsi="Georgia"/>
                <w:b/>
                <w:color w:val="404040"/>
                <w:sz w:val="20"/>
              </w:rPr>
            </w:pPr>
            <w:r w:rsidRPr="00982755">
              <w:rPr>
                <w:rFonts w:ascii="Georgia" w:hAnsi="Georgia"/>
                <w:b/>
                <w:color w:val="404040"/>
                <w:sz w:val="20"/>
              </w:rPr>
              <w:t>4.70</w:t>
            </w:r>
            <w:r w:rsidR="004550EE" w:rsidRPr="00982755">
              <w:rPr>
                <w:rFonts w:ascii="Georgia" w:hAnsi="Georgia"/>
                <w:b/>
                <w:color w:val="404040"/>
                <w:sz w:val="20"/>
              </w:rPr>
              <w:t>%</w:t>
            </w:r>
          </w:p>
        </w:tc>
        <w:tc>
          <w:tcPr>
            <w:tcW w:w="2126" w:type="dxa"/>
            <w:tcBorders>
              <w:top w:val="nil"/>
              <w:bottom w:val="single" w:sz="4" w:space="0" w:color="000000" w:themeColor="text1"/>
            </w:tcBorders>
          </w:tcPr>
          <w:p w14:paraId="271371BF" w14:textId="712E97F0" w:rsidR="004550EE" w:rsidRPr="009B3E03" w:rsidRDefault="004550EE" w:rsidP="004550EE">
            <w:pPr>
              <w:jc w:val="right"/>
              <w:rPr>
                <w:rFonts w:ascii="Georgia" w:hAnsi="Georgia"/>
                <w:b/>
                <w:color w:val="404040"/>
                <w:sz w:val="20"/>
              </w:rPr>
            </w:pPr>
            <w:r>
              <w:rPr>
                <w:rFonts w:ascii="Georgia" w:hAnsi="Georgia"/>
                <w:b/>
                <w:color w:val="404040"/>
                <w:sz w:val="20"/>
              </w:rPr>
              <w:t>19.12</w:t>
            </w:r>
            <w:r w:rsidRPr="009B3E03">
              <w:rPr>
                <w:rFonts w:ascii="Georgia" w:hAnsi="Georgia"/>
                <w:b/>
                <w:color w:val="404040"/>
                <w:sz w:val="20"/>
              </w:rPr>
              <w:t>%</w:t>
            </w:r>
          </w:p>
        </w:tc>
      </w:tr>
    </w:tbl>
    <w:p w14:paraId="7735031A" w14:textId="1131810A" w:rsidR="00C200A9" w:rsidRPr="001D63BC" w:rsidRDefault="001D63BC" w:rsidP="001D63BC">
      <w:pPr>
        <w:rPr>
          <w:rFonts w:ascii="Georgia" w:hAnsi="Georgia" w:cs="Calibri"/>
          <w:color w:val="404040" w:themeColor="text1" w:themeTint="BF"/>
          <w:sz w:val="18"/>
        </w:rPr>
      </w:pPr>
      <w:r w:rsidRPr="001D63BC">
        <w:rPr>
          <w:rFonts w:ascii="Georgia" w:hAnsi="Georgia" w:cs="Calibri"/>
          <w:color w:val="404040" w:themeColor="text1" w:themeTint="BF"/>
          <w:sz w:val="18"/>
        </w:rPr>
        <w:t>*</w:t>
      </w:r>
      <w:r w:rsidR="006932CC" w:rsidRPr="006932CC">
        <w:rPr>
          <w:sz w:val="20"/>
          <w:szCs w:val="20"/>
        </w:rPr>
        <w:t xml:space="preserve"> </w:t>
      </w:r>
      <w:r w:rsidR="006932CC" w:rsidRPr="006932CC">
        <w:rPr>
          <w:rFonts w:ascii="Georgia" w:hAnsi="Georgia" w:cs="Calibri"/>
          <w:color w:val="404040" w:themeColor="text1" w:themeTint="BF"/>
          <w:sz w:val="18"/>
        </w:rPr>
        <w:t>Total dividends declared for FY18/19 of 8.31pps included an additional dividend of 0.63pps reflecting unusually high earnings from both higher electricity prices and high irradiation.</w:t>
      </w:r>
      <w:r w:rsidR="000D2A93">
        <w:rPr>
          <w:rFonts w:ascii="Georgia" w:hAnsi="Georgia" w:cs="Calibri"/>
          <w:color w:val="404040" w:themeColor="text1" w:themeTint="BF"/>
          <w:sz w:val="18"/>
        </w:rPr>
        <w:t xml:space="preserve"> The target dividend was 7.68p.</w:t>
      </w:r>
    </w:p>
    <w:p w14:paraId="4111E3E3" w14:textId="77777777" w:rsidR="001D63BC" w:rsidRPr="00A96B47" w:rsidRDefault="001D63BC" w:rsidP="001D63BC">
      <w:pPr>
        <w:pStyle w:val="ListParagraph"/>
      </w:pPr>
    </w:p>
    <w:p w14:paraId="47C505F0" w14:textId="77777777" w:rsidR="00C200A9" w:rsidRPr="00A96B47" w:rsidRDefault="00C200A9" w:rsidP="00C200A9">
      <w:pPr>
        <w:rPr>
          <w:rFonts w:ascii="Georgia" w:hAnsi="Georgia" w:cs="Calibri"/>
          <w:b/>
          <w:color w:val="FF0000"/>
          <w:sz w:val="20"/>
        </w:rPr>
      </w:pPr>
      <w:r w:rsidRPr="00A96B47">
        <w:rPr>
          <w:rFonts w:ascii="Georgia" w:hAnsi="Georgia" w:cs="Calibri"/>
          <w:b/>
          <w:color w:val="404040" w:themeColor="text1" w:themeTint="BF"/>
          <w:sz w:val="20"/>
        </w:rPr>
        <w:t>Acquisitions</w:t>
      </w:r>
    </w:p>
    <w:p w14:paraId="6C81AE03" w14:textId="0C118CF8" w:rsidR="00C200A9" w:rsidRDefault="00C200A9" w:rsidP="00C200A9">
      <w:pPr>
        <w:rPr>
          <w:rFonts w:ascii="Georgia" w:hAnsi="Georgia" w:cs="Calibri"/>
          <w:b/>
          <w:color w:val="404040" w:themeColor="text1" w:themeTint="BF"/>
          <w:sz w:val="20"/>
        </w:rPr>
      </w:pPr>
    </w:p>
    <w:p w14:paraId="40F65098" w14:textId="6C84B9EE" w:rsidR="00CE27D9" w:rsidRDefault="00A33FB8" w:rsidP="00A33FB8">
      <w:pPr>
        <w:jc w:val="both"/>
        <w:rPr>
          <w:rFonts w:ascii="Georgia" w:hAnsi="Georgia" w:cs="Calibri"/>
          <w:color w:val="404040" w:themeColor="text1" w:themeTint="BF"/>
          <w:sz w:val="20"/>
        </w:rPr>
      </w:pPr>
      <w:r>
        <w:rPr>
          <w:rFonts w:ascii="Georgia" w:hAnsi="Georgia" w:cs="Calibri"/>
          <w:color w:val="404040" w:themeColor="text1" w:themeTint="BF"/>
          <w:sz w:val="20"/>
        </w:rPr>
        <w:t xml:space="preserve">Acquisitions </w:t>
      </w:r>
      <w:r w:rsidRPr="004C513C">
        <w:rPr>
          <w:rFonts w:ascii="Georgia" w:hAnsi="Georgia" w:cs="Calibri"/>
          <w:color w:val="404040" w:themeColor="text1" w:themeTint="BF"/>
          <w:sz w:val="20"/>
        </w:rPr>
        <w:t xml:space="preserve">are discussed within the Investment Adviser’s report </w:t>
      </w:r>
      <w:r w:rsidR="00D269DA">
        <w:rPr>
          <w:rFonts w:ascii="Georgia" w:hAnsi="Georgia" w:cs="Calibri"/>
          <w:color w:val="404040" w:themeColor="text1" w:themeTint="BF"/>
          <w:sz w:val="20"/>
        </w:rPr>
        <w:t>in</w:t>
      </w:r>
      <w:r w:rsidRPr="004C513C">
        <w:rPr>
          <w:rFonts w:ascii="Georgia" w:hAnsi="Georgia" w:cs="Calibri"/>
          <w:color w:val="404040" w:themeColor="text1" w:themeTint="BF"/>
          <w:sz w:val="20"/>
        </w:rPr>
        <w:t xml:space="preserve"> </w:t>
      </w:r>
      <w:r w:rsidRPr="00925F72">
        <w:rPr>
          <w:rFonts w:ascii="Georgia" w:hAnsi="Georgia" w:cs="Calibri"/>
          <w:color w:val="404040" w:themeColor="text1" w:themeTint="BF"/>
          <w:sz w:val="20"/>
        </w:rPr>
        <w:t>Section 2.</w:t>
      </w:r>
    </w:p>
    <w:p w14:paraId="140869BF" w14:textId="5FB51513" w:rsidR="00A33FB8" w:rsidRPr="00A96B47" w:rsidRDefault="00A33FB8" w:rsidP="00A33FB8">
      <w:pPr>
        <w:jc w:val="both"/>
        <w:rPr>
          <w:rFonts w:ascii="Georgia" w:hAnsi="Georgia" w:cs="Calibri"/>
          <w:color w:val="404040" w:themeColor="text1" w:themeTint="BF"/>
          <w:sz w:val="20"/>
        </w:rPr>
      </w:pPr>
      <w:r w:rsidRPr="00A96B47">
        <w:rPr>
          <w:rFonts w:ascii="Georgia" w:hAnsi="Georgia"/>
          <w:color w:val="303030"/>
          <w:sz w:val="20"/>
          <w:szCs w:val="20"/>
        </w:rPr>
        <w:t xml:space="preserve"> </w:t>
      </w:r>
    </w:p>
    <w:p w14:paraId="2AC7BDEC" w14:textId="77777777" w:rsidR="00C200A9" w:rsidRPr="00A96B47" w:rsidRDefault="00C200A9" w:rsidP="00C200A9">
      <w:pPr>
        <w:rPr>
          <w:rFonts w:ascii="Georgia" w:hAnsi="Georgia" w:cs="Calibri"/>
          <w:b/>
          <w:color w:val="FF0000"/>
          <w:sz w:val="20"/>
        </w:rPr>
      </w:pPr>
      <w:r w:rsidRPr="00A96B47">
        <w:rPr>
          <w:rFonts w:ascii="Georgia" w:hAnsi="Georgia" w:cs="Calibri"/>
          <w:b/>
          <w:color w:val="404040" w:themeColor="text1" w:themeTint="BF"/>
          <w:sz w:val="20"/>
        </w:rPr>
        <w:t xml:space="preserve">Portfolio Performance </w:t>
      </w:r>
    </w:p>
    <w:p w14:paraId="4BCDD63C" w14:textId="77777777" w:rsidR="00C200A9" w:rsidRPr="00A96B47" w:rsidRDefault="00C200A9" w:rsidP="00C200A9">
      <w:pPr>
        <w:rPr>
          <w:rFonts w:ascii="Georgia" w:hAnsi="Georgia" w:cs="Calibri"/>
          <w:b/>
          <w:color w:val="404040" w:themeColor="text1" w:themeTint="BF"/>
          <w:sz w:val="20"/>
        </w:rPr>
      </w:pPr>
    </w:p>
    <w:p w14:paraId="32A08AEC" w14:textId="77777777" w:rsidR="00C200A9" w:rsidRPr="00A96B47" w:rsidRDefault="00C200A9" w:rsidP="00C200A9">
      <w:pPr>
        <w:jc w:val="both"/>
        <w:rPr>
          <w:rFonts w:ascii="Georgia" w:hAnsi="Georgia" w:cs="Calibri"/>
          <w:color w:val="404040" w:themeColor="text1" w:themeTint="BF"/>
          <w:sz w:val="20"/>
        </w:rPr>
      </w:pPr>
      <w:r w:rsidRPr="004C513C">
        <w:rPr>
          <w:rFonts w:ascii="Georgia" w:hAnsi="Georgia" w:cs="Calibri"/>
          <w:color w:val="404040" w:themeColor="text1" w:themeTint="BF"/>
          <w:sz w:val="20"/>
        </w:rPr>
        <w:t xml:space="preserve">Portfolio performance and power price movements are discussed within the Investment Adviser’s report under </w:t>
      </w:r>
      <w:r w:rsidRPr="00925F72">
        <w:rPr>
          <w:rFonts w:ascii="Georgia" w:hAnsi="Georgia" w:cs="Calibri"/>
          <w:color w:val="404040" w:themeColor="text1" w:themeTint="BF"/>
          <w:sz w:val="20"/>
        </w:rPr>
        <w:t>Sections 2 and 4.</w:t>
      </w:r>
      <w:r w:rsidRPr="00A96B47">
        <w:rPr>
          <w:rFonts w:ascii="Georgia" w:hAnsi="Georgia"/>
          <w:color w:val="303030"/>
          <w:sz w:val="20"/>
          <w:szCs w:val="20"/>
        </w:rPr>
        <w:t xml:space="preserve"> </w:t>
      </w:r>
    </w:p>
    <w:p w14:paraId="53FE5261" w14:textId="77777777" w:rsidR="00C200A9" w:rsidRPr="004C513C" w:rsidRDefault="00C200A9" w:rsidP="00C200A9">
      <w:pPr>
        <w:jc w:val="both"/>
        <w:rPr>
          <w:rFonts w:ascii="Georgia" w:hAnsi="Georgia" w:cs="Calibri"/>
          <w:color w:val="404040" w:themeColor="text1" w:themeTint="BF"/>
          <w:sz w:val="20"/>
        </w:rPr>
      </w:pPr>
    </w:p>
    <w:p w14:paraId="5EAB3A7D" w14:textId="77777777" w:rsidR="00C200A9" w:rsidRPr="004C513C" w:rsidRDefault="00C200A9" w:rsidP="00C200A9">
      <w:pPr>
        <w:jc w:val="both"/>
        <w:rPr>
          <w:rFonts w:ascii="Georgia" w:hAnsi="Georgia" w:cs="Calibri"/>
          <w:color w:val="404040" w:themeColor="text1" w:themeTint="BF"/>
          <w:sz w:val="20"/>
        </w:rPr>
      </w:pPr>
      <w:r w:rsidRPr="004C513C">
        <w:rPr>
          <w:rFonts w:ascii="Georgia" w:hAnsi="Georgia" w:cs="Calibri"/>
          <w:color w:val="404040" w:themeColor="text1" w:themeTint="BF"/>
          <w:sz w:val="20"/>
        </w:rPr>
        <w:t xml:space="preserve">The Company’s PPA </w:t>
      </w:r>
      <w:r>
        <w:rPr>
          <w:rFonts w:ascii="Georgia" w:hAnsi="Georgia" w:cs="Calibri"/>
          <w:color w:val="404040" w:themeColor="text1" w:themeTint="BF"/>
          <w:sz w:val="20"/>
        </w:rPr>
        <w:t xml:space="preserve">strategy is to enter into short </w:t>
      </w:r>
      <w:r w:rsidRPr="004C513C">
        <w:rPr>
          <w:rFonts w:ascii="Georgia" w:hAnsi="Georgia" w:cs="Calibri"/>
          <w:color w:val="404040" w:themeColor="text1" w:themeTint="BF"/>
          <w:sz w:val="20"/>
        </w:rPr>
        <w:t>term contracts with contracting periods s</w:t>
      </w:r>
      <w:r>
        <w:rPr>
          <w:rFonts w:ascii="Georgia" w:hAnsi="Georgia" w:cs="Calibri"/>
          <w:color w:val="404040" w:themeColor="text1" w:themeTint="BF"/>
          <w:sz w:val="20"/>
        </w:rPr>
        <w:t>prea</w:t>
      </w:r>
      <w:r w:rsidRPr="004C513C">
        <w:rPr>
          <w:rFonts w:ascii="Georgia" w:hAnsi="Georgia" w:cs="Calibri"/>
          <w:color w:val="404040" w:themeColor="text1" w:themeTint="BF"/>
          <w:sz w:val="20"/>
        </w:rPr>
        <w:t>d quarterly across the portfolio in order to minimise the p</w:t>
      </w:r>
      <w:r>
        <w:rPr>
          <w:rFonts w:ascii="Georgia" w:hAnsi="Georgia" w:cs="Calibri"/>
          <w:color w:val="404040" w:themeColor="text1" w:themeTint="BF"/>
          <w:sz w:val="20"/>
        </w:rPr>
        <w:t xml:space="preserve">ortfolio’s sensitivity to short </w:t>
      </w:r>
      <w:r w:rsidRPr="004C513C">
        <w:rPr>
          <w:rFonts w:ascii="Georgia" w:hAnsi="Georgia" w:cs="Calibri"/>
          <w:color w:val="404040" w:themeColor="text1" w:themeTint="BF"/>
          <w:sz w:val="20"/>
        </w:rPr>
        <w:t xml:space="preserve">term price volatility. </w:t>
      </w:r>
      <w:r>
        <w:rPr>
          <w:rFonts w:ascii="Georgia" w:hAnsi="Georgia" w:cs="Calibri"/>
          <w:color w:val="404040" w:themeColor="text1" w:themeTint="BF"/>
          <w:sz w:val="20"/>
        </w:rPr>
        <w:t xml:space="preserve"> </w:t>
      </w:r>
    </w:p>
    <w:p w14:paraId="40AD2D09" w14:textId="55473456" w:rsidR="007B0FE8" w:rsidRDefault="007B0FE8" w:rsidP="009E4559">
      <w:pPr>
        <w:autoSpaceDE w:val="0"/>
        <w:autoSpaceDN w:val="0"/>
        <w:adjustRightInd w:val="0"/>
        <w:jc w:val="both"/>
        <w:rPr>
          <w:rFonts w:ascii="Georgia" w:hAnsi="Georgia" w:cs="Calibri"/>
          <w:color w:val="404040" w:themeColor="text1" w:themeTint="BF"/>
          <w:sz w:val="20"/>
          <w:highlight w:val="yellow"/>
        </w:rPr>
      </w:pPr>
    </w:p>
    <w:p w14:paraId="27AFB923" w14:textId="1E79E16F"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44CA2708" w14:textId="52C73E2E"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40A94693" w14:textId="2A218CE6"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642715B7" w14:textId="0BB0CF39"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190A7562" w14:textId="1E225998"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26D3CF2C" w14:textId="35DE3122"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280FC796" w14:textId="29514D60"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2F12308C" w14:textId="20D54682"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30FEA4DF" w14:textId="79005DD5"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1E1CBA94" w14:textId="38666CCA"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4C686423" w14:textId="747281CC"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67EA771A" w14:textId="47A6CBCA"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64E4CD70" w14:textId="7E6B0DAC"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6BF869BB" w14:textId="029DA680"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75093ECF" w14:textId="2F7CB058" w:rsidR="00C200A9" w:rsidRDefault="00C200A9" w:rsidP="009E4559">
      <w:pPr>
        <w:autoSpaceDE w:val="0"/>
        <w:autoSpaceDN w:val="0"/>
        <w:adjustRightInd w:val="0"/>
        <w:jc w:val="both"/>
        <w:rPr>
          <w:rFonts w:ascii="Georgia" w:hAnsi="Georgia" w:cs="Calibri"/>
          <w:color w:val="404040" w:themeColor="text1" w:themeTint="BF"/>
          <w:sz w:val="20"/>
          <w:highlight w:val="yellow"/>
        </w:rPr>
      </w:pPr>
    </w:p>
    <w:p w14:paraId="5D85F682" w14:textId="77777777" w:rsidR="00C200A9" w:rsidRPr="009625B4" w:rsidRDefault="00C200A9" w:rsidP="009E4559">
      <w:pPr>
        <w:autoSpaceDE w:val="0"/>
        <w:autoSpaceDN w:val="0"/>
        <w:adjustRightInd w:val="0"/>
        <w:jc w:val="both"/>
        <w:rPr>
          <w:rFonts w:ascii="Georgia" w:hAnsi="Georgia" w:cs="Calibri"/>
          <w:color w:val="404040" w:themeColor="text1" w:themeTint="BF"/>
          <w:sz w:val="20"/>
          <w:highlight w:val="yellow"/>
        </w:rPr>
      </w:pPr>
    </w:p>
    <w:p w14:paraId="0EB9C077" w14:textId="77777777" w:rsidR="00F92A99" w:rsidRPr="009625B4" w:rsidRDefault="00F92A99" w:rsidP="009E4559">
      <w:pPr>
        <w:autoSpaceDE w:val="0"/>
        <w:autoSpaceDN w:val="0"/>
        <w:adjustRightInd w:val="0"/>
        <w:jc w:val="both"/>
        <w:rPr>
          <w:rFonts w:ascii="Georgia" w:hAnsi="Georgia" w:cs="Calibri"/>
          <w:color w:val="404040" w:themeColor="text1" w:themeTint="BF"/>
          <w:sz w:val="20"/>
          <w:highlight w:val="yellow"/>
        </w:rPr>
      </w:pPr>
    </w:p>
    <w:p w14:paraId="07195DFD" w14:textId="1A8AF64B" w:rsidR="00F92A99" w:rsidRDefault="00F92A99" w:rsidP="009E4559">
      <w:pPr>
        <w:autoSpaceDE w:val="0"/>
        <w:autoSpaceDN w:val="0"/>
        <w:adjustRightInd w:val="0"/>
        <w:jc w:val="both"/>
        <w:rPr>
          <w:rFonts w:ascii="Georgia" w:hAnsi="Georgia" w:cs="Calibri"/>
          <w:color w:val="404040" w:themeColor="text1" w:themeTint="BF"/>
          <w:sz w:val="20"/>
          <w:highlight w:val="yellow"/>
        </w:rPr>
      </w:pPr>
    </w:p>
    <w:p w14:paraId="6017656C" w14:textId="7C9AD9B1" w:rsidR="004343D2" w:rsidRDefault="004343D2" w:rsidP="009E4559">
      <w:pPr>
        <w:autoSpaceDE w:val="0"/>
        <w:autoSpaceDN w:val="0"/>
        <w:adjustRightInd w:val="0"/>
        <w:jc w:val="both"/>
        <w:rPr>
          <w:rFonts w:ascii="Georgia" w:hAnsi="Georgia" w:cs="Calibri"/>
          <w:color w:val="404040" w:themeColor="text1" w:themeTint="BF"/>
          <w:sz w:val="20"/>
          <w:highlight w:val="yellow"/>
        </w:rPr>
      </w:pPr>
    </w:p>
    <w:p w14:paraId="5B9E45FF" w14:textId="61F03AA6" w:rsidR="004343D2" w:rsidRDefault="004343D2" w:rsidP="009E4559">
      <w:pPr>
        <w:autoSpaceDE w:val="0"/>
        <w:autoSpaceDN w:val="0"/>
        <w:adjustRightInd w:val="0"/>
        <w:jc w:val="both"/>
        <w:rPr>
          <w:rFonts w:ascii="Georgia" w:hAnsi="Georgia" w:cs="Calibri"/>
          <w:color w:val="404040" w:themeColor="text1" w:themeTint="BF"/>
          <w:sz w:val="20"/>
          <w:highlight w:val="yellow"/>
        </w:rPr>
      </w:pPr>
    </w:p>
    <w:p w14:paraId="5806EB8A" w14:textId="77777777" w:rsidR="004343D2" w:rsidRPr="009625B4" w:rsidRDefault="004343D2" w:rsidP="009E4559">
      <w:pPr>
        <w:autoSpaceDE w:val="0"/>
        <w:autoSpaceDN w:val="0"/>
        <w:adjustRightInd w:val="0"/>
        <w:jc w:val="both"/>
        <w:rPr>
          <w:rFonts w:ascii="Georgia" w:hAnsi="Georgia" w:cs="Calibri"/>
          <w:color w:val="404040" w:themeColor="text1" w:themeTint="BF"/>
          <w:sz w:val="20"/>
          <w:highlight w:val="yellow"/>
        </w:rPr>
      </w:pPr>
    </w:p>
    <w:p w14:paraId="69BC5F45" w14:textId="77777777" w:rsidR="005B7DB8" w:rsidRPr="00FB7D45" w:rsidRDefault="005B7DB8" w:rsidP="005B7DB8">
      <w:pPr>
        <w:pStyle w:val="Heading2"/>
        <w:spacing w:before="0"/>
        <w:rPr>
          <w:color w:val="auto"/>
        </w:rPr>
      </w:pPr>
      <w:r w:rsidRPr="00FB7D45">
        <w:rPr>
          <w:color w:val="auto"/>
        </w:rPr>
        <w:lastRenderedPageBreak/>
        <w:t>Strategic Report (continued)</w:t>
      </w:r>
    </w:p>
    <w:p w14:paraId="5E531E31" w14:textId="15438476" w:rsidR="00B56E61" w:rsidRPr="009625B4" w:rsidRDefault="00B56E61" w:rsidP="00B56E61">
      <w:pPr>
        <w:rPr>
          <w:rFonts w:ascii="Georgia" w:hAnsi="Georgia" w:cs="Calibri"/>
          <w:b/>
          <w:color w:val="404040" w:themeColor="text1" w:themeTint="BF"/>
          <w:sz w:val="20"/>
          <w:highlight w:val="yellow"/>
        </w:rPr>
      </w:pPr>
    </w:p>
    <w:p w14:paraId="4AC31C86" w14:textId="08AC202C" w:rsidR="009A7287" w:rsidRPr="0098317A" w:rsidRDefault="00203467" w:rsidP="001356C5">
      <w:pPr>
        <w:tabs>
          <w:tab w:val="left" w:pos="426"/>
        </w:tabs>
        <w:rPr>
          <w:rFonts w:ascii="Georgia" w:hAnsi="Georgia" w:cs="Calibri"/>
          <w:b/>
          <w:color w:val="404040" w:themeColor="text1" w:themeTint="BF"/>
          <w:sz w:val="20"/>
        </w:rPr>
      </w:pPr>
      <w:r w:rsidRPr="0098317A">
        <w:rPr>
          <w:rFonts w:ascii="Georgia" w:hAnsi="Georgia" w:cs="Calibri"/>
          <w:b/>
          <w:color w:val="404040" w:themeColor="text1" w:themeTint="BF"/>
          <w:sz w:val="20"/>
        </w:rPr>
        <w:t>5.</w:t>
      </w:r>
      <w:r w:rsidRPr="0098317A">
        <w:rPr>
          <w:rFonts w:ascii="Georgia" w:hAnsi="Georgia" w:cs="Calibri"/>
          <w:b/>
          <w:color w:val="404040" w:themeColor="text1" w:themeTint="BF"/>
          <w:sz w:val="20"/>
        </w:rPr>
        <w:tab/>
      </w:r>
      <w:r w:rsidR="009A7287" w:rsidRPr="0098317A">
        <w:rPr>
          <w:rFonts w:ascii="Georgia" w:hAnsi="Georgia" w:cs="Calibri"/>
          <w:b/>
          <w:color w:val="404040" w:themeColor="text1" w:themeTint="BF"/>
          <w:sz w:val="20"/>
        </w:rPr>
        <w:t>Operational &amp; Financial Review for the period (continued)</w:t>
      </w:r>
    </w:p>
    <w:p w14:paraId="3A2A198C" w14:textId="77777777" w:rsidR="00B56E61" w:rsidRPr="0098317A" w:rsidRDefault="00B56E61" w:rsidP="00B56E61">
      <w:pPr>
        <w:rPr>
          <w:rFonts w:ascii="Georgia" w:hAnsi="Georgia" w:cs="Calibri"/>
          <w:color w:val="404040" w:themeColor="text1" w:themeTint="BF"/>
          <w:sz w:val="20"/>
        </w:rPr>
      </w:pPr>
    </w:p>
    <w:p w14:paraId="7C22D3AB" w14:textId="2D6B5F1F" w:rsidR="00B56E61" w:rsidRPr="0098317A" w:rsidRDefault="006F263B" w:rsidP="00B56E61">
      <w:pPr>
        <w:rPr>
          <w:rFonts w:ascii="Georgia" w:hAnsi="Georgia" w:cs="Calibri"/>
          <w:b/>
          <w:color w:val="404040" w:themeColor="text1" w:themeTint="BF"/>
          <w:sz w:val="20"/>
        </w:rPr>
      </w:pPr>
      <w:r w:rsidRPr="0098317A">
        <w:rPr>
          <w:rFonts w:ascii="Georgia" w:hAnsi="Georgia" w:cs="Calibri"/>
          <w:b/>
          <w:color w:val="404040" w:themeColor="text1" w:themeTint="BF"/>
          <w:sz w:val="20"/>
        </w:rPr>
        <w:t>Summary Statement of Comprehensive Income</w:t>
      </w:r>
    </w:p>
    <w:tbl>
      <w:tblPr>
        <w:tblStyle w:val="TableGrid"/>
        <w:tblpPr w:leftFromText="180" w:rightFromText="180" w:vertAnchor="text" w:horzAnchor="margin" w:tblpY="143"/>
        <w:tblW w:w="963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5954"/>
        <w:gridCol w:w="1843"/>
        <w:gridCol w:w="1842"/>
      </w:tblGrid>
      <w:tr w:rsidR="0011431F" w:rsidRPr="0098317A" w14:paraId="66B9DD6F" w14:textId="77777777" w:rsidTr="00EE6C03">
        <w:trPr>
          <w:trHeight w:val="464"/>
        </w:trPr>
        <w:tc>
          <w:tcPr>
            <w:tcW w:w="5954" w:type="dxa"/>
            <w:tcBorders>
              <w:top w:val="nil"/>
              <w:bottom w:val="single" w:sz="4" w:space="0" w:color="auto"/>
            </w:tcBorders>
            <w:vAlign w:val="center"/>
          </w:tcPr>
          <w:p w14:paraId="5F1F2FB8" w14:textId="77777777" w:rsidR="0011431F" w:rsidRPr="0098317A" w:rsidRDefault="0011431F" w:rsidP="0011431F">
            <w:pPr>
              <w:pStyle w:val="ListParagraph"/>
              <w:autoSpaceDE w:val="0"/>
              <w:autoSpaceDN w:val="0"/>
              <w:spacing w:line="300" w:lineRule="auto"/>
              <w:ind w:left="0"/>
              <w:rPr>
                <w:rFonts w:ascii="Georgia" w:hAnsi="Georgia"/>
                <w:color w:val="404040" w:themeColor="text1" w:themeTint="BF"/>
                <w:sz w:val="20"/>
                <w:szCs w:val="20"/>
                <w:lang w:val="en-US"/>
              </w:rPr>
            </w:pPr>
          </w:p>
        </w:tc>
        <w:tc>
          <w:tcPr>
            <w:tcW w:w="1843" w:type="dxa"/>
            <w:tcBorders>
              <w:top w:val="nil"/>
              <w:bottom w:val="single" w:sz="4" w:space="0" w:color="auto"/>
            </w:tcBorders>
            <w:vAlign w:val="bottom"/>
          </w:tcPr>
          <w:p w14:paraId="4A769590" w14:textId="77777777" w:rsidR="0011431F" w:rsidRPr="0098317A" w:rsidRDefault="0011431F" w:rsidP="0011431F">
            <w:pPr>
              <w:pStyle w:val="ListParagraph"/>
              <w:tabs>
                <w:tab w:val="left" w:pos="567"/>
              </w:tabs>
              <w:autoSpaceDE w:val="0"/>
              <w:autoSpaceDN w:val="0"/>
              <w:spacing w:line="300" w:lineRule="auto"/>
              <w:ind w:left="0"/>
              <w:jc w:val="right"/>
              <w:rPr>
                <w:rFonts w:ascii="Georgia" w:hAnsi="Georgia"/>
                <w:b/>
                <w:color w:val="404040" w:themeColor="text1" w:themeTint="BF"/>
                <w:sz w:val="20"/>
              </w:rPr>
            </w:pPr>
            <w:r w:rsidRPr="0098317A">
              <w:rPr>
                <w:rFonts w:ascii="Georgia" w:hAnsi="Georgia"/>
                <w:b/>
                <w:color w:val="404040" w:themeColor="text1" w:themeTint="BF"/>
                <w:sz w:val="20"/>
              </w:rPr>
              <w:t xml:space="preserve">Year ended </w:t>
            </w:r>
          </w:p>
          <w:p w14:paraId="4254887C" w14:textId="7495682D" w:rsidR="0011431F" w:rsidRPr="0098317A" w:rsidRDefault="0011431F" w:rsidP="0011431F">
            <w:pPr>
              <w:pStyle w:val="ListParagraph"/>
              <w:tabs>
                <w:tab w:val="left" w:pos="567"/>
              </w:tabs>
              <w:autoSpaceDE w:val="0"/>
              <w:autoSpaceDN w:val="0"/>
              <w:spacing w:line="300" w:lineRule="auto"/>
              <w:ind w:left="0"/>
              <w:jc w:val="right"/>
              <w:rPr>
                <w:rFonts w:ascii="Georgia" w:hAnsi="Georgia"/>
                <w:b/>
                <w:color w:val="404040" w:themeColor="text1" w:themeTint="BF"/>
                <w:sz w:val="20"/>
              </w:rPr>
            </w:pPr>
            <w:r w:rsidRPr="0098317A">
              <w:rPr>
                <w:rFonts w:ascii="Georgia" w:hAnsi="Georgia"/>
                <w:b/>
                <w:color w:val="404040" w:themeColor="text1" w:themeTint="BF"/>
                <w:sz w:val="20"/>
              </w:rPr>
              <w:t xml:space="preserve">30 June </w:t>
            </w:r>
            <w:r w:rsidR="0012521E">
              <w:rPr>
                <w:rFonts w:ascii="Georgia" w:hAnsi="Georgia"/>
                <w:b/>
                <w:color w:val="404040" w:themeColor="text1" w:themeTint="BF"/>
                <w:sz w:val="20"/>
              </w:rPr>
              <w:t>2020</w:t>
            </w:r>
          </w:p>
          <w:p w14:paraId="4004C85A" w14:textId="77777777" w:rsidR="005B0302" w:rsidRPr="0098317A" w:rsidRDefault="005B0302" w:rsidP="0011431F">
            <w:pPr>
              <w:pStyle w:val="ListParagraph"/>
              <w:tabs>
                <w:tab w:val="left" w:pos="567"/>
              </w:tabs>
              <w:autoSpaceDE w:val="0"/>
              <w:autoSpaceDN w:val="0"/>
              <w:spacing w:line="300" w:lineRule="auto"/>
              <w:ind w:left="0"/>
              <w:jc w:val="right"/>
              <w:rPr>
                <w:rFonts w:ascii="Georgia" w:hAnsi="Georgia"/>
                <w:b/>
                <w:color w:val="404040" w:themeColor="text1" w:themeTint="BF"/>
                <w:sz w:val="20"/>
                <w:lang w:val="en-US"/>
              </w:rPr>
            </w:pPr>
            <w:r w:rsidRPr="0098317A">
              <w:rPr>
                <w:rFonts w:ascii="Georgia" w:hAnsi="Georgia"/>
                <w:b/>
                <w:color w:val="404040" w:themeColor="text1" w:themeTint="BF"/>
                <w:sz w:val="20"/>
              </w:rPr>
              <w:t>£ million</w:t>
            </w:r>
          </w:p>
        </w:tc>
        <w:tc>
          <w:tcPr>
            <w:tcW w:w="1842" w:type="dxa"/>
            <w:tcBorders>
              <w:top w:val="nil"/>
              <w:bottom w:val="single" w:sz="4" w:space="0" w:color="auto"/>
            </w:tcBorders>
            <w:vAlign w:val="bottom"/>
          </w:tcPr>
          <w:p w14:paraId="1286ED3B" w14:textId="77777777" w:rsidR="0011431F" w:rsidRPr="0098317A" w:rsidRDefault="0011431F" w:rsidP="0011431F">
            <w:pPr>
              <w:pStyle w:val="ListParagraph"/>
              <w:tabs>
                <w:tab w:val="left" w:pos="567"/>
              </w:tabs>
              <w:autoSpaceDE w:val="0"/>
              <w:autoSpaceDN w:val="0"/>
              <w:spacing w:line="300" w:lineRule="auto"/>
              <w:ind w:left="0"/>
              <w:jc w:val="right"/>
              <w:rPr>
                <w:rFonts w:ascii="Georgia" w:hAnsi="Georgia"/>
                <w:b/>
                <w:color w:val="404040" w:themeColor="text1" w:themeTint="BF"/>
                <w:sz w:val="20"/>
              </w:rPr>
            </w:pPr>
            <w:r w:rsidRPr="0098317A">
              <w:rPr>
                <w:rFonts w:ascii="Georgia" w:hAnsi="Georgia"/>
                <w:b/>
                <w:color w:val="404040" w:themeColor="text1" w:themeTint="BF"/>
                <w:sz w:val="20"/>
              </w:rPr>
              <w:t xml:space="preserve">Year ended </w:t>
            </w:r>
          </w:p>
          <w:p w14:paraId="0D32B4F1" w14:textId="6E971892" w:rsidR="00F957C8" w:rsidRPr="0098317A" w:rsidRDefault="0011431F" w:rsidP="0011431F">
            <w:pPr>
              <w:pStyle w:val="ListParagraph"/>
              <w:tabs>
                <w:tab w:val="left" w:pos="567"/>
              </w:tabs>
              <w:autoSpaceDE w:val="0"/>
              <w:autoSpaceDN w:val="0"/>
              <w:spacing w:line="300" w:lineRule="auto"/>
              <w:ind w:left="0"/>
              <w:jc w:val="right"/>
              <w:rPr>
                <w:rFonts w:ascii="Georgia" w:hAnsi="Georgia"/>
                <w:b/>
                <w:color w:val="404040" w:themeColor="text1" w:themeTint="BF"/>
                <w:sz w:val="20"/>
              </w:rPr>
            </w:pPr>
            <w:r w:rsidRPr="0098317A">
              <w:rPr>
                <w:rFonts w:ascii="Georgia" w:hAnsi="Georgia"/>
                <w:b/>
                <w:color w:val="404040" w:themeColor="text1" w:themeTint="BF"/>
                <w:sz w:val="20"/>
              </w:rPr>
              <w:t xml:space="preserve">30 June </w:t>
            </w:r>
            <w:r w:rsidR="00B13EAB">
              <w:rPr>
                <w:rFonts w:ascii="Georgia" w:hAnsi="Georgia"/>
                <w:b/>
                <w:color w:val="404040" w:themeColor="text1" w:themeTint="BF"/>
                <w:sz w:val="20"/>
              </w:rPr>
              <w:t>2019</w:t>
            </w:r>
          </w:p>
          <w:p w14:paraId="1F6AFEB3" w14:textId="77777777" w:rsidR="005B0302" w:rsidRPr="0098317A" w:rsidRDefault="005B0302" w:rsidP="0011431F">
            <w:pPr>
              <w:pStyle w:val="ListParagraph"/>
              <w:tabs>
                <w:tab w:val="left" w:pos="567"/>
              </w:tabs>
              <w:autoSpaceDE w:val="0"/>
              <w:autoSpaceDN w:val="0"/>
              <w:spacing w:line="300" w:lineRule="auto"/>
              <w:ind w:left="0"/>
              <w:jc w:val="right"/>
              <w:rPr>
                <w:rFonts w:ascii="Georgia" w:hAnsi="Georgia"/>
                <w:b/>
                <w:color w:val="404040" w:themeColor="text1" w:themeTint="BF"/>
                <w:sz w:val="20"/>
              </w:rPr>
            </w:pPr>
            <w:r w:rsidRPr="0098317A">
              <w:rPr>
                <w:rFonts w:ascii="Georgia" w:hAnsi="Georgia"/>
                <w:b/>
                <w:color w:val="404040" w:themeColor="text1" w:themeTint="BF"/>
                <w:sz w:val="20"/>
              </w:rPr>
              <w:t>£ million</w:t>
            </w:r>
          </w:p>
        </w:tc>
      </w:tr>
      <w:tr w:rsidR="0012521E" w:rsidRPr="0098317A" w14:paraId="01EA4C69" w14:textId="77777777" w:rsidTr="00F469AF">
        <w:trPr>
          <w:trHeight w:val="340"/>
        </w:trPr>
        <w:tc>
          <w:tcPr>
            <w:tcW w:w="5954" w:type="dxa"/>
            <w:tcBorders>
              <w:top w:val="single" w:sz="4" w:space="0" w:color="auto"/>
              <w:bottom w:val="nil"/>
            </w:tcBorders>
            <w:vAlign w:val="center"/>
          </w:tcPr>
          <w:p w14:paraId="0370E550" w14:textId="4AD07706" w:rsidR="0012521E" w:rsidRPr="00016507" w:rsidRDefault="0012521E" w:rsidP="0012521E">
            <w:pPr>
              <w:pStyle w:val="ListParagraph"/>
              <w:autoSpaceDE w:val="0"/>
              <w:autoSpaceDN w:val="0"/>
              <w:spacing w:line="300" w:lineRule="auto"/>
              <w:ind w:left="0"/>
              <w:rPr>
                <w:rFonts w:ascii="Georgia" w:hAnsi="Georgia"/>
                <w:color w:val="404040" w:themeColor="text1" w:themeTint="BF"/>
                <w:sz w:val="20"/>
                <w:lang w:val="en-US"/>
              </w:rPr>
            </w:pPr>
            <w:r w:rsidRPr="00016507">
              <w:rPr>
                <w:rFonts w:ascii="Georgia" w:hAnsi="Georgia"/>
                <w:color w:val="404040" w:themeColor="text1" w:themeTint="BF"/>
                <w:sz w:val="20"/>
                <w:lang w:val="en-US"/>
              </w:rPr>
              <w:t>Total Income (Note 4 of the financial statements)</w:t>
            </w:r>
          </w:p>
        </w:tc>
        <w:tc>
          <w:tcPr>
            <w:tcW w:w="1843" w:type="dxa"/>
            <w:tcBorders>
              <w:top w:val="single" w:sz="4" w:space="0" w:color="auto"/>
              <w:bottom w:val="nil"/>
            </w:tcBorders>
            <w:shd w:val="clear" w:color="auto" w:fill="auto"/>
            <w:vAlign w:val="center"/>
          </w:tcPr>
          <w:p w14:paraId="1D19D674" w14:textId="1BE963AC" w:rsidR="0012521E" w:rsidRPr="00F469AF" w:rsidRDefault="0012521E" w:rsidP="0012521E">
            <w:pPr>
              <w:pStyle w:val="ListParagraph"/>
              <w:tabs>
                <w:tab w:val="right" w:pos="5562"/>
              </w:tabs>
              <w:autoSpaceDE w:val="0"/>
              <w:autoSpaceDN w:val="0"/>
              <w:spacing w:line="300" w:lineRule="auto"/>
              <w:ind w:left="0"/>
              <w:jc w:val="right"/>
              <w:rPr>
                <w:rFonts w:ascii="Georgia" w:hAnsi="Georgia"/>
                <w:b/>
                <w:color w:val="404040" w:themeColor="text1" w:themeTint="BF"/>
                <w:sz w:val="20"/>
                <w:lang w:val="en-US"/>
              </w:rPr>
            </w:pPr>
            <w:r w:rsidRPr="00F469AF">
              <w:rPr>
                <w:rFonts w:ascii="Georgia" w:hAnsi="Georgia"/>
                <w:b/>
                <w:color w:val="404040" w:themeColor="text1" w:themeTint="BF"/>
                <w:sz w:val="20"/>
                <w:lang w:val="en-US"/>
              </w:rPr>
              <w:t>0.7</w:t>
            </w:r>
          </w:p>
        </w:tc>
        <w:tc>
          <w:tcPr>
            <w:tcW w:w="1842" w:type="dxa"/>
            <w:tcBorders>
              <w:top w:val="single" w:sz="4" w:space="0" w:color="auto"/>
              <w:bottom w:val="nil"/>
            </w:tcBorders>
            <w:vAlign w:val="center"/>
          </w:tcPr>
          <w:p w14:paraId="0344CFF3" w14:textId="416C4E30" w:rsidR="0012521E" w:rsidRPr="0098317A" w:rsidRDefault="0012521E" w:rsidP="0012521E">
            <w:pPr>
              <w:pStyle w:val="ListParagraph"/>
              <w:tabs>
                <w:tab w:val="left" w:pos="567"/>
              </w:tabs>
              <w:autoSpaceDE w:val="0"/>
              <w:autoSpaceDN w:val="0"/>
              <w:spacing w:line="300" w:lineRule="auto"/>
              <w:ind w:left="0"/>
              <w:jc w:val="right"/>
              <w:rPr>
                <w:rFonts w:ascii="Georgia" w:hAnsi="Georgia"/>
                <w:b/>
                <w:color w:val="404040" w:themeColor="text1" w:themeTint="BF"/>
                <w:sz w:val="20"/>
                <w:lang w:val="en-US"/>
              </w:rPr>
            </w:pPr>
            <w:r w:rsidRPr="00F469AF">
              <w:rPr>
                <w:rFonts w:ascii="Georgia" w:hAnsi="Georgia"/>
                <w:b/>
                <w:color w:val="404040" w:themeColor="text1" w:themeTint="BF"/>
                <w:sz w:val="20"/>
                <w:lang w:val="en-US"/>
              </w:rPr>
              <w:t>0.7</w:t>
            </w:r>
          </w:p>
        </w:tc>
      </w:tr>
      <w:tr w:rsidR="0012521E" w:rsidRPr="0098317A" w14:paraId="3ED9DBA7" w14:textId="77777777" w:rsidTr="00F469AF">
        <w:trPr>
          <w:trHeight w:val="340"/>
        </w:trPr>
        <w:tc>
          <w:tcPr>
            <w:tcW w:w="5954" w:type="dxa"/>
            <w:tcBorders>
              <w:top w:val="nil"/>
              <w:bottom w:val="nil"/>
            </w:tcBorders>
            <w:vAlign w:val="center"/>
          </w:tcPr>
          <w:p w14:paraId="1482154B" w14:textId="1376BFB6" w:rsidR="0012521E" w:rsidRPr="00016507" w:rsidRDefault="0012521E" w:rsidP="0012521E">
            <w:pPr>
              <w:pStyle w:val="ListParagraph"/>
              <w:autoSpaceDE w:val="0"/>
              <w:autoSpaceDN w:val="0"/>
              <w:spacing w:line="300" w:lineRule="auto"/>
              <w:ind w:left="0"/>
              <w:rPr>
                <w:rFonts w:ascii="Georgia" w:hAnsi="Georgia"/>
                <w:color w:val="404040" w:themeColor="text1" w:themeTint="BF"/>
                <w:sz w:val="20"/>
                <w:lang w:val="en-US"/>
              </w:rPr>
            </w:pPr>
            <w:r w:rsidRPr="00016507">
              <w:rPr>
                <w:rFonts w:ascii="Georgia" w:hAnsi="Georgia"/>
                <w:color w:val="404040" w:themeColor="text1" w:themeTint="BF"/>
                <w:sz w:val="20"/>
                <w:lang w:val="en-US"/>
              </w:rPr>
              <w:t>Change in fair value of assets (Note 8 of the financial statements)</w:t>
            </w:r>
          </w:p>
        </w:tc>
        <w:tc>
          <w:tcPr>
            <w:tcW w:w="1843" w:type="dxa"/>
            <w:tcBorders>
              <w:top w:val="nil"/>
              <w:bottom w:val="nil"/>
            </w:tcBorders>
            <w:shd w:val="clear" w:color="auto" w:fill="auto"/>
            <w:vAlign w:val="center"/>
          </w:tcPr>
          <w:p w14:paraId="5D778ABF" w14:textId="77DD5CBD" w:rsidR="0012521E" w:rsidRPr="00F469AF" w:rsidRDefault="00175530" w:rsidP="0012521E">
            <w:pPr>
              <w:pStyle w:val="ListParagraph"/>
              <w:tabs>
                <w:tab w:val="right" w:pos="5562"/>
              </w:tabs>
              <w:autoSpaceDE w:val="0"/>
              <w:autoSpaceDN w:val="0"/>
              <w:spacing w:line="300" w:lineRule="auto"/>
              <w:ind w:left="0"/>
              <w:jc w:val="right"/>
              <w:rPr>
                <w:rFonts w:ascii="Georgia" w:hAnsi="Georgia"/>
                <w:b/>
                <w:color w:val="404040" w:themeColor="text1" w:themeTint="BF"/>
                <w:sz w:val="20"/>
                <w:lang w:val="en-US"/>
              </w:rPr>
            </w:pPr>
            <w:r>
              <w:rPr>
                <w:rFonts w:ascii="Georgia" w:hAnsi="Georgia"/>
                <w:b/>
                <w:color w:val="404040" w:themeColor="text1" w:themeTint="BF"/>
                <w:sz w:val="20"/>
                <w:lang w:val="en-US"/>
              </w:rPr>
              <w:t>2</w:t>
            </w:r>
            <w:r w:rsidR="003760FE">
              <w:rPr>
                <w:rFonts w:ascii="Georgia" w:hAnsi="Georgia"/>
                <w:b/>
                <w:color w:val="404040" w:themeColor="text1" w:themeTint="BF"/>
                <w:sz w:val="20"/>
                <w:lang w:val="en-US"/>
              </w:rPr>
              <w:t>8.8</w:t>
            </w:r>
          </w:p>
        </w:tc>
        <w:tc>
          <w:tcPr>
            <w:tcW w:w="1842" w:type="dxa"/>
            <w:tcBorders>
              <w:top w:val="nil"/>
              <w:bottom w:val="nil"/>
            </w:tcBorders>
            <w:vAlign w:val="center"/>
          </w:tcPr>
          <w:p w14:paraId="4E12B5EB" w14:textId="7019988A" w:rsidR="0012521E" w:rsidRPr="0098317A" w:rsidRDefault="0012521E" w:rsidP="0012521E">
            <w:pPr>
              <w:pStyle w:val="ListParagraph"/>
              <w:tabs>
                <w:tab w:val="right" w:pos="5562"/>
              </w:tabs>
              <w:autoSpaceDE w:val="0"/>
              <w:autoSpaceDN w:val="0"/>
              <w:spacing w:line="300" w:lineRule="auto"/>
              <w:ind w:left="0"/>
              <w:jc w:val="right"/>
              <w:rPr>
                <w:rFonts w:ascii="Georgia" w:hAnsi="Georgia"/>
                <w:b/>
                <w:color w:val="404040" w:themeColor="text1" w:themeTint="BF"/>
                <w:sz w:val="20"/>
                <w:szCs w:val="20"/>
                <w:lang w:val="en-US"/>
              </w:rPr>
            </w:pPr>
            <w:r>
              <w:rPr>
                <w:rFonts w:ascii="Georgia" w:hAnsi="Georgia"/>
                <w:b/>
                <w:color w:val="404040" w:themeColor="text1" w:themeTint="BF"/>
                <w:sz w:val="20"/>
                <w:lang w:val="en-US"/>
              </w:rPr>
              <w:t>46.2</w:t>
            </w:r>
          </w:p>
        </w:tc>
      </w:tr>
      <w:tr w:rsidR="0012521E" w:rsidRPr="0098317A" w14:paraId="48A6A747" w14:textId="77777777" w:rsidTr="00F469AF">
        <w:trPr>
          <w:trHeight w:val="340"/>
        </w:trPr>
        <w:tc>
          <w:tcPr>
            <w:tcW w:w="5954" w:type="dxa"/>
            <w:tcBorders>
              <w:top w:val="nil"/>
              <w:bottom w:val="nil"/>
            </w:tcBorders>
            <w:vAlign w:val="center"/>
          </w:tcPr>
          <w:p w14:paraId="46CC62FE" w14:textId="3FC3A41A" w:rsidR="0012521E" w:rsidRPr="00016507" w:rsidRDefault="0012521E" w:rsidP="0012521E">
            <w:pPr>
              <w:pStyle w:val="ListParagraph"/>
              <w:autoSpaceDE w:val="0"/>
              <w:autoSpaceDN w:val="0"/>
              <w:spacing w:line="300" w:lineRule="auto"/>
              <w:ind w:left="0"/>
              <w:rPr>
                <w:rFonts w:ascii="Georgia" w:hAnsi="Georgia"/>
                <w:color w:val="404040" w:themeColor="text1" w:themeTint="BF"/>
                <w:sz w:val="20"/>
                <w:lang w:val="en-US"/>
              </w:rPr>
            </w:pPr>
            <w:r w:rsidRPr="00016507">
              <w:rPr>
                <w:rFonts w:ascii="Georgia" w:hAnsi="Georgia"/>
                <w:color w:val="404040" w:themeColor="text1" w:themeTint="BF"/>
                <w:sz w:val="20"/>
                <w:lang w:val="en-US"/>
              </w:rPr>
              <w:t>Administrative expenses (Note 5 of the financial statements)</w:t>
            </w:r>
          </w:p>
        </w:tc>
        <w:tc>
          <w:tcPr>
            <w:tcW w:w="1843" w:type="dxa"/>
            <w:tcBorders>
              <w:top w:val="nil"/>
              <w:bottom w:val="nil"/>
            </w:tcBorders>
            <w:shd w:val="clear" w:color="auto" w:fill="auto"/>
            <w:vAlign w:val="center"/>
          </w:tcPr>
          <w:p w14:paraId="29FE957F" w14:textId="7DF5EDB8" w:rsidR="0012521E" w:rsidRPr="00F469AF" w:rsidRDefault="0012521E" w:rsidP="0012521E">
            <w:pPr>
              <w:pStyle w:val="ListParagraph"/>
              <w:tabs>
                <w:tab w:val="right" w:pos="5562"/>
              </w:tabs>
              <w:autoSpaceDE w:val="0"/>
              <w:autoSpaceDN w:val="0"/>
              <w:spacing w:line="300" w:lineRule="auto"/>
              <w:ind w:left="0"/>
              <w:jc w:val="right"/>
              <w:rPr>
                <w:rFonts w:ascii="Georgia" w:hAnsi="Georgia"/>
                <w:b/>
                <w:color w:val="404040" w:themeColor="text1" w:themeTint="BF"/>
                <w:sz w:val="20"/>
                <w:lang w:val="en-US"/>
              </w:rPr>
            </w:pPr>
            <w:r w:rsidRPr="00F469AF">
              <w:rPr>
                <w:rFonts w:ascii="Georgia" w:hAnsi="Georgia"/>
                <w:b/>
                <w:color w:val="404040" w:themeColor="text1" w:themeTint="BF"/>
                <w:sz w:val="20"/>
                <w:lang w:val="en-US"/>
              </w:rPr>
              <w:t>(</w:t>
            </w:r>
            <w:r w:rsidR="00175530">
              <w:rPr>
                <w:rFonts w:ascii="Georgia" w:hAnsi="Georgia"/>
                <w:b/>
                <w:color w:val="404040" w:themeColor="text1" w:themeTint="BF"/>
                <w:sz w:val="20"/>
                <w:lang w:val="en-US"/>
              </w:rPr>
              <w:t>1.3</w:t>
            </w:r>
            <w:r w:rsidRPr="00F469AF">
              <w:rPr>
                <w:rFonts w:ascii="Georgia" w:hAnsi="Georgia"/>
                <w:b/>
                <w:color w:val="404040" w:themeColor="text1" w:themeTint="BF"/>
                <w:sz w:val="20"/>
                <w:lang w:val="en-US"/>
              </w:rPr>
              <w:t>)</w:t>
            </w:r>
          </w:p>
        </w:tc>
        <w:tc>
          <w:tcPr>
            <w:tcW w:w="1842" w:type="dxa"/>
            <w:tcBorders>
              <w:top w:val="nil"/>
              <w:bottom w:val="nil"/>
            </w:tcBorders>
            <w:vAlign w:val="center"/>
          </w:tcPr>
          <w:p w14:paraId="26BA0035" w14:textId="47B3C067" w:rsidR="0012521E" w:rsidRPr="0098317A" w:rsidRDefault="0012521E" w:rsidP="0012521E">
            <w:pPr>
              <w:pStyle w:val="ListParagraph"/>
              <w:tabs>
                <w:tab w:val="right" w:pos="5562"/>
              </w:tabs>
              <w:autoSpaceDE w:val="0"/>
              <w:autoSpaceDN w:val="0"/>
              <w:spacing w:line="300" w:lineRule="auto"/>
              <w:ind w:left="0"/>
              <w:jc w:val="right"/>
              <w:rPr>
                <w:rFonts w:ascii="Georgia" w:hAnsi="Georgia"/>
                <w:b/>
                <w:color w:val="404040" w:themeColor="text1" w:themeTint="BF"/>
                <w:sz w:val="20"/>
                <w:lang w:val="en-US"/>
              </w:rPr>
            </w:pPr>
            <w:r w:rsidRPr="00F469AF">
              <w:rPr>
                <w:rFonts w:ascii="Georgia" w:hAnsi="Georgia"/>
                <w:b/>
                <w:color w:val="404040" w:themeColor="text1" w:themeTint="BF"/>
                <w:sz w:val="20"/>
                <w:lang w:val="en-US"/>
              </w:rPr>
              <w:t>(</w:t>
            </w:r>
            <w:r>
              <w:rPr>
                <w:rFonts w:ascii="Georgia" w:hAnsi="Georgia"/>
                <w:b/>
                <w:color w:val="404040" w:themeColor="text1" w:themeTint="BF"/>
                <w:sz w:val="20"/>
                <w:lang w:val="en-US"/>
              </w:rPr>
              <w:t>2.0</w:t>
            </w:r>
            <w:r w:rsidRPr="00F469AF">
              <w:rPr>
                <w:rFonts w:ascii="Georgia" w:hAnsi="Georgia"/>
                <w:b/>
                <w:color w:val="404040" w:themeColor="text1" w:themeTint="BF"/>
                <w:sz w:val="20"/>
                <w:lang w:val="en-US"/>
              </w:rPr>
              <w:t>)</w:t>
            </w:r>
          </w:p>
        </w:tc>
      </w:tr>
      <w:tr w:rsidR="0012521E" w:rsidRPr="0098317A" w14:paraId="39711D11" w14:textId="77777777" w:rsidTr="00F469AF">
        <w:trPr>
          <w:trHeight w:val="340"/>
        </w:trPr>
        <w:tc>
          <w:tcPr>
            <w:tcW w:w="5954" w:type="dxa"/>
            <w:tcBorders>
              <w:top w:val="single" w:sz="4" w:space="0" w:color="auto"/>
              <w:bottom w:val="nil"/>
            </w:tcBorders>
            <w:vAlign w:val="center"/>
          </w:tcPr>
          <w:p w14:paraId="2666CBAB" w14:textId="77777777" w:rsidR="0012521E" w:rsidRPr="0098317A" w:rsidRDefault="0012521E" w:rsidP="0012521E">
            <w:pPr>
              <w:pStyle w:val="ListParagraph"/>
              <w:autoSpaceDE w:val="0"/>
              <w:autoSpaceDN w:val="0"/>
              <w:spacing w:line="300" w:lineRule="auto"/>
              <w:ind w:left="0" w:right="-676"/>
              <w:rPr>
                <w:rFonts w:ascii="Georgia" w:hAnsi="Georgia"/>
                <w:b/>
                <w:color w:val="404040" w:themeColor="text1" w:themeTint="BF"/>
                <w:sz w:val="20"/>
                <w:lang w:val="en-US"/>
              </w:rPr>
            </w:pPr>
            <w:r w:rsidRPr="0098317A">
              <w:rPr>
                <w:rFonts w:ascii="Georgia" w:hAnsi="Georgia"/>
                <w:b/>
                <w:color w:val="404040" w:themeColor="text1" w:themeTint="BF"/>
                <w:sz w:val="20"/>
                <w:lang w:val="en-US"/>
              </w:rPr>
              <w:t>Total comprehensive income before tax</w:t>
            </w:r>
          </w:p>
        </w:tc>
        <w:tc>
          <w:tcPr>
            <w:tcW w:w="1843" w:type="dxa"/>
            <w:tcBorders>
              <w:top w:val="single" w:sz="4" w:space="0" w:color="auto"/>
              <w:bottom w:val="nil"/>
            </w:tcBorders>
            <w:shd w:val="clear" w:color="auto" w:fill="auto"/>
            <w:vAlign w:val="center"/>
          </w:tcPr>
          <w:p w14:paraId="50A03164" w14:textId="302AC1A5" w:rsidR="0012521E" w:rsidRPr="00F469AF" w:rsidRDefault="003760FE" w:rsidP="0012521E">
            <w:pPr>
              <w:pStyle w:val="ListParagraph"/>
              <w:autoSpaceDE w:val="0"/>
              <w:autoSpaceDN w:val="0"/>
              <w:spacing w:line="300" w:lineRule="auto"/>
              <w:ind w:left="284"/>
              <w:jc w:val="right"/>
              <w:rPr>
                <w:rFonts w:ascii="Georgia" w:hAnsi="Georgia"/>
                <w:b/>
                <w:color w:val="404040" w:themeColor="text1" w:themeTint="BF"/>
                <w:sz w:val="20"/>
                <w:lang w:val="en-US"/>
              </w:rPr>
            </w:pPr>
            <w:r>
              <w:rPr>
                <w:rFonts w:ascii="Georgia" w:hAnsi="Georgia"/>
                <w:b/>
                <w:color w:val="404040" w:themeColor="text1" w:themeTint="BF"/>
                <w:sz w:val="20"/>
                <w:lang w:val="en-US"/>
              </w:rPr>
              <w:t>28.2</w:t>
            </w:r>
          </w:p>
        </w:tc>
        <w:tc>
          <w:tcPr>
            <w:tcW w:w="1842" w:type="dxa"/>
            <w:tcBorders>
              <w:top w:val="single" w:sz="4" w:space="0" w:color="auto"/>
              <w:bottom w:val="nil"/>
            </w:tcBorders>
            <w:vAlign w:val="center"/>
          </w:tcPr>
          <w:p w14:paraId="2C93B41A" w14:textId="68349939" w:rsidR="0012521E" w:rsidRPr="0098317A" w:rsidRDefault="0012521E" w:rsidP="0012521E">
            <w:pPr>
              <w:pStyle w:val="ListParagraph"/>
              <w:autoSpaceDE w:val="0"/>
              <w:autoSpaceDN w:val="0"/>
              <w:spacing w:line="300" w:lineRule="auto"/>
              <w:ind w:left="284"/>
              <w:jc w:val="right"/>
              <w:rPr>
                <w:rFonts w:ascii="Georgia" w:hAnsi="Georgia"/>
                <w:b/>
                <w:color w:val="404040" w:themeColor="text1" w:themeTint="BF"/>
                <w:sz w:val="20"/>
                <w:lang w:val="en-US"/>
              </w:rPr>
            </w:pPr>
            <w:r>
              <w:rPr>
                <w:rFonts w:ascii="Georgia" w:hAnsi="Georgia"/>
                <w:b/>
                <w:color w:val="404040" w:themeColor="text1" w:themeTint="BF"/>
                <w:sz w:val="20"/>
                <w:lang w:val="en-US"/>
              </w:rPr>
              <w:t>44.9</w:t>
            </w:r>
          </w:p>
        </w:tc>
      </w:tr>
      <w:tr w:rsidR="0012521E" w:rsidRPr="0098317A" w14:paraId="4A5EA8BE" w14:textId="77777777" w:rsidTr="00F469AF">
        <w:trPr>
          <w:trHeight w:val="347"/>
        </w:trPr>
        <w:tc>
          <w:tcPr>
            <w:tcW w:w="5954" w:type="dxa"/>
            <w:tcBorders>
              <w:top w:val="nil"/>
              <w:bottom w:val="single" w:sz="4" w:space="0" w:color="auto"/>
            </w:tcBorders>
            <w:vAlign w:val="center"/>
          </w:tcPr>
          <w:p w14:paraId="4374E3ED" w14:textId="77777777" w:rsidR="0012521E" w:rsidRPr="0098317A" w:rsidRDefault="0012521E" w:rsidP="0012521E">
            <w:pPr>
              <w:pStyle w:val="ListParagraph"/>
              <w:autoSpaceDE w:val="0"/>
              <w:autoSpaceDN w:val="0"/>
              <w:spacing w:line="300" w:lineRule="auto"/>
              <w:ind w:left="0"/>
              <w:rPr>
                <w:rFonts w:ascii="Georgia" w:hAnsi="Georgia"/>
                <w:color w:val="404040" w:themeColor="text1" w:themeTint="BF"/>
                <w:sz w:val="20"/>
                <w:lang w:val="en-US"/>
              </w:rPr>
            </w:pPr>
            <w:r w:rsidRPr="0098317A">
              <w:rPr>
                <w:rFonts w:ascii="Georgia" w:hAnsi="Georgia"/>
                <w:color w:val="404040" w:themeColor="text1" w:themeTint="BF"/>
                <w:sz w:val="20"/>
                <w:lang w:val="en-US"/>
              </w:rPr>
              <w:t>Tax</w:t>
            </w:r>
          </w:p>
        </w:tc>
        <w:tc>
          <w:tcPr>
            <w:tcW w:w="1843" w:type="dxa"/>
            <w:tcBorders>
              <w:top w:val="nil"/>
              <w:bottom w:val="single" w:sz="4" w:space="0" w:color="auto"/>
            </w:tcBorders>
            <w:shd w:val="clear" w:color="auto" w:fill="auto"/>
            <w:vAlign w:val="center"/>
          </w:tcPr>
          <w:p w14:paraId="7658D143" w14:textId="790949EF" w:rsidR="0012521E" w:rsidRPr="00F469AF" w:rsidRDefault="0012521E" w:rsidP="0012521E">
            <w:pPr>
              <w:pStyle w:val="ListParagraph"/>
              <w:autoSpaceDE w:val="0"/>
              <w:autoSpaceDN w:val="0"/>
              <w:spacing w:line="300" w:lineRule="auto"/>
              <w:ind w:left="0"/>
              <w:jc w:val="right"/>
              <w:rPr>
                <w:rFonts w:ascii="Georgia" w:hAnsi="Georgia"/>
                <w:b/>
                <w:color w:val="404040" w:themeColor="text1" w:themeTint="BF"/>
                <w:sz w:val="20"/>
                <w:lang w:val="en-US"/>
              </w:rPr>
            </w:pPr>
            <w:r w:rsidRPr="00F469AF">
              <w:rPr>
                <w:rFonts w:ascii="Georgia" w:hAnsi="Georgia"/>
                <w:b/>
                <w:color w:val="404040" w:themeColor="text1" w:themeTint="BF"/>
                <w:sz w:val="20"/>
                <w:lang w:val="en-US"/>
              </w:rPr>
              <w:t>-</w:t>
            </w:r>
          </w:p>
        </w:tc>
        <w:tc>
          <w:tcPr>
            <w:tcW w:w="1842" w:type="dxa"/>
            <w:tcBorders>
              <w:top w:val="nil"/>
              <w:bottom w:val="single" w:sz="4" w:space="0" w:color="auto"/>
            </w:tcBorders>
            <w:vAlign w:val="center"/>
          </w:tcPr>
          <w:p w14:paraId="4860F332" w14:textId="70A36C1E" w:rsidR="0012521E" w:rsidRPr="0098317A" w:rsidRDefault="0012521E" w:rsidP="0012521E">
            <w:pPr>
              <w:pStyle w:val="ListParagraph"/>
              <w:autoSpaceDE w:val="0"/>
              <w:autoSpaceDN w:val="0"/>
              <w:spacing w:line="300" w:lineRule="auto"/>
              <w:ind w:left="0"/>
              <w:jc w:val="right"/>
              <w:rPr>
                <w:rFonts w:ascii="Georgia" w:hAnsi="Georgia"/>
                <w:b/>
                <w:color w:val="404040" w:themeColor="text1" w:themeTint="BF"/>
                <w:sz w:val="20"/>
                <w:lang w:val="en-US"/>
              </w:rPr>
            </w:pPr>
            <w:r w:rsidRPr="00F469AF">
              <w:rPr>
                <w:rFonts w:ascii="Georgia" w:hAnsi="Georgia"/>
                <w:b/>
                <w:color w:val="404040" w:themeColor="text1" w:themeTint="BF"/>
                <w:sz w:val="20"/>
                <w:lang w:val="en-US"/>
              </w:rPr>
              <w:t>-</w:t>
            </w:r>
          </w:p>
        </w:tc>
      </w:tr>
      <w:tr w:rsidR="0012521E" w:rsidRPr="0098317A" w14:paraId="3FDAE37C" w14:textId="77777777" w:rsidTr="00F469AF">
        <w:trPr>
          <w:trHeight w:val="340"/>
        </w:trPr>
        <w:tc>
          <w:tcPr>
            <w:tcW w:w="5954" w:type="dxa"/>
            <w:tcBorders>
              <w:top w:val="single" w:sz="4" w:space="0" w:color="auto"/>
              <w:bottom w:val="single" w:sz="4" w:space="0" w:color="auto"/>
            </w:tcBorders>
            <w:vAlign w:val="center"/>
          </w:tcPr>
          <w:p w14:paraId="2C7C6A39" w14:textId="77777777" w:rsidR="0012521E" w:rsidRPr="0098317A" w:rsidRDefault="0012521E" w:rsidP="0012521E">
            <w:pPr>
              <w:pStyle w:val="ListParagraph"/>
              <w:autoSpaceDE w:val="0"/>
              <w:autoSpaceDN w:val="0"/>
              <w:spacing w:line="300" w:lineRule="auto"/>
              <w:ind w:left="0"/>
              <w:rPr>
                <w:rFonts w:ascii="Georgia" w:hAnsi="Georgia"/>
                <w:b/>
                <w:color w:val="404040" w:themeColor="text1" w:themeTint="BF"/>
                <w:sz w:val="20"/>
                <w:lang w:val="en-US"/>
              </w:rPr>
            </w:pPr>
            <w:r w:rsidRPr="0098317A">
              <w:rPr>
                <w:rFonts w:ascii="Georgia" w:hAnsi="Georgia"/>
                <w:b/>
                <w:color w:val="404040" w:themeColor="text1" w:themeTint="BF"/>
                <w:sz w:val="20"/>
                <w:lang w:val="en-US"/>
              </w:rPr>
              <w:t>Total comprehensive income</w:t>
            </w:r>
          </w:p>
        </w:tc>
        <w:tc>
          <w:tcPr>
            <w:tcW w:w="1843" w:type="dxa"/>
            <w:tcBorders>
              <w:top w:val="single" w:sz="4" w:space="0" w:color="auto"/>
              <w:bottom w:val="single" w:sz="4" w:space="0" w:color="auto"/>
            </w:tcBorders>
            <w:shd w:val="clear" w:color="auto" w:fill="auto"/>
            <w:vAlign w:val="center"/>
          </w:tcPr>
          <w:p w14:paraId="3C03E772" w14:textId="3A3B030A" w:rsidR="0012521E" w:rsidRPr="00F469AF" w:rsidRDefault="003760FE" w:rsidP="0012521E">
            <w:pPr>
              <w:pStyle w:val="ListParagraph"/>
              <w:autoSpaceDE w:val="0"/>
              <w:autoSpaceDN w:val="0"/>
              <w:spacing w:line="300" w:lineRule="auto"/>
              <w:ind w:left="0"/>
              <w:jc w:val="right"/>
              <w:rPr>
                <w:rFonts w:ascii="Georgia" w:hAnsi="Georgia"/>
                <w:b/>
                <w:color w:val="404040" w:themeColor="text1" w:themeTint="BF"/>
                <w:sz w:val="20"/>
                <w:lang w:val="en-US"/>
              </w:rPr>
            </w:pPr>
            <w:r>
              <w:rPr>
                <w:rFonts w:ascii="Georgia" w:hAnsi="Georgia"/>
                <w:b/>
                <w:color w:val="404040" w:themeColor="text1" w:themeTint="BF"/>
                <w:sz w:val="20"/>
                <w:lang w:val="en-US"/>
              </w:rPr>
              <w:t>28.2</w:t>
            </w:r>
          </w:p>
        </w:tc>
        <w:tc>
          <w:tcPr>
            <w:tcW w:w="1842" w:type="dxa"/>
            <w:tcBorders>
              <w:top w:val="single" w:sz="4" w:space="0" w:color="auto"/>
              <w:bottom w:val="single" w:sz="4" w:space="0" w:color="auto"/>
            </w:tcBorders>
            <w:vAlign w:val="center"/>
          </w:tcPr>
          <w:p w14:paraId="7CD2D8FA" w14:textId="3226DF3A" w:rsidR="0012521E" w:rsidRPr="0098317A" w:rsidRDefault="0012521E" w:rsidP="0012521E">
            <w:pPr>
              <w:pStyle w:val="ListParagraph"/>
              <w:autoSpaceDE w:val="0"/>
              <w:autoSpaceDN w:val="0"/>
              <w:spacing w:line="300" w:lineRule="auto"/>
              <w:ind w:left="0"/>
              <w:jc w:val="right"/>
              <w:rPr>
                <w:rFonts w:ascii="Georgia" w:hAnsi="Georgia"/>
                <w:b/>
                <w:color w:val="404040" w:themeColor="text1" w:themeTint="BF"/>
                <w:sz w:val="20"/>
                <w:lang w:val="en-US"/>
              </w:rPr>
            </w:pPr>
            <w:r>
              <w:rPr>
                <w:rFonts w:ascii="Georgia" w:hAnsi="Georgia"/>
                <w:b/>
                <w:color w:val="404040" w:themeColor="text1" w:themeTint="BF"/>
                <w:sz w:val="20"/>
                <w:lang w:val="en-US"/>
              </w:rPr>
              <w:t>44.9</w:t>
            </w:r>
          </w:p>
        </w:tc>
      </w:tr>
      <w:tr w:rsidR="0012521E" w:rsidRPr="0098317A" w14:paraId="52879DF9" w14:textId="77777777" w:rsidTr="00F469AF">
        <w:trPr>
          <w:trHeight w:val="340"/>
        </w:trPr>
        <w:tc>
          <w:tcPr>
            <w:tcW w:w="5954" w:type="dxa"/>
            <w:tcBorders>
              <w:top w:val="single" w:sz="4" w:space="0" w:color="auto"/>
              <w:bottom w:val="nil"/>
            </w:tcBorders>
            <w:vAlign w:val="center"/>
          </w:tcPr>
          <w:p w14:paraId="4B55DED8" w14:textId="77777777" w:rsidR="0012521E" w:rsidRPr="0098317A" w:rsidRDefault="0012521E" w:rsidP="0012521E">
            <w:pPr>
              <w:pStyle w:val="ListParagraph"/>
              <w:autoSpaceDE w:val="0"/>
              <w:autoSpaceDN w:val="0"/>
              <w:spacing w:line="300" w:lineRule="auto"/>
              <w:ind w:left="0"/>
              <w:rPr>
                <w:rFonts w:ascii="Georgia" w:hAnsi="Georgia"/>
                <w:b/>
                <w:color w:val="404040" w:themeColor="text1" w:themeTint="BF"/>
                <w:sz w:val="20"/>
                <w:lang w:val="en-US"/>
              </w:rPr>
            </w:pPr>
            <w:r w:rsidRPr="0098317A">
              <w:rPr>
                <w:rFonts w:ascii="Georgia" w:hAnsi="Georgia"/>
                <w:b/>
                <w:color w:val="404040" w:themeColor="text1" w:themeTint="BF"/>
                <w:sz w:val="20"/>
                <w:lang w:val="en-US"/>
              </w:rPr>
              <w:t xml:space="preserve">Earnings per share </w:t>
            </w:r>
          </w:p>
        </w:tc>
        <w:tc>
          <w:tcPr>
            <w:tcW w:w="1843" w:type="dxa"/>
            <w:tcBorders>
              <w:top w:val="single" w:sz="4" w:space="0" w:color="auto"/>
              <w:bottom w:val="nil"/>
            </w:tcBorders>
            <w:shd w:val="clear" w:color="auto" w:fill="auto"/>
            <w:vAlign w:val="center"/>
          </w:tcPr>
          <w:p w14:paraId="3852D34B" w14:textId="1205BABF" w:rsidR="0012521E" w:rsidRPr="00F469AF" w:rsidRDefault="003760FE" w:rsidP="0012521E">
            <w:pPr>
              <w:pStyle w:val="ListParagraph"/>
              <w:autoSpaceDE w:val="0"/>
              <w:autoSpaceDN w:val="0"/>
              <w:spacing w:line="300" w:lineRule="auto"/>
              <w:ind w:left="0"/>
              <w:jc w:val="right"/>
              <w:rPr>
                <w:rFonts w:ascii="Georgia" w:hAnsi="Georgia"/>
                <w:b/>
                <w:color w:val="404040" w:themeColor="text1" w:themeTint="BF"/>
                <w:sz w:val="20"/>
                <w:lang w:val="en-US"/>
              </w:rPr>
            </w:pPr>
            <w:r>
              <w:rPr>
                <w:rFonts w:ascii="Georgia" w:hAnsi="Georgia"/>
                <w:b/>
                <w:color w:val="404040" w:themeColor="text1" w:themeTint="BF"/>
                <w:sz w:val="20"/>
                <w:lang w:val="en-US"/>
              </w:rPr>
              <w:t>7.6</w:t>
            </w:r>
            <w:r w:rsidR="007E4F82">
              <w:rPr>
                <w:rFonts w:ascii="Georgia" w:hAnsi="Georgia"/>
                <w:b/>
                <w:color w:val="404040" w:themeColor="text1" w:themeTint="BF"/>
                <w:sz w:val="20"/>
                <w:lang w:val="en-US"/>
              </w:rPr>
              <w:t>3</w:t>
            </w:r>
            <w:r w:rsidR="0012521E" w:rsidRPr="00F469AF">
              <w:rPr>
                <w:rFonts w:ascii="Georgia" w:hAnsi="Georgia"/>
                <w:b/>
                <w:color w:val="404040" w:themeColor="text1" w:themeTint="BF"/>
                <w:sz w:val="20"/>
                <w:lang w:val="en-US"/>
              </w:rPr>
              <w:t>p</w:t>
            </w:r>
          </w:p>
        </w:tc>
        <w:tc>
          <w:tcPr>
            <w:tcW w:w="1842" w:type="dxa"/>
            <w:tcBorders>
              <w:top w:val="single" w:sz="4" w:space="0" w:color="auto"/>
              <w:bottom w:val="nil"/>
            </w:tcBorders>
            <w:vAlign w:val="center"/>
          </w:tcPr>
          <w:p w14:paraId="5C80C161" w14:textId="19228FC2" w:rsidR="0012521E" w:rsidRPr="0098317A" w:rsidRDefault="0012521E" w:rsidP="0012521E">
            <w:pPr>
              <w:pStyle w:val="ListParagraph"/>
              <w:autoSpaceDE w:val="0"/>
              <w:autoSpaceDN w:val="0"/>
              <w:spacing w:line="300" w:lineRule="auto"/>
              <w:ind w:left="0"/>
              <w:jc w:val="right"/>
              <w:rPr>
                <w:rFonts w:ascii="Georgia" w:hAnsi="Georgia"/>
                <w:b/>
                <w:color w:val="404040" w:themeColor="text1" w:themeTint="BF"/>
                <w:sz w:val="20"/>
                <w:lang w:val="en-US"/>
              </w:rPr>
            </w:pPr>
            <w:r>
              <w:rPr>
                <w:rFonts w:ascii="Georgia" w:hAnsi="Georgia"/>
                <w:b/>
                <w:color w:val="404040" w:themeColor="text1" w:themeTint="BF"/>
                <w:sz w:val="20"/>
                <w:lang w:val="en-US"/>
              </w:rPr>
              <w:t>12.14</w:t>
            </w:r>
            <w:r w:rsidRPr="00F469AF">
              <w:rPr>
                <w:rFonts w:ascii="Georgia" w:hAnsi="Georgia"/>
                <w:b/>
                <w:color w:val="404040" w:themeColor="text1" w:themeTint="BF"/>
                <w:sz w:val="20"/>
                <w:lang w:val="en-US"/>
              </w:rPr>
              <w:t>p</w:t>
            </w:r>
          </w:p>
        </w:tc>
      </w:tr>
    </w:tbl>
    <w:p w14:paraId="37C43D56" w14:textId="77777777" w:rsidR="00E42A95" w:rsidRPr="0098317A" w:rsidRDefault="00E42A95" w:rsidP="003739DA">
      <w:pPr>
        <w:spacing w:after="40"/>
        <w:rPr>
          <w:rFonts w:ascii="Georgia" w:hAnsi="Georgia" w:cs="Calibri"/>
          <w:b/>
          <w:color w:val="404040" w:themeColor="text1" w:themeTint="BF"/>
          <w:sz w:val="20"/>
        </w:rPr>
      </w:pPr>
    </w:p>
    <w:p w14:paraId="7E71EAF3" w14:textId="6933462C" w:rsidR="002E2DDD" w:rsidRPr="0098317A" w:rsidRDefault="00200A66" w:rsidP="009E538A">
      <w:pPr>
        <w:jc w:val="both"/>
        <w:rPr>
          <w:rFonts w:ascii="Georgia" w:hAnsi="Georgia" w:cs="Calibri"/>
          <w:color w:val="404040" w:themeColor="text1" w:themeTint="BF"/>
          <w:sz w:val="20"/>
        </w:rPr>
      </w:pPr>
      <w:r w:rsidRPr="0098317A">
        <w:rPr>
          <w:rFonts w:ascii="Georgia" w:hAnsi="Georgia" w:cs="Calibri"/>
          <w:color w:val="404040" w:themeColor="text1" w:themeTint="BF"/>
          <w:sz w:val="20"/>
        </w:rPr>
        <w:t>I</w:t>
      </w:r>
      <w:r w:rsidR="00B56E61" w:rsidRPr="0098317A">
        <w:rPr>
          <w:rFonts w:ascii="Georgia" w:hAnsi="Georgia" w:cs="Calibri"/>
          <w:color w:val="404040" w:themeColor="text1" w:themeTint="BF"/>
          <w:sz w:val="20"/>
        </w:rPr>
        <w:t xml:space="preserve">ncome for the period </w:t>
      </w:r>
      <w:r w:rsidR="005C5B28">
        <w:rPr>
          <w:rFonts w:ascii="Georgia" w:hAnsi="Georgia" w:cs="Calibri"/>
          <w:color w:val="404040" w:themeColor="text1" w:themeTint="BF"/>
          <w:sz w:val="20"/>
        </w:rPr>
        <w:t>includes</w:t>
      </w:r>
      <w:r w:rsidR="00B56E61" w:rsidRPr="0098317A">
        <w:rPr>
          <w:rFonts w:ascii="Georgia" w:hAnsi="Georgia" w:cs="Calibri"/>
          <w:color w:val="404040" w:themeColor="text1" w:themeTint="BF"/>
          <w:sz w:val="20"/>
        </w:rPr>
        <w:t xml:space="preserve"> interest income and </w:t>
      </w:r>
      <w:r w:rsidR="00F957C8" w:rsidRPr="0098317A">
        <w:rPr>
          <w:rFonts w:ascii="Georgia" w:hAnsi="Georgia" w:cs="Calibri"/>
          <w:color w:val="404040" w:themeColor="text1" w:themeTint="BF"/>
          <w:sz w:val="20"/>
        </w:rPr>
        <w:t xml:space="preserve">monitoring fees </w:t>
      </w:r>
      <w:r w:rsidR="005C5B28">
        <w:rPr>
          <w:rFonts w:ascii="Georgia" w:hAnsi="Georgia" w:cs="Calibri"/>
          <w:color w:val="404040" w:themeColor="text1" w:themeTint="BF"/>
          <w:sz w:val="20"/>
        </w:rPr>
        <w:t xml:space="preserve">paid </w:t>
      </w:r>
      <w:r w:rsidR="00F957C8" w:rsidRPr="0098317A">
        <w:rPr>
          <w:rFonts w:ascii="Georgia" w:hAnsi="Georgia" w:cs="Calibri"/>
          <w:color w:val="404040" w:themeColor="text1" w:themeTint="BF"/>
          <w:sz w:val="20"/>
        </w:rPr>
        <w:t>b</w:t>
      </w:r>
      <w:r w:rsidR="00B56E61" w:rsidRPr="0098317A">
        <w:rPr>
          <w:rFonts w:ascii="Georgia" w:hAnsi="Georgia" w:cs="Calibri"/>
          <w:color w:val="404040" w:themeColor="text1" w:themeTint="BF"/>
          <w:sz w:val="20"/>
        </w:rPr>
        <w:t xml:space="preserve">y </w:t>
      </w:r>
      <w:r w:rsidR="00F957C8" w:rsidRPr="0098317A">
        <w:rPr>
          <w:rFonts w:ascii="Georgia" w:hAnsi="Georgia" w:cs="Calibri"/>
          <w:color w:val="404040" w:themeColor="text1" w:themeTint="BF"/>
          <w:sz w:val="20"/>
        </w:rPr>
        <w:t>BSIFIL</w:t>
      </w:r>
      <w:r w:rsidR="00B56E61" w:rsidRPr="0098317A">
        <w:rPr>
          <w:rFonts w:ascii="Georgia" w:hAnsi="Georgia" w:cs="Calibri"/>
          <w:color w:val="404040" w:themeColor="text1" w:themeTint="BF"/>
          <w:sz w:val="20"/>
        </w:rPr>
        <w:t xml:space="preserve"> to </w:t>
      </w:r>
      <w:r w:rsidR="002E2DDD" w:rsidRPr="0098317A">
        <w:rPr>
          <w:rFonts w:ascii="Georgia" w:hAnsi="Georgia" w:cs="Calibri"/>
          <w:color w:val="404040" w:themeColor="text1" w:themeTint="BF"/>
          <w:sz w:val="20"/>
        </w:rPr>
        <w:t>BSIF</w:t>
      </w:r>
      <w:r w:rsidR="00F957C8" w:rsidRPr="0098317A">
        <w:rPr>
          <w:rFonts w:ascii="Georgia" w:hAnsi="Georgia" w:cs="Calibri"/>
          <w:color w:val="404040" w:themeColor="text1" w:themeTint="BF"/>
          <w:sz w:val="20"/>
        </w:rPr>
        <w:t>.</w:t>
      </w:r>
    </w:p>
    <w:p w14:paraId="734F5CE4" w14:textId="77777777" w:rsidR="00C561A1" w:rsidRPr="0098317A" w:rsidRDefault="00C561A1" w:rsidP="009E538A">
      <w:pPr>
        <w:jc w:val="both"/>
        <w:rPr>
          <w:rFonts w:ascii="Georgia" w:hAnsi="Georgia" w:cs="Calibri"/>
          <w:color w:val="404040" w:themeColor="text1" w:themeTint="BF"/>
          <w:sz w:val="20"/>
        </w:rPr>
      </w:pPr>
    </w:p>
    <w:p w14:paraId="134AF520" w14:textId="3A52753B" w:rsidR="00E3564C" w:rsidRPr="0098317A" w:rsidRDefault="00C561A1" w:rsidP="00C561A1">
      <w:pPr>
        <w:jc w:val="both"/>
        <w:rPr>
          <w:rFonts w:ascii="Georgia" w:hAnsi="Georgia" w:cs="Calibri"/>
          <w:color w:val="404040" w:themeColor="text1" w:themeTint="BF"/>
          <w:sz w:val="20"/>
        </w:rPr>
      </w:pPr>
      <w:r w:rsidRPr="0098317A">
        <w:rPr>
          <w:rFonts w:ascii="Georgia" w:hAnsi="Georgia" w:cs="Calibri"/>
          <w:color w:val="404040" w:themeColor="text1" w:themeTint="BF"/>
          <w:sz w:val="20"/>
        </w:rPr>
        <w:t>The total comprehensive income before tax of £</w:t>
      </w:r>
      <w:r w:rsidR="005A6B5B">
        <w:rPr>
          <w:rFonts w:ascii="Georgia" w:hAnsi="Georgia" w:cs="Calibri"/>
          <w:color w:val="404040" w:themeColor="text1" w:themeTint="BF"/>
          <w:sz w:val="20"/>
        </w:rPr>
        <w:t>28.2</w:t>
      </w:r>
      <w:r w:rsidRPr="0098317A">
        <w:rPr>
          <w:rFonts w:ascii="Georgia" w:hAnsi="Georgia" w:cs="Calibri"/>
          <w:color w:val="404040" w:themeColor="text1" w:themeTint="BF"/>
          <w:sz w:val="20"/>
        </w:rPr>
        <w:t xml:space="preserve"> million reflects the performance of the </w:t>
      </w:r>
      <w:r w:rsidR="00F957C8" w:rsidRPr="0098317A">
        <w:rPr>
          <w:rFonts w:ascii="Georgia" w:hAnsi="Georgia" w:cs="Calibri"/>
          <w:color w:val="404040" w:themeColor="text1" w:themeTint="BF"/>
          <w:sz w:val="20"/>
        </w:rPr>
        <w:t>Company</w:t>
      </w:r>
      <w:r w:rsidRPr="0098317A">
        <w:rPr>
          <w:rFonts w:ascii="Georgia" w:hAnsi="Georgia" w:cs="Calibri"/>
          <w:color w:val="404040" w:themeColor="text1" w:themeTint="BF"/>
          <w:sz w:val="20"/>
        </w:rPr>
        <w:t xml:space="preserve"> when valuation movements and operating costs are included. Further </w:t>
      </w:r>
      <w:r w:rsidR="00EF0CBC" w:rsidRPr="0098317A">
        <w:rPr>
          <w:rFonts w:ascii="Georgia" w:hAnsi="Georgia" w:cs="Calibri"/>
          <w:color w:val="404040" w:themeColor="text1" w:themeTint="BF"/>
          <w:sz w:val="20"/>
        </w:rPr>
        <w:t xml:space="preserve">detail on valuation movements </w:t>
      </w:r>
      <w:r w:rsidR="00F957C8" w:rsidRPr="0098317A">
        <w:rPr>
          <w:rFonts w:ascii="Georgia" w:hAnsi="Georgia" w:cs="Calibri"/>
          <w:color w:val="404040" w:themeColor="text1" w:themeTint="BF"/>
          <w:sz w:val="20"/>
        </w:rPr>
        <w:t>of BSIFIL’s portfolio is</w:t>
      </w:r>
      <w:r w:rsidRPr="0098317A">
        <w:rPr>
          <w:rFonts w:ascii="Georgia" w:hAnsi="Georgia" w:cs="Calibri"/>
          <w:color w:val="404040" w:themeColor="text1" w:themeTint="BF"/>
          <w:sz w:val="20"/>
        </w:rPr>
        <w:t xml:space="preserve"> given in the Report of the Investment Adviser.</w:t>
      </w:r>
    </w:p>
    <w:p w14:paraId="6E514AB7" w14:textId="5EA9B938" w:rsidR="00E3564C" w:rsidRPr="009625B4" w:rsidRDefault="00E3564C" w:rsidP="00C561A1">
      <w:pPr>
        <w:jc w:val="both"/>
        <w:rPr>
          <w:rFonts w:ascii="Georgia" w:hAnsi="Georgia" w:cs="Calibri"/>
          <w:b/>
          <w:color w:val="404040" w:themeColor="text1" w:themeTint="BF"/>
          <w:sz w:val="20"/>
          <w:highlight w:val="yellow"/>
        </w:rPr>
      </w:pPr>
    </w:p>
    <w:p w14:paraId="6DEC00D8" w14:textId="34BA20A4" w:rsidR="00B743C4" w:rsidRDefault="00CA16E7" w:rsidP="00CA16E7">
      <w:pPr>
        <w:autoSpaceDE w:val="0"/>
        <w:autoSpaceDN w:val="0"/>
        <w:adjustRightInd w:val="0"/>
        <w:jc w:val="both"/>
        <w:rPr>
          <w:rFonts w:ascii="Georgia" w:eastAsiaTheme="minorHAnsi" w:hAnsi="Georgia" w:cstheme="minorBidi"/>
          <w:color w:val="404040" w:themeColor="text1" w:themeTint="BF"/>
          <w:sz w:val="20"/>
          <w:szCs w:val="20"/>
        </w:rPr>
      </w:pPr>
      <w:r w:rsidRPr="00CA16E7">
        <w:rPr>
          <w:rFonts w:ascii="Georgia" w:eastAsiaTheme="minorHAnsi" w:hAnsi="Georgia" w:cstheme="minorBidi"/>
          <w:color w:val="404040" w:themeColor="text1" w:themeTint="BF"/>
          <w:sz w:val="20"/>
          <w:szCs w:val="20"/>
        </w:rPr>
        <w:t xml:space="preserve">The Company’s ongoing </w:t>
      </w:r>
      <w:r>
        <w:rPr>
          <w:rFonts w:ascii="Georgia" w:eastAsiaTheme="minorHAnsi" w:hAnsi="Georgia" w:cstheme="minorBidi"/>
          <w:color w:val="404040" w:themeColor="text1" w:themeTint="BF"/>
          <w:sz w:val="20"/>
          <w:szCs w:val="20"/>
        </w:rPr>
        <w:t xml:space="preserve">charges ratio </w:t>
      </w:r>
      <w:r w:rsidRPr="005409D2">
        <w:rPr>
          <w:rFonts w:ascii="Georgia" w:eastAsiaTheme="minorHAnsi" w:hAnsi="Georgia" w:cstheme="minorBidi"/>
          <w:color w:val="404040" w:themeColor="text1" w:themeTint="BF"/>
          <w:sz w:val="20"/>
          <w:szCs w:val="20"/>
        </w:rPr>
        <w:t xml:space="preserve">is </w:t>
      </w:r>
      <w:r w:rsidR="00296958" w:rsidRPr="005409D2">
        <w:rPr>
          <w:rFonts w:ascii="Georgia" w:eastAsiaTheme="minorHAnsi" w:hAnsi="Georgia" w:cstheme="minorBidi"/>
          <w:color w:val="404040" w:themeColor="text1" w:themeTint="BF"/>
          <w:sz w:val="20"/>
          <w:szCs w:val="20"/>
        </w:rPr>
        <w:t>1.</w:t>
      </w:r>
      <w:r w:rsidR="003D7E90">
        <w:rPr>
          <w:rFonts w:ascii="Georgia" w:eastAsiaTheme="minorHAnsi" w:hAnsi="Georgia" w:cstheme="minorBidi"/>
          <w:color w:val="404040" w:themeColor="text1" w:themeTint="BF"/>
          <w:sz w:val="20"/>
          <w:szCs w:val="20"/>
        </w:rPr>
        <w:t>10</w:t>
      </w:r>
      <w:r>
        <w:rPr>
          <w:rFonts w:ascii="Georgia" w:eastAsiaTheme="minorHAnsi" w:hAnsi="Georgia" w:cstheme="minorBidi"/>
          <w:color w:val="404040" w:themeColor="text1" w:themeTint="BF"/>
          <w:sz w:val="20"/>
          <w:szCs w:val="20"/>
        </w:rPr>
        <w:t xml:space="preserve">% (2019: 1.07%), calculated </w:t>
      </w:r>
      <w:r w:rsidRPr="00CA16E7">
        <w:rPr>
          <w:rFonts w:ascii="Georgia" w:eastAsiaTheme="minorHAnsi" w:hAnsi="Georgia" w:cstheme="minorBidi"/>
          <w:color w:val="404040" w:themeColor="text1" w:themeTint="BF"/>
          <w:sz w:val="20"/>
          <w:szCs w:val="20"/>
        </w:rPr>
        <w:t>in accordance with t</w:t>
      </w:r>
      <w:r>
        <w:rPr>
          <w:rFonts w:ascii="Georgia" w:eastAsiaTheme="minorHAnsi" w:hAnsi="Georgia" w:cstheme="minorBidi"/>
          <w:color w:val="404040" w:themeColor="text1" w:themeTint="BF"/>
          <w:sz w:val="20"/>
          <w:szCs w:val="20"/>
        </w:rPr>
        <w:t xml:space="preserve">he AIC recommended methodology, </w:t>
      </w:r>
      <w:r w:rsidRPr="00CA16E7">
        <w:rPr>
          <w:rFonts w:ascii="Georgia" w:eastAsiaTheme="minorHAnsi" w:hAnsi="Georgia" w:cstheme="minorBidi"/>
          <w:color w:val="404040" w:themeColor="text1" w:themeTint="BF"/>
          <w:sz w:val="20"/>
          <w:szCs w:val="20"/>
        </w:rPr>
        <w:t>which excludes n</w:t>
      </w:r>
      <w:r>
        <w:rPr>
          <w:rFonts w:ascii="Georgia" w:eastAsiaTheme="minorHAnsi" w:hAnsi="Georgia" w:cstheme="minorBidi"/>
          <w:color w:val="404040" w:themeColor="text1" w:themeTint="BF"/>
          <w:sz w:val="20"/>
          <w:szCs w:val="20"/>
        </w:rPr>
        <w:t xml:space="preserve">on-recurring costs and uses the </w:t>
      </w:r>
      <w:r w:rsidRPr="00CA16E7">
        <w:rPr>
          <w:rFonts w:ascii="Georgia" w:eastAsiaTheme="minorHAnsi" w:hAnsi="Georgia" w:cstheme="minorBidi"/>
          <w:color w:val="404040" w:themeColor="text1" w:themeTint="BF"/>
          <w:sz w:val="20"/>
          <w:szCs w:val="20"/>
        </w:rPr>
        <w:t>average NAV in its calculation.</w:t>
      </w:r>
      <w:r w:rsidR="00B24322">
        <w:rPr>
          <w:rFonts w:ascii="Georgia" w:eastAsiaTheme="minorHAnsi" w:hAnsi="Georgia" w:cstheme="minorBidi"/>
          <w:color w:val="404040" w:themeColor="text1" w:themeTint="BF"/>
          <w:sz w:val="20"/>
          <w:szCs w:val="20"/>
        </w:rPr>
        <w:t xml:space="preserve"> See page </w:t>
      </w:r>
      <w:r w:rsidR="00B24322" w:rsidRPr="006A3C20">
        <w:rPr>
          <w:rFonts w:ascii="Georgia" w:eastAsiaTheme="minorHAnsi" w:hAnsi="Georgia" w:cstheme="minorBidi"/>
          <w:color w:val="404040" w:themeColor="text1" w:themeTint="BF"/>
          <w:sz w:val="20"/>
          <w:szCs w:val="20"/>
        </w:rPr>
        <w:t>136 for</w:t>
      </w:r>
      <w:r w:rsidR="00B24322">
        <w:rPr>
          <w:rFonts w:ascii="Georgia" w:eastAsiaTheme="minorHAnsi" w:hAnsi="Georgia" w:cstheme="minorBidi"/>
          <w:color w:val="404040" w:themeColor="text1" w:themeTint="BF"/>
          <w:sz w:val="20"/>
          <w:szCs w:val="20"/>
        </w:rPr>
        <w:t xml:space="preserve"> </w:t>
      </w:r>
      <w:r w:rsidR="00D77220">
        <w:rPr>
          <w:rFonts w:ascii="Georgia" w:eastAsiaTheme="minorHAnsi" w:hAnsi="Georgia" w:cstheme="minorBidi"/>
          <w:color w:val="404040" w:themeColor="text1" w:themeTint="BF"/>
          <w:sz w:val="20"/>
          <w:szCs w:val="20"/>
        </w:rPr>
        <w:t>a tabular calculation of the Company’s ongoing charges ratio.</w:t>
      </w:r>
    </w:p>
    <w:p w14:paraId="7E8934E8" w14:textId="3A59A13F" w:rsidR="00B743C4" w:rsidRDefault="00B743C4" w:rsidP="00731C0E">
      <w:pPr>
        <w:autoSpaceDE w:val="0"/>
        <w:autoSpaceDN w:val="0"/>
        <w:adjustRightInd w:val="0"/>
        <w:jc w:val="both"/>
        <w:rPr>
          <w:rFonts w:ascii="Georgia" w:hAnsi="Georgia"/>
          <w:sz w:val="20"/>
          <w:szCs w:val="20"/>
          <w:highlight w:val="yellow"/>
        </w:rPr>
      </w:pPr>
    </w:p>
    <w:p w14:paraId="1B8BB260" w14:textId="22857F49" w:rsidR="00CA16E7" w:rsidRDefault="00CA16E7" w:rsidP="00731C0E">
      <w:pPr>
        <w:autoSpaceDE w:val="0"/>
        <w:autoSpaceDN w:val="0"/>
        <w:adjustRightInd w:val="0"/>
        <w:jc w:val="both"/>
        <w:rPr>
          <w:rFonts w:ascii="Georgia" w:hAnsi="Georgia"/>
          <w:sz w:val="20"/>
          <w:szCs w:val="20"/>
          <w:highlight w:val="yellow"/>
        </w:rPr>
      </w:pPr>
    </w:p>
    <w:p w14:paraId="7670C87E" w14:textId="1E717C8D" w:rsidR="00CA16E7" w:rsidRDefault="00CA16E7" w:rsidP="00731C0E">
      <w:pPr>
        <w:autoSpaceDE w:val="0"/>
        <w:autoSpaceDN w:val="0"/>
        <w:adjustRightInd w:val="0"/>
        <w:jc w:val="both"/>
        <w:rPr>
          <w:rFonts w:ascii="Georgia" w:hAnsi="Georgia"/>
          <w:sz w:val="20"/>
          <w:szCs w:val="20"/>
          <w:highlight w:val="yellow"/>
        </w:rPr>
      </w:pPr>
    </w:p>
    <w:p w14:paraId="02C3F9BA" w14:textId="71943C8A" w:rsidR="00CA16E7" w:rsidRDefault="00CA16E7" w:rsidP="00731C0E">
      <w:pPr>
        <w:autoSpaceDE w:val="0"/>
        <w:autoSpaceDN w:val="0"/>
        <w:adjustRightInd w:val="0"/>
        <w:jc w:val="both"/>
        <w:rPr>
          <w:rFonts w:ascii="Georgia" w:hAnsi="Georgia"/>
          <w:sz w:val="20"/>
          <w:szCs w:val="20"/>
          <w:highlight w:val="yellow"/>
        </w:rPr>
      </w:pPr>
    </w:p>
    <w:p w14:paraId="5EE35EC3" w14:textId="2B295CA7" w:rsidR="00CA16E7" w:rsidRDefault="00CA16E7" w:rsidP="00731C0E">
      <w:pPr>
        <w:autoSpaceDE w:val="0"/>
        <w:autoSpaceDN w:val="0"/>
        <w:adjustRightInd w:val="0"/>
        <w:jc w:val="both"/>
        <w:rPr>
          <w:rFonts w:ascii="Georgia" w:hAnsi="Georgia"/>
          <w:sz w:val="20"/>
          <w:szCs w:val="20"/>
          <w:highlight w:val="yellow"/>
        </w:rPr>
      </w:pPr>
    </w:p>
    <w:p w14:paraId="6CD44CBB" w14:textId="67E112BB" w:rsidR="00CA16E7" w:rsidRDefault="00CA16E7" w:rsidP="00731C0E">
      <w:pPr>
        <w:autoSpaceDE w:val="0"/>
        <w:autoSpaceDN w:val="0"/>
        <w:adjustRightInd w:val="0"/>
        <w:jc w:val="both"/>
        <w:rPr>
          <w:rFonts w:ascii="Georgia" w:hAnsi="Georgia"/>
          <w:sz w:val="20"/>
          <w:szCs w:val="20"/>
          <w:highlight w:val="yellow"/>
        </w:rPr>
      </w:pPr>
    </w:p>
    <w:p w14:paraId="40988E90" w14:textId="49751D3D" w:rsidR="00CA16E7" w:rsidRDefault="00CA16E7" w:rsidP="00731C0E">
      <w:pPr>
        <w:autoSpaceDE w:val="0"/>
        <w:autoSpaceDN w:val="0"/>
        <w:adjustRightInd w:val="0"/>
        <w:jc w:val="both"/>
        <w:rPr>
          <w:rFonts w:ascii="Georgia" w:hAnsi="Georgia"/>
          <w:sz w:val="20"/>
          <w:szCs w:val="20"/>
          <w:highlight w:val="yellow"/>
        </w:rPr>
      </w:pPr>
    </w:p>
    <w:p w14:paraId="2CEF8AD2" w14:textId="0AC25935" w:rsidR="00CA16E7" w:rsidRDefault="00CA16E7" w:rsidP="00731C0E">
      <w:pPr>
        <w:autoSpaceDE w:val="0"/>
        <w:autoSpaceDN w:val="0"/>
        <w:adjustRightInd w:val="0"/>
        <w:jc w:val="both"/>
        <w:rPr>
          <w:rFonts w:ascii="Georgia" w:hAnsi="Georgia"/>
          <w:sz w:val="20"/>
          <w:szCs w:val="20"/>
          <w:highlight w:val="yellow"/>
        </w:rPr>
      </w:pPr>
    </w:p>
    <w:p w14:paraId="5CE4EB7E" w14:textId="6966D4CE" w:rsidR="00CA16E7" w:rsidRDefault="00CA16E7" w:rsidP="00731C0E">
      <w:pPr>
        <w:autoSpaceDE w:val="0"/>
        <w:autoSpaceDN w:val="0"/>
        <w:adjustRightInd w:val="0"/>
        <w:jc w:val="both"/>
        <w:rPr>
          <w:rFonts w:ascii="Georgia" w:hAnsi="Georgia"/>
          <w:sz w:val="20"/>
          <w:szCs w:val="20"/>
          <w:highlight w:val="yellow"/>
        </w:rPr>
      </w:pPr>
    </w:p>
    <w:p w14:paraId="28FEE0A4" w14:textId="0A8733AF" w:rsidR="00CA16E7" w:rsidRDefault="00CA16E7" w:rsidP="00731C0E">
      <w:pPr>
        <w:autoSpaceDE w:val="0"/>
        <w:autoSpaceDN w:val="0"/>
        <w:adjustRightInd w:val="0"/>
        <w:jc w:val="both"/>
        <w:rPr>
          <w:rFonts w:ascii="Georgia" w:hAnsi="Georgia"/>
          <w:sz w:val="20"/>
          <w:szCs w:val="20"/>
          <w:highlight w:val="yellow"/>
        </w:rPr>
      </w:pPr>
    </w:p>
    <w:p w14:paraId="7FD6873A" w14:textId="022DEF8D" w:rsidR="00CA16E7" w:rsidRDefault="00CA16E7" w:rsidP="00731C0E">
      <w:pPr>
        <w:autoSpaceDE w:val="0"/>
        <w:autoSpaceDN w:val="0"/>
        <w:adjustRightInd w:val="0"/>
        <w:jc w:val="both"/>
        <w:rPr>
          <w:rFonts w:ascii="Georgia" w:hAnsi="Georgia"/>
          <w:sz w:val="20"/>
          <w:szCs w:val="20"/>
          <w:highlight w:val="yellow"/>
        </w:rPr>
      </w:pPr>
    </w:p>
    <w:p w14:paraId="374BA7A0" w14:textId="17A408E8" w:rsidR="00CA16E7" w:rsidRDefault="00CA16E7" w:rsidP="00731C0E">
      <w:pPr>
        <w:autoSpaceDE w:val="0"/>
        <w:autoSpaceDN w:val="0"/>
        <w:adjustRightInd w:val="0"/>
        <w:jc w:val="both"/>
        <w:rPr>
          <w:rFonts w:ascii="Georgia" w:hAnsi="Georgia"/>
          <w:sz w:val="20"/>
          <w:szCs w:val="20"/>
          <w:highlight w:val="yellow"/>
        </w:rPr>
      </w:pPr>
    </w:p>
    <w:p w14:paraId="0AF664DB" w14:textId="00A8D32B" w:rsidR="00CA16E7" w:rsidRDefault="00CA16E7" w:rsidP="00731C0E">
      <w:pPr>
        <w:autoSpaceDE w:val="0"/>
        <w:autoSpaceDN w:val="0"/>
        <w:adjustRightInd w:val="0"/>
        <w:jc w:val="both"/>
        <w:rPr>
          <w:rFonts w:ascii="Georgia" w:hAnsi="Georgia"/>
          <w:sz w:val="20"/>
          <w:szCs w:val="20"/>
          <w:highlight w:val="yellow"/>
        </w:rPr>
      </w:pPr>
    </w:p>
    <w:p w14:paraId="67B9CC05" w14:textId="57CFF245" w:rsidR="00CA16E7" w:rsidRDefault="00CA16E7" w:rsidP="00731C0E">
      <w:pPr>
        <w:autoSpaceDE w:val="0"/>
        <w:autoSpaceDN w:val="0"/>
        <w:adjustRightInd w:val="0"/>
        <w:jc w:val="both"/>
        <w:rPr>
          <w:rFonts w:ascii="Georgia" w:hAnsi="Georgia"/>
          <w:sz w:val="20"/>
          <w:szCs w:val="20"/>
          <w:highlight w:val="yellow"/>
        </w:rPr>
      </w:pPr>
    </w:p>
    <w:p w14:paraId="5F8E288A" w14:textId="4EE3177E" w:rsidR="00CA16E7" w:rsidRDefault="00CA16E7" w:rsidP="00731C0E">
      <w:pPr>
        <w:autoSpaceDE w:val="0"/>
        <w:autoSpaceDN w:val="0"/>
        <w:adjustRightInd w:val="0"/>
        <w:jc w:val="both"/>
        <w:rPr>
          <w:rFonts w:ascii="Georgia" w:hAnsi="Georgia"/>
          <w:sz w:val="20"/>
          <w:szCs w:val="20"/>
          <w:highlight w:val="yellow"/>
        </w:rPr>
      </w:pPr>
    </w:p>
    <w:p w14:paraId="79090AC5" w14:textId="72A7CE31" w:rsidR="00CA16E7" w:rsidRDefault="00CA16E7" w:rsidP="00731C0E">
      <w:pPr>
        <w:autoSpaceDE w:val="0"/>
        <w:autoSpaceDN w:val="0"/>
        <w:adjustRightInd w:val="0"/>
        <w:jc w:val="both"/>
        <w:rPr>
          <w:rFonts w:ascii="Georgia" w:hAnsi="Georgia"/>
          <w:sz w:val="20"/>
          <w:szCs w:val="20"/>
          <w:highlight w:val="yellow"/>
        </w:rPr>
      </w:pPr>
    </w:p>
    <w:p w14:paraId="2A9E1A86" w14:textId="1A078416" w:rsidR="00CA16E7" w:rsidRDefault="00CA16E7" w:rsidP="00731C0E">
      <w:pPr>
        <w:autoSpaceDE w:val="0"/>
        <w:autoSpaceDN w:val="0"/>
        <w:adjustRightInd w:val="0"/>
        <w:jc w:val="both"/>
        <w:rPr>
          <w:rFonts w:ascii="Georgia" w:hAnsi="Georgia"/>
          <w:sz w:val="20"/>
          <w:szCs w:val="20"/>
          <w:highlight w:val="yellow"/>
        </w:rPr>
      </w:pPr>
    </w:p>
    <w:p w14:paraId="2D630E72" w14:textId="29A65AA0" w:rsidR="00CA16E7" w:rsidRDefault="00CA16E7" w:rsidP="00731C0E">
      <w:pPr>
        <w:autoSpaceDE w:val="0"/>
        <w:autoSpaceDN w:val="0"/>
        <w:adjustRightInd w:val="0"/>
        <w:jc w:val="both"/>
        <w:rPr>
          <w:rFonts w:ascii="Georgia" w:hAnsi="Georgia"/>
          <w:sz w:val="20"/>
          <w:szCs w:val="20"/>
          <w:highlight w:val="yellow"/>
        </w:rPr>
      </w:pPr>
    </w:p>
    <w:p w14:paraId="6DEF7A46" w14:textId="31204D48" w:rsidR="00CA16E7" w:rsidRDefault="00CA16E7" w:rsidP="00731C0E">
      <w:pPr>
        <w:autoSpaceDE w:val="0"/>
        <w:autoSpaceDN w:val="0"/>
        <w:adjustRightInd w:val="0"/>
        <w:jc w:val="both"/>
        <w:rPr>
          <w:rFonts w:ascii="Georgia" w:hAnsi="Georgia"/>
          <w:sz w:val="20"/>
          <w:szCs w:val="20"/>
          <w:highlight w:val="yellow"/>
        </w:rPr>
      </w:pPr>
    </w:p>
    <w:p w14:paraId="3F41804C" w14:textId="47AC1E74" w:rsidR="00CA16E7" w:rsidRDefault="00CA16E7" w:rsidP="00731C0E">
      <w:pPr>
        <w:autoSpaceDE w:val="0"/>
        <w:autoSpaceDN w:val="0"/>
        <w:adjustRightInd w:val="0"/>
        <w:jc w:val="both"/>
        <w:rPr>
          <w:rFonts w:ascii="Georgia" w:hAnsi="Georgia"/>
          <w:sz w:val="20"/>
          <w:szCs w:val="20"/>
          <w:highlight w:val="yellow"/>
        </w:rPr>
      </w:pPr>
    </w:p>
    <w:p w14:paraId="3119335D" w14:textId="1FBD7271" w:rsidR="00CA16E7" w:rsidRDefault="00CA16E7" w:rsidP="00731C0E">
      <w:pPr>
        <w:autoSpaceDE w:val="0"/>
        <w:autoSpaceDN w:val="0"/>
        <w:adjustRightInd w:val="0"/>
        <w:jc w:val="both"/>
        <w:rPr>
          <w:rFonts w:ascii="Georgia" w:hAnsi="Georgia"/>
          <w:sz w:val="20"/>
          <w:szCs w:val="20"/>
          <w:highlight w:val="yellow"/>
        </w:rPr>
      </w:pPr>
    </w:p>
    <w:p w14:paraId="41DC172B" w14:textId="21AA01AC" w:rsidR="00CA16E7" w:rsidRDefault="00CA16E7" w:rsidP="00731C0E">
      <w:pPr>
        <w:autoSpaceDE w:val="0"/>
        <w:autoSpaceDN w:val="0"/>
        <w:adjustRightInd w:val="0"/>
        <w:jc w:val="both"/>
        <w:rPr>
          <w:rFonts w:ascii="Georgia" w:hAnsi="Georgia"/>
          <w:sz w:val="20"/>
          <w:szCs w:val="20"/>
          <w:highlight w:val="yellow"/>
        </w:rPr>
      </w:pPr>
    </w:p>
    <w:p w14:paraId="120ED4B7" w14:textId="0391A59B" w:rsidR="00CA16E7" w:rsidRDefault="00CA16E7" w:rsidP="00731C0E">
      <w:pPr>
        <w:autoSpaceDE w:val="0"/>
        <w:autoSpaceDN w:val="0"/>
        <w:adjustRightInd w:val="0"/>
        <w:jc w:val="both"/>
        <w:rPr>
          <w:rFonts w:ascii="Georgia" w:hAnsi="Georgia"/>
          <w:sz w:val="20"/>
          <w:szCs w:val="20"/>
          <w:highlight w:val="yellow"/>
        </w:rPr>
      </w:pPr>
    </w:p>
    <w:p w14:paraId="058AD6D9" w14:textId="639A8CB6" w:rsidR="00CA16E7" w:rsidRDefault="00CA16E7" w:rsidP="00731C0E">
      <w:pPr>
        <w:autoSpaceDE w:val="0"/>
        <w:autoSpaceDN w:val="0"/>
        <w:adjustRightInd w:val="0"/>
        <w:jc w:val="both"/>
        <w:rPr>
          <w:rFonts w:ascii="Georgia" w:hAnsi="Georgia"/>
          <w:sz w:val="20"/>
          <w:szCs w:val="20"/>
          <w:highlight w:val="yellow"/>
        </w:rPr>
      </w:pPr>
    </w:p>
    <w:p w14:paraId="3B15027A" w14:textId="227879F8" w:rsidR="00CA16E7" w:rsidRDefault="00CA16E7" w:rsidP="00731C0E">
      <w:pPr>
        <w:autoSpaceDE w:val="0"/>
        <w:autoSpaceDN w:val="0"/>
        <w:adjustRightInd w:val="0"/>
        <w:jc w:val="both"/>
        <w:rPr>
          <w:rFonts w:ascii="Georgia" w:hAnsi="Georgia"/>
          <w:sz w:val="20"/>
          <w:szCs w:val="20"/>
          <w:highlight w:val="yellow"/>
        </w:rPr>
      </w:pPr>
    </w:p>
    <w:p w14:paraId="02EBE5FB" w14:textId="342B453B" w:rsidR="00CA16E7" w:rsidRDefault="00CA16E7" w:rsidP="00731C0E">
      <w:pPr>
        <w:autoSpaceDE w:val="0"/>
        <w:autoSpaceDN w:val="0"/>
        <w:adjustRightInd w:val="0"/>
        <w:jc w:val="both"/>
        <w:rPr>
          <w:rFonts w:ascii="Georgia" w:hAnsi="Georgia"/>
          <w:sz w:val="20"/>
          <w:szCs w:val="20"/>
          <w:highlight w:val="yellow"/>
        </w:rPr>
      </w:pPr>
    </w:p>
    <w:p w14:paraId="7B0BB276" w14:textId="70808662" w:rsidR="00CA16E7" w:rsidRDefault="00CA16E7" w:rsidP="00731C0E">
      <w:pPr>
        <w:autoSpaceDE w:val="0"/>
        <w:autoSpaceDN w:val="0"/>
        <w:adjustRightInd w:val="0"/>
        <w:jc w:val="both"/>
        <w:rPr>
          <w:rFonts w:ascii="Georgia" w:hAnsi="Georgia"/>
          <w:sz w:val="20"/>
          <w:szCs w:val="20"/>
          <w:highlight w:val="yellow"/>
        </w:rPr>
      </w:pPr>
    </w:p>
    <w:p w14:paraId="0DB05929" w14:textId="77777777" w:rsidR="00CA16E7" w:rsidRPr="009625B4" w:rsidRDefault="00CA16E7" w:rsidP="00731C0E">
      <w:pPr>
        <w:autoSpaceDE w:val="0"/>
        <w:autoSpaceDN w:val="0"/>
        <w:adjustRightInd w:val="0"/>
        <w:jc w:val="both"/>
        <w:rPr>
          <w:rFonts w:ascii="Georgia" w:hAnsi="Georgia"/>
          <w:sz w:val="20"/>
          <w:szCs w:val="20"/>
          <w:highlight w:val="yellow"/>
        </w:rPr>
      </w:pPr>
    </w:p>
    <w:p w14:paraId="5F91C934" w14:textId="77777777" w:rsidR="008E01EB" w:rsidRPr="00FB7D45" w:rsidRDefault="008E01EB" w:rsidP="008E01EB">
      <w:pPr>
        <w:pStyle w:val="Heading2"/>
        <w:spacing w:before="0"/>
      </w:pPr>
      <w:r w:rsidRPr="00FB7D45">
        <w:lastRenderedPageBreak/>
        <w:t>Strategic Report (continued)</w:t>
      </w:r>
    </w:p>
    <w:p w14:paraId="76E0A8D4" w14:textId="77777777" w:rsidR="008E01EB" w:rsidRPr="009625B4" w:rsidRDefault="008E01EB" w:rsidP="008E01EB">
      <w:pPr>
        <w:rPr>
          <w:rFonts w:ascii="Georgia" w:hAnsi="Georgia" w:cs="Calibri"/>
          <w:color w:val="404040" w:themeColor="text1" w:themeTint="BF"/>
          <w:sz w:val="20"/>
          <w:highlight w:val="yellow"/>
        </w:rPr>
      </w:pPr>
    </w:p>
    <w:p w14:paraId="2BFBA860" w14:textId="77777777" w:rsidR="00836BFB" w:rsidRPr="00591146" w:rsidRDefault="00836BFB" w:rsidP="000916C2">
      <w:pPr>
        <w:pStyle w:val="ListParagraph"/>
        <w:numPr>
          <w:ilvl w:val="0"/>
          <w:numId w:val="10"/>
        </w:numPr>
        <w:ind w:left="426" w:hanging="426"/>
        <w:jc w:val="both"/>
        <w:rPr>
          <w:rFonts w:ascii="Georgia" w:hAnsi="Georgia" w:cs="Calibri"/>
          <w:b/>
          <w:color w:val="404040" w:themeColor="text1" w:themeTint="BF"/>
          <w:sz w:val="20"/>
        </w:rPr>
      </w:pPr>
      <w:r w:rsidRPr="00591146">
        <w:rPr>
          <w:rFonts w:ascii="Georgia" w:hAnsi="Georgia" w:cs="Calibri"/>
          <w:b/>
          <w:color w:val="404040" w:themeColor="text1" w:themeTint="BF"/>
          <w:sz w:val="20"/>
        </w:rPr>
        <w:t xml:space="preserve">Directors’ Valuation* of Company’s portfolio </w:t>
      </w:r>
    </w:p>
    <w:p w14:paraId="707739D9" w14:textId="77777777" w:rsidR="00836BFB" w:rsidRPr="00591146" w:rsidRDefault="00836BFB" w:rsidP="00836BFB">
      <w:pPr>
        <w:jc w:val="both"/>
        <w:rPr>
          <w:rFonts w:ascii="Georgia" w:hAnsi="Georgia" w:cs="Calibri"/>
          <w:b/>
          <w:color w:val="404040" w:themeColor="text1" w:themeTint="BF"/>
          <w:sz w:val="20"/>
        </w:rPr>
      </w:pPr>
    </w:p>
    <w:p w14:paraId="28F324E8" w14:textId="77777777" w:rsidR="00836BFB" w:rsidRPr="0060120A" w:rsidRDefault="00836BFB" w:rsidP="00836BFB">
      <w:pPr>
        <w:jc w:val="both"/>
        <w:rPr>
          <w:rFonts w:ascii="Georgia" w:hAnsi="Georgia" w:cs="Calibri"/>
          <w:color w:val="404040" w:themeColor="text1" w:themeTint="BF"/>
          <w:sz w:val="20"/>
        </w:rPr>
      </w:pPr>
      <w:r w:rsidRPr="0060120A">
        <w:rPr>
          <w:rFonts w:ascii="Georgia" w:hAnsi="Georgia" w:cs="Calibri"/>
          <w:color w:val="404040" w:themeColor="text1" w:themeTint="BF"/>
          <w:sz w:val="20"/>
        </w:rPr>
        <w:t xml:space="preserve">The Investment Adviser or an </w:t>
      </w:r>
      <w:r>
        <w:rPr>
          <w:rFonts w:ascii="Georgia" w:hAnsi="Georgia" w:cs="Calibri"/>
          <w:color w:val="404040" w:themeColor="text1" w:themeTint="BF"/>
          <w:sz w:val="20"/>
        </w:rPr>
        <w:t xml:space="preserve">independent </w:t>
      </w:r>
      <w:r w:rsidRPr="0060120A">
        <w:rPr>
          <w:rFonts w:ascii="Georgia" w:hAnsi="Georgia" w:cs="Calibri"/>
          <w:color w:val="404040" w:themeColor="text1" w:themeTint="BF"/>
          <w:sz w:val="20"/>
        </w:rPr>
        <w:t xml:space="preserve">external </w:t>
      </w:r>
      <w:proofErr w:type="spellStart"/>
      <w:r w:rsidRPr="0060120A">
        <w:rPr>
          <w:rFonts w:ascii="Georgia" w:hAnsi="Georgia" w:cs="Calibri"/>
          <w:color w:val="404040" w:themeColor="text1" w:themeTint="BF"/>
          <w:sz w:val="20"/>
        </w:rPr>
        <w:t>valuer</w:t>
      </w:r>
      <w:proofErr w:type="spellEnd"/>
      <w:r w:rsidRPr="0060120A">
        <w:rPr>
          <w:rFonts w:ascii="Georgia" w:hAnsi="Georgia" w:cs="Calibri"/>
          <w:color w:val="404040" w:themeColor="text1" w:themeTint="BF"/>
          <w:sz w:val="20"/>
        </w:rPr>
        <w:t xml:space="preserve"> is responsible for </w:t>
      </w:r>
      <w:r>
        <w:rPr>
          <w:rFonts w:ascii="Georgia" w:hAnsi="Georgia" w:cs="Calibri"/>
          <w:color w:val="404040" w:themeColor="text1" w:themeTint="BF"/>
          <w:sz w:val="20"/>
        </w:rPr>
        <w:t>preparing</w:t>
      </w:r>
      <w:r w:rsidRPr="0060120A">
        <w:rPr>
          <w:rFonts w:ascii="Georgia" w:hAnsi="Georgia" w:cs="Calibri"/>
          <w:color w:val="404040" w:themeColor="text1" w:themeTint="BF"/>
          <w:sz w:val="20"/>
        </w:rPr>
        <w:t xml:space="preserve"> the fair market valuation </w:t>
      </w:r>
      <w:r>
        <w:rPr>
          <w:rFonts w:ascii="Georgia" w:hAnsi="Georgia" w:cs="Calibri"/>
          <w:color w:val="404040" w:themeColor="text1" w:themeTint="BF"/>
          <w:sz w:val="20"/>
        </w:rPr>
        <w:t>recommendations for</w:t>
      </w:r>
      <w:r w:rsidRPr="0060120A">
        <w:rPr>
          <w:rFonts w:ascii="Georgia" w:hAnsi="Georgia" w:cs="Calibri"/>
          <w:color w:val="404040" w:themeColor="text1" w:themeTint="BF"/>
          <w:sz w:val="20"/>
        </w:rPr>
        <w:t xml:space="preserve"> the Company’s investments</w:t>
      </w:r>
      <w:r>
        <w:rPr>
          <w:rFonts w:ascii="Georgia" w:hAnsi="Georgia" w:cs="Calibri"/>
          <w:color w:val="404040" w:themeColor="text1" w:themeTint="BF"/>
          <w:sz w:val="20"/>
        </w:rPr>
        <w:t xml:space="preserve"> for review and approval by the Board.</w:t>
      </w:r>
    </w:p>
    <w:p w14:paraId="12DBA17D" w14:textId="77777777" w:rsidR="00836BFB" w:rsidRPr="0060120A" w:rsidRDefault="00836BFB" w:rsidP="00836BFB">
      <w:pPr>
        <w:jc w:val="both"/>
        <w:rPr>
          <w:rFonts w:ascii="Georgia" w:hAnsi="Georgia" w:cs="Calibri"/>
          <w:color w:val="404040" w:themeColor="text1" w:themeTint="BF"/>
          <w:sz w:val="18"/>
        </w:rPr>
      </w:pPr>
    </w:p>
    <w:p w14:paraId="0ECEFDA6" w14:textId="6786F228" w:rsidR="00836BFB" w:rsidRDefault="00836BFB" w:rsidP="00836BFB">
      <w:pPr>
        <w:jc w:val="both"/>
        <w:rPr>
          <w:rFonts w:ascii="Georgia" w:hAnsi="Georgia" w:cs="Calibri"/>
          <w:color w:val="404040" w:themeColor="text1" w:themeTint="BF"/>
          <w:sz w:val="20"/>
        </w:rPr>
      </w:pPr>
      <w:r w:rsidRPr="0060120A">
        <w:rPr>
          <w:rFonts w:ascii="Georgia" w:hAnsi="Georgia" w:cs="Calibri"/>
          <w:color w:val="404040" w:themeColor="text1" w:themeTint="BF"/>
          <w:sz w:val="20"/>
        </w:rPr>
        <w:t xml:space="preserve">Valuations are carried out </w:t>
      </w:r>
      <w:r w:rsidR="00DE2F91">
        <w:rPr>
          <w:rFonts w:ascii="Georgia" w:hAnsi="Georgia" w:cs="Calibri"/>
          <w:color w:val="404040" w:themeColor="text1" w:themeTint="BF"/>
          <w:sz w:val="20"/>
        </w:rPr>
        <w:t>semi</w:t>
      </w:r>
      <w:r>
        <w:rPr>
          <w:rFonts w:ascii="Georgia" w:hAnsi="Georgia" w:cs="Calibri"/>
          <w:color w:val="404040" w:themeColor="text1" w:themeTint="BF"/>
          <w:sz w:val="20"/>
        </w:rPr>
        <w:t xml:space="preserve">-annually </w:t>
      </w:r>
      <w:r w:rsidRPr="0060120A">
        <w:rPr>
          <w:rFonts w:ascii="Georgia" w:hAnsi="Georgia" w:cs="Calibri"/>
          <w:color w:val="404040" w:themeColor="text1" w:themeTint="BF"/>
          <w:sz w:val="20"/>
        </w:rPr>
        <w:t>as at 31 December and 30 June each year</w:t>
      </w:r>
      <w:r w:rsidR="00EF7D11">
        <w:rPr>
          <w:rFonts w:ascii="Georgia" w:hAnsi="Georgia" w:cs="Calibri"/>
          <w:color w:val="404040" w:themeColor="text1" w:themeTint="BF"/>
          <w:sz w:val="20"/>
        </w:rPr>
        <w:t>,</w:t>
      </w:r>
      <w:r w:rsidRPr="0060120A">
        <w:rPr>
          <w:rFonts w:ascii="Georgia" w:hAnsi="Georgia" w:cs="Calibri"/>
          <w:color w:val="404040" w:themeColor="text1" w:themeTint="BF"/>
          <w:sz w:val="20"/>
        </w:rPr>
        <w:t xml:space="preserve"> </w:t>
      </w:r>
      <w:r>
        <w:rPr>
          <w:rFonts w:ascii="Georgia" w:hAnsi="Georgia" w:cs="Calibri"/>
          <w:color w:val="404040" w:themeColor="text1" w:themeTint="BF"/>
          <w:sz w:val="20"/>
        </w:rPr>
        <w:t>with</w:t>
      </w:r>
      <w:r w:rsidRPr="0060120A">
        <w:rPr>
          <w:rFonts w:ascii="Georgia" w:hAnsi="Georgia" w:cs="Calibri"/>
          <w:color w:val="404040" w:themeColor="text1" w:themeTint="BF"/>
          <w:sz w:val="20"/>
        </w:rPr>
        <w:t xml:space="preserve"> the Company </w:t>
      </w:r>
      <w:r>
        <w:rPr>
          <w:rFonts w:ascii="Georgia" w:hAnsi="Georgia" w:cs="Calibri"/>
          <w:color w:val="404040" w:themeColor="text1" w:themeTint="BF"/>
          <w:sz w:val="20"/>
        </w:rPr>
        <w:t xml:space="preserve">committed to </w:t>
      </w:r>
      <w:r w:rsidRPr="0060120A">
        <w:rPr>
          <w:rFonts w:ascii="Georgia" w:hAnsi="Georgia" w:cs="Calibri"/>
          <w:color w:val="404040" w:themeColor="text1" w:themeTint="BF"/>
          <w:sz w:val="20"/>
        </w:rPr>
        <w:t>procur</w:t>
      </w:r>
      <w:r>
        <w:rPr>
          <w:rFonts w:ascii="Georgia" w:hAnsi="Georgia" w:cs="Calibri"/>
          <w:color w:val="404040" w:themeColor="text1" w:themeTint="BF"/>
          <w:sz w:val="20"/>
        </w:rPr>
        <w:t>ing</w:t>
      </w:r>
      <w:r w:rsidRPr="0060120A">
        <w:rPr>
          <w:rFonts w:ascii="Georgia" w:hAnsi="Georgia" w:cs="Calibri"/>
          <w:color w:val="404040" w:themeColor="text1" w:themeTint="BF"/>
          <w:sz w:val="20"/>
        </w:rPr>
        <w:t xml:space="preserve"> a review of valuations by an independent expert </w:t>
      </w:r>
      <w:r>
        <w:rPr>
          <w:rFonts w:ascii="Georgia" w:hAnsi="Georgia" w:cs="Calibri"/>
          <w:color w:val="404040" w:themeColor="text1" w:themeTint="BF"/>
          <w:sz w:val="20"/>
        </w:rPr>
        <w:t>at such times as the Board deem</w:t>
      </w:r>
      <w:r w:rsidR="006620F0">
        <w:rPr>
          <w:rFonts w:ascii="Georgia" w:hAnsi="Georgia" w:cs="Calibri"/>
          <w:color w:val="404040" w:themeColor="text1" w:themeTint="BF"/>
          <w:sz w:val="20"/>
        </w:rPr>
        <w:t>s</w:t>
      </w:r>
      <w:r>
        <w:rPr>
          <w:rFonts w:ascii="Georgia" w:hAnsi="Georgia" w:cs="Calibri"/>
          <w:color w:val="404040" w:themeColor="text1" w:themeTint="BF"/>
          <w:sz w:val="20"/>
        </w:rPr>
        <w:t xml:space="preserve"> appropriate.</w:t>
      </w:r>
      <w:r w:rsidRPr="0060120A">
        <w:rPr>
          <w:rFonts w:ascii="Georgia" w:hAnsi="Georgia" w:cs="Calibri"/>
          <w:color w:val="404040" w:themeColor="text1" w:themeTint="BF"/>
          <w:sz w:val="20"/>
        </w:rPr>
        <w:t xml:space="preserve"> </w:t>
      </w:r>
    </w:p>
    <w:p w14:paraId="35E5767D" w14:textId="77777777" w:rsidR="00836BFB" w:rsidRDefault="00836BFB" w:rsidP="00836BFB">
      <w:pPr>
        <w:jc w:val="both"/>
        <w:rPr>
          <w:rFonts w:ascii="Georgia" w:hAnsi="Georgia" w:cs="Calibri"/>
          <w:color w:val="404040" w:themeColor="text1" w:themeTint="BF"/>
          <w:sz w:val="20"/>
        </w:rPr>
      </w:pPr>
    </w:p>
    <w:p w14:paraId="3EFF6131" w14:textId="7FC50807" w:rsidR="00836BFB" w:rsidRDefault="00836BFB" w:rsidP="00836BFB">
      <w:pPr>
        <w:jc w:val="both"/>
        <w:rPr>
          <w:rFonts w:ascii="Georgia" w:hAnsi="Georgia" w:cs="Calibri"/>
          <w:color w:val="404040" w:themeColor="text1" w:themeTint="BF"/>
          <w:sz w:val="20"/>
        </w:rPr>
      </w:pPr>
      <w:r w:rsidRPr="00394F92">
        <w:rPr>
          <w:rFonts w:ascii="Georgia" w:hAnsi="Georgia" w:cs="Calibri"/>
          <w:color w:val="404040" w:themeColor="text1" w:themeTint="BF"/>
          <w:sz w:val="20"/>
        </w:rPr>
        <w:t xml:space="preserve">Such an external review of valuation was undertaken by an independent third party for June </w:t>
      </w:r>
      <w:r w:rsidR="00F27152">
        <w:rPr>
          <w:rFonts w:ascii="Georgia" w:hAnsi="Georgia" w:cs="Calibri"/>
          <w:color w:val="404040" w:themeColor="text1" w:themeTint="BF"/>
          <w:sz w:val="20"/>
        </w:rPr>
        <w:t>2018</w:t>
      </w:r>
      <w:r w:rsidRPr="00394F92">
        <w:rPr>
          <w:rFonts w:ascii="Georgia" w:hAnsi="Georgia" w:cs="Calibri"/>
          <w:color w:val="404040" w:themeColor="text1" w:themeTint="BF"/>
          <w:sz w:val="20"/>
        </w:rPr>
        <w:t>.</w:t>
      </w:r>
      <w:r>
        <w:rPr>
          <w:rFonts w:ascii="Georgia" w:hAnsi="Georgia" w:cs="Calibri"/>
          <w:color w:val="404040" w:themeColor="text1" w:themeTint="BF"/>
          <w:sz w:val="20"/>
        </w:rPr>
        <w:t xml:space="preserve"> </w:t>
      </w:r>
    </w:p>
    <w:p w14:paraId="66406F16" w14:textId="77777777" w:rsidR="00836BFB" w:rsidRDefault="00836BFB" w:rsidP="00836BFB">
      <w:pPr>
        <w:jc w:val="both"/>
        <w:rPr>
          <w:rFonts w:ascii="Georgia" w:hAnsi="Georgia" w:cs="Calibri"/>
          <w:color w:val="404040" w:themeColor="text1" w:themeTint="BF"/>
          <w:sz w:val="20"/>
        </w:rPr>
      </w:pPr>
    </w:p>
    <w:p w14:paraId="50F29A79" w14:textId="5660E214" w:rsidR="00836BFB" w:rsidRDefault="00836BFB" w:rsidP="00836BFB">
      <w:pPr>
        <w:jc w:val="both"/>
        <w:rPr>
          <w:rFonts w:ascii="Georgia" w:hAnsi="Georgia" w:cs="Calibri"/>
          <w:color w:val="404040" w:themeColor="text1" w:themeTint="BF"/>
          <w:sz w:val="20"/>
        </w:rPr>
      </w:pPr>
      <w:r>
        <w:rPr>
          <w:rFonts w:ascii="Georgia" w:hAnsi="Georgia" w:cs="Calibri"/>
          <w:color w:val="404040" w:themeColor="text1" w:themeTint="BF"/>
          <w:sz w:val="20"/>
        </w:rPr>
        <w:t>T</w:t>
      </w:r>
      <w:r w:rsidRPr="0060120A">
        <w:rPr>
          <w:rFonts w:ascii="Georgia" w:hAnsi="Georgia" w:cs="Calibri"/>
          <w:color w:val="404040" w:themeColor="text1" w:themeTint="BF"/>
          <w:sz w:val="20"/>
        </w:rPr>
        <w:t>he Directors’ Valuation adopted for</w:t>
      </w:r>
      <w:r w:rsidR="00AF594D">
        <w:rPr>
          <w:rFonts w:ascii="Georgia" w:hAnsi="Georgia" w:cs="Calibri"/>
          <w:color w:val="404040" w:themeColor="text1" w:themeTint="BF"/>
          <w:sz w:val="20"/>
        </w:rPr>
        <w:t xml:space="preserve"> the portfolio as at 30 June 2020</w:t>
      </w:r>
      <w:r w:rsidRPr="0060120A">
        <w:rPr>
          <w:rFonts w:ascii="Georgia" w:hAnsi="Georgia" w:cs="Calibri"/>
          <w:color w:val="404040" w:themeColor="text1" w:themeTint="BF"/>
          <w:sz w:val="20"/>
        </w:rPr>
        <w:t xml:space="preserve"> </w:t>
      </w:r>
      <w:r w:rsidRPr="00C06634">
        <w:rPr>
          <w:rFonts w:ascii="Georgia" w:hAnsi="Georgia" w:cs="Calibri"/>
          <w:color w:val="404040" w:themeColor="text1" w:themeTint="BF"/>
          <w:sz w:val="20"/>
        </w:rPr>
        <w:t xml:space="preserve">was </w:t>
      </w:r>
      <w:r w:rsidR="00480CA5" w:rsidRPr="00C54D7A">
        <w:rPr>
          <w:rFonts w:ascii="Georgia" w:hAnsi="Georgia" w:cs="Calibri"/>
          <w:color w:val="404040" w:themeColor="text1" w:themeTint="BF"/>
          <w:sz w:val="20"/>
        </w:rPr>
        <w:t>£</w:t>
      </w:r>
      <w:r w:rsidR="00E60E5D">
        <w:rPr>
          <w:rFonts w:ascii="Georgia" w:hAnsi="Georgia" w:cs="Calibri"/>
          <w:color w:val="404040" w:themeColor="text1" w:themeTint="BF"/>
          <w:sz w:val="20"/>
        </w:rPr>
        <w:t>624.3</w:t>
      </w:r>
      <w:r w:rsidRPr="00C54D7A">
        <w:rPr>
          <w:rFonts w:ascii="Georgia" w:hAnsi="Georgia" w:cs="Calibri"/>
          <w:color w:val="404040" w:themeColor="text1" w:themeTint="BF"/>
          <w:sz w:val="20"/>
        </w:rPr>
        <w:t>m</w:t>
      </w:r>
      <w:r>
        <w:rPr>
          <w:rFonts w:ascii="Georgia" w:hAnsi="Georgia" w:cs="Calibri"/>
          <w:color w:val="404040" w:themeColor="text1" w:themeTint="BF"/>
          <w:sz w:val="20"/>
        </w:rPr>
        <w:t xml:space="preserve"> (</w:t>
      </w:r>
      <w:r w:rsidRPr="00016507">
        <w:rPr>
          <w:rFonts w:ascii="Georgia" w:hAnsi="Georgia" w:cs="Calibri"/>
          <w:color w:val="404040" w:themeColor="text1" w:themeTint="BF"/>
          <w:sz w:val="20"/>
        </w:rPr>
        <w:t>Note 8</w:t>
      </w:r>
      <w:r>
        <w:rPr>
          <w:rFonts w:ascii="Georgia" w:hAnsi="Georgia" w:cs="Calibri"/>
          <w:color w:val="404040" w:themeColor="text1" w:themeTint="BF"/>
          <w:sz w:val="20"/>
        </w:rPr>
        <w:t xml:space="preserve"> of the financial statements), </w:t>
      </w:r>
      <w:r w:rsidRPr="00C06634">
        <w:rPr>
          <w:rFonts w:ascii="Georgia" w:hAnsi="Georgia" w:cs="Calibri"/>
          <w:color w:val="404040" w:themeColor="text1" w:themeTint="BF"/>
          <w:sz w:val="20"/>
        </w:rPr>
        <w:t xml:space="preserve">representing a </w:t>
      </w:r>
      <w:r w:rsidRPr="00C54D7A">
        <w:rPr>
          <w:rFonts w:ascii="Georgia" w:hAnsi="Georgia" w:cs="Calibri"/>
          <w:color w:val="404040" w:themeColor="text1" w:themeTint="BF"/>
          <w:sz w:val="20"/>
        </w:rPr>
        <w:t xml:space="preserve">cumulative </w:t>
      </w:r>
      <w:r w:rsidR="00E60E5D">
        <w:rPr>
          <w:rFonts w:ascii="Georgia" w:hAnsi="Georgia" w:cs="Calibri"/>
          <w:color w:val="404040" w:themeColor="text1" w:themeTint="BF"/>
          <w:sz w:val="20"/>
        </w:rPr>
        <w:t>10.96</w:t>
      </w:r>
      <w:r w:rsidRPr="00C54D7A">
        <w:rPr>
          <w:rFonts w:ascii="Georgia" w:hAnsi="Georgia" w:cs="Calibri"/>
          <w:color w:val="404040" w:themeColor="text1" w:themeTint="BF"/>
          <w:sz w:val="20"/>
        </w:rPr>
        <w:t>%</w:t>
      </w:r>
      <w:r w:rsidRPr="00A45B45">
        <w:rPr>
          <w:rFonts w:ascii="Georgia" w:hAnsi="Georgia" w:cs="Calibri"/>
          <w:color w:val="404040" w:themeColor="text1" w:themeTint="BF"/>
          <w:sz w:val="20"/>
        </w:rPr>
        <w:t xml:space="preserve"> uplift</w:t>
      </w:r>
      <w:r w:rsidRPr="00932366">
        <w:rPr>
          <w:rFonts w:ascii="Georgia" w:hAnsi="Georgia" w:cs="Calibri"/>
          <w:color w:val="404040" w:themeColor="text1" w:themeTint="BF"/>
          <w:sz w:val="20"/>
        </w:rPr>
        <w:t xml:space="preserve"> on investment cost, derived from a combination of income generated within the investments and revaluati</w:t>
      </w:r>
      <w:r w:rsidR="00582233">
        <w:rPr>
          <w:rFonts w:ascii="Georgia" w:hAnsi="Georgia" w:cs="Calibri"/>
          <w:color w:val="404040" w:themeColor="text1" w:themeTint="BF"/>
          <w:sz w:val="20"/>
        </w:rPr>
        <w:t>on uplift under discounted cash</w:t>
      </w:r>
      <w:r w:rsidR="00C54D79">
        <w:rPr>
          <w:rFonts w:ascii="Georgia" w:hAnsi="Georgia" w:cs="Calibri"/>
          <w:color w:val="404040" w:themeColor="text1" w:themeTint="BF"/>
          <w:sz w:val="20"/>
        </w:rPr>
        <w:t xml:space="preserve"> </w:t>
      </w:r>
      <w:r w:rsidRPr="00932366">
        <w:rPr>
          <w:rFonts w:ascii="Georgia" w:hAnsi="Georgia" w:cs="Calibri"/>
          <w:color w:val="404040" w:themeColor="text1" w:themeTint="BF"/>
          <w:sz w:val="20"/>
        </w:rPr>
        <w:t>flow methodology.</w:t>
      </w:r>
      <w:r>
        <w:rPr>
          <w:rFonts w:ascii="Georgia" w:hAnsi="Georgia" w:cs="Calibri"/>
          <w:color w:val="404040" w:themeColor="text1" w:themeTint="BF"/>
          <w:sz w:val="20"/>
        </w:rPr>
        <w:t xml:space="preserve"> </w:t>
      </w:r>
    </w:p>
    <w:p w14:paraId="061CFAFD" w14:textId="77777777" w:rsidR="00836BFB" w:rsidRDefault="00836BFB" w:rsidP="00836BFB">
      <w:pPr>
        <w:jc w:val="both"/>
        <w:rPr>
          <w:rFonts w:ascii="Georgia" w:hAnsi="Georgia" w:cs="Calibri"/>
          <w:color w:val="404040" w:themeColor="text1" w:themeTint="BF"/>
          <w:sz w:val="20"/>
        </w:rPr>
      </w:pPr>
    </w:p>
    <w:p w14:paraId="20D56606" w14:textId="77777777" w:rsidR="00836BFB" w:rsidRDefault="00836BFB" w:rsidP="00836BFB">
      <w:pPr>
        <w:jc w:val="both"/>
        <w:rPr>
          <w:rFonts w:ascii="Georgia" w:hAnsi="Georgia" w:cs="Calibri"/>
          <w:color w:val="404040" w:themeColor="text1" w:themeTint="BF"/>
          <w:sz w:val="20"/>
        </w:rPr>
      </w:pPr>
      <w:r>
        <w:rPr>
          <w:rFonts w:ascii="Georgia" w:hAnsi="Georgia" w:cs="Calibri"/>
          <w:color w:val="404040" w:themeColor="text1" w:themeTint="BF"/>
          <w:sz w:val="20"/>
        </w:rPr>
        <w:t>The Board reviews and considers the recommendations of the Investment Adviser to form an opinion of the fair value of the Company’s investments.</w:t>
      </w:r>
    </w:p>
    <w:p w14:paraId="35B7AACE" w14:textId="77777777" w:rsidR="00836BFB" w:rsidRDefault="00836BFB" w:rsidP="00836BFB">
      <w:pPr>
        <w:jc w:val="both"/>
        <w:rPr>
          <w:rFonts w:ascii="Georgia" w:hAnsi="Georgia" w:cs="Calibri"/>
          <w:color w:val="404040" w:themeColor="text1" w:themeTint="BF"/>
          <w:sz w:val="20"/>
        </w:rPr>
      </w:pPr>
    </w:p>
    <w:p w14:paraId="62206445" w14:textId="77777777" w:rsidR="00836BFB" w:rsidRPr="0060120A" w:rsidRDefault="00836BFB" w:rsidP="00836BFB">
      <w:pPr>
        <w:jc w:val="both"/>
        <w:rPr>
          <w:rFonts w:ascii="Georgia" w:hAnsi="Georgia" w:cs="Calibri"/>
          <w:color w:val="404040" w:themeColor="text1" w:themeTint="BF"/>
          <w:sz w:val="20"/>
        </w:rPr>
      </w:pPr>
      <w:r w:rsidRPr="0060120A">
        <w:rPr>
          <w:rFonts w:ascii="Georgia" w:hAnsi="Georgia" w:cs="Calibri"/>
          <w:color w:val="404040" w:themeColor="text1" w:themeTint="BF"/>
          <w:sz w:val="20"/>
        </w:rPr>
        <w:t>A detailed analysis of the</w:t>
      </w:r>
      <w:r>
        <w:rPr>
          <w:rFonts w:ascii="Georgia" w:hAnsi="Georgia" w:cs="Calibri"/>
          <w:color w:val="404040" w:themeColor="text1" w:themeTint="BF"/>
          <w:sz w:val="20"/>
        </w:rPr>
        <w:t xml:space="preserve"> </w:t>
      </w:r>
      <w:r w:rsidRPr="0060120A">
        <w:rPr>
          <w:rFonts w:ascii="Georgia" w:hAnsi="Georgia" w:cs="Calibri"/>
          <w:color w:val="404040" w:themeColor="text1" w:themeTint="BF"/>
          <w:sz w:val="20"/>
        </w:rPr>
        <w:t>Directors’ Valuation is presented in the Report of the Investment Adviser.</w:t>
      </w:r>
    </w:p>
    <w:p w14:paraId="0FB39731" w14:textId="77777777" w:rsidR="00836BFB" w:rsidRDefault="00836BFB" w:rsidP="00836BFB">
      <w:pPr>
        <w:rPr>
          <w:rFonts w:ascii="Georgia" w:hAnsi="Georgia"/>
          <w:sz w:val="20"/>
          <w:szCs w:val="20"/>
        </w:rPr>
      </w:pPr>
    </w:p>
    <w:p w14:paraId="77BBEA65" w14:textId="77777777" w:rsidR="00836BFB" w:rsidRPr="001356C5" w:rsidRDefault="00836BFB" w:rsidP="000916C2">
      <w:pPr>
        <w:pStyle w:val="ListParagraph"/>
        <w:numPr>
          <w:ilvl w:val="0"/>
          <w:numId w:val="10"/>
        </w:numPr>
        <w:tabs>
          <w:tab w:val="left" w:pos="540"/>
        </w:tabs>
        <w:spacing w:after="200" w:line="276" w:lineRule="auto"/>
        <w:ind w:left="426" w:hanging="426"/>
        <w:jc w:val="both"/>
        <w:rPr>
          <w:rFonts w:ascii="Georgia" w:hAnsi="Georgia" w:cs="Calibri"/>
          <w:b/>
          <w:color w:val="404040" w:themeColor="text1" w:themeTint="BF"/>
          <w:sz w:val="20"/>
        </w:rPr>
      </w:pPr>
      <w:r w:rsidRPr="001356C5">
        <w:rPr>
          <w:rFonts w:ascii="Georgia" w:hAnsi="Georgia" w:cs="Calibri"/>
          <w:b/>
          <w:color w:val="404040" w:themeColor="text1" w:themeTint="BF"/>
          <w:sz w:val="20"/>
        </w:rPr>
        <w:t xml:space="preserve">Principal Risks and Uncertainties </w:t>
      </w:r>
    </w:p>
    <w:p w14:paraId="7F1C1C59" w14:textId="77777777" w:rsidR="00836BFB" w:rsidRDefault="00836BFB" w:rsidP="00836BFB">
      <w:pPr>
        <w:jc w:val="both"/>
        <w:rPr>
          <w:rFonts w:ascii="Georgia" w:hAnsi="Georgia" w:cs="Calibri"/>
          <w:color w:val="404040" w:themeColor="text1" w:themeTint="BF"/>
          <w:sz w:val="20"/>
        </w:rPr>
      </w:pPr>
      <w:r w:rsidRPr="00037678">
        <w:rPr>
          <w:rFonts w:ascii="Georgia" w:hAnsi="Georgia" w:cs="Calibri"/>
          <w:color w:val="404040" w:themeColor="text1" w:themeTint="BF"/>
          <w:sz w:val="20"/>
        </w:rPr>
        <w:t xml:space="preserve">Under the FCA’s Disclosure </w:t>
      </w:r>
      <w:r>
        <w:rPr>
          <w:rFonts w:ascii="Georgia" w:hAnsi="Georgia" w:cs="Calibri"/>
          <w:color w:val="404040" w:themeColor="text1" w:themeTint="BF"/>
          <w:sz w:val="20"/>
        </w:rPr>
        <w:t xml:space="preserve">Guidance </w:t>
      </w:r>
      <w:r w:rsidRPr="00037678">
        <w:rPr>
          <w:rFonts w:ascii="Georgia" w:hAnsi="Georgia" w:cs="Calibri"/>
          <w:color w:val="404040" w:themeColor="text1" w:themeTint="BF"/>
          <w:sz w:val="20"/>
        </w:rPr>
        <w:t xml:space="preserve">and Transparency Rules, the </w:t>
      </w:r>
      <w:r>
        <w:rPr>
          <w:rFonts w:ascii="Georgia" w:hAnsi="Georgia" w:cs="Calibri"/>
          <w:color w:val="404040" w:themeColor="text1" w:themeTint="BF"/>
          <w:sz w:val="20"/>
        </w:rPr>
        <w:t>Board is</w:t>
      </w:r>
      <w:r w:rsidRPr="00037678">
        <w:rPr>
          <w:rFonts w:ascii="Georgia" w:hAnsi="Georgia" w:cs="Calibri"/>
          <w:color w:val="404040" w:themeColor="text1" w:themeTint="BF"/>
          <w:sz w:val="20"/>
        </w:rPr>
        <w:t xml:space="preserve"> required to identify those m</w:t>
      </w:r>
      <w:r>
        <w:rPr>
          <w:rFonts w:ascii="Georgia" w:hAnsi="Georgia" w:cs="Calibri"/>
          <w:color w:val="404040" w:themeColor="text1" w:themeTint="BF"/>
          <w:sz w:val="20"/>
        </w:rPr>
        <w:t>aterial risks to which the Company</w:t>
      </w:r>
      <w:r w:rsidRPr="00037678">
        <w:rPr>
          <w:rFonts w:ascii="Georgia" w:hAnsi="Georgia" w:cs="Calibri"/>
          <w:color w:val="404040" w:themeColor="text1" w:themeTint="BF"/>
          <w:sz w:val="20"/>
        </w:rPr>
        <w:t xml:space="preserve"> is exposed and take appropriate steps to mitigate those risks.</w:t>
      </w:r>
    </w:p>
    <w:p w14:paraId="747885AE" w14:textId="77777777" w:rsidR="00836BFB" w:rsidRPr="00037678" w:rsidRDefault="00836BFB" w:rsidP="00836BFB">
      <w:pPr>
        <w:jc w:val="both"/>
        <w:rPr>
          <w:rFonts w:ascii="Georgia" w:hAnsi="Georgia" w:cs="Calibri"/>
          <w:color w:val="404040" w:themeColor="text1" w:themeTint="BF"/>
          <w:sz w:val="20"/>
        </w:rPr>
      </w:pPr>
    </w:p>
    <w:p w14:paraId="4EAD4E16" w14:textId="77777777" w:rsidR="00836BFB" w:rsidRDefault="00836BFB" w:rsidP="00836BFB">
      <w:pPr>
        <w:jc w:val="both"/>
        <w:rPr>
          <w:rFonts w:ascii="Georgia" w:hAnsi="Georgia" w:cs="Calibri"/>
          <w:color w:val="404040" w:themeColor="text1" w:themeTint="BF"/>
          <w:sz w:val="20"/>
        </w:rPr>
      </w:pPr>
      <w:r w:rsidRPr="00037678">
        <w:rPr>
          <w:rFonts w:ascii="Georgia" w:hAnsi="Georgia" w:cs="Calibri"/>
          <w:color w:val="404040" w:themeColor="text1" w:themeTint="BF"/>
          <w:sz w:val="20"/>
        </w:rPr>
        <w:t>These inherent risks associated with investments in the solar energy sector could result in a mate</w:t>
      </w:r>
      <w:r>
        <w:rPr>
          <w:rFonts w:ascii="Georgia" w:hAnsi="Georgia" w:cs="Calibri"/>
          <w:color w:val="404040" w:themeColor="text1" w:themeTint="BF"/>
          <w:sz w:val="20"/>
        </w:rPr>
        <w:t>rial adverse effect on the Company</w:t>
      </w:r>
      <w:r w:rsidRPr="00037678">
        <w:rPr>
          <w:rFonts w:ascii="Georgia" w:hAnsi="Georgia" w:cs="Calibri"/>
          <w:color w:val="404040" w:themeColor="text1" w:themeTint="BF"/>
          <w:sz w:val="20"/>
        </w:rPr>
        <w:t>’s performance and value of Ordinary Shares.</w:t>
      </w:r>
    </w:p>
    <w:p w14:paraId="69996ECB" w14:textId="77777777" w:rsidR="00836BFB" w:rsidRPr="00037678" w:rsidRDefault="00836BFB" w:rsidP="00836BFB">
      <w:pPr>
        <w:jc w:val="both"/>
        <w:rPr>
          <w:rFonts w:ascii="Georgia" w:hAnsi="Georgia" w:cs="Calibri"/>
          <w:color w:val="404040" w:themeColor="text1" w:themeTint="BF"/>
          <w:sz w:val="20"/>
        </w:rPr>
      </w:pPr>
    </w:p>
    <w:p w14:paraId="3E3C428E" w14:textId="5192B280" w:rsidR="00836BFB" w:rsidRPr="00A86031" w:rsidRDefault="003742F1" w:rsidP="00836BFB">
      <w:pPr>
        <w:autoSpaceDE w:val="0"/>
        <w:autoSpaceDN w:val="0"/>
        <w:adjustRightInd w:val="0"/>
        <w:spacing w:after="200" w:line="276" w:lineRule="auto"/>
        <w:jc w:val="both"/>
        <w:rPr>
          <w:rFonts w:ascii="Georgia" w:eastAsiaTheme="minorHAnsi" w:hAnsi="Georgia" w:cs="Calibri"/>
          <w:color w:val="404040" w:themeColor="text1" w:themeTint="BF"/>
          <w:sz w:val="20"/>
          <w:szCs w:val="22"/>
        </w:rPr>
      </w:pPr>
      <w:r>
        <w:rPr>
          <w:rFonts w:ascii="Georgia" w:eastAsiaTheme="minorHAnsi" w:hAnsi="Georgia" w:cs="Calibri"/>
          <w:color w:val="404040" w:themeColor="text1" w:themeTint="BF"/>
          <w:sz w:val="20"/>
          <w:szCs w:val="22"/>
        </w:rPr>
        <w:t xml:space="preserve">The </w:t>
      </w:r>
      <w:r w:rsidR="00C0723E">
        <w:rPr>
          <w:rFonts w:ascii="Georgia" w:eastAsiaTheme="minorHAnsi" w:hAnsi="Georgia" w:cs="Calibri"/>
          <w:color w:val="404040" w:themeColor="text1" w:themeTint="BF"/>
          <w:sz w:val="20"/>
          <w:szCs w:val="22"/>
        </w:rPr>
        <w:t>Company’s</w:t>
      </w:r>
      <w:r w:rsidR="00836BFB" w:rsidRPr="00A86031">
        <w:rPr>
          <w:rFonts w:ascii="Georgia" w:eastAsiaTheme="minorHAnsi" w:hAnsi="Georgia" w:cs="Calibri"/>
          <w:color w:val="404040" w:themeColor="text1" w:themeTint="BF"/>
          <w:sz w:val="20"/>
          <w:szCs w:val="22"/>
        </w:rPr>
        <w:t xml:space="preserve"> risk register covers </w:t>
      </w:r>
      <w:r w:rsidR="00582233">
        <w:rPr>
          <w:rFonts w:ascii="Georgia" w:eastAsiaTheme="minorHAnsi" w:hAnsi="Georgia" w:cs="Calibri"/>
          <w:color w:val="404040" w:themeColor="text1" w:themeTint="BF"/>
          <w:sz w:val="20"/>
          <w:szCs w:val="22"/>
        </w:rPr>
        <w:t>six</w:t>
      </w:r>
      <w:r w:rsidR="00836BFB" w:rsidRPr="00A86031">
        <w:rPr>
          <w:rFonts w:ascii="Georgia" w:eastAsiaTheme="minorHAnsi" w:hAnsi="Georgia" w:cs="Calibri"/>
          <w:color w:val="404040" w:themeColor="text1" w:themeTint="BF"/>
          <w:sz w:val="20"/>
          <w:szCs w:val="22"/>
        </w:rPr>
        <w:t xml:space="preserve"> main areas of risk:</w:t>
      </w:r>
    </w:p>
    <w:p w14:paraId="28D20F23" w14:textId="77777777" w:rsidR="00836BFB" w:rsidRDefault="00836BFB" w:rsidP="000916C2">
      <w:pPr>
        <w:pStyle w:val="ListParagraph"/>
        <w:numPr>
          <w:ilvl w:val="0"/>
          <w:numId w:val="11"/>
        </w:numPr>
        <w:autoSpaceDE w:val="0"/>
        <w:autoSpaceDN w:val="0"/>
        <w:adjustRightInd w:val="0"/>
        <w:spacing w:after="200" w:line="276" w:lineRule="auto"/>
        <w:ind w:left="720"/>
        <w:jc w:val="both"/>
        <w:rPr>
          <w:rFonts w:ascii="Georgia" w:hAnsi="Georgia" w:cs="Calibri"/>
          <w:color w:val="404040" w:themeColor="text1" w:themeTint="BF"/>
          <w:sz w:val="20"/>
        </w:rPr>
      </w:pPr>
      <w:r w:rsidRPr="0024470F">
        <w:rPr>
          <w:rFonts w:ascii="Georgia" w:hAnsi="Georgia" w:cs="Calibri"/>
          <w:color w:val="404040" w:themeColor="text1" w:themeTint="BF"/>
          <w:sz w:val="20"/>
        </w:rPr>
        <w:t>Portfolio Management;</w:t>
      </w:r>
    </w:p>
    <w:p w14:paraId="1D9B8B7B" w14:textId="77777777" w:rsidR="00836BFB" w:rsidRDefault="00836BFB" w:rsidP="000916C2">
      <w:pPr>
        <w:pStyle w:val="ListParagraph"/>
        <w:numPr>
          <w:ilvl w:val="0"/>
          <w:numId w:val="11"/>
        </w:numPr>
        <w:autoSpaceDE w:val="0"/>
        <w:autoSpaceDN w:val="0"/>
        <w:adjustRightInd w:val="0"/>
        <w:spacing w:after="200" w:line="276" w:lineRule="auto"/>
        <w:ind w:left="720"/>
        <w:jc w:val="both"/>
        <w:rPr>
          <w:rFonts w:ascii="Georgia" w:hAnsi="Georgia" w:cs="Calibri"/>
          <w:color w:val="404040" w:themeColor="text1" w:themeTint="BF"/>
          <w:sz w:val="20"/>
        </w:rPr>
      </w:pPr>
      <w:r w:rsidRPr="00132D27">
        <w:rPr>
          <w:rFonts w:ascii="Georgia" w:hAnsi="Georgia" w:cs="Calibri"/>
          <w:color w:val="404040" w:themeColor="text1" w:themeTint="BF"/>
          <w:sz w:val="20"/>
        </w:rPr>
        <w:t>Operational;</w:t>
      </w:r>
    </w:p>
    <w:p w14:paraId="7342B862" w14:textId="16CDAC59" w:rsidR="00836BFB" w:rsidRDefault="00F27152" w:rsidP="000916C2">
      <w:pPr>
        <w:pStyle w:val="ListParagraph"/>
        <w:numPr>
          <w:ilvl w:val="0"/>
          <w:numId w:val="11"/>
        </w:numPr>
        <w:autoSpaceDE w:val="0"/>
        <w:autoSpaceDN w:val="0"/>
        <w:adjustRightInd w:val="0"/>
        <w:spacing w:after="200" w:line="276" w:lineRule="auto"/>
        <w:ind w:left="720"/>
        <w:jc w:val="both"/>
        <w:rPr>
          <w:rFonts w:ascii="Georgia" w:hAnsi="Georgia" w:cs="Calibri"/>
          <w:color w:val="404040" w:themeColor="text1" w:themeTint="BF"/>
          <w:sz w:val="20"/>
        </w:rPr>
      </w:pPr>
      <w:r>
        <w:rPr>
          <w:rFonts w:ascii="Georgia" w:hAnsi="Georgia" w:cs="Calibri"/>
          <w:color w:val="404040" w:themeColor="text1" w:themeTint="BF"/>
          <w:sz w:val="20"/>
        </w:rPr>
        <w:t xml:space="preserve">Regulatory; </w:t>
      </w:r>
    </w:p>
    <w:p w14:paraId="61A88B79" w14:textId="7C0AF355" w:rsidR="00836BFB" w:rsidRDefault="00F27152" w:rsidP="000916C2">
      <w:pPr>
        <w:pStyle w:val="ListParagraph"/>
        <w:numPr>
          <w:ilvl w:val="0"/>
          <w:numId w:val="11"/>
        </w:numPr>
        <w:autoSpaceDE w:val="0"/>
        <w:autoSpaceDN w:val="0"/>
        <w:adjustRightInd w:val="0"/>
        <w:spacing w:after="200" w:line="276" w:lineRule="auto"/>
        <w:ind w:left="720"/>
        <w:jc w:val="both"/>
        <w:rPr>
          <w:rFonts w:ascii="Georgia" w:hAnsi="Georgia" w:cs="Calibri"/>
          <w:color w:val="404040" w:themeColor="text1" w:themeTint="BF"/>
          <w:sz w:val="20"/>
        </w:rPr>
      </w:pPr>
      <w:r>
        <w:rPr>
          <w:rFonts w:ascii="Georgia" w:hAnsi="Georgia" w:cs="Calibri"/>
          <w:color w:val="404040" w:themeColor="text1" w:themeTint="BF"/>
          <w:sz w:val="20"/>
        </w:rPr>
        <w:t>External;</w:t>
      </w:r>
    </w:p>
    <w:p w14:paraId="4B25F685" w14:textId="60CDAA4F" w:rsidR="00F27152" w:rsidRDefault="00F27152" w:rsidP="000916C2">
      <w:pPr>
        <w:pStyle w:val="ListParagraph"/>
        <w:numPr>
          <w:ilvl w:val="0"/>
          <w:numId w:val="11"/>
        </w:numPr>
        <w:autoSpaceDE w:val="0"/>
        <w:autoSpaceDN w:val="0"/>
        <w:adjustRightInd w:val="0"/>
        <w:spacing w:after="200" w:line="276" w:lineRule="auto"/>
        <w:ind w:left="720"/>
        <w:jc w:val="both"/>
        <w:rPr>
          <w:rFonts w:ascii="Georgia" w:hAnsi="Georgia" w:cs="Calibri"/>
          <w:color w:val="404040" w:themeColor="text1" w:themeTint="BF"/>
          <w:sz w:val="20"/>
        </w:rPr>
      </w:pPr>
      <w:r>
        <w:rPr>
          <w:rFonts w:ascii="Georgia" w:hAnsi="Georgia" w:cs="Calibri"/>
          <w:color w:val="404040" w:themeColor="text1" w:themeTint="BF"/>
          <w:sz w:val="20"/>
        </w:rPr>
        <w:t>Reputational;</w:t>
      </w:r>
      <w:r w:rsidR="003354B8">
        <w:rPr>
          <w:rFonts w:ascii="Georgia" w:hAnsi="Georgia" w:cs="Calibri"/>
          <w:color w:val="404040" w:themeColor="text1" w:themeTint="BF"/>
          <w:sz w:val="20"/>
        </w:rPr>
        <w:t xml:space="preserve"> and</w:t>
      </w:r>
    </w:p>
    <w:p w14:paraId="0EA836A2" w14:textId="733F9735" w:rsidR="00F27152" w:rsidRPr="00132D27" w:rsidRDefault="002F593E" w:rsidP="000916C2">
      <w:pPr>
        <w:pStyle w:val="ListParagraph"/>
        <w:numPr>
          <w:ilvl w:val="0"/>
          <w:numId w:val="11"/>
        </w:numPr>
        <w:autoSpaceDE w:val="0"/>
        <w:autoSpaceDN w:val="0"/>
        <w:adjustRightInd w:val="0"/>
        <w:spacing w:after="200" w:line="276" w:lineRule="auto"/>
        <w:ind w:left="720"/>
        <w:jc w:val="both"/>
        <w:rPr>
          <w:rFonts w:ascii="Georgia" w:hAnsi="Georgia" w:cs="Calibri"/>
          <w:color w:val="404040" w:themeColor="text1" w:themeTint="BF"/>
          <w:sz w:val="20"/>
        </w:rPr>
      </w:pPr>
      <w:r>
        <w:rPr>
          <w:rFonts w:ascii="Georgia" w:hAnsi="Georgia" w:cs="Calibri"/>
          <w:color w:val="404040" w:themeColor="text1" w:themeTint="BF"/>
          <w:sz w:val="20"/>
        </w:rPr>
        <w:t>Covid</w:t>
      </w:r>
      <w:r w:rsidR="00414180">
        <w:rPr>
          <w:rFonts w:ascii="Georgia" w:hAnsi="Georgia" w:cs="Calibri"/>
          <w:color w:val="404040" w:themeColor="text1" w:themeTint="BF"/>
          <w:sz w:val="20"/>
        </w:rPr>
        <w:t>-19 p</w:t>
      </w:r>
      <w:r w:rsidR="00EF7D11">
        <w:rPr>
          <w:rFonts w:ascii="Georgia" w:hAnsi="Georgia" w:cs="Calibri"/>
          <w:color w:val="404040" w:themeColor="text1" w:themeTint="BF"/>
          <w:sz w:val="20"/>
        </w:rPr>
        <w:t>andemic.</w:t>
      </w:r>
    </w:p>
    <w:p w14:paraId="19FB952C" w14:textId="599B294E" w:rsidR="00836BFB" w:rsidRPr="00037678" w:rsidRDefault="00836BFB" w:rsidP="00836BFB">
      <w:pPr>
        <w:jc w:val="both"/>
        <w:rPr>
          <w:rFonts w:ascii="Georgia" w:hAnsi="Georgia" w:cs="Calibri"/>
          <w:color w:val="404040" w:themeColor="text1" w:themeTint="BF"/>
          <w:sz w:val="20"/>
        </w:rPr>
      </w:pPr>
      <w:r w:rsidRPr="00037678">
        <w:rPr>
          <w:rFonts w:ascii="Georgia" w:hAnsi="Georgia" w:cs="Calibri"/>
          <w:color w:val="404040" w:themeColor="text1" w:themeTint="BF"/>
          <w:sz w:val="20"/>
        </w:rPr>
        <w:t xml:space="preserve">Each of these areas, together with the principal risks </w:t>
      </w:r>
      <w:r w:rsidR="006620F0">
        <w:rPr>
          <w:rFonts w:ascii="Georgia" w:hAnsi="Georgia" w:cs="Calibri"/>
          <w:color w:val="404040" w:themeColor="text1" w:themeTint="BF"/>
          <w:sz w:val="20"/>
        </w:rPr>
        <w:t xml:space="preserve">associated </w:t>
      </w:r>
      <w:r w:rsidRPr="00037678">
        <w:rPr>
          <w:rFonts w:ascii="Georgia" w:hAnsi="Georgia" w:cs="Calibri"/>
          <w:color w:val="404040" w:themeColor="text1" w:themeTint="BF"/>
          <w:sz w:val="20"/>
        </w:rPr>
        <w:t xml:space="preserve">with that category, </w:t>
      </w:r>
      <w:r>
        <w:rPr>
          <w:rFonts w:ascii="Georgia" w:hAnsi="Georgia" w:cs="Calibri"/>
          <w:color w:val="404040" w:themeColor="text1" w:themeTint="BF"/>
          <w:sz w:val="20"/>
        </w:rPr>
        <w:t>is</w:t>
      </w:r>
      <w:r w:rsidRPr="00037678">
        <w:rPr>
          <w:rFonts w:ascii="Georgia" w:hAnsi="Georgia" w:cs="Calibri"/>
          <w:color w:val="404040" w:themeColor="text1" w:themeTint="BF"/>
          <w:sz w:val="20"/>
        </w:rPr>
        <w:t xml:space="preserve"> summarised in the table below and include</w:t>
      </w:r>
      <w:r w:rsidR="00EF7D11">
        <w:rPr>
          <w:rFonts w:ascii="Georgia" w:hAnsi="Georgia" w:cs="Calibri"/>
          <w:color w:val="404040" w:themeColor="text1" w:themeTint="BF"/>
          <w:sz w:val="20"/>
        </w:rPr>
        <w:t>s</w:t>
      </w:r>
      <w:r w:rsidRPr="00037678">
        <w:rPr>
          <w:rFonts w:ascii="Georgia" w:hAnsi="Georgia" w:cs="Calibri"/>
          <w:color w:val="404040" w:themeColor="text1" w:themeTint="BF"/>
          <w:sz w:val="20"/>
        </w:rPr>
        <w:t xml:space="preserve"> commentary on the mitigating factors.</w:t>
      </w:r>
      <w:r>
        <w:rPr>
          <w:rFonts w:ascii="Georgia" w:hAnsi="Georgia" w:cs="Calibri"/>
          <w:color w:val="404040" w:themeColor="text1" w:themeTint="BF"/>
          <w:sz w:val="20"/>
        </w:rPr>
        <w:t xml:space="preserve">  The list is a subset of a much larger set of risks which the Board review on a regular basis.</w:t>
      </w:r>
    </w:p>
    <w:p w14:paraId="63968842"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20F62C90"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1F1848F6"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01B3C523"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689E72EE"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21ABFC8A"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5E041013"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5CE98FDA"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00A60CCD" w14:textId="0F3A4ED9"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76994387" w14:textId="77777777" w:rsidR="00836BFB"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p>
    <w:p w14:paraId="70C09371" w14:textId="77777777" w:rsidR="00836BFB" w:rsidRPr="0097068C" w:rsidRDefault="00836BFB" w:rsidP="00836BFB">
      <w:pPr>
        <w:pStyle w:val="ListParagraph"/>
        <w:tabs>
          <w:tab w:val="left" w:pos="2434"/>
        </w:tabs>
        <w:spacing w:after="200" w:line="276" w:lineRule="auto"/>
        <w:ind w:left="0"/>
        <w:jc w:val="both"/>
        <w:rPr>
          <w:rFonts w:ascii="Georgia" w:hAnsi="Georgia" w:cs="Calibri"/>
          <w:color w:val="404040" w:themeColor="text1" w:themeTint="BF"/>
          <w:sz w:val="20"/>
        </w:rPr>
      </w:pPr>
      <w:r>
        <w:rPr>
          <w:rFonts w:ascii="Georgia" w:hAnsi="Georgia" w:cs="Calibri"/>
          <w:color w:val="404040" w:themeColor="text1" w:themeTint="BF"/>
          <w:sz w:val="20"/>
        </w:rPr>
        <w:tab/>
      </w:r>
    </w:p>
    <w:p w14:paraId="26E54A91" w14:textId="34589E29" w:rsidR="00836BFB" w:rsidRDefault="00836BFB" w:rsidP="00836BFB">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 Directors’ Valuation is an alternative performance measure to show the gross value of the SPV investments held by BSIFIL, incl</w:t>
      </w:r>
      <w:r w:rsidR="003742F1">
        <w:rPr>
          <w:rFonts w:ascii="Georgia" w:hAnsi="Georgia"/>
          <w:color w:val="404040" w:themeColor="text1" w:themeTint="BF"/>
          <w:sz w:val="20"/>
          <w:szCs w:val="20"/>
        </w:rPr>
        <w:t xml:space="preserve">uding their holding companies. </w:t>
      </w:r>
      <w:r>
        <w:rPr>
          <w:rFonts w:ascii="Georgia" w:hAnsi="Georgia"/>
          <w:color w:val="404040" w:themeColor="text1" w:themeTint="BF"/>
          <w:sz w:val="20"/>
          <w:szCs w:val="20"/>
        </w:rPr>
        <w:t xml:space="preserve">A reconciliation of the Directors’ Valuation to Financial assets at fair value through profit and loss is shown in </w:t>
      </w:r>
      <w:r w:rsidRPr="0040148B">
        <w:rPr>
          <w:rFonts w:ascii="Georgia" w:hAnsi="Georgia"/>
          <w:color w:val="404040" w:themeColor="text1" w:themeTint="BF"/>
          <w:sz w:val="20"/>
          <w:szCs w:val="20"/>
        </w:rPr>
        <w:t>Note 8</w:t>
      </w:r>
      <w:r>
        <w:rPr>
          <w:rFonts w:ascii="Georgia" w:hAnsi="Georgia"/>
          <w:color w:val="404040" w:themeColor="text1" w:themeTint="BF"/>
          <w:sz w:val="20"/>
          <w:szCs w:val="20"/>
        </w:rPr>
        <w:t xml:space="preserve"> of the financial statements.</w:t>
      </w:r>
    </w:p>
    <w:p w14:paraId="554F644B" w14:textId="77777777" w:rsidR="00481E57" w:rsidRPr="00FB7D45" w:rsidRDefault="00256451" w:rsidP="00E85EF6">
      <w:pPr>
        <w:pStyle w:val="Heading2"/>
        <w:spacing w:before="0"/>
      </w:pPr>
      <w:r w:rsidRPr="009625B4">
        <w:rPr>
          <w:rFonts w:cs="Calibri"/>
          <w:color w:val="404040" w:themeColor="text1" w:themeTint="BF"/>
          <w:sz w:val="20"/>
          <w:highlight w:val="yellow"/>
        </w:rPr>
        <w:br w:type="page"/>
      </w:r>
      <w:r w:rsidR="00FB0861" w:rsidRPr="00FB7D45">
        <w:lastRenderedPageBreak/>
        <w:t>Strategic Report (continued)</w:t>
      </w:r>
    </w:p>
    <w:p w14:paraId="61C78169" w14:textId="77777777" w:rsidR="00B56E61" w:rsidRPr="00FB7D45" w:rsidRDefault="00B56E61" w:rsidP="00E85EF6">
      <w:pPr>
        <w:rPr>
          <w:rFonts w:ascii="Georgia" w:hAnsi="Georgia" w:cs="Calibri"/>
          <w:color w:val="404040" w:themeColor="text1" w:themeTint="BF"/>
          <w:sz w:val="20"/>
        </w:rPr>
      </w:pPr>
    </w:p>
    <w:p w14:paraId="3DBC9620" w14:textId="77777777" w:rsidR="004032FA" w:rsidRPr="00FB7D45" w:rsidRDefault="00203467" w:rsidP="001356C5">
      <w:pPr>
        <w:tabs>
          <w:tab w:val="left" w:pos="540"/>
        </w:tabs>
        <w:spacing w:after="200" w:line="276" w:lineRule="auto"/>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r>
      <w:r w:rsidR="004032FA" w:rsidRPr="00FB7D45">
        <w:rPr>
          <w:rFonts w:ascii="Georgia" w:hAnsi="Georgia" w:cs="Calibri"/>
          <w:b/>
          <w:color w:val="404040" w:themeColor="text1" w:themeTint="BF"/>
          <w:sz w:val="20"/>
        </w:rPr>
        <w:t>Principal Risks and Uncertainties (continued)</w:t>
      </w:r>
    </w:p>
    <w:p w14:paraId="06D82292" w14:textId="77777777" w:rsidR="00B56E61" w:rsidRPr="00FB7D45" w:rsidRDefault="00A86031" w:rsidP="00B56E61">
      <w:pPr>
        <w:pStyle w:val="ListParagraph"/>
        <w:spacing w:after="200" w:line="276" w:lineRule="auto"/>
        <w:ind w:left="0"/>
        <w:jc w:val="both"/>
        <w:rPr>
          <w:rFonts w:ascii="Georgia" w:hAnsi="Georgia" w:cs="Calibri"/>
          <w:b/>
          <w:color w:val="404040" w:themeColor="text1" w:themeTint="BF"/>
          <w:sz w:val="20"/>
        </w:rPr>
      </w:pPr>
      <w:r w:rsidRPr="00234496">
        <w:rPr>
          <w:rFonts w:ascii="Georgia" w:hAnsi="Georgia" w:cs="Calibri"/>
          <w:b/>
          <w:color w:val="404040" w:themeColor="text1" w:themeTint="BF"/>
          <w:sz w:val="20"/>
        </w:rPr>
        <w:t>PORTFOLIO MANAGEMENT</w:t>
      </w:r>
    </w:p>
    <w:tbl>
      <w:tblPr>
        <w:tblStyle w:val="TableGrid"/>
        <w:tblW w:w="9639" w:type="dxa"/>
        <w:tblInd w:w="108" w:type="dxa"/>
        <w:tblCellMar>
          <w:top w:w="57" w:type="dxa"/>
        </w:tblCellMar>
        <w:tblLook w:val="04A0" w:firstRow="1" w:lastRow="0" w:firstColumn="1" w:lastColumn="0" w:noHBand="0" w:noVBand="1"/>
      </w:tblPr>
      <w:tblGrid>
        <w:gridCol w:w="2694"/>
        <w:gridCol w:w="3683"/>
        <w:gridCol w:w="3262"/>
      </w:tblGrid>
      <w:tr w:rsidR="00B56E61" w:rsidRPr="009625B4" w14:paraId="2FE40B6C" w14:textId="77777777" w:rsidTr="00E06394">
        <w:trPr>
          <w:trHeight w:val="510"/>
        </w:trPr>
        <w:tc>
          <w:tcPr>
            <w:tcW w:w="2694" w:type="dxa"/>
            <w:vAlign w:val="center"/>
          </w:tcPr>
          <w:p w14:paraId="2CB2DF75" w14:textId="77777777" w:rsidR="00E42A95" w:rsidRPr="00FB7D45" w:rsidRDefault="00470E24" w:rsidP="00E42A95">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Risk</w:t>
            </w:r>
          </w:p>
        </w:tc>
        <w:tc>
          <w:tcPr>
            <w:tcW w:w="3683" w:type="dxa"/>
            <w:vAlign w:val="center"/>
          </w:tcPr>
          <w:p w14:paraId="6533499E" w14:textId="77777777" w:rsidR="00E42A95" w:rsidRPr="00FB7D45" w:rsidRDefault="00A86031" w:rsidP="00E42A95">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Potential Impact</w:t>
            </w:r>
          </w:p>
        </w:tc>
        <w:tc>
          <w:tcPr>
            <w:tcW w:w="3262" w:type="dxa"/>
            <w:vAlign w:val="center"/>
          </w:tcPr>
          <w:p w14:paraId="7B9C227D" w14:textId="77777777" w:rsidR="00E42A95" w:rsidRPr="00FB7D45" w:rsidRDefault="00470E24" w:rsidP="006A0F20">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Mitigation</w:t>
            </w:r>
          </w:p>
        </w:tc>
      </w:tr>
      <w:tr w:rsidR="00836BFB" w:rsidRPr="009625B4" w14:paraId="26F62807" w14:textId="77777777" w:rsidTr="00E06394">
        <w:tc>
          <w:tcPr>
            <w:tcW w:w="2694" w:type="dxa"/>
          </w:tcPr>
          <w:p w14:paraId="0B4AE04E" w14:textId="5A279F65" w:rsidR="00836BFB" w:rsidRPr="009625B4" w:rsidRDefault="00836BFB" w:rsidP="00836BFB">
            <w:pPr>
              <w:pStyle w:val="ListParagraph"/>
              <w:spacing w:after="200" w:line="276" w:lineRule="auto"/>
              <w:ind w:left="0"/>
              <w:rPr>
                <w:rFonts w:ascii="Georgia" w:hAnsi="Georgia" w:cs="Calibri"/>
                <w:b/>
                <w:color w:val="404040" w:themeColor="text1" w:themeTint="BF"/>
                <w:sz w:val="18"/>
                <w:szCs w:val="18"/>
                <w:highlight w:val="yellow"/>
              </w:rPr>
            </w:pPr>
            <w:r w:rsidRPr="00E63428">
              <w:rPr>
                <w:rFonts w:ascii="Georgia" w:hAnsi="Georgia" w:cs="Calibri"/>
                <w:b/>
                <w:color w:val="404040" w:themeColor="text1" w:themeTint="BF"/>
                <w:sz w:val="18"/>
                <w:szCs w:val="18"/>
              </w:rPr>
              <w:t>1. Portfolio Acquisition Risk</w:t>
            </w:r>
          </w:p>
        </w:tc>
        <w:tc>
          <w:tcPr>
            <w:tcW w:w="3683" w:type="dxa"/>
          </w:tcPr>
          <w:p w14:paraId="3D1AD6E9" w14:textId="77777777" w:rsidR="00836BFB" w:rsidRPr="00E63428" w:rsidRDefault="00836BFB" w:rsidP="00836BFB">
            <w:pPr>
              <w:pStyle w:val="ListParagraph"/>
              <w:spacing w:after="200" w:line="276" w:lineRule="auto"/>
              <w:ind w:left="0"/>
              <w:rPr>
                <w:rFonts w:ascii="Georgia" w:hAnsi="Georgia" w:cs="Calibri"/>
                <w:color w:val="404040" w:themeColor="text1" w:themeTint="BF"/>
                <w:sz w:val="18"/>
                <w:szCs w:val="18"/>
              </w:rPr>
            </w:pPr>
            <w:r w:rsidRPr="00E63428">
              <w:rPr>
                <w:rFonts w:ascii="Georgia" w:hAnsi="Georgia" w:cs="Calibri"/>
                <w:color w:val="404040" w:themeColor="text1" w:themeTint="BF"/>
                <w:sz w:val="18"/>
                <w:szCs w:val="18"/>
              </w:rPr>
              <w:t>Missed investment opportunities.</w:t>
            </w:r>
          </w:p>
          <w:p w14:paraId="528BB846" w14:textId="77777777" w:rsidR="00836BFB" w:rsidRPr="009625B4" w:rsidRDefault="00836BFB" w:rsidP="00836BFB">
            <w:pPr>
              <w:pStyle w:val="ListParagraph"/>
              <w:spacing w:after="200" w:line="276" w:lineRule="auto"/>
              <w:ind w:left="0"/>
              <w:rPr>
                <w:rFonts w:ascii="Georgia" w:hAnsi="Georgia" w:cs="Calibri"/>
                <w:color w:val="404040" w:themeColor="text1" w:themeTint="BF"/>
                <w:sz w:val="18"/>
                <w:szCs w:val="18"/>
                <w:highlight w:val="yellow"/>
              </w:rPr>
            </w:pPr>
          </w:p>
        </w:tc>
        <w:tc>
          <w:tcPr>
            <w:tcW w:w="3262" w:type="dxa"/>
          </w:tcPr>
          <w:p w14:paraId="55292826" w14:textId="48B22289" w:rsidR="00836BFB" w:rsidRPr="009625B4" w:rsidRDefault="00836BFB" w:rsidP="00EF7D11">
            <w:pPr>
              <w:pStyle w:val="ListParagraph"/>
              <w:spacing w:after="200" w:line="276" w:lineRule="auto"/>
              <w:ind w:left="0"/>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 xml:space="preserve">The Board reviews the Company's investment pipeline with the Investment Adviser on a regular basis.  The Company, through BSIFIL, has access to additional debt financing under terms of its three year revolving credit facility with </w:t>
            </w:r>
            <w:r w:rsidR="00EF7D11">
              <w:rPr>
                <w:rFonts w:ascii="Georgia" w:hAnsi="Georgia" w:cs="Calibri"/>
                <w:color w:val="404040" w:themeColor="text1" w:themeTint="BF"/>
                <w:sz w:val="18"/>
                <w:szCs w:val="18"/>
              </w:rPr>
              <w:t>NatWest</w:t>
            </w:r>
            <w:r w:rsidR="00414180">
              <w:rPr>
                <w:rFonts w:ascii="Georgia" w:hAnsi="Georgia" w:cs="Calibri"/>
                <w:color w:val="404040" w:themeColor="text1" w:themeTint="BF"/>
                <w:sz w:val="18"/>
                <w:szCs w:val="18"/>
              </w:rPr>
              <w:t xml:space="preserve"> plc</w:t>
            </w:r>
            <w:r w:rsidRPr="00E63428">
              <w:rPr>
                <w:rFonts w:ascii="Georgia" w:hAnsi="Georgia" w:cs="Calibri"/>
                <w:color w:val="404040" w:themeColor="text1" w:themeTint="BF"/>
                <w:sz w:val="18"/>
                <w:szCs w:val="18"/>
              </w:rPr>
              <w:t xml:space="preserve">, as well as the option to complete a tap issuance to support further acquisitions if required.   The closure of the primary market for </w:t>
            </w:r>
            <w:r w:rsidR="00C0723E">
              <w:rPr>
                <w:rFonts w:ascii="Georgia" w:hAnsi="Georgia" w:cs="Calibri"/>
                <w:color w:val="404040" w:themeColor="text1" w:themeTint="BF"/>
                <w:sz w:val="18"/>
                <w:szCs w:val="18"/>
              </w:rPr>
              <w:t xml:space="preserve">subsidised </w:t>
            </w:r>
            <w:r w:rsidRPr="00E63428">
              <w:rPr>
                <w:rFonts w:ascii="Georgia" w:hAnsi="Georgia" w:cs="Calibri"/>
                <w:color w:val="404040" w:themeColor="text1" w:themeTint="BF"/>
                <w:sz w:val="18"/>
                <w:szCs w:val="18"/>
              </w:rPr>
              <w:t>solar assets has led to inflation in secondary market prices reducing potential yield of new purchases.</w:t>
            </w:r>
            <w:r w:rsidR="00C0723E">
              <w:rPr>
                <w:rFonts w:ascii="Georgia" w:hAnsi="Georgia" w:cs="Calibri"/>
                <w:color w:val="404040" w:themeColor="text1" w:themeTint="BF"/>
                <w:sz w:val="18"/>
                <w:szCs w:val="18"/>
              </w:rPr>
              <w:t xml:space="preserve"> The I</w:t>
            </w:r>
            <w:r w:rsidR="00553984">
              <w:rPr>
                <w:rFonts w:ascii="Georgia" w:hAnsi="Georgia" w:cs="Calibri"/>
                <w:color w:val="404040" w:themeColor="text1" w:themeTint="BF"/>
                <w:sz w:val="18"/>
                <w:szCs w:val="18"/>
              </w:rPr>
              <w:t xml:space="preserve">nvestment </w:t>
            </w:r>
            <w:r w:rsidR="00C0723E">
              <w:rPr>
                <w:rFonts w:ascii="Georgia" w:hAnsi="Georgia" w:cs="Calibri"/>
                <w:color w:val="404040" w:themeColor="text1" w:themeTint="BF"/>
                <w:sz w:val="18"/>
                <w:szCs w:val="18"/>
              </w:rPr>
              <w:t>A</w:t>
            </w:r>
            <w:r w:rsidR="00AF5969">
              <w:rPr>
                <w:rFonts w:ascii="Georgia" w:hAnsi="Georgia" w:cs="Calibri"/>
                <w:color w:val="404040" w:themeColor="text1" w:themeTint="BF"/>
                <w:sz w:val="18"/>
                <w:szCs w:val="18"/>
              </w:rPr>
              <w:t>dvise</w:t>
            </w:r>
            <w:r w:rsidR="00553984">
              <w:rPr>
                <w:rFonts w:ascii="Georgia" w:hAnsi="Georgia" w:cs="Calibri"/>
                <w:color w:val="404040" w:themeColor="text1" w:themeTint="BF"/>
                <w:sz w:val="18"/>
                <w:szCs w:val="18"/>
              </w:rPr>
              <w:t>r</w:t>
            </w:r>
            <w:r w:rsidR="00C0723E">
              <w:rPr>
                <w:rFonts w:ascii="Georgia" w:hAnsi="Georgia" w:cs="Calibri"/>
                <w:color w:val="404040" w:themeColor="text1" w:themeTint="BF"/>
                <w:sz w:val="18"/>
                <w:szCs w:val="18"/>
              </w:rPr>
              <w:t xml:space="preserve"> is working to secure a potential pi</w:t>
            </w:r>
            <w:r w:rsidR="00A21F9E">
              <w:rPr>
                <w:rFonts w:ascii="Georgia" w:hAnsi="Georgia" w:cs="Calibri"/>
                <w:color w:val="404040" w:themeColor="text1" w:themeTint="BF"/>
                <w:sz w:val="18"/>
                <w:szCs w:val="18"/>
              </w:rPr>
              <w:t>peline of non-subsidised assets which the Company will have a right</w:t>
            </w:r>
            <w:r w:rsidR="002F593E">
              <w:rPr>
                <w:rFonts w:ascii="Georgia" w:hAnsi="Georgia" w:cs="Calibri"/>
                <w:color w:val="404040" w:themeColor="text1" w:themeTint="BF"/>
                <w:sz w:val="18"/>
                <w:szCs w:val="18"/>
              </w:rPr>
              <w:t xml:space="preserve"> to develop</w:t>
            </w:r>
            <w:r w:rsidR="00A21F9E">
              <w:rPr>
                <w:rFonts w:ascii="Georgia" w:hAnsi="Georgia" w:cs="Calibri"/>
                <w:color w:val="404040" w:themeColor="text1" w:themeTint="BF"/>
                <w:sz w:val="18"/>
                <w:szCs w:val="18"/>
              </w:rPr>
              <w:t xml:space="preserve"> </w:t>
            </w:r>
            <w:r w:rsidR="002F593E">
              <w:rPr>
                <w:rFonts w:ascii="Georgia" w:hAnsi="Georgia" w:cs="Calibri"/>
                <w:color w:val="404040" w:themeColor="text1" w:themeTint="BF"/>
                <w:sz w:val="18"/>
                <w:szCs w:val="18"/>
              </w:rPr>
              <w:t>but not an obligation to build</w:t>
            </w:r>
            <w:r w:rsidR="00A21F9E">
              <w:rPr>
                <w:rFonts w:ascii="Georgia" w:hAnsi="Georgia" w:cs="Calibri"/>
                <w:color w:val="404040" w:themeColor="text1" w:themeTint="BF"/>
                <w:sz w:val="18"/>
                <w:szCs w:val="18"/>
              </w:rPr>
              <w:t>.</w:t>
            </w:r>
          </w:p>
        </w:tc>
      </w:tr>
      <w:tr w:rsidR="00836BFB" w:rsidRPr="009625B4" w14:paraId="363604F8" w14:textId="77777777" w:rsidTr="00E06394">
        <w:tc>
          <w:tcPr>
            <w:tcW w:w="2694" w:type="dxa"/>
          </w:tcPr>
          <w:p w14:paraId="5A970B5E" w14:textId="47DCCEE1" w:rsidR="00836BFB" w:rsidRPr="009625B4" w:rsidRDefault="00836BFB" w:rsidP="00836BFB">
            <w:pPr>
              <w:pStyle w:val="ListParagraph"/>
              <w:spacing w:after="200" w:line="276" w:lineRule="auto"/>
              <w:ind w:left="0"/>
              <w:rPr>
                <w:rFonts w:ascii="Georgia" w:hAnsi="Georgia" w:cs="Calibri"/>
                <w:b/>
                <w:color w:val="404040" w:themeColor="text1" w:themeTint="BF"/>
                <w:sz w:val="18"/>
                <w:szCs w:val="18"/>
                <w:highlight w:val="yellow"/>
              </w:rPr>
            </w:pPr>
            <w:r w:rsidRPr="00E63428">
              <w:rPr>
                <w:rFonts w:ascii="Georgia" w:hAnsi="Georgia" w:cs="Calibri"/>
                <w:b/>
                <w:color w:val="404040" w:themeColor="text1" w:themeTint="BF"/>
                <w:sz w:val="18"/>
                <w:szCs w:val="18"/>
              </w:rPr>
              <w:t>2. Portfolio Operational Risk</w:t>
            </w:r>
          </w:p>
        </w:tc>
        <w:tc>
          <w:tcPr>
            <w:tcW w:w="3683" w:type="dxa"/>
          </w:tcPr>
          <w:p w14:paraId="6F9C0CE2" w14:textId="071E6968" w:rsidR="00836BFB" w:rsidRPr="009625B4" w:rsidRDefault="00836BFB" w:rsidP="00836BFB">
            <w:pPr>
              <w:pStyle w:val="ListParagraph"/>
              <w:spacing w:after="200" w:line="276" w:lineRule="auto"/>
              <w:ind w:left="0"/>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Underperformance of solar plant versus expectations at acquisition.</w:t>
            </w:r>
          </w:p>
        </w:tc>
        <w:tc>
          <w:tcPr>
            <w:tcW w:w="3262" w:type="dxa"/>
          </w:tcPr>
          <w:p w14:paraId="50A71DFB" w14:textId="6C2B02D1" w:rsidR="00836BFB" w:rsidRPr="009625B4" w:rsidRDefault="00836BFB" w:rsidP="00836BFB">
            <w:pPr>
              <w:pStyle w:val="ListParagraph"/>
              <w:spacing w:after="200" w:line="276" w:lineRule="auto"/>
              <w:ind w:left="0"/>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BSL as asset manager prepares a quarterly operational summary for the Board that evaluates the performance of each plant against budget and highlights any issues to be addressed</w:t>
            </w:r>
            <w:r>
              <w:rPr>
                <w:rFonts w:ascii="Georgia" w:hAnsi="Georgia" w:cs="Calibri"/>
                <w:color w:val="404040" w:themeColor="text1" w:themeTint="BF"/>
                <w:sz w:val="18"/>
                <w:szCs w:val="18"/>
              </w:rPr>
              <w:t xml:space="preserve"> whilst the Po</w:t>
            </w:r>
            <w:r w:rsidR="003742F1">
              <w:rPr>
                <w:rFonts w:ascii="Georgia" w:hAnsi="Georgia" w:cs="Calibri"/>
                <w:color w:val="404040" w:themeColor="text1" w:themeTint="BF"/>
                <w:sz w:val="18"/>
                <w:szCs w:val="18"/>
              </w:rPr>
              <w:t>rtfolio team in the Investment A</w:t>
            </w:r>
            <w:r>
              <w:rPr>
                <w:rFonts w:ascii="Georgia" w:hAnsi="Georgia" w:cs="Calibri"/>
                <w:color w:val="404040" w:themeColor="text1" w:themeTint="BF"/>
                <w:sz w:val="18"/>
                <w:szCs w:val="18"/>
              </w:rPr>
              <w:t>dviser reviews weekly and monthly reports.</w:t>
            </w:r>
          </w:p>
        </w:tc>
      </w:tr>
    </w:tbl>
    <w:p w14:paraId="51696F51" w14:textId="77777777" w:rsidR="002B6A55" w:rsidRPr="009625B4" w:rsidRDefault="002B6A55"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059865E6"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4289C9E6"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3B134FE0"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6EEC1D9D"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7338F6AF"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6B5C91EE"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59574920"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049D3F99"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1F9D846F"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78EE6479"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6C91611A"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204718E9"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62935CDD"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4A5E694B"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22FA4860"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76B75474"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722FCE37"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2F06F95C" w14:textId="77777777" w:rsidR="00E97629" w:rsidRPr="009625B4" w:rsidRDefault="00E97629" w:rsidP="00B56E61">
      <w:pPr>
        <w:pStyle w:val="ListParagraph"/>
        <w:tabs>
          <w:tab w:val="left" w:pos="540"/>
        </w:tabs>
        <w:spacing w:after="200" w:line="276" w:lineRule="auto"/>
        <w:ind w:left="567" w:hanging="567"/>
        <w:jc w:val="both"/>
        <w:rPr>
          <w:rFonts w:ascii="Georgia" w:hAnsi="Georgia" w:cs="Calibri"/>
          <w:color w:val="404040" w:themeColor="text1" w:themeTint="BF"/>
          <w:sz w:val="20"/>
          <w:highlight w:val="yellow"/>
        </w:rPr>
      </w:pPr>
    </w:p>
    <w:p w14:paraId="6A4AE0B8" w14:textId="77777777" w:rsidR="00E97629" w:rsidRPr="00FB7D45" w:rsidRDefault="00E97629" w:rsidP="00E97629">
      <w:pPr>
        <w:pStyle w:val="Heading2"/>
        <w:spacing w:before="0"/>
      </w:pPr>
      <w:r w:rsidRPr="00FB7D45">
        <w:lastRenderedPageBreak/>
        <w:t>Strategic Report (continued)</w:t>
      </w:r>
    </w:p>
    <w:p w14:paraId="559BEC74" w14:textId="77777777" w:rsidR="00E97629" w:rsidRPr="00FB7D45" w:rsidRDefault="00E97629" w:rsidP="00E97629">
      <w:pPr>
        <w:rPr>
          <w:rFonts w:ascii="Georgia" w:hAnsi="Georgia" w:cs="Calibri"/>
          <w:color w:val="404040" w:themeColor="text1" w:themeTint="BF"/>
          <w:sz w:val="20"/>
        </w:rPr>
      </w:pPr>
    </w:p>
    <w:p w14:paraId="59CAF069" w14:textId="77777777" w:rsidR="00E97629" w:rsidRPr="00FB7D45" w:rsidRDefault="00E97629" w:rsidP="00E97629">
      <w:pPr>
        <w:tabs>
          <w:tab w:val="left" w:pos="540"/>
        </w:tabs>
        <w:spacing w:after="200" w:line="276" w:lineRule="auto"/>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54E04C5E" w14:textId="77777777" w:rsidR="006A0F20" w:rsidRPr="00FB7D45" w:rsidRDefault="006A0F20" w:rsidP="006A0F20">
      <w:pPr>
        <w:pStyle w:val="ListParagraph"/>
        <w:spacing w:after="200" w:line="276" w:lineRule="auto"/>
        <w:ind w:left="0"/>
        <w:jc w:val="both"/>
        <w:rPr>
          <w:rFonts w:ascii="Georgia" w:hAnsi="Georgia" w:cs="Calibri"/>
          <w:b/>
          <w:color w:val="404040" w:themeColor="text1" w:themeTint="BF"/>
          <w:sz w:val="20"/>
        </w:rPr>
      </w:pPr>
      <w:r w:rsidRPr="00234496">
        <w:rPr>
          <w:rFonts w:ascii="Georgia" w:hAnsi="Georgia" w:cs="Calibri"/>
          <w:b/>
          <w:color w:val="404040" w:themeColor="text1" w:themeTint="BF"/>
          <w:sz w:val="20"/>
        </w:rPr>
        <w:t>OPERATIONAL</w:t>
      </w:r>
    </w:p>
    <w:tbl>
      <w:tblPr>
        <w:tblStyle w:val="TableGrid"/>
        <w:tblW w:w="9639" w:type="dxa"/>
        <w:tblInd w:w="108" w:type="dxa"/>
        <w:tblCellMar>
          <w:top w:w="57" w:type="dxa"/>
        </w:tblCellMar>
        <w:tblLook w:val="04A0" w:firstRow="1" w:lastRow="0" w:firstColumn="1" w:lastColumn="0" w:noHBand="0" w:noVBand="1"/>
      </w:tblPr>
      <w:tblGrid>
        <w:gridCol w:w="2694"/>
        <w:gridCol w:w="3683"/>
        <w:gridCol w:w="3262"/>
      </w:tblGrid>
      <w:tr w:rsidR="006A0F20" w:rsidRPr="00FB7D45" w14:paraId="5D957306" w14:textId="77777777" w:rsidTr="00E06394">
        <w:trPr>
          <w:trHeight w:val="510"/>
        </w:trPr>
        <w:tc>
          <w:tcPr>
            <w:tcW w:w="2694" w:type="dxa"/>
            <w:vAlign w:val="center"/>
          </w:tcPr>
          <w:p w14:paraId="3BDE991A" w14:textId="77777777" w:rsidR="006A0F20" w:rsidRPr="00FB7D45" w:rsidRDefault="006A0F20" w:rsidP="00B84896">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Risk</w:t>
            </w:r>
          </w:p>
        </w:tc>
        <w:tc>
          <w:tcPr>
            <w:tcW w:w="3683" w:type="dxa"/>
            <w:vAlign w:val="center"/>
          </w:tcPr>
          <w:p w14:paraId="65A443F3" w14:textId="77777777" w:rsidR="006A0F20" w:rsidRPr="00FB7D45" w:rsidRDefault="006A0F20" w:rsidP="00B84896">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Potential impact</w:t>
            </w:r>
          </w:p>
        </w:tc>
        <w:tc>
          <w:tcPr>
            <w:tcW w:w="3262" w:type="dxa"/>
            <w:vAlign w:val="center"/>
          </w:tcPr>
          <w:p w14:paraId="69CFA262" w14:textId="77777777" w:rsidR="006A0F20" w:rsidRPr="00FB7D45" w:rsidRDefault="006A0F20" w:rsidP="00B84896">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Mitigation</w:t>
            </w:r>
          </w:p>
        </w:tc>
      </w:tr>
      <w:tr w:rsidR="00836BFB" w:rsidRPr="009625B4" w14:paraId="38208855" w14:textId="77777777" w:rsidTr="00E06394">
        <w:tc>
          <w:tcPr>
            <w:tcW w:w="2694" w:type="dxa"/>
          </w:tcPr>
          <w:p w14:paraId="66C6AE68" w14:textId="77777777" w:rsidR="00836BFB" w:rsidRPr="00FB7D45" w:rsidRDefault="00836BFB" w:rsidP="00836BFB">
            <w:pPr>
              <w:pStyle w:val="ListParagraph"/>
              <w:spacing w:after="200" w:line="276" w:lineRule="auto"/>
              <w:ind w:left="0"/>
              <w:rPr>
                <w:rFonts w:ascii="Georgia" w:hAnsi="Georgia" w:cs="Calibri"/>
                <w:b/>
                <w:color w:val="404040" w:themeColor="text1" w:themeTint="BF"/>
                <w:sz w:val="18"/>
                <w:szCs w:val="18"/>
              </w:rPr>
            </w:pPr>
            <w:r w:rsidRPr="00FB7D45">
              <w:rPr>
                <w:rFonts w:ascii="Georgia" w:hAnsi="Georgia" w:cs="Calibri"/>
                <w:b/>
                <w:color w:val="404040" w:themeColor="text1" w:themeTint="BF"/>
                <w:sz w:val="18"/>
                <w:szCs w:val="18"/>
              </w:rPr>
              <w:t>3. Valuation error</w:t>
            </w:r>
          </w:p>
        </w:tc>
        <w:tc>
          <w:tcPr>
            <w:tcW w:w="3683" w:type="dxa"/>
          </w:tcPr>
          <w:p w14:paraId="6F1DB4AE" w14:textId="040F5CCA" w:rsidR="00836BFB" w:rsidRPr="00FB7D45" w:rsidRDefault="00836BFB" w:rsidP="00836BFB">
            <w:pPr>
              <w:pStyle w:val="ListParagraph"/>
              <w:spacing w:after="200" w:line="276" w:lineRule="auto"/>
              <w:ind w:left="0"/>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 xml:space="preserve">Valuations of the SPV investments are reliant on large and detailed financial models based on discounted cash flows. Significant inputs such as the discount rate, rate of inflation and the amount of electricity the solar assets are expected to produce are subjective and certain assumptions or methodologies applied may prove to be inaccurate. This is particularly so in periods of volatility or when there is limited transactional data for solar PV generation against which the investment valuation can be benchmarked. Other inputs such as the price at which electricity and associated benefits can be sold are subject to government policies and support. </w:t>
            </w:r>
          </w:p>
        </w:tc>
        <w:tc>
          <w:tcPr>
            <w:tcW w:w="3262" w:type="dxa"/>
          </w:tcPr>
          <w:p w14:paraId="06CB8FA1" w14:textId="77777777" w:rsidR="00836BFB" w:rsidRPr="00FB7D45" w:rsidRDefault="00836BFB" w:rsidP="00836BFB">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All papers supporting the GAV calculation and methodology used are presented to the Board for approval and adoption. Ongoing quarterly reconciliations are performed between the SPVs and BSIF.</w:t>
            </w:r>
          </w:p>
          <w:p w14:paraId="4A51D5CD" w14:textId="0E5E2467" w:rsidR="00836BFB" w:rsidRPr="00FB7D45" w:rsidRDefault="00836BFB" w:rsidP="00836BFB">
            <w:pPr>
              <w:pStyle w:val="ListParagraph"/>
              <w:spacing w:after="200" w:line="276" w:lineRule="auto"/>
              <w:ind w:left="0"/>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Additional</w:t>
            </w:r>
            <w:r w:rsidR="00582233">
              <w:rPr>
                <w:rFonts w:ascii="Georgia" w:hAnsi="Georgia" w:cs="Calibri"/>
                <w:color w:val="404040" w:themeColor="text1" w:themeTint="BF"/>
                <w:sz w:val="18"/>
                <w:szCs w:val="18"/>
              </w:rPr>
              <w:t>ly, the Board at its discretion</w:t>
            </w:r>
            <w:r w:rsidRPr="00FB7D45">
              <w:rPr>
                <w:rFonts w:ascii="Georgia" w:hAnsi="Georgia" w:cs="Calibri"/>
                <w:color w:val="404040" w:themeColor="text1" w:themeTint="BF"/>
                <w:sz w:val="18"/>
                <w:szCs w:val="18"/>
              </w:rPr>
              <w:t xml:space="preserve"> has the ability to obtain 3rd party valuations to corroborate calculations prepared by the Investment Adviser. </w:t>
            </w:r>
          </w:p>
          <w:p w14:paraId="4083E9CC" w14:textId="77777777" w:rsidR="00836BFB" w:rsidRPr="00FB7D45" w:rsidRDefault="00836BFB" w:rsidP="00836BFB">
            <w:pPr>
              <w:pStyle w:val="ListParagraph"/>
              <w:spacing w:after="200" w:line="276" w:lineRule="auto"/>
              <w:ind w:left="0"/>
              <w:rPr>
                <w:rFonts w:ascii="Georgia" w:hAnsi="Georgia" w:cs="Calibri"/>
                <w:color w:val="404040" w:themeColor="text1" w:themeTint="BF"/>
                <w:sz w:val="18"/>
                <w:szCs w:val="18"/>
              </w:rPr>
            </w:pPr>
          </w:p>
          <w:p w14:paraId="394C1DD0" w14:textId="6A4DAD7D" w:rsidR="00836BFB" w:rsidRPr="00FB7D45" w:rsidRDefault="00836BFB" w:rsidP="00EF7D11">
            <w:pPr>
              <w:pStyle w:val="ListParagraph"/>
              <w:spacing w:after="200" w:line="276" w:lineRule="auto"/>
              <w:ind w:left="0"/>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To mitigate the impact of power price volatility on the Company’s portfolio valuation blended power price curves from t</w:t>
            </w:r>
            <w:r w:rsidR="00EF7D11">
              <w:rPr>
                <w:rFonts w:ascii="Georgia" w:hAnsi="Georgia" w:cs="Calibri"/>
                <w:color w:val="404040" w:themeColor="text1" w:themeTint="BF"/>
                <w:sz w:val="18"/>
                <w:szCs w:val="18"/>
              </w:rPr>
              <w:t>hree</w:t>
            </w:r>
            <w:r w:rsidRPr="00FB7D45">
              <w:rPr>
                <w:rFonts w:ascii="Georgia" w:hAnsi="Georgia" w:cs="Calibri"/>
                <w:color w:val="404040" w:themeColor="text1" w:themeTint="BF"/>
                <w:sz w:val="18"/>
                <w:szCs w:val="18"/>
              </w:rPr>
              <w:t xml:space="preserve"> leading forecasters are </w:t>
            </w:r>
            <w:r w:rsidR="00A21F9E">
              <w:rPr>
                <w:rFonts w:ascii="Georgia" w:hAnsi="Georgia" w:cs="Calibri"/>
                <w:color w:val="404040" w:themeColor="text1" w:themeTint="BF"/>
                <w:sz w:val="18"/>
                <w:szCs w:val="18"/>
              </w:rPr>
              <w:t xml:space="preserve">now </w:t>
            </w:r>
            <w:r w:rsidRPr="00FB7D45">
              <w:rPr>
                <w:rFonts w:ascii="Georgia" w:hAnsi="Georgia" w:cs="Calibri"/>
                <w:color w:val="404040" w:themeColor="text1" w:themeTint="BF"/>
                <w:sz w:val="18"/>
                <w:szCs w:val="18"/>
              </w:rPr>
              <w:t>used in the portfolio cash flow model.</w:t>
            </w:r>
          </w:p>
        </w:tc>
      </w:tr>
      <w:tr w:rsidR="00836BFB" w:rsidRPr="009625B4" w14:paraId="3315CE42" w14:textId="77777777" w:rsidTr="00E06394">
        <w:tc>
          <w:tcPr>
            <w:tcW w:w="2694" w:type="dxa"/>
          </w:tcPr>
          <w:p w14:paraId="381BB772" w14:textId="39A3A67E" w:rsidR="00836BFB" w:rsidRPr="009625B4" w:rsidRDefault="00836BFB" w:rsidP="00836BFB">
            <w:pPr>
              <w:pStyle w:val="ListParagraph"/>
              <w:spacing w:after="200" w:line="276" w:lineRule="auto"/>
              <w:ind w:left="0"/>
              <w:rPr>
                <w:rFonts w:ascii="Georgia" w:hAnsi="Georgia" w:cs="Calibri"/>
                <w:b/>
                <w:color w:val="404040" w:themeColor="text1" w:themeTint="BF"/>
                <w:sz w:val="18"/>
                <w:szCs w:val="18"/>
                <w:highlight w:val="yellow"/>
              </w:rPr>
            </w:pPr>
            <w:r w:rsidRPr="00E63428">
              <w:rPr>
                <w:rFonts w:ascii="Georgia" w:hAnsi="Georgia" w:cs="Calibri"/>
                <w:b/>
                <w:color w:val="404040" w:themeColor="text1" w:themeTint="BF"/>
                <w:sz w:val="18"/>
                <w:szCs w:val="18"/>
              </w:rPr>
              <w:t>4. Depreciation of NAV</w:t>
            </w:r>
          </w:p>
        </w:tc>
        <w:tc>
          <w:tcPr>
            <w:tcW w:w="3683" w:type="dxa"/>
          </w:tcPr>
          <w:p w14:paraId="1A595367" w14:textId="5636EFE9" w:rsidR="00836BFB" w:rsidRPr="00E63428" w:rsidRDefault="00836BFB" w:rsidP="00836BFB">
            <w:pPr>
              <w:pStyle w:val="ListParagraph"/>
              <w:spacing w:after="200" w:line="276" w:lineRule="auto"/>
              <w:ind w:left="0"/>
              <w:rPr>
                <w:rFonts w:ascii="Georgia" w:hAnsi="Georgia" w:cs="Calibri"/>
                <w:color w:val="404040" w:themeColor="text1" w:themeTint="BF"/>
                <w:sz w:val="18"/>
                <w:szCs w:val="18"/>
              </w:rPr>
            </w:pPr>
            <w:r w:rsidRPr="00E63428">
              <w:rPr>
                <w:rFonts w:ascii="Georgia" w:hAnsi="Georgia" w:cs="Calibri"/>
                <w:color w:val="404040" w:themeColor="text1" w:themeTint="BF"/>
                <w:sz w:val="18"/>
                <w:szCs w:val="18"/>
              </w:rPr>
              <w:t>The portfolio NAV will depreciate towards the end of the Company’s life.</w:t>
            </w:r>
          </w:p>
        </w:tc>
        <w:tc>
          <w:tcPr>
            <w:tcW w:w="3262" w:type="dxa"/>
          </w:tcPr>
          <w:p w14:paraId="149EAA12" w14:textId="58AE118E" w:rsidR="00836BFB" w:rsidRPr="00E63428" w:rsidRDefault="00836BFB" w:rsidP="00836BFB">
            <w:pPr>
              <w:pStyle w:val="ListParagraph"/>
              <w:spacing w:after="200" w:line="276" w:lineRule="auto"/>
              <w:ind w:left="0"/>
              <w:rPr>
                <w:rFonts w:ascii="Georgia" w:hAnsi="Georgia" w:cs="Calibri"/>
                <w:color w:val="404040" w:themeColor="text1" w:themeTint="BF"/>
                <w:sz w:val="18"/>
                <w:szCs w:val="18"/>
              </w:rPr>
            </w:pPr>
            <w:r w:rsidRPr="00E63428">
              <w:rPr>
                <w:rFonts w:ascii="Georgia" w:hAnsi="Georgia" w:cs="Calibri"/>
                <w:color w:val="404040" w:themeColor="text1" w:themeTint="BF"/>
                <w:sz w:val="18"/>
                <w:szCs w:val="18"/>
              </w:rPr>
              <w:t>The Investment Adviser has been requested to model how the portfolio NAV will move with time, producing long term s</w:t>
            </w:r>
            <w:r w:rsidR="00582233">
              <w:rPr>
                <w:rFonts w:ascii="Georgia" w:hAnsi="Georgia" w:cs="Calibri"/>
                <w:color w:val="404040" w:themeColor="text1" w:themeTint="BF"/>
                <w:sz w:val="18"/>
                <w:szCs w:val="18"/>
              </w:rPr>
              <w:t>cenario planning for the Board’s</w:t>
            </w:r>
            <w:r w:rsidRPr="00E63428">
              <w:rPr>
                <w:rFonts w:ascii="Georgia" w:hAnsi="Georgia" w:cs="Calibri"/>
                <w:color w:val="404040" w:themeColor="text1" w:themeTint="BF"/>
                <w:sz w:val="18"/>
                <w:szCs w:val="18"/>
              </w:rPr>
              <w:t xml:space="preserve"> review.  The Board has authorised the Investment Adviser to negotiate lease extensions on all active plants</w:t>
            </w:r>
            <w:r>
              <w:rPr>
                <w:rFonts w:ascii="Georgia" w:hAnsi="Georgia" w:cs="Calibri"/>
                <w:color w:val="404040" w:themeColor="text1" w:themeTint="BF"/>
                <w:sz w:val="18"/>
                <w:szCs w:val="18"/>
              </w:rPr>
              <w:t xml:space="preserve">, as each successful extension increases the life of the </w:t>
            </w:r>
            <w:r w:rsidR="00F17FC6">
              <w:rPr>
                <w:rFonts w:ascii="Georgia" w:hAnsi="Georgia" w:cs="Calibri"/>
                <w:color w:val="404040" w:themeColor="text1" w:themeTint="BF"/>
                <w:sz w:val="18"/>
                <w:szCs w:val="18"/>
              </w:rPr>
              <w:t>Company and</w:t>
            </w:r>
            <w:r>
              <w:rPr>
                <w:rFonts w:ascii="Georgia" w:hAnsi="Georgia" w:cs="Calibri"/>
                <w:color w:val="404040" w:themeColor="text1" w:themeTint="BF"/>
                <w:sz w:val="18"/>
                <w:szCs w:val="18"/>
              </w:rPr>
              <w:t xml:space="preserve"> reduces the depreciation of the NAV.</w:t>
            </w:r>
            <w:r w:rsidR="00414180">
              <w:rPr>
                <w:rFonts w:ascii="Georgia" w:hAnsi="Georgia" w:cs="Calibri"/>
                <w:color w:val="404040" w:themeColor="text1" w:themeTint="BF"/>
                <w:sz w:val="18"/>
                <w:szCs w:val="18"/>
              </w:rPr>
              <w:t xml:space="preserve"> </w:t>
            </w:r>
            <w:r w:rsidR="00414180" w:rsidRPr="00414180">
              <w:rPr>
                <w:rFonts w:ascii="Georgia" w:hAnsi="Georgia" w:cs="Calibri"/>
                <w:color w:val="404040" w:themeColor="text1" w:themeTint="BF"/>
                <w:sz w:val="18"/>
                <w:szCs w:val="18"/>
              </w:rPr>
              <w:t>As at 30 June 2020, the weighted average life of the portfolio is 27.4</w:t>
            </w:r>
            <w:r w:rsidR="00DD2CD2">
              <w:rPr>
                <w:rFonts w:ascii="Georgia" w:hAnsi="Georgia" w:cs="Calibri"/>
                <w:color w:val="404040" w:themeColor="text1" w:themeTint="BF"/>
                <w:sz w:val="18"/>
                <w:szCs w:val="18"/>
              </w:rPr>
              <w:t xml:space="preserve"> </w:t>
            </w:r>
            <w:r w:rsidR="00414180" w:rsidRPr="00414180">
              <w:rPr>
                <w:rFonts w:ascii="Georgia" w:hAnsi="Georgia" w:cs="Calibri"/>
                <w:color w:val="404040" w:themeColor="text1" w:themeTint="BF"/>
                <w:sz w:val="18"/>
                <w:szCs w:val="18"/>
              </w:rPr>
              <w:t>y</w:t>
            </w:r>
            <w:r w:rsidR="00DD2CD2">
              <w:rPr>
                <w:rFonts w:ascii="Georgia" w:hAnsi="Georgia" w:cs="Calibri"/>
                <w:color w:val="404040" w:themeColor="text1" w:themeTint="BF"/>
                <w:sz w:val="18"/>
                <w:szCs w:val="18"/>
              </w:rPr>
              <w:t>ea</w:t>
            </w:r>
            <w:r w:rsidR="00414180" w:rsidRPr="00414180">
              <w:rPr>
                <w:rFonts w:ascii="Georgia" w:hAnsi="Georgia" w:cs="Calibri"/>
                <w:color w:val="404040" w:themeColor="text1" w:themeTint="BF"/>
                <w:sz w:val="18"/>
                <w:szCs w:val="18"/>
              </w:rPr>
              <w:t>rs (vs 24.2 y</w:t>
            </w:r>
            <w:r w:rsidR="00DD2CD2">
              <w:rPr>
                <w:rFonts w:ascii="Georgia" w:hAnsi="Georgia" w:cs="Calibri"/>
                <w:color w:val="404040" w:themeColor="text1" w:themeTint="BF"/>
                <w:sz w:val="18"/>
                <w:szCs w:val="18"/>
              </w:rPr>
              <w:t>ea</w:t>
            </w:r>
            <w:r w:rsidR="00414180" w:rsidRPr="00414180">
              <w:rPr>
                <w:rFonts w:ascii="Georgia" w:hAnsi="Georgia" w:cs="Calibri"/>
                <w:color w:val="404040" w:themeColor="text1" w:themeTint="BF"/>
                <w:sz w:val="18"/>
                <w:szCs w:val="18"/>
              </w:rPr>
              <w:t>rs in Jun</w:t>
            </w:r>
            <w:r w:rsidR="00234496">
              <w:rPr>
                <w:rFonts w:ascii="Georgia" w:hAnsi="Georgia" w:cs="Calibri"/>
                <w:color w:val="404040" w:themeColor="text1" w:themeTint="BF"/>
                <w:sz w:val="18"/>
                <w:szCs w:val="18"/>
              </w:rPr>
              <w:t>e</w:t>
            </w:r>
            <w:r w:rsidR="00414180" w:rsidRPr="00414180">
              <w:rPr>
                <w:rFonts w:ascii="Georgia" w:hAnsi="Georgia" w:cs="Calibri"/>
                <w:color w:val="404040" w:themeColor="text1" w:themeTint="BF"/>
                <w:sz w:val="18"/>
                <w:szCs w:val="18"/>
              </w:rPr>
              <w:t xml:space="preserve"> </w:t>
            </w:r>
            <w:r w:rsidR="00234496">
              <w:rPr>
                <w:rFonts w:ascii="Georgia" w:hAnsi="Georgia" w:cs="Calibri"/>
                <w:color w:val="404040" w:themeColor="text1" w:themeTint="BF"/>
                <w:sz w:val="18"/>
                <w:szCs w:val="18"/>
              </w:rPr>
              <w:t>20</w:t>
            </w:r>
            <w:r w:rsidR="00414180" w:rsidRPr="00414180">
              <w:rPr>
                <w:rFonts w:ascii="Georgia" w:hAnsi="Georgia" w:cs="Calibri"/>
                <w:color w:val="404040" w:themeColor="text1" w:themeTint="BF"/>
                <w:sz w:val="18"/>
                <w:szCs w:val="18"/>
              </w:rPr>
              <w:t>19).</w:t>
            </w:r>
          </w:p>
          <w:p w14:paraId="25EF21A6" w14:textId="77777777" w:rsidR="00836BFB" w:rsidRPr="00E63428" w:rsidRDefault="00836BFB" w:rsidP="00836BFB">
            <w:pPr>
              <w:pStyle w:val="ListParagraph"/>
              <w:spacing w:after="200" w:line="276" w:lineRule="auto"/>
              <w:ind w:left="0"/>
              <w:rPr>
                <w:rFonts w:ascii="Georgia" w:hAnsi="Georgia" w:cs="Calibri"/>
                <w:color w:val="404040" w:themeColor="text1" w:themeTint="BF"/>
                <w:sz w:val="18"/>
                <w:szCs w:val="18"/>
              </w:rPr>
            </w:pPr>
          </w:p>
          <w:p w14:paraId="6FE158BA" w14:textId="77777777" w:rsidR="00836BFB" w:rsidRPr="00E63428" w:rsidRDefault="00836BFB" w:rsidP="00836BFB">
            <w:pPr>
              <w:spacing w:after="200" w:line="276" w:lineRule="auto"/>
              <w:rPr>
                <w:rFonts w:ascii="Georgia" w:hAnsi="Georgia" w:cs="Calibri"/>
                <w:color w:val="404040" w:themeColor="text1" w:themeTint="BF"/>
                <w:sz w:val="18"/>
                <w:szCs w:val="18"/>
              </w:rPr>
            </w:pPr>
          </w:p>
        </w:tc>
      </w:tr>
    </w:tbl>
    <w:p w14:paraId="531B0190" w14:textId="77777777" w:rsidR="00481E57" w:rsidRPr="00FB7D45" w:rsidRDefault="002B6A55" w:rsidP="00E85EF6">
      <w:pPr>
        <w:pStyle w:val="Heading2"/>
        <w:spacing w:before="0"/>
      </w:pPr>
      <w:r w:rsidRPr="009625B4">
        <w:rPr>
          <w:rFonts w:cs="Calibri"/>
          <w:color w:val="404040" w:themeColor="text1" w:themeTint="BF"/>
          <w:sz w:val="20"/>
          <w:highlight w:val="yellow"/>
        </w:rPr>
        <w:br w:type="page"/>
      </w:r>
      <w:r w:rsidRPr="00FB7D45">
        <w:lastRenderedPageBreak/>
        <w:t>Strategic Report (continued)</w:t>
      </w:r>
    </w:p>
    <w:p w14:paraId="4E17E59A" w14:textId="77777777" w:rsidR="00DA46DB" w:rsidRPr="00FB7D45" w:rsidRDefault="00DA46DB" w:rsidP="0024470F">
      <w:pPr>
        <w:rPr>
          <w:rFonts w:ascii="Georgia" w:hAnsi="Georgia" w:cs="Calibri"/>
          <w:color w:val="404040" w:themeColor="text1" w:themeTint="BF"/>
          <w:sz w:val="20"/>
        </w:rPr>
      </w:pPr>
    </w:p>
    <w:p w14:paraId="05D01B31" w14:textId="77777777" w:rsidR="006A0F20" w:rsidRPr="00FB7D45" w:rsidRDefault="008310C3" w:rsidP="008310C3">
      <w:pPr>
        <w:tabs>
          <w:tab w:val="left" w:pos="540"/>
        </w:tabs>
        <w:spacing w:after="200" w:line="276" w:lineRule="auto"/>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16508D2D" w14:textId="77777777" w:rsidR="009633F7" w:rsidRPr="00EF6D72" w:rsidRDefault="009633F7">
      <w:pPr>
        <w:rPr>
          <w:b/>
          <w:color w:val="404040" w:themeColor="text1" w:themeTint="BF"/>
        </w:rPr>
      </w:pPr>
      <w:r w:rsidRPr="006D45FB">
        <w:rPr>
          <w:b/>
          <w:color w:val="404040" w:themeColor="text1" w:themeTint="BF"/>
        </w:rPr>
        <w:t>EXTERNAL</w:t>
      </w:r>
    </w:p>
    <w:tbl>
      <w:tblPr>
        <w:tblStyle w:val="TableGrid"/>
        <w:tblW w:w="9639" w:type="dxa"/>
        <w:tblInd w:w="108" w:type="dxa"/>
        <w:tblCellMar>
          <w:top w:w="57" w:type="dxa"/>
        </w:tblCellMar>
        <w:tblLook w:val="04A0" w:firstRow="1" w:lastRow="0" w:firstColumn="1" w:lastColumn="0" w:noHBand="0" w:noVBand="1"/>
      </w:tblPr>
      <w:tblGrid>
        <w:gridCol w:w="2694"/>
        <w:gridCol w:w="3685"/>
        <w:gridCol w:w="3260"/>
      </w:tblGrid>
      <w:tr w:rsidR="00E34F30" w:rsidRPr="00E34F30" w14:paraId="697FE819" w14:textId="77777777" w:rsidTr="00662972">
        <w:trPr>
          <w:trHeight w:val="510"/>
        </w:trPr>
        <w:tc>
          <w:tcPr>
            <w:tcW w:w="2694" w:type="dxa"/>
            <w:vAlign w:val="center"/>
          </w:tcPr>
          <w:p w14:paraId="2B44AA3A" w14:textId="77777777" w:rsidR="009633F7" w:rsidRPr="00E34F30" w:rsidRDefault="009633F7" w:rsidP="00B84896">
            <w:pPr>
              <w:pStyle w:val="ListParagraph"/>
              <w:spacing w:after="200" w:line="276" w:lineRule="auto"/>
              <w:ind w:left="0"/>
              <w:jc w:val="both"/>
              <w:rPr>
                <w:rFonts w:ascii="Georgia" w:hAnsi="Georgia" w:cs="Calibri"/>
                <w:b/>
                <w:color w:val="404040" w:themeColor="text1" w:themeTint="BF"/>
                <w:sz w:val="20"/>
              </w:rPr>
            </w:pPr>
            <w:r w:rsidRPr="00E34F30">
              <w:rPr>
                <w:rFonts w:ascii="Georgia" w:hAnsi="Georgia" w:cs="Calibri"/>
                <w:b/>
                <w:color w:val="404040" w:themeColor="text1" w:themeTint="BF"/>
                <w:sz w:val="20"/>
              </w:rPr>
              <w:t>Risk</w:t>
            </w:r>
          </w:p>
        </w:tc>
        <w:tc>
          <w:tcPr>
            <w:tcW w:w="3685" w:type="dxa"/>
            <w:vAlign w:val="center"/>
          </w:tcPr>
          <w:p w14:paraId="0443335D" w14:textId="77777777" w:rsidR="009633F7" w:rsidRPr="00E34F30" w:rsidRDefault="005A0C94" w:rsidP="00B84896">
            <w:pPr>
              <w:pStyle w:val="ListParagraph"/>
              <w:spacing w:after="200" w:line="276" w:lineRule="auto"/>
              <w:ind w:left="0"/>
              <w:jc w:val="both"/>
              <w:rPr>
                <w:rFonts w:ascii="Georgia" w:hAnsi="Georgia" w:cs="Calibri"/>
                <w:b/>
                <w:color w:val="404040" w:themeColor="text1" w:themeTint="BF"/>
                <w:sz w:val="20"/>
              </w:rPr>
            </w:pPr>
            <w:r w:rsidRPr="00E34F30">
              <w:rPr>
                <w:rFonts w:ascii="Georgia" w:hAnsi="Georgia" w:cs="Calibri"/>
                <w:b/>
                <w:color w:val="404040" w:themeColor="text1" w:themeTint="BF"/>
                <w:sz w:val="20"/>
              </w:rPr>
              <w:t>Potential impact</w:t>
            </w:r>
          </w:p>
        </w:tc>
        <w:tc>
          <w:tcPr>
            <w:tcW w:w="3260" w:type="dxa"/>
            <w:vAlign w:val="center"/>
          </w:tcPr>
          <w:p w14:paraId="2116246B" w14:textId="77777777" w:rsidR="009633F7" w:rsidRPr="00E34F30" w:rsidRDefault="009633F7" w:rsidP="009633F7">
            <w:pPr>
              <w:pStyle w:val="ListParagraph"/>
              <w:spacing w:line="276" w:lineRule="auto"/>
              <w:ind w:left="0"/>
              <w:jc w:val="both"/>
              <w:rPr>
                <w:rFonts w:ascii="Georgia" w:hAnsi="Georgia" w:cs="Calibri"/>
                <w:b/>
                <w:color w:val="404040" w:themeColor="text1" w:themeTint="BF"/>
                <w:sz w:val="20"/>
              </w:rPr>
            </w:pPr>
            <w:r w:rsidRPr="00E34F30">
              <w:rPr>
                <w:rFonts w:ascii="Georgia" w:hAnsi="Georgia" w:cs="Calibri"/>
                <w:b/>
                <w:color w:val="404040" w:themeColor="text1" w:themeTint="BF"/>
                <w:sz w:val="20"/>
              </w:rPr>
              <w:t>Mitigation</w:t>
            </w:r>
          </w:p>
        </w:tc>
      </w:tr>
      <w:tr w:rsidR="009633F7" w:rsidRPr="009625B4" w14:paraId="1E5CE086" w14:textId="77777777" w:rsidTr="00662972">
        <w:tc>
          <w:tcPr>
            <w:tcW w:w="2694" w:type="dxa"/>
          </w:tcPr>
          <w:p w14:paraId="6AF7EF01" w14:textId="5D6E190F" w:rsidR="009633F7" w:rsidRPr="00FB7D45" w:rsidRDefault="00764871" w:rsidP="00B84896">
            <w:pPr>
              <w:pStyle w:val="ListParagraph"/>
              <w:spacing w:after="200" w:line="276" w:lineRule="auto"/>
              <w:ind w:left="0"/>
              <w:rPr>
                <w:rFonts w:ascii="Georgia" w:hAnsi="Georgia" w:cs="Calibri"/>
                <w:b/>
                <w:color w:val="404040" w:themeColor="text1" w:themeTint="BF"/>
                <w:sz w:val="18"/>
                <w:szCs w:val="18"/>
              </w:rPr>
            </w:pPr>
            <w:r w:rsidRPr="00FB7D45">
              <w:rPr>
                <w:rFonts w:ascii="Georgia" w:hAnsi="Georgia" w:cs="Calibri"/>
                <w:b/>
                <w:color w:val="404040" w:themeColor="text1" w:themeTint="BF"/>
                <w:sz w:val="18"/>
                <w:szCs w:val="18"/>
              </w:rPr>
              <w:t>5</w:t>
            </w:r>
            <w:r w:rsidR="00132D27" w:rsidRPr="00FB7D45">
              <w:rPr>
                <w:rFonts w:ascii="Georgia" w:hAnsi="Georgia" w:cs="Calibri"/>
                <w:b/>
                <w:color w:val="404040" w:themeColor="text1" w:themeTint="BF"/>
                <w:sz w:val="18"/>
                <w:szCs w:val="18"/>
              </w:rPr>
              <w:t xml:space="preserve">. </w:t>
            </w:r>
            <w:r w:rsidR="009633F7" w:rsidRPr="00FB7D45">
              <w:rPr>
                <w:rFonts w:ascii="Georgia" w:hAnsi="Georgia" w:cs="Calibri"/>
                <w:b/>
                <w:color w:val="404040" w:themeColor="text1" w:themeTint="BF"/>
                <w:sz w:val="18"/>
                <w:szCs w:val="18"/>
              </w:rPr>
              <w:t xml:space="preserve">Unfavourable Weather </w:t>
            </w:r>
            <w:r w:rsidR="00662972" w:rsidRPr="00FB7D45">
              <w:rPr>
                <w:rFonts w:ascii="Georgia" w:hAnsi="Georgia" w:cs="Calibri"/>
                <w:b/>
                <w:color w:val="404040" w:themeColor="text1" w:themeTint="BF"/>
                <w:sz w:val="18"/>
                <w:szCs w:val="18"/>
              </w:rPr>
              <w:t xml:space="preserve">and Climate </w:t>
            </w:r>
            <w:r w:rsidR="009633F7" w:rsidRPr="00FB7D45">
              <w:rPr>
                <w:rFonts w:ascii="Georgia" w:hAnsi="Georgia" w:cs="Calibri"/>
                <w:b/>
                <w:color w:val="404040" w:themeColor="text1" w:themeTint="BF"/>
                <w:sz w:val="18"/>
                <w:szCs w:val="18"/>
              </w:rPr>
              <w:t>Conditions</w:t>
            </w:r>
          </w:p>
        </w:tc>
        <w:tc>
          <w:tcPr>
            <w:tcW w:w="3685" w:type="dxa"/>
          </w:tcPr>
          <w:p w14:paraId="6388CA2B" w14:textId="77777777" w:rsidR="00836BFB" w:rsidRPr="00FB7D45" w:rsidRDefault="00836BFB" w:rsidP="00B84896">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 xml:space="preserve">Weather related risks: annual income generation of the Company is sensitive to weather conditions and in particular to the level of irradiation across the investment locations. Variability in weather could result in greater than 10% variability in revenue generation year on year. </w:t>
            </w:r>
          </w:p>
          <w:p w14:paraId="3B4C25C4" w14:textId="568AAB95" w:rsidR="00902B22" w:rsidRPr="00FB7D45" w:rsidRDefault="00836BFB" w:rsidP="00B84896">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Global warming could impact supply and demand for electricity.</w:t>
            </w:r>
          </w:p>
        </w:tc>
        <w:tc>
          <w:tcPr>
            <w:tcW w:w="3260" w:type="dxa"/>
          </w:tcPr>
          <w:p w14:paraId="63B16F92" w14:textId="7F054798" w:rsidR="00836BFB" w:rsidRPr="00FB7D45" w:rsidRDefault="00836BFB" w:rsidP="00902B22">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The Company has diversified the locatio</w:t>
            </w:r>
            <w:r w:rsidR="007225D3">
              <w:rPr>
                <w:rFonts w:ascii="Georgia" w:hAnsi="Georgia" w:cs="Calibri"/>
                <w:color w:val="404040" w:themeColor="text1" w:themeTint="BF"/>
                <w:sz w:val="18"/>
                <w:szCs w:val="18"/>
              </w:rPr>
              <w:t>ns of its plants across the UK.</w:t>
            </w:r>
          </w:p>
          <w:p w14:paraId="08E13A32" w14:textId="3D27B6CE" w:rsidR="00836BFB" w:rsidRPr="00FB7D45" w:rsidRDefault="00836BFB" w:rsidP="00836BFB">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 xml:space="preserve">The Company uses on site measurement of irradiation in order to measure performance against budget, and its portfolio is dispersed across the UK.  The use of solar photovoltaic technology at the sites means generation is not dependent only on direct irradiation but also on predictable daylight, limiting short term volatility when compared to other weather dependent electricity generation. </w:t>
            </w:r>
          </w:p>
          <w:p w14:paraId="7351A611" w14:textId="664C675C" w:rsidR="00A21F9E" w:rsidRPr="00FB7D45" w:rsidRDefault="00836BFB" w:rsidP="00836BFB">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The Company and other clean energy providers are doing their part to reduce the Earth's Carbon Footprint, however there are already damaging long term effects</w:t>
            </w:r>
            <w:r w:rsidR="002435F6">
              <w:rPr>
                <w:rFonts w:ascii="Georgia" w:hAnsi="Georgia" w:cs="Calibri"/>
                <w:color w:val="404040" w:themeColor="text1" w:themeTint="BF"/>
                <w:sz w:val="18"/>
                <w:szCs w:val="18"/>
              </w:rPr>
              <w:t xml:space="preserve"> of climate change</w:t>
            </w:r>
            <w:r w:rsidRPr="00FB7D45">
              <w:rPr>
                <w:rFonts w:ascii="Georgia" w:hAnsi="Georgia" w:cs="Calibri"/>
                <w:color w:val="404040" w:themeColor="text1" w:themeTint="BF"/>
                <w:sz w:val="18"/>
                <w:szCs w:val="18"/>
              </w:rPr>
              <w:t xml:space="preserve"> which may impact the Company.  The management of such an outcome is largely out of the Company's control.</w:t>
            </w:r>
          </w:p>
        </w:tc>
      </w:tr>
    </w:tbl>
    <w:p w14:paraId="70B3C2C8" w14:textId="56623921" w:rsidR="00F95BD7" w:rsidRDefault="00F95BD7">
      <w:pPr>
        <w:rPr>
          <w:highlight w:val="yellow"/>
        </w:rPr>
      </w:pPr>
    </w:p>
    <w:p w14:paraId="11369A88" w14:textId="53D8CD2B" w:rsidR="00836BFB" w:rsidRDefault="00836BFB">
      <w:pPr>
        <w:rPr>
          <w:highlight w:val="yellow"/>
        </w:rPr>
      </w:pPr>
    </w:p>
    <w:p w14:paraId="3F43D013" w14:textId="7B76A537" w:rsidR="00836BFB" w:rsidRDefault="00836BFB">
      <w:pPr>
        <w:rPr>
          <w:highlight w:val="yellow"/>
        </w:rPr>
      </w:pPr>
    </w:p>
    <w:p w14:paraId="11AD2359" w14:textId="58E237F4" w:rsidR="00836BFB" w:rsidRDefault="00836BFB">
      <w:pPr>
        <w:rPr>
          <w:highlight w:val="yellow"/>
        </w:rPr>
      </w:pPr>
    </w:p>
    <w:p w14:paraId="79897908" w14:textId="4C7C1F65" w:rsidR="00836BFB" w:rsidRDefault="00836BFB">
      <w:pPr>
        <w:rPr>
          <w:highlight w:val="yellow"/>
        </w:rPr>
      </w:pPr>
    </w:p>
    <w:p w14:paraId="50CD45AD" w14:textId="71269096" w:rsidR="00836BFB" w:rsidRDefault="00836BFB">
      <w:pPr>
        <w:rPr>
          <w:highlight w:val="yellow"/>
        </w:rPr>
      </w:pPr>
    </w:p>
    <w:p w14:paraId="6F85BAF5" w14:textId="364AF1C4" w:rsidR="00836BFB" w:rsidRDefault="00836BFB">
      <w:pPr>
        <w:rPr>
          <w:highlight w:val="yellow"/>
        </w:rPr>
      </w:pPr>
    </w:p>
    <w:p w14:paraId="7429C73D" w14:textId="23333D06" w:rsidR="00836BFB" w:rsidRDefault="00836BFB">
      <w:pPr>
        <w:rPr>
          <w:highlight w:val="yellow"/>
        </w:rPr>
      </w:pPr>
    </w:p>
    <w:p w14:paraId="7FB8D3E3" w14:textId="0521B721" w:rsidR="00836BFB" w:rsidRDefault="00836BFB">
      <w:pPr>
        <w:rPr>
          <w:highlight w:val="yellow"/>
        </w:rPr>
      </w:pPr>
    </w:p>
    <w:p w14:paraId="797B1765" w14:textId="7DE67E87" w:rsidR="009E3095" w:rsidRDefault="009E3095">
      <w:pPr>
        <w:rPr>
          <w:highlight w:val="yellow"/>
        </w:rPr>
      </w:pPr>
    </w:p>
    <w:p w14:paraId="0E910FB6" w14:textId="77777777" w:rsidR="009E3095" w:rsidRDefault="009E3095">
      <w:pPr>
        <w:rPr>
          <w:highlight w:val="yellow"/>
        </w:rPr>
      </w:pPr>
    </w:p>
    <w:p w14:paraId="1AD1EB1A" w14:textId="57068D0A" w:rsidR="00836BFB" w:rsidRDefault="00836BFB">
      <w:pPr>
        <w:rPr>
          <w:highlight w:val="yellow"/>
        </w:rPr>
      </w:pPr>
    </w:p>
    <w:p w14:paraId="315D9924" w14:textId="571C1943" w:rsidR="00836BFB" w:rsidRDefault="00836BFB">
      <w:pPr>
        <w:rPr>
          <w:highlight w:val="yellow"/>
        </w:rPr>
      </w:pPr>
    </w:p>
    <w:p w14:paraId="6C01F834" w14:textId="0E6484BD" w:rsidR="00836BFB" w:rsidRDefault="00836BFB">
      <w:pPr>
        <w:rPr>
          <w:highlight w:val="yellow"/>
        </w:rPr>
      </w:pPr>
    </w:p>
    <w:p w14:paraId="41450A8C" w14:textId="09D7490C" w:rsidR="007225D3" w:rsidRDefault="007225D3">
      <w:pPr>
        <w:rPr>
          <w:highlight w:val="yellow"/>
        </w:rPr>
      </w:pPr>
    </w:p>
    <w:p w14:paraId="231A01FD" w14:textId="25018D0B" w:rsidR="00C316C3" w:rsidRDefault="00C316C3">
      <w:pPr>
        <w:rPr>
          <w:highlight w:val="yellow"/>
        </w:rPr>
      </w:pPr>
    </w:p>
    <w:p w14:paraId="1E6329E7" w14:textId="77777777" w:rsidR="007225D3" w:rsidRDefault="007225D3">
      <w:pPr>
        <w:rPr>
          <w:highlight w:val="yellow"/>
        </w:rPr>
      </w:pPr>
    </w:p>
    <w:p w14:paraId="597E5AA0" w14:textId="114270F5" w:rsidR="00836BFB" w:rsidRDefault="00836BFB">
      <w:pPr>
        <w:rPr>
          <w:highlight w:val="yellow"/>
        </w:rPr>
      </w:pPr>
    </w:p>
    <w:p w14:paraId="3CF42F3C" w14:textId="29931EF9" w:rsidR="00836BFB" w:rsidRDefault="00836BFB">
      <w:pPr>
        <w:rPr>
          <w:highlight w:val="yellow"/>
        </w:rPr>
      </w:pPr>
    </w:p>
    <w:p w14:paraId="0C1805F6" w14:textId="0E8FAD89" w:rsidR="00836BFB" w:rsidRDefault="00836BFB">
      <w:pPr>
        <w:rPr>
          <w:highlight w:val="yellow"/>
        </w:rPr>
      </w:pPr>
    </w:p>
    <w:p w14:paraId="62D3F454" w14:textId="77777777" w:rsidR="00F95BD7" w:rsidRPr="00FB7D45" w:rsidRDefault="00F95BD7" w:rsidP="00F95BD7">
      <w:pPr>
        <w:pStyle w:val="Heading2"/>
        <w:spacing w:before="0"/>
      </w:pPr>
      <w:r w:rsidRPr="00FB7D45">
        <w:lastRenderedPageBreak/>
        <w:t>Strategic Report (continued)</w:t>
      </w:r>
    </w:p>
    <w:p w14:paraId="7851157A" w14:textId="77777777" w:rsidR="00F95BD7" w:rsidRPr="00FB7D45" w:rsidRDefault="00F95BD7" w:rsidP="00F95BD7">
      <w:pPr>
        <w:pStyle w:val="ListParagraph"/>
        <w:ind w:left="567" w:hanging="567"/>
        <w:rPr>
          <w:rFonts w:ascii="Georgia" w:hAnsi="Georgia" w:cs="Calibri"/>
          <w:b/>
          <w:color w:val="404040" w:themeColor="text1" w:themeTint="BF"/>
          <w:sz w:val="20"/>
        </w:rPr>
      </w:pPr>
    </w:p>
    <w:p w14:paraId="59B1D6CA" w14:textId="77777777" w:rsidR="00F95BD7" w:rsidRPr="00FB7D45" w:rsidRDefault="00F95BD7" w:rsidP="00F95BD7">
      <w:pPr>
        <w:pStyle w:val="ListParagraph"/>
        <w:ind w:left="567" w:hanging="567"/>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1689EBC3" w14:textId="77777777" w:rsidR="00F95BD7" w:rsidRPr="00FB7D45" w:rsidRDefault="00F95BD7" w:rsidP="00F95BD7">
      <w:pPr>
        <w:pStyle w:val="ListParagraph"/>
        <w:ind w:left="567"/>
        <w:rPr>
          <w:rFonts w:ascii="Georgia" w:hAnsi="Georgia" w:cs="Calibri"/>
          <w:b/>
          <w:color w:val="404040" w:themeColor="text1" w:themeTint="BF"/>
          <w:sz w:val="20"/>
        </w:rPr>
      </w:pPr>
    </w:p>
    <w:p w14:paraId="5D8A4008" w14:textId="7D82DD0C" w:rsidR="00F95BD7" w:rsidRPr="00FB7D45" w:rsidRDefault="00F95BD7" w:rsidP="00F95BD7">
      <w:pPr>
        <w:pStyle w:val="ListParagraph"/>
        <w:tabs>
          <w:tab w:val="left" w:pos="540"/>
        </w:tabs>
        <w:spacing w:after="200" w:line="276" w:lineRule="auto"/>
        <w:ind w:left="567" w:hanging="567"/>
        <w:jc w:val="both"/>
      </w:pPr>
      <w:r w:rsidRPr="006D45FB">
        <w:rPr>
          <w:rFonts w:ascii="Georgia" w:hAnsi="Georgia" w:cs="Calibri"/>
          <w:b/>
          <w:color w:val="404040" w:themeColor="text1" w:themeTint="BF"/>
          <w:sz w:val="20"/>
        </w:rPr>
        <w:t>EXTERNAL (CONTINUED)</w:t>
      </w:r>
    </w:p>
    <w:tbl>
      <w:tblPr>
        <w:tblStyle w:val="TableGrid"/>
        <w:tblW w:w="9634" w:type="dxa"/>
        <w:tblInd w:w="113" w:type="dxa"/>
        <w:tblCellMar>
          <w:top w:w="57" w:type="dxa"/>
        </w:tblCellMar>
        <w:tblLook w:val="04A0" w:firstRow="1" w:lastRow="0" w:firstColumn="1" w:lastColumn="0" w:noHBand="0" w:noVBand="1"/>
      </w:tblPr>
      <w:tblGrid>
        <w:gridCol w:w="2689"/>
        <w:gridCol w:w="3685"/>
        <w:gridCol w:w="3260"/>
      </w:tblGrid>
      <w:tr w:rsidR="00F95BD7" w:rsidRPr="00FB7D45" w14:paraId="1EAA9703" w14:textId="77777777" w:rsidTr="006511E5">
        <w:trPr>
          <w:trHeight w:val="510"/>
        </w:trPr>
        <w:tc>
          <w:tcPr>
            <w:tcW w:w="2689" w:type="dxa"/>
            <w:vAlign w:val="center"/>
          </w:tcPr>
          <w:p w14:paraId="69DE8670" w14:textId="77777777" w:rsidR="00F95BD7" w:rsidRPr="00FB7D45" w:rsidRDefault="00F95BD7" w:rsidP="006511E5">
            <w:pPr>
              <w:pStyle w:val="ListParagraph"/>
              <w:spacing w:after="200"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Risk</w:t>
            </w:r>
          </w:p>
        </w:tc>
        <w:tc>
          <w:tcPr>
            <w:tcW w:w="3685" w:type="dxa"/>
            <w:vAlign w:val="center"/>
          </w:tcPr>
          <w:p w14:paraId="18D86DE7" w14:textId="77777777" w:rsidR="00F95BD7" w:rsidRPr="00FB7D45" w:rsidRDefault="00F95BD7" w:rsidP="006511E5">
            <w:pPr>
              <w:pStyle w:val="ListParagraph"/>
              <w:spacing w:after="200"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Potential impact</w:t>
            </w:r>
          </w:p>
        </w:tc>
        <w:tc>
          <w:tcPr>
            <w:tcW w:w="3260" w:type="dxa"/>
            <w:vAlign w:val="center"/>
          </w:tcPr>
          <w:p w14:paraId="41FCEA05" w14:textId="77777777" w:rsidR="00F95BD7" w:rsidRPr="00FB7D45" w:rsidRDefault="00F95BD7" w:rsidP="006511E5">
            <w:pPr>
              <w:pStyle w:val="ListParagraph"/>
              <w:spacing w:line="276" w:lineRule="auto"/>
              <w:ind w:left="0"/>
              <w:rPr>
                <w:rFonts w:ascii="Georgia" w:hAnsi="Georgia" w:cs="Calibri"/>
                <w:b/>
                <w:color w:val="404040" w:themeColor="text1" w:themeTint="BF"/>
                <w:sz w:val="20"/>
              </w:rPr>
            </w:pPr>
            <w:r w:rsidRPr="00FB7D45">
              <w:rPr>
                <w:rFonts w:ascii="Georgia" w:hAnsi="Georgia" w:cs="Calibri"/>
                <w:b/>
                <w:color w:val="404040" w:themeColor="text1" w:themeTint="BF"/>
                <w:sz w:val="20"/>
              </w:rPr>
              <w:t>Mitigation</w:t>
            </w:r>
          </w:p>
        </w:tc>
      </w:tr>
      <w:tr w:rsidR="00836BFB" w:rsidRPr="009625B4" w14:paraId="0EB9B5A3" w14:textId="77777777" w:rsidTr="006511E5">
        <w:tc>
          <w:tcPr>
            <w:tcW w:w="2689" w:type="dxa"/>
          </w:tcPr>
          <w:p w14:paraId="3997A17D" w14:textId="5F8F482F" w:rsidR="00836BFB" w:rsidRPr="00FB7D45" w:rsidRDefault="00836BFB" w:rsidP="00836BFB">
            <w:pPr>
              <w:pStyle w:val="ListParagraph"/>
              <w:spacing w:after="200" w:line="276" w:lineRule="auto"/>
              <w:ind w:left="0"/>
              <w:rPr>
                <w:rFonts w:ascii="Georgia" w:hAnsi="Georgia" w:cs="Calibri"/>
                <w:b/>
                <w:color w:val="404040" w:themeColor="text1" w:themeTint="BF"/>
                <w:sz w:val="18"/>
                <w:szCs w:val="18"/>
              </w:rPr>
            </w:pPr>
            <w:r w:rsidRPr="00FB7D45">
              <w:rPr>
                <w:rFonts w:ascii="Georgia" w:hAnsi="Georgia" w:cs="Calibri"/>
                <w:b/>
                <w:color w:val="404040" w:themeColor="text1" w:themeTint="BF"/>
                <w:sz w:val="18"/>
                <w:szCs w:val="18"/>
              </w:rPr>
              <w:t>6. Unfavourable Electricity Market Conditions</w:t>
            </w:r>
            <w:r w:rsidRPr="00FB7D45">
              <w:rPr>
                <w:rFonts w:ascii="Georgia" w:hAnsi="Georgia" w:cs="Calibri"/>
                <w:b/>
                <w:color w:val="404040" w:themeColor="text1" w:themeTint="BF"/>
                <w:sz w:val="18"/>
                <w:szCs w:val="18"/>
              </w:rPr>
              <w:tab/>
            </w:r>
          </w:p>
        </w:tc>
        <w:tc>
          <w:tcPr>
            <w:tcW w:w="3685" w:type="dxa"/>
          </w:tcPr>
          <w:p w14:paraId="6F20E0F6" w14:textId="77777777" w:rsidR="00836BFB" w:rsidRPr="00FB7D45" w:rsidRDefault="00836BFB" w:rsidP="00836BFB">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 xml:space="preserve">Annual income generation of the Company is sensitive to future power market pricing.  A major structural shift in power demand or supply will impact the Company's ability to meet its dividend target. </w:t>
            </w:r>
          </w:p>
          <w:p w14:paraId="6AFA5C90" w14:textId="5B633D6B" w:rsidR="00836BFB" w:rsidRPr="00FB7D45" w:rsidRDefault="00836BFB" w:rsidP="00836BFB">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The reduction of all energy prices may also have a negative effect on the price of all sources of energy.</w:t>
            </w:r>
            <w:r w:rsidRPr="00FB7D45" w:rsidDel="003A6493">
              <w:rPr>
                <w:rFonts w:ascii="Georgia" w:hAnsi="Georgia" w:cs="Calibri"/>
                <w:color w:val="404040" w:themeColor="text1" w:themeTint="BF"/>
                <w:sz w:val="18"/>
                <w:szCs w:val="18"/>
              </w:rPr>
              <w:t xml:space="preserve"> </w:t>
            </w:r>
          </w:p>
        </w:tc>
        <w:tc>
          <w:tcPr>
            <w:tcW w:w="3260" w:type="dxa"/>
          </w:tcPr>
          <w:p w14:paraId="2DC87CF0" w14:textId="77777777" w:rsidR="00836BFB" w:rsidRDefault="00836BFB" w:rsidP="00836BFB">
            <w:pPr>
              <w:spacing w:after="200" w:line="276" w:lineRule="auto"/>
              <w:rPr>
                <w:rFonts w:ascii="Georgia" w:hAnsi="Georgia" w:cs="Calibri"/>
                <w:color w:val="404040" w:themeColor="text1" w:themeTint="BF"/>
                <w:sz w:val="18"/>
                <w:szCs w:val="18"/>
              </w:rPr>
            </w:pPr>
            <w:r w:rsidRPr="00FB7D45">
              <w:rPr>
                <w:rFonts w:ascii="Georgia" w:hAnsi="Georgia" w:cs="Calibri"/>
                <w:color w:val="404040" w:themeColor="text1" w:themeTint="BF"/>
                <w:sz w:val="18"/>
                <w:szCs w:val="18"/>
              </w:rPr>
              <w:t xml:space="preserve">The Investment Adviser regularly updates the portfolio cash flow model to reflect future power market forecasts and where appropriate applies discounts to the forecasts.  New projects are always assessed using the most recent power market forecast data available. A rolling programme of PPA contract expiries has been implemented to minimise risk. Protection against a sustained period of low energy prices can only be achieved by maximising exposure to regulatory revenues through acquisition of more legacy </w:t>
            </w:r>
            <w:proofErr w:type="spellStart"/>
            <w:r w:rsidRPr="00FB7D45">
              <w:rPr>
                <w:rFonts w:ascii="Georgia" w:hAnsi="Georgia" w:cs="Calibri"/>
                <w:color w:val="404040" w:themeColor="text1" w:themeTint="BF"/>
                <w:sz w:val="18"/>
                <w:szCs w:val="18"/>
              </w:rPr>
              <w:t>FiT</w:t>
            </w:r>
            <w:proofErr w:type="spellEnd"/>
            <w:r w:rsidRPr="00FB7D45">
              <w:rPr>
                <w:rFonts w:ascii="Georgia" w:hAnsi="Georgia" w:cs="Calibri"/>
                <w:color w:val="404040" w:themeColor="text1" w:themeTint="BF"/>
                <w:sz w:val="18"/>
                <w:szCs w:val="18"/>
              </w:rPr>
              <w:t xml:space="preserve"> and ROC plants.   Some recent acquisitions have included fixed power contracts for a longer period, reducing exposure to short term volatility. Long term power prices are however beyond the control of the Company. A third party review of the power strategy adopted by the Investment Adviser has also given a strong independent verification of the strategy.  The Investment Adviser is currently reviewing possibilities for the private sale of electricity to stabilise long term revenues.</w:t>
            </w:r>
          </w:p>
          <w:p w14:paraId="21BDF055" w14:textId="3EE6B332" w:rsidR="00E41692" w:rsidRPr="00FB7D45" w:rsidRDefault="00E41692" w:rsidP="006D45FB">
            <w:pPr>
              <w:spacing w:after="200" w:line="276" w:lineRule="auto"/>
              <w:rPr>
                <w:rFonts w:ascii="Georgia" w:hAnsi="Georgia" w:cs="Calibri"/>
                <w:color w:val="404040" w:themeColor="text1" w:themeTint="BF"/>
                <w:sz w:val="18"/>
                <w:szCs w:val="18"/>
              </w:rPr>
            </w:pPr>
            <w:r>
              <w:rPr>
                <w:rFonts w:ascii="Georgia" w:hAnsi="Georgia" w:cs="Calibri"/>
                <w:color w:val="404040" w:themeColor="text1" w:themeTint="BF"/>
                <w:sz w:val="18"/>
                <w:szCs w:val="18"/>
              </w:rPr>
              <w:t xml:space="preserve">The </w:t>
            </w:r>
            <w:r w:rsidR="009E3095">
              <w:rPr>
                <w:rFonts w:ascii="Georgia" w:hAnsi="Georgia" w:cs="Calibri"/>
                <w:color w:val="404040" w:themeColor="text1" w:themeTint="BF"/>
                <w:sz w:val="18"/>
                <w:szCs w:val="18"/>
              </w:rPr>
              <w:t>Company</w:t>
            </w:r>
            <w:r>
              <w:rPr>
                <w:rFonts w:ascii="Georgia" w:hAnsi="Georgia" w:cs="Calibri"/>
                <w:color w:val="404040" w:themeColor="text1" w:themeTint="BF"/>
                <w:sz w:val="18"/>
                <w:szCs w:val="18"/>
              </w:rPr>
              <w:t xml:space="preserve"> has commissioned a report on the benefits of integratin</w:t>
            </w:r>
            <w:r w:rsidR="006D45FB">
              <w:rPr>
                <w:rFonts w:ascii="Georgia" w:hAnsi="Georgia" w:cs="Calibri"/>
                <w:color w:val="404040" w:themeColor="text1" w:themeTint="BF"/>
                <w:sz w:val="18"/>
                <w:szCs w:val="18"/>
              </w:rPr>
              <w:t xml:space="preserve">g storage technologies within </w:t>
            </w:r>
            <w:r w:rsidR="009E3095">
              <w:rPr>
                <w:rFonts w:ascii="Georgia" w:hAnsi="Georgia" w:cs="Calibri"/>
                <w:color w:val="404040" w:themeColor="text1" w:themeTint="BF"/>
                <w:sz w:val="18"/>
                <w:szCs w:val="18"/>
              </w:rPr>
              <w:t>its</w:t>
            </w:r>
            <w:r>
              <w:rPr>
                <w:rFonts w:ascii="Georgia" w:hAnsi="Georgia" w:cs="Calibri"/>
                <w:color w:val="404040" w:themeColor="text1" w:themeTint="BF"/>
                <w:sz w:val="18"/>
                <w:szCs w:val="18"/>
              </w:rPr>
              <w:t xml:space="preserve"> portfolio.  This technology can profit from power price volatility.</w:t>
            </w:r>
          </w:p>
        </w:tc>
      </w:tr>
    </w:tbl>
    <w:p w14:paraId="6C1E4261" w14:textId="77777777" w:rsidR="00C175D0" w:rsidRPr="009625B4" w:rsidRDefault="00C175D0">
      <w:pPr>
        <w:rPr>
          <w:highlight w:val="yellow"/>
        </w:rPr>
      </w:pPr>
      <w:r w:rsidRPr="009625B4">
        <w:rPr>
          <w:highlight w:val="yellow"/>
        </w:rPr>
        <w:br w:type="page"/>
      </w:r>
    </w:p>
    <w:p w14:paraId="5FE56AF0" w14:textId="77777777" w:rsidR="0071212D" w:rsidRPr="00FB7D45" w:rsidRDefault="0071212D" w:rsidP="00E85EF6">
      <w:pPr>
        <w:pStyle w:val="Heading2"/>
        <w:spacing w:before="0"/>
      </w:pPr>
      <w:r w:rsidRPr="00FB7D45">
        <w:lastRenderedPageBreak/>
        <w:t>Strategic Report (continued)</w:t>
      </w:r>
    </w:p>
    <w:p w14:paraId="7F446202" w14:textId="77777777" w:rsidR="0071212D" w:rsidRPr="00FB7D45" w:rsidRDefault="0071212D"/>
    <w:p w14:paraId="7D70EB59" w14:textId="77777777" w:rsidR="009633F7" w:rsidRPr="00FB7D45" w:rsidRDefault="008310C3" w:rsidP="008310C3">
      <w:pPr>
        <w:pStyle w:val="ListParagraph"/>
        <w:ind w:left="567" w:hanging="567"/>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7001A2A6" w14:textId="77777777" w:rsidR="008310C3" w:rsidRPr="00FB7D45" w:rsidRDefault="008310C3" w:rsidP="0024470F">
      <w:pPr>
        <w:pStyle w:val="ListParagraph"/>
        <w:ind w:left="567"/>
        <w:rPr>
          <w:rFonts w:ascii="Georgia" w:hAnsi="Georgia" w:cs="Calibri"/>
          <w:b/>
          <w:color w:val="404040" w:themeColor="text1" w:themeTint="BF"/>
          <w:sz w:val="20"/>
        </w:rPr>
      </w:pPr>
    </w:p>
    <w:p w14:paraId="09C9BB1C" w14:textId="77777777" w:rsidR="00B56E61" w:rsidRPr="00FB7D45" w:rsidRDefault="009633F7" w:rsidP="00B56E61">
      <w:pPr>
        <w:pStyle w:val="ListParagraph"/>
        <w:tabs>
          <w:tab w:val="left" w:pos="540"/>
        </w:tabs>
        <w:spacing w:after="200" w:line="276" w:lineRule="auto"/>
        <w:ind w:left="567" w:hanging="567"/>
        <w:jc w:val="both"/>
        <w:rPr>
          <w:rFonts w:ascii="Georgia" w:hAnsi="Georgia" w:cs="Calibri"/>
          <w:b/>
          <w:color w:val="404040" w:themeColor="text1" w:themeTint="BF"/>
          <w:sz w:val="20"/>
        </w:rPr>
      </w:pPr>
      <w:r w:rsidRPr="00ED689B">
        <w:rPr>
          <w:rFonts w:ascii="Georgia" w:hAnsi="Georgia" w:cs="Calibri"/>
          <w:b/>
          <w:color w:val="404040" w:themeColor="text1" w:themeTint="BF"/>
          <w:sz w:val="20"/>
        </w:rPr>
        <w:t>EXTERNAL (CONTINUED)</w:t>
      </w:r>
    </w:p>
    <w:tbl>
      <w:tblPr>
        <w:tblStyle w:val="TableGrid"/>
        <w:tblW w:w="9634" w:type="dxa"/>
        <w:tblInd w:w="113" w:type="dxa"/>
        <w:tblCellMar>
          <w:top w:w="57" w:type="dxa"/>
        </w:tblCellMar>
        <w:tblLook w:val="04A0" w:firstRow="1" w:lastRow="0" w:firstColumn="1" w:lastColumn="0" w:noHBand="0" w:noVBand="1"/>
      </w:tblPr>
      <w:tblGrid>
        <w:gridCol w:w="2689"/>
        <w:gridCol w:w="3685"/>
        <w:gridCol w:w="3260"/>
      </w:tblGrid>
      <w:tr w:rsidR="009633F7" w:rsidRPr="009625B4" w14:paraId="41A2EBFC" w14:textId="77777777" w:rsidTr="00662972">
        <w:trPr>
          <w:trHeight w:val="510"/>
        </w:trPr>
        <w:tc>
          <w:tcPr>
            <w:tcW w:w="2689" w:type="dxa"/>
            <w:vAlign w:val="center"/>
          </w:tcPr>
          <w:p w14:paraId="1B1BDDF1" w14:textId="77777777" w:rsidR="009633F7" w:rsidRPr="00894FC4" w:rsidRDefault="009633F7" w:rsidP="00B84896">
            <w:pPr>
              <w:pStyle w:val="ListParagraph"/>
              <w:spacing w:after="200"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Risk</w:t>
            </w:r>
          </w:p>
        </w:tc>
        <w:tc>
          <w:tcPr>
            <w:tcW w:w="3685" w:type="dxa"/>
            <w:vAlign w:val="center"/>
          </w:tcPr>
          <w:p w14:paraId="171E25F1" w14:textId="77777777" w:rsidR="009633F7" w:rsidRPr="00894FC4" w:rsidRDefault="005A0C94" w:rsidP="00B84896">
            <w:pPr>
              <w:pStyle w:val="ListParagraph"/>
              <w:spacing w:after="200"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Potential impact</w:t>
            </w:r>
          </w:p>
        </w:tc>
        <w:tc>
          <w:tcPr>
            <w:tcW w:w="3260" w:type="dxa"/>
            <w:vAlign w:val="center"/>
          </w:tcPr>
          <w:p w14:paraId="7AA25BA6" w14:textId="77777777" w:rsidR="009633F7" w:rsidRPr="00894FC4" w:rsidRDefault="009633F7" w:rsidP="005A0C94">
            <w:pPr>
              <w:pStyle w:val="ListParagraph"/>
              <w:spacing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Mitigation</w:t>
            </w:r>
          </w:p>
        </w:tc>
      </w:tr>
      <w:tr w:rsidR="00836BFB" w:rsidRPr="009625B4" w14:paraId="74F28C22" w14:textId="77777777" w:rsidTr="00662972">
        <w:tc>
          <w:tcPr>
            <w:tcW w:w="2689" w:type="dxa"/>
          </w:tcPr>
          <w:p w14:paraId="6510C4C1" w14:textId="36EB2300" w:rsidR="00836BFB" w:rsidRPr="00894FC4" w:rsidRDefault="00836BFB" w:rsidP="00836BFB">
            <w:pPr>
              <w:pStyle w:val="ListParagraph"/>
              <w:spacing w:after="200" w:line="276" w:lineRule="auto"/>
              <w:ind w:left="0"/>
              <w:rPr>
                <w:rFonts w:ascii="Georgia" w:hAnsi="Georgia" w:cs="Calibri"/>
                <w:b/>
                <w:color w:val="404040" w:themeColor="text1" w:themeTint="BF"/>
                <w:sz w:val="18"/>
                <w:szCs w:val="18"/>
              </w:rPr>
            </w:pPr>
            <w:r w:rsidRPr="00894FC4">
              <w:rPr>
                <w:rFonts w:ascii="Georgia" w:hAnsi="Georgia" w:cs="Calibri"/>
                <w:b/>
                <w:color w:val="404040" w:themeColor="text1" w:themeTint="BF"/>
                <w:sz w:val="18"/>
                <w:szCs w:val="18"/>
              </w:rPr>
              <w:t>7. Changes in tax regime</w:t>
            </w:r>
          </w:p>
          <w:p w14:paraId="4F59118E" w14:textId="77777777" w:rsidR="00836BFB" w:rsidRPr="00894FC4" w:rsidRDefault="00836BFB" w:rsidP="00836BFB">
            <w:pPr>
              <w:pStyle w:val="ListParagraph"/>
              <w:spacing w:after="200" w:line="276" w:lineRule="auto"/>
              <w:ind w:left="0"/>
              <w:rPr>
                <w:rFonts w:ascii="Georgia" w:hAnsi="Georgia" w:cs="Calibri"/>
                <w:b/>
                <w:color w:val="404040" w:themeColor="text1" w:themeTint="BF"/>
                <w:sz w:val="18"/>
                <w:szCs w:val="18"/>
              </w:rPr>
            </w:pPr>
          </w:p>
        </w:tc>
        <w:tc>
          <w:tcPr>
            <w:tcW w:w="3685" w:type="dxa"/>
          </w:tcPr>
          <w:p w14:paraId="44EA3D03" w14:textId="23B320FF" w:rsidR="00836BFB" w:rsidRPr="009625B4" w:rsidRDefault="00836BFB" w:rsidP="00836BFB">
            <w:pPr>
              <w:spacing w:after="200" w:line="276" w:lineRule="auto"/>
              <w:rPr>
                <w:highlight w:val="yellow"/>
              </w:rPr>
            </w:pPr>
            <w:r w:rsidRPr="00E63428">
              <w:rPr>
                <w:rFonts w:ascii="Georgia" w:hAnsi="Georgia" w:cs="Calibri"/>
                <w:color w:val="404040" w:themeColor="text1" w:themeTint="BF"/>
                <w:sz w:val="18"/>
                <w:szCs w:val="18"/>
              </w:rPr>
              <w:t>There may be unfavourable tax related changes including restrictions on renewables, or no relief on debt structuring.</w:t>
            </w:r>
            <w:r w:rsidRPr="00E63428" w:rsidDel="003A6493">
              <w:rPr>
                <w:rFonts w:ascii="Georgia" w:hAnsi="Georgia" w:cs="Calibri"/>
                <w:color w:val="404040" w:themeColor="text1" w:themeTint="BF"/>
                <w:sz w:val="18"/>
                <w:szCs w:val="18"/>
              </w:rPr>
              <w:t xml:space="preserve"> </w:t>
            </w:r>
            <w:r w:rsidRPr="00E63428">
              <w:rPr>
                <w:rFonts w:ascii="Georgia" w:hAnsi="Georgia" w:cs="Calibri"/>
                <w:color w:val="404040" w:themeColor="text1" w:themeTint="BF"/>
                <w:sz w:val="18"/>
                <w:szCs w:val="18"/>
              </w:rPr>
              <w:t xml:space="preserve">  The UK Finance Bill enacted in December 2017 restricts tax relief on borrowing to 30% of EBITDA.</w:t>
            </w:r>
          </w:p>
        </w:tc>
        <w:tc>
          <w:tcPr>
            <w:tcW w:w="3260" w:type="dxa"/>
          </w:tcPr>
          <w:p w14:paraId="69336D3C" w14:textId="35BD9C19" w:rsidR="00836BFB" w:rsidRPr="009625B4" w:rsidRDefault="00836BFB" w:rsidP="00836BFB">
            <w:pPr>
              <w:spacing w:after="200" w:line="276" w:lineRule="auto"/>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An independent taxation review of the Company was carried out as part of the long term debt financing procurement process. The Company makes regular debt repayments to reduce operating leverage and with the intention of ensuring that debt is repaid before regulatory revenues expire.  The Board continues to monitor the situation and take advice from the Company's tax advisers as necessary.</w:t>
            </w:r>
          </w:p>
        </w:tc>
      </w:tr>
      <w:tr w:rsidR="00836BFB" w:rsidRPr="009625B4" w14:paraId="49F189B3" w14:textId="77777777" w:rsidTr="00662972">
        <w:tc>
          <w:tcPr>
            <w:tcW w:w="2689" w:type="dxa"/>
          </w:tcPr>
          <w:p w14:paraId="6E187C1C" w14:textId="05349D06" w:rsidR="00836BFB" w:rsidRPr="00894FC4" w:rsidRDefault="00836BFB" w:rsidP="00836BFB">
            <w:pPr>
              <w:pStyle w:val="ListParagraph"/>
              <w:spacing w:after="200" w:line="276" w:lineRule="auto"/>
              <w:ind w:left="0"/>
              <w:rPr>
                <w:rFonts w:ascii="Georgia" w:hAnsi="Georgia" w:cs="Calibri"/>
                <w:b/>
                <w:color w:val="404040" w:themeColor="text1" w:themeTint="BF"/>
                <w:sz w:val="18"/>
                <w:szCs w:val="18"/>
              </w:rPr>
            </w:pPr>
            <w:r w:rsidRPr="00894FC4">
              <w:rPr>
                <w:rFonts w:ascii="Georgia" w:hAnsi="Georgia" w:cs="Calibri"/>
                <w:b/>
                <w:color w:val="404040" w:themeColor="text1" w:themeTint="BF"/>
                <w:sz w:val="18"/>
                <w:szCs w:val="18"/>
              </w:rPr>
              <w:t>8. Changes to Government Plans</w:t>
            </w:r>
          </w:p>
        </w:tc>
        <w:tc>
          <w:tcPr>
            <w:tcW w:w="3685" w:type="dxa"/>
          </w:tcPr>
          <w:p w14:paraId="3C5E2340" w14:textId="461A45F8" w:rsidR="00836BFB" w:rsidRPr="009625B4" w:rsidRDefault="00836BFB" w:rsidP="00836BFB">
            <w:pPr>
              <w:spacing w:after="200" w:line="276" w:lineRule="auto"/>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 xml:space="preserve">Decisions affecting the wholesale supply of electricity through either </w:t>
            </w:r>
            <w:proofErr w:type="spellStart"/>
            <w:r w:rsidRPr="00E63428">
              <w:rPr>
                <w:rFonts w:ascii="Georgia" w:hAnsi="Georgia" w:cs="Calibri"/>
                <w:color w:val="404040" w:themeColor="text1" w:themeTint="BF"/>
                <w:sz w:val="18"/>
                <w:szCs w:val="18"/>
              </w:rPr>
              <w:t>i</w:t>
            </w:r>
            <w:proofErr w:type="spellEnd"/>
            <w:r w:rsidRPr="00E63428">
              <w:rPr>
                <w:rFonts w:ascii="Georgia" w:hAnsi="Georgia" w:cs="Calibri"/>
                <w:color w:val="404040" w:themeColor="text1" w:themeTint="BF"/>
                <w:sz w:val="18"/>
                <w:szCs w:val="18"/>
              </w:rPr>
              <w:t>) a flooded market or ii) other available forms of energy sources.</w:t>
            </w:r>
          </w:p>
        </w:tc>
        <w:tc>
          <w:tcPr>
            <w:tcW w:w="3260" w:type="dxa"/>
          </w:tcPr>
          <w:p w14:paraId="027B2971" w14:textId="5544B0A4" w:rsidR="00836BFB" w:rsidRPr="009625B4" w:rsidRDefault="00836BFB" w:rsidP="00836BFB">
            <w:pPr>
              <w:spacing w:after="200" w:line="276" w:lineRule="auto"/>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The Investment Adviser provides regular updates in this regard within the quarterly Board papers.</w:t>
            </w:r>
          </w:p>
        </w:tc>
      </w:tr>
      <w:tr w:rsidR="00836BFB" w:rsidRPr="009625B4" w14:paraId="297BC787" w14:textId="77777777" w:rsidTr="00662972">
        <w:tc>
          <w:tcPr>
            <w:tcW w:w="2689" w:type="dxa"/>
          </w:tcPr>
          <w:p w14:paraId="2BD882C2" w14:textId="1F0E0303" w:rsidR="00836BFB" w:rsidRPr="00894FC4" w:rsidRDefault="00836BFB" w:rsidP="00836BFB">
            <w:pPr>
              <w:pStyle w:val="ListParagraph"/>
              <w:spacing w:after="200" w:line="276" w:lineRule="auto"/>
              <w:ind w:left="0"/>
              <w:rPr>
                <w:rFonts w:ascii="Georgia" w:hAnsi="Georgia" w:cs="Calibri"/>
                <w:b/>
                <w:color w:val="404040" w:themeColor="text1" w:themeTint="BF"/>
                <w:sz w:val="18"/>
                <w:szCs w:val="18"/>
              </w:rPr>
            </w:pPr>
            <w:r w:rsidRPr="00894FC4">
              <w:rPr>
                <w:rFonts w:ascii="Georgia" w:hAnsi="Georgia" w:cs="Calibri"/>
                <w:b/>
                <w:color w:val="404040" w:themeColor="text1" w:themeTint="BF"/>
                <w:sz w:val="18"/>
                <w:szCs w:val="18"/>
              </w:rPr>
              <w:t>9. Political risk</w:t>
            </w:r>
          </w:p>
          <w:p w14:paraId="0714A70D" w14:textId="77777777" w:rsidR="00836BFB" w:rsidRPr="00894FC4" w:rsidRDefault="00836BFB" w:rsidP="00836BFB">
            <w:pPr>
              <w:pStyle w:val="ListParagraph"/>
              <w:spacing w:after="200" w:line="276" w:lineRule="auto"/>
              <w:ind w:left="0"/>
              <w:rPr>
                <w:rFonts w:ascii="Georgia" w:hAnsi="Georgia" w:cs="Calibri"/>
                <w:b/>
                <w:color w:val="404040" w:themeColor="text1" w:themeTint="BF"/>
                <w:sz w:val="18"/>
                <w:szCs w:val="18"/>
              </w:rPr>
            </w:pPr>
          </w:p>
        </w:tc>
        <w:tc>
          <w:tcPr>
            <w:tcW w:w="3685" w:type="dxa"/>
          </w:tcPr>
          <w:p w14:paraId="3E595386" w14:textId="1664BA98" w:rsidR="00836BFB" w:rsidRPr="009625B4" w:rsidRDefault="00836BFB" w:rsidP="00836BFB">
            <w:pPr>
              <w:spacing w:after="200" w:line="276" w:lineRule="auto"/>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The decision by the UK to exit the EU has elevated levels of political uncertainty and may have an adverse impact on the Company.</w:t>
            </w:r>
            <w:r w:rsidR="00F17FC6">
              <w:rPr>
                <w:rFonts w:ascii="Georgia" w:hAnsi="Georgia" w:cs="Calibri"/>
                <w:color w:val="404040" w:themeColor="text1" w:themeTint="BF"/>
                <w:sz w:val="18"/>
                <w:szCs w:val="18"/>
              </w:rPr>
              <w:t xml:space="preserve"> The Covid-19 pandemic has caused the government to take extraordinary measures in 2020, leading to a more volatile political environment.</w:t>
            </w:r>
          </w:p>
        </w:tc>
        <w:tc>
          <w:tcPr>
            <w:tcW w:w="3260" w:type="dxa"/>
          </w:tcPr>
          <w:p w14:paraId="03E5FF32" w14:textId="6C5ECF10" w:rsidR="00836BFB" w:rsidRPr="009625B4" w:rsidRDefault="00836BFB" w:rsidP="00F17FC6">
            <w:pPr>
              <w:spacing w:after="200" w:line="276" w:lineRule="auto"/>
              <w:rPr>
                <w:rFonts w:ascii="Georgia" w:hAnsi="Georgia" w:cs="Calibri"/>
                <w:color w:val="404040" w:themeColor="text1" w:themeTint="BF"/>
                <w:sz w:val="18"/>
                <w:szCs w:val="18"/>
                <w:highlight w:val="yellow"/>
              </w:rPr>
            </w:pPr>
            <w:r w:rsidRPr="00E63428">
              <w:rPr>
                <w:rFonts w:ascii="Georgia" w:hAnsi="Georgia" w:cs="Calibri"/>
                <w:color w:val="404040" w:themeColor="text1" w:themeTint="BF"/>
                <w:sz w:val="18"/>
                <w:szCs w:val="18"/>
              </w:rPr>
              <w:t>Since announcement of the EU referendum result there has been a weakening of Sterling’s exchange rate against a number of major currencies, a downgrade of the UK’s credit rating and a cut in interest rates.  The Company has been favourably impacted by these changes to date.  The Company has negligible foreign currency exposure and the reduction in yield on gilts has materially reduced the cost of the</w:t>
            </w:r>
            <w:r w:rsidR="002435F6">
              <w:rPr>
                <w:rFonts w:ascii="Georgia" w:hAnsi="Georgia" w:cs="Calibri"/>
                <w:color w:val="404040" w:themeColor="text1" w:themeTint="BF"/>
                <w:sz w:val="18"/>
                <w:szCs w:val="18"/>
              </w:rPr>
              <w:t xml:space="preserve"> Company’s</w:t>
            </w:r>
            <w:r w:rsidRPr="00E63428">
              <w:rPr>
                <w:rFonts w:ascii="Georgia" w:hAnsi="Georgia" w:cs="Calibri"/>
                <w:color w:val="404040" w:themeColor="text1" w:themeTint="BF"/>
                <w:sz w:val="18"/>
                <w:szCs w:val="18"/>
              </w:rPr>
              <w:t xml:space="preserve"> long term debt.  There are however other unknown risks which may or may not occur in the medium and longer term and which the Board will monitor closely should they arise.</w:t>
            </w:r>
            <w:r w:rsidR="00F17FC6">
              <w:rPr>
                <w:rFonts w:ascii="Georgia" w:hAnsi="Georgia" w:cs="Calibri"/>
                <w:color w:val="404040" w:themeColor="text1" w:themeTint="BF"/>
                <w:sz w:val="18"/>
                <w:szCs w:val="18"/>
              </w:rPr>
              <w:t xml:space="preserve"> </w:t>
            </w:r>
          </w:p>
        </w:tc>
      </w:tr>
      <w:tr w:rsidR="008D1048" w:rsidRPr="009625B4" w14:paraId="7991B76C" w14:textId="77777777" w:rsidTr="00662972">
        <w:tc>
          <w:tcPr>
            <w:tcW w:w="2689" w:type="dxa"/>
          </w:tcPr>
          <w:p w14:paraId="0BB0D922" w14:textId="5BFDF7E4" w:rsidR="008D1048" w:rsidRPr="00894FC4" w:rsidRDefault="008D1048" w:rsidP="008D1048">
            <w:pPr>
              <w:pStyle w:val="ListParagraph"/>
              <w:spacing w:after="200" w:line="276" w:lineRule="auto"/>
              <w:ind w:left="0"/>
              <w:rPr>
                <w:rFonts w:ascii="Georgia" w:hAnsi="Georgia" w:cs="Calibri"/>
                <w:b/>
                <w:color w:val="404040" w:themeColor="text1" w:themeTint="BF"/>
                <w:sz w:val="18"/>
                <w:szCs w:val="18"/>
              </w:rPr>
            </w:pPr>
            <w:r>
              <w:rPr>
                <w:rFonts w:ascii="Georgia" w:hAnsi="Georgia" w:cs="Calibri"/>
                <w:b/>
                <w:color w:val="404040" w:themeColor="text1" w:themeTint="BF"/>
                <w:sz w:val="18"/>
                <w:szCs w:val="18"/>
              </w:rPr>
              <w:t>10</w:t>
            </w:r>
            <w:r w:rsidRPr="00894FC4">
              <w:rPr>
                <w:rFonts w:ascii="Georgia" w:hAnsi="Georgia" w:cs="Calibri"/>
                <w:b/>
                <w:color w:val="404040" w:themeColor="text1" w:themeTint="BF"/>
                <w:sz w:val="18"/>
                <w:szCs w:val="18"/>
              </w:rPr>
              <w:t xml:space="preserve">. </w:t>
            </w:r>
            <w:r>
              <w:rPr>
                <w:rFonts w:ascii="Georgia" w:hAnsi="Georgia" w:cs="Calibri"/>
                <w:b/>
                <w:color w:val="404040" w:themeColor="text1" w:themeTint="BF"/>
                <w:sz w:val="18"/>
                <w:szCs w:val="18"/>
              </w:rPr>
              <w:t>Cyber</w:t>
            </w:r>
            <w:r w:rsidRPr="00894FC4">
              <w:rPr>
                <w:rFonts w:ascii="Georgia" w:hAnsi="Georgia" w:cs="Calibri"/>
                <w:b/>
                <w:color w:val="404040" w:themeColor="text1" w:themeTint="BF"/>
                <w:sz w:val="18"/>
                <w:szCs w:val="18"/>
              </w:rPr>
              <w:t xml:space="preserve"> risk</w:t>
            </w:r>
          </w:p>
          <w:p w14:paraId="3AC6C8CB" w14:textId="77777777" w:rsidR="008D1048" w:rsidRPr="00894FC4" w:rsidRDefault="008D1048" w:rsidP="00836BFB">
            <w:pPr>
              <w:pStyle w:val="ListParagraph"/>
              <w:spacing w:after="200" w:line="276" w:lineRule="auto"/>
              <w:ind w:left="0"/>
              <w:rPr>
                <w:rFonts w:ascii="Georgia" w:hAnsi="Georgia" w:cs="Calibri"/>
                <w:b/>
                <w:color w:val="404040" w:themeColor="text1" w:themeTint="BF"/>
                <w:sz w:val="18"/>
                <w:szCs w:val="18"/>
              </w:rPr>
            </w:pPr>
          </w:p>
        </w:tc>
        <w:tc>
          <w:tcPr>
            <w:tcW w:w="3685" w:type="dxa"/>
          </w:tcPr>
          <w:p w14:paraId="7711E424" w14:textId="68EA0A9A" w:rsidR="008D1048" w:rsidRPr="00E63428" w:rsidRDefault="008D1048" w:rsidP="008D1048">
            <w:pPr>
              <w:spacing w:after="200" w:line="276" w:lineRule="auto"/>
              <w:rPr>
                <w:rFonts w:ascii="Georgia" w:hAnsi="Georgia" w:cs="Calibri"/>
                <w:color w:val="404040" w:themeColor="text1" w:themeTint="BF"/>
                <w:sz w:val="18"/>
                <w:szCs w:val="18"/>
              </w:rPr>
            </w:pPr>
            <w:r>
              <w:rPr>
                <w:rFonts w:ascii="Georgia" w:hAnsi="Georgia" w:cs="Calibri"/>
                <w:color w:val="404040" w:themeColor="text1" w:themeTint="BF"/>
                <w:sz w:val="18"/>
                <w:szCs w:val="18"/>
              </w:rPr>
              <w:t>Key stakeholders could exchange corrupt or virus infected emai</w:t>
            </w:r>
            <w:r w:rsidR="002729DC">
              <w:rPr>
                <w:rFonts w:ascii="Georgia" w:hAnsi="Georgia" w:cs="Calibri"/>
                <w:color w:val="404040" w:themeColor="text1" w:themeTint="BF"/>
                <w:sz w:val="18"/>
                <w:szCs w:val="18"/>
              </w:rPr>
              <w:t>ls with key BSIF counterparties. M</w:t>
            </w:r>
            <w:r>
              <w:rPr>
                <w:rFonts w:ascii="Georgia" w:hAnsi="Georgia" w:cs="Calibri"/>
                <w:color w:val="404040" w:themeColor="text1" w:themeTint="BF"/>
                <w:sz w:val="18"/>
                <w:szCs w:val="18"/>
              </w:rPr>
              <w:t>alicious firmware may cause damage to hardware resulting in a loss of generation or damage to the grid.</w:t>
            </w:r>
          </w:p>
        </w:tc>
        <w:tc>
          <w:tcPr>
            <w:tcW w:w="3260" w:type="dxa"/>
          </w:tcPr>
          <w:p w14:paraId="046A3577" w14:textId="677F4646" w:rsidR="008D1048" w:rsidRPr="00E63428" w:rsidRDefault="008D1048" w:rsidP="008D1048">
            <w:pPr>
              <w:spacing w:after="200" w:line="276" w:lineRule="auto"/>
              <w:rPr>
                <w:rFonts w:ascii="Georgia" w:hAnsi="Georgia" w:cs="Calibri"/>
                <w:color w:val="404040" w:themeColor="text1" w:themeTint="BF"/>
                <w:sz w:val="18"/>
                <w:szCs w:val="18"/>
              </w:rPr>
            </w:pPr>
            <w:r>
              <w:rPr>
                <w:rFonts w:ascii="Georgia" w:hAnsi="Georgia" w:cs="Calibri"/>
                <w:color w:val="404040" w:themeColor="text1" w:themeTint="BF"/>
                <w:sz w:val="18"/>
                <w:szCs w:val="18"/>
              </w:rPr>
              <w:t>The a</w:t>
            </w:r>
            <w:r w:rsidRPr="008D1048">
              <w:rPr>
                <w:rFonts w:ascii="Georgia" w:hAnsi="Georgia" w:cs="Calibri"/>
                <w:color w:val="404040" w:themeColor="text1" w:themeTint="BF"/>
                <w:sz w:val="18"/>
                <w:szCs w:val="18"/>
              </w:rPr>
              <w:t xml:space="preserve">ppointment of BSL to carry out a risk assessment. Based on </w:t>
            </w:r>
            <w:r>
              <w:rPr>
                <w:rFonts w:ascii="Georgia" w:hAnsi="Georgia" w:cs="Calibri"/>
                <w:color w:val="404040" w:themeColor="text1" w:themeTint="BF"/>
                <w:sz w:val="18"/>
                <w:szCs w:val="18"/>
              </w:rPr>
              <w:t xml:space="preserve">the </w:t>
            </w:r>
            <w:r w:rsidRPr="008D1048">
              <w:rPr>
                <w:rFonts w:ascii="Georgia" w:hAnsi="Georgia" w:cs="Calibri"/>
                <w:color w:val="404040" w:themeColor="text1" w:themeTint="BF"/>
                <w:sz w:val="18"/>
                <w:szCs w:val="18"/>
              </w:rPr>
              <w:t>outcome of the assessment, corrective/improvement measures will be produced and will be based on the level</w:t>
            </w:r>
            <w:r w:rsidR="00EF7D11">
              <w:rPr>
                <w:rFonts w:ascii="Georgia" w:hAnsi="Georgia" w:cs="Calibri"/>
                <w:color w:val="404040" w:themeColor="text1" w:themeTint="BF"/>
                <w:sz w:val="18"/>
                <w:szCs w:val="18"/>
              </w:rPr>
              <w:t xml:space="preserve"> of</w:t>
            </w:r>
            <w:r w:rsidRPr="008D1048">
              <w:rPr>
                <w:rFonts w:ascii="Georgia" w:hAnsi="Georgia" w:cs="Calibri"/>
                <w:color w:val="404040" w:themeColor="text1" w:themeTint="BF"/>
                <w:sz w:val="18"/>
                <w:szCs w:val="18"/>
              </w:rPr>
              <w:t xml:space="preserve"> risk exposure </w:t>
            </w:r>
            <w:r>
              <w:rPr>
                <w:rFonts w:ascii="Georgia" w:hAnsi="Georgia" w:cs="Calibri"/>
                <w:color w:val="404040" w:themeColor="text1" w:themeTint="BF"/>
                <w:sz w:val="18"/>
                <w:szCs w:val="18"/>
              </w:rPr>
              <w:t>the Company</w:t>
            </w:r>
            <w:r w:rsidRPr="008D1048">
              <w:rPr>
                <w:rFonts w:ascii="Georgia" w:hAnsi="Georgia" w:cs="Calibri"/>
                <w:color w:val="404040" w:themeColor="text1" w:themeTint="BF"/>
                <w:sz w:val="18"/>
                <w:szCs w:val="18"/>
              </w:rPr>
              <w:t xml:space="preserve"> is exposed to.</w:t>
            </w:r>
          </w:p>
        </w:tc>
      </w:tr>
    </w:tbl>
    <w:p w14:paraId="321FA921" w14:textId="77777777" w:rsidR="00973F95" w:rsidRPr="009625B4" w:rsidRDefault="00973F95" w:rsidP="00E46777">
      <w:pPr>
        <w:rPr>
          <w:highlight w:val="yellow"/>
        </w:rPr>
      </w:pPr>
    </w:p>
    <w:p w14:paraId="09837E93" w14:textId="77777777" w:rsidR="00973F95" w:rsidRPr="009625B4" w:rsidRDefault="00973F95" w:rsidP="00E46777">
      <w:pPr>
        <w:rPr>
          <w:highlight w:val="yellow"/>
        </w:rPr>
      </w:pPr>
    </w:p>
    <w:p w14:paraId="149B768A" w14:textId="6D81B50F" w:rsidR="00973F95" w:rsidRDefault="00973F95" w:rsidP="00E46777">
      <w:pPr>
        <w:rPr>
          <w:highlight w:val="yellow"/>
        </w:rPr>
      </w:pPr>
    </w:p>
    <w:p w14:paraId="240BFF01" w14:textId="43502E60" w:rsidR="00C316C3" w:rsidRDefault="00C316C3" w:rsidP="00E46777">
      <w:pPr>
        <w:rPr>
          <w:highlight w:val="yellow"/>
        </w:rPr>
      </w:pPr>
    </w:p>
    <w:p w14:paraId="1B8AE9AB" w14:textId="77777777" w:rsidR="00C316C3" w:rsidRPr="00FB7D45" w:rsidRDefault="00C316C3" w:rsidP="00C316C3">
      <w:pPr>
        <w:pStyle w:val="Heading2"/>
        <w:spacing w:before="0"/>
      </w:pPr>
      <w:r w:rsidRPr="00FB7D45">
        <w:lastRenderedPageBreak/>
        <w:t>Strategic Report (continued)</w:t>
      </w:r>
    </w:p>
    <w:p w14:paraId="3B3301BD" w14:textId="77777777" w:rsidR="00C316C3" w:rsidRPr="00FB7D45" w:rsidRDefault="00C316C3" w:rsidP="00C316C3"/>
    <w:p w14:paraId="2ED6877A" w14:textId="77777777" w:rsidR="00C316C3" w:rsidRPr="00FB7D45" w:rsidRDefault="00C316C3" w:rsidP="00C316C3">
      <w:pPr>
        <w:pStyle w:val="ListParagraph"/>
        <w:ind w:left="567" w:hanging="567"/>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0E2ACA22" w14:textId="62653D19" w:rsidR="00C316C3" w:rsidRPr="00ED689B" w:rsidRDefault="00C316C3" w:rsidP="00E46777"/>
    <w:p w14:paraId="6D343AF8" w14:textId="374A6B95" w:rsidR="00C316C3" w:rsidRPr="00ED689B" w:rsidRDefault="00C316C3" w:rsidP="00E46777">
      <w:pPr>
        <w:rPr>
          <w:rFonts w:ascii="Georgia" w:hAnsi="Georgia" w:cs="Calibri"/>
          <w:b/>
          <w:color w:val="404040" w:themeColor="text1" w:themeTint="BF"/>
          <w:sz w:val="20"/>
        </w:rPr>
      </w:pPr>
      <w:r w:rsidRPr="00ED689B">
        <w:rPr>
          <w:rFonts w:ascii="Georgia" w:hAnsi="Georgia" w:cs="Calibri"/>
          <w:b/>
          <w:color w:val="404040" w:themeColor="text1" w:themeTint="BF"/>
          <w:sz w:val="20"/>
        </w:rPr>
        <w:t>REPUTATIONAL</w:t>
      </w:r>
    </w:p>
    <w:tbl>
      <w:tblPr>
        <w:tblStyle w:val="TableGrid"/>
        <w:tblW w:w="9634" w:type="dxa"/>
        <w:tblInd w:w="113" w:type="dxa"/>
        <w:tblCellMar>
          <w:top w:w="57" w:type="dxa"/>
        </w:tblCellMar>
        <w:tblLook w:val="04A0" w:firstRow="1" w:lastRow="0" w:firstColumn="1" w:lastColumn="0" w:noHBand="0" w:noVBand="1"/>
      </w:tblPr>
      <w:tblGrid>
        <w:gridCol w:w="2689"/>
        <w:gridCol w:w="3685"/>
        <w:gridCol w:w="3260"/>
      </w:tblGrid>
      <w:tr w:rsidR="00C316C3" w:rsidRPr="009625B4" w14:paraId="766E70DF" w14:textId="77777777" w:rsidTr="00C316C3">
        <w:trPr>
          <w:trHeight w:val="510"/>
        </w:trPr>
        <w:tc>
          <w:tcPr>
            <w:tcW w:w="2689" w:type="dxa"/>
            <w:vAlign w:val="center"/>
          </w:tcPr>
          <w:p w14:paraId="5BD64456" w14:textId="77777777" w:rsidR="00C316C3" w:rsidRPr="00894FC4" w:rsidRDefault="00C316C3" w:rsidP="00C316C3">
            <w:pPr>
              <w:pStyle w:val="ListParagraph"/>
              <w:spacing w:after="200"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Risk</w:t>
            </w:r>
          </w:p>
        </w:tc>
        <w:tc>
          <w:tcPr>
            <w:tcW w:w="3685" w:type="dxa"/>
            <w:vAlign w:val="center"/>
          </w:tcPr>
          <w:p w14:paraId="46088B75" w14:textId="77777777" w:rsidR="00C316C3" w:rsidRPr="00894FC4" w:rsidRDefault="00C316C3" w:rsidP="00C316C3">
            <w:pPr>
              <w:pStyle w:val="ListParagraph"/>
              <w:spacing w:after="200"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Potential impact</w:t>
            </w:r>
          </w:p>
        </w:tc>
        <w:tc>
          <w:tcPr>
            <w:tcW w:w="3260" w:type="dxa"/>
            <w:vAlign w:val="center"/>
          </w:tcPr>
          <w:p w14:paraId="50DAD6C7" w14:textId="77777777" w:rsidR="00C316C3" w:rsidRPr="00894FC4" w:rsidRDefault="00C316C3" w:rsidP="00C316C3">
            <w:pPr>
              <w:pStyle w:val="ListParagraph"/>
              <w:spacing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Mitigation</w:t>
            </w:r>
          </w:p>
        </w:tc>
      </w:tr>
      <w:tr w:rsidR="00C316C3" w:rsidRPr="009625B4" w14:paraId="509A73CD" w14:textId="77777777" w:rsidTr="00C316C3">
        <w:tc>
          <w:tcPr>
            <w:tcW w:w="2689" w:type="dxa"/>
          </w:tcPr>
          <w:p w14:paraId="750035BA" w14:textId="1D8AA581" w:rsidR="00C316C3" w:rsidRPr="00894FC4" w:rsidRDefault="00C316C3" w:rsidP="00C316C3">
            <w:pPr>
              <w:pStyle w:val="ListParagraph"/>
              <w:spacing w:after="200" w:line="276" w:lineRule="auto"/>
              <w:ind w:left="0"/>
              <w:rPr>
                <w:rFonts w:ascii="Georgia" w:hAnsi="Georgia" w:cs="Calibri"/>
                <w:b/>
                <w:color w:val="404040" w:themeColor="text1" w:themeTint="BF"/>
                <w:sz w:val="18"/>
                <w:szCs w:val="18"/>
              </w:rPr>
            </w:pPr>
            <w:r>
              <w:rPr>
                <w:rFonts w:ascii="Georgia" w:hAnsi="Georgia" w:cs="Calibri"/>
                <w:b/>
                <w:color w:val="404040" w:themeColor="text1" w:themeTint="BF"/>
                <w:sz w:val="18"/>
                <w:szCs w:val="18"/>
              </w:rPr>
              <w:t>11. Adverse publicity</w:t>
            </w:r>
          </w:p>
        </w:tc>
        <w:tc>
          <w:tcPr>
            <w:tcW w:w="3685" w:type="dxa"/>
          </w:tcPr>
          <w:p w14:paraId="241A1084" w14:textId="04137C51" w:rsidR="00C316C3" w:rsidRPr="009625B4" w:rsidRDefault="00C316C3" w:rsidP="00C316C3">
            <w:pPr>
              <w:spacing w:after="200" w:line="276" w:lineRule="auto"/>
              <w:rPr>
                <w:highlight w:val="yellow"/>
              </w:rPr>
            </w:pPr>
            <w:r w:rsidRPr="00C316C3">
              <w:rPr>
                <w:rFonts w:ascii="Georgia" w:hAnsi="Georgia" w:cs="Calibri"/>
                <w:color w:val="404040" w:themeColor="text1" w:themeTint="BF"/>
                <w:sz w:val="18"/>
                <w:szCs w:val="18"/>
              </w:rPr>
              <w:t>Adverse publicity within the Renewable Energy sector could damage the Fund's ability to raise additional finance and/or acquire new capacity</w:t>
            </w:r>
            <w:r>
              <w:rPr>
                <w:rFonts w:ascii="Georgia" w:hAnsi="Georgia" w:cs="Calibri"/>
                <w:color w:val="404040" w:themeColor="text1" w:themeTint="BF"/>
                <w:sz w:val="18"/>
                <w:szCs w:val="18"/>
              </w:rPr>
              <w:t>.</w:t>
            </w:r>
          </w:p>
        </w:tc>
        <w:tc>
          <w:tcPr>
            <w:tcW w:w="3260" w:type="dxa"/>
          </w:tcPr>
          <w:p w14:paraId="16F859D1" w14:textId="5592D5E1" w:rsidR="00C316C3" w:rsidRPr="00EA4EFC" w:rsidRDefault="00C316C3" w:rsidP="00EA4EFC">
            <w:pPr>
              <w:spacing w:after="200" w:line="276" w:lineRule="auto"/>
              <w:rPr>
                <w:rFonts w:ascii="Georgia" w:hAnsi="Georgia" w:cs="Calibri"/>
                <w:color w:val="404040" w:themeColor="text1" w:themeTint="BF"/>
                <w:sz w:val="18"/>
                <w:szCs w:val="18"/>
              </w:rPr>
            </w:pPr>
            <w:r w:rsidRPr="00C316C3">
              <w:rPr>
                <w:rFonts w:ascii="Georgia" w:hAnsi="Georgia" w:cs="Calibri"/>
                <w:color w:val="404040" w:themeColor="text1" w:themeTint="BF"/>
                <w:sz w:val="18"/>
                <w:szCs w:val="18"/>
              </w:rPr>
              <w:t xml:space="preserve">Market responses </w:t>
            </w:r>
            <w:r w:rsidR="00EA4EFC">
              <w:rPr>
                <w:rFonts w:ascii="Georgia" w:hAnsi="Georgia" w:cs="Calibri"/>
                <w:color w:val="404040" w:themeColor="text1" w:themeTint="BF"/>
                <w:sz w:val="18"/>
                <w:szCs w:val="18"/>
              </w:rPr>
              <w:t xml:space="preserve">have been </w:t>
            </w:r>
            <w:r w:rsidRPr="00C316C3">
              <w:rPr>
                <w:rFonts w:ascii="Georgia" w:hAnsi="Georgia" w:cs="Calibri"/>
                <w:color w:val="404040" w:themeColor="text1" w:themeTint="BF"/>
                <w:sz w:val="18"/>
                <w:szCs w:val="18"/>
              </w:rPr>
              <w:t>considered and agreed at al</w:t>
            </w:r>
            <w:r w:rsidR="00EA4EFC">
              <w:rPr>
                <w:rFonts w:ascii="Georgia" w:hAnsi="Georgia" w:cs="Calibri"/>
                <w:color w:val="404040" w:themeColor="text1" w:themeTint="BF"/>
                <w:sz w:val="18"/>
                <w:szCs w:val="18"/>
              </w:rPr>
              <w:t xml:space="preserve">l levels. </w:t>
            </w:r>
            <w:r w:rsidRPr="00C316C3">
              <w:rPr>
                <w:rFonts w:ascii="Georgia" w:hAnsi="Georgia" w:cs="Calibri"/>
                <w:color w:val="404040" w:themeColor="text1" w:themeTint="BF"/>
                <w:sz w:val="18"/>
                <w:szCs w:val="18"/>
              </w:rPr>
              <w:t>The</w:t>
            </w:r>
            <w:r w:rsidR="002729DC">
              <w:rPr>
                <w:rFonts w:ascii="Georgia" w:hAnsi="Georgia" w:cs="Calibri"/>
                <w:color w:val="404040" w:themeColor="text1" w:themeTint="BF"/>
                <w:sz w:val="18"/>
                <w:szCs w:val="18"/>
              </w:rPr>
              <w:t xml:space="preserve"> Board and the Investment Advise</w:t>
            </w:r>
            <w:r w:rsidRPr="00C316C3">
              <w:rPr>
                <w:rFonts w:ascii="Georgia" w:hAnsi="Georgia" w:cs="Calibri"/>
                <w:color w:val="404040" w:themeColor="text1" w:themeTint="BF"/>
                <w:sz w:val="18"/>
                <w:szCs w:val="18"/>
              </w:rPr>
              <w:t xml:space="preserve">r ensure the Fund’s activities are fairly and accurately presented including </w:t>
            </w:r>
            <w:r w:rsidR="00EA4EFC">
              <w:rPr>
                <w:rFonts w:ascii="Georgia" w:hAnsi="Georgia" w:cs="Calibri"/>
                <w:color w:val="404040" w:themeColor="text1" w:themeTint="BF"/>
                <w:sz w:val="18"/>
                <w:szCs w:val="18"/>
              </w:rPr>
              <w:t>through</w:t>
            </w:r>
            <w:r w:rsidRPr="00C316C3">
              <w:rPr>
                <w:rFonts w:ascii="Georgia" w:hAnsi="Georgia" w:cs="Calibri"/>
                <w:color w:val="404040" w:themeColor="text1" w:themeTint="BF"/>
                <w:sz w:val="18"/>
                <w:szCs w:val="18"/>
              </w:rPr>
              <w:t xml:space="preserve"> Broker, Stock Exchange announcement</w:t>
            </w:r>
            <w:r w:rsidR="00407495">
              <w:rPr>
                <w:rFonts w:ascii="Georgia" w:hAnsi="Georgia" w:cs="Calibri"/>
                <w:color w:val="404040" w:themeColor="text1" w:themeTint="BF"/>
                <w:sz w:val="18"/>
                <w:szCs w:val="18"/>
              </w:rPr>
              <w:t>s, p</w:t>
            </w:r>
            <w:r w:rsidR="00EA4EFC">
              <w:rPr>
                <w:rFonts w:ascii="Georgia" w:hAnsi="Georgia" w:cs="Calibri"/>
                <w:color w:val="404040" w:themeColor="text1" w:themeTint="BF"/>
                <w:sz w:val="18"/>
                <w:szCs w:val="18"/>
              </w:rPr>
              <w:t xml:space="preserve">ress releases and web site maintenance. </w:t>
            </w:r>
            <w:r w:rsidR="00407495">
              <w:rPr>
                <w:rFonts w:ascii="Georgia" w:hAnsi="Georgia" w:cs="Calibri"/>
                <w:color w:val="404040" w:themeColor="text1" w:themeTint="BF"/>
                <w:sz w:val="18"/>
                <w:szCs w:val="18"/>
              </w:rPr>
              <w:t>All i</w:t>
            </w:r>
            <w:r w:rsidRPr="00C316C3">
              <w:rPr>
                <w:rFonts w:ascii="Georgia" w:hAnsi="Georgia" w:cs="Calibri"/>
                <w:color w:val="404040" w:themeColor="text1" w:themeTint="BF"/>
                <w:sz w:val="18"/>
                <w:szCs w:val="18"/>
              </w:rPr>
              <w:t>ncidences of adverse publicity monitored</w:t>
            </w:r>
            <w:r w:rsidR="00E41692">
              <w:rPr>
                <w:rFonts w:ascii="Georgia" w:hAnsi="Georgia" w:cs="Calibri"/>
                <w:color w:val="404040" w:themeColor="text1" w:themeTint="BF"/>
                <w:sz w:val="18"/>
                <w:szCs w:val="18"/>
              </w:rPr>
              <w:t xml:space="preserve"> via the Company’s PR Adviser.</w:t>
            </w:r>
          </w:p>
        </w:tc>
      </w:tr>
    </w:tbl>
    <w:p w14:paraId="728BD6F0" w14:textId="7B748FC7" w:rsidR="00C316C3" w:rsidRPr="00ED689B" w:rsidRDefault="00C316C3" w:rsidP="00E46777"/>
    <w:p w14:paraId="41BCCC2A" w14:textId="258A0758" w:rsidR="00EA4EFC" w:rsidRPr="00ED689B" w:rsidRDefault="00ED689B" w:rsidP="00E46777">
      <w:pPr>
        <w:rPr>
          <w:rFonts w:ascii="Georgia" w:hAnsi="Georgia" w:cs="Calibri"/>
          <w:b/>
          <w:color w:val="404040" w:themeColor="text1" w:themeTint="BF"/>
          <w:sz w:val="20"/>
        </w:rPr>
      </w:pPr>
      <w:r>
        <w:rPr>
          <w:rFonts w:ascii="Georgia" w:hAnsi="Georgia" w:cs="Calibri"/>
          <w:b/>
          <w:color w:val="404040" w:themeColor="text1" w:themeTint="BF"/>
          <w:sz w:val="20"/>
        </w:rPr>
        <w:t>Covid</w:t>
      </w:r>
      <w:r w:rsidR="00EA4EFC" w:rsidRPr="00ED689B">
        <w:rPr>
          <w:rFonts w:ascii="Georgia" w:hAnsi="Georgia" w:cs="Calibri"/>
          <w:b/>
          <w:color w:val="404040" w:themeColor="text1" w:themeTint="BF"/>
          <w:sz w:val="20"/>
        </w:rPr>
        <w:t>-19</w:t>
      </w:r>
    </w:p>
    <w:p w14:paraId="0C770174" w14:textId="14D78B3F" w:rsidR="00EA4EFC" w:rsidRDefault="00EA4EFC" w:rsidP="00E46777">
      <w:pPr>
        <w:rPr>
          <w:rFonts w:ascii="Georgia" w:hAnsi="Georgia" w:cs="Calibri"/>
          <w:b/>
          <w:color w:val="404040" w:themeColor="text1" w:themeTint="BF"/>
          <w:sz w:val="20"/>
          <w:highlight w:val="yellow"/>
        </w:rPr>
      </w:pPr>
    </w:p>
    <w:tbl>
      <w:tblPr>
        <w:tblStyle w:val="TableGrid"/>
        <w:tblW w:w="9634" w:type="dxa"/>
        <w:tblInd w:w="113" w:type="dxa"/>
        <w:tblCellMar>
          <w:top w:w="57" w:type="dxa"/>
        </w:tblCellMar>
        <w:tblLook w:val="04A0" w:firstRow="1" w:lastRow="0" w:firstColumn="1" w:lastColumn="0" w:noHBand="0" w:noVBand="1"/>
      </w:tblPr>
      <w:tblGrid>
        <w:gridCol w:w="2689"/>
        <w:gridCol w:w="3685"/>
        <w:gridCol w:w="3260"/>
      </w:tblGrid>
      <w:tr w:rsidR="00EA4EFC" w:rsidRPr="009625B4" w14:paraId="048AF857" w14:textId="77777777" w:rsidTr="002729DC">
        <w:trPr>
          <w:trHeight w:val="510"/>
        </w:trPr>
        <w:tc>
          <w:tcPr>
            <w:tcW w:w="2689" w:type="dxa"/>
            <w:vAlign w:val="center"/>
          </w:tcPr>
          <w:p w14:paraId="02542772" w14:textId="77777777" w:rsidR="00EA4EFC" w:rsidRPr="00894FC4" w:rsidRDefault="00EA4EFC" w:rsidP="002729DC">
            <w:pPr>
              <w:pStyle w:val="ListParagraph"/>
              <w:spacing w:after="200"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Risk</w:t>
            </w:r>
          </w:p>
        </w:tc>
        <w:tc>
          <w:tcPr>
            <w:tcW w:w="3685" w:type="dxa"/>
            <w:vAlign w:val="center"/>
          </w:tcPr>
          <w:p w14:paraId="7179E74D" w14:textId="77777777" w:rsidR="00EA4EFC" w:rsidRPr="00894FC4" w:rsidRDefault="00EA4EFC" w:rsidP="002729DC">
            <w:pPr>
              <w:pStyle w:val="ListParagraph"/>
              <w:spacing w:after="200"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Potential impact</w:t>
            </w:r>
          </w:p>
        </w:tc>
        <w:tc>
          <w:tcPr>
            <w:tcW w:w="3260" w:type="dxa"/>
            <w:vAlign w:val="center"/>
          </w:tcPr>
          <w:p w14:paraId="6CAB593A" w14:textId="77777777" w:rsidR="00EA4EFC" w:rsidRPr="00894FC4" w:rsidRDefault="00EA4EFC" w:rsidP="002729DC">
            <w:pPr>
              <w:pStyle w:val="ListParagraph"/>
              <w:spacing w:line="276" w:lineRule="auto"/>
              <w:ind w:left="0"/>
              <w:rPr>
                <w:rFonts w:ascii="Georgia" w:hAnsi="Georgia" w:cs="Calibri"/>
                <w:b/>
                <w:color w:val="404040" w:themeColor="text1" w:themeTint="BF"/>
                <w:sz w:val="20"/>
              </w:rPr>
            </w:pPr>
            <w:r w:rsidRPr="00894FC4">
              <w:rPr>
                <w:rFonts w:ascii="Georgia" w:hAnsi="Georgia" w:cs="Calibri"/>
                <w:b/>
                <w:color w:val="404040" w:themeColor="text1" w:themeTint="BF"/>
                <w:sz w:val="20"/>
              </w:rPr>
              <w:t>Mitigation</w:t>
            </w:r>
          </w:p>
        </w:tc>
      </w:tr>
      <w:tr w:rsidR="00EA4EFC" w:rsidRPr="009625B4" w14:paraId="738A6D7D" w14:textId="77777777" w:rsidTr="002729DC">
        <w:tc>
          <w:tcPr>
            <w:tcW w:w="2689" w:type="dxa"/>
          </w:tcPr>
          <w:p w14:paraId="6265D53B" w14:textId="2A365836" w:rsidR="00EA4EFC" w:rsidRPr="00894FC4" w:rsidRDefault="00ED689B" w:rsidP="00ED689B">
            <w:pPr>
              <w:pStyle w:val="ListParagraph"/>
              <w:spacing w:after="200" w:line="276" w:lineRule="auto"/>
              <w:ind w:left="0"/>
              <w:rPr>
                <w:rFonts w:ascii="Georgia" w:hAnsi="Georgia" w:cs="Calibri"/>
                <w:b/>
                <w:color w:val="404040" w:themeColor="text1" w:themeTint="BF"/>
                <w:sz w:val="18"/>
                <w:szCs w:val="18"/>
              </w:rPr>
            </w:pPr>
            <w:r>
              <w:rPr>
                <w:rFonts w:ascii="Georgia" w:hAnsi="Georgia" w:cs="Calibri"/>
                <w:b/>
                <w:color w:val="404040" w:themeColor="text1" w:themeTint="BF"/>
                <w:sz w:val="18"/>
                <w:szCs w:val="18"/>
              </w:rPr>
              <w:t>12. Covid-</w:t>
            </w:r>
            <w:r w:rsidR="00EA4EFC">
              <w:rPr>
                <w:rFonts w:ascii="Georgia" w:hAnsi="Georgia" w:cs="Calibri"/>
                <w:b/>
                <w:color w:val="404040" w:themeColor="text1" w:themeTint="BF"/>
                <w:sz w:val="18"/>
                <w:szCs w:val="18"/>
              </w:rPr>
              <w:t>19</w:t>
            </w:r>
            <w:r w:rsidR="00EF7D11">
              <w:rPr>
                <w:rFonts w:ascii="Georgia" w:hAnsi="Georgia" w:cs="Calibri"/>
                <w:b/>
                <w:color w:val="404040" w:themeColor="text1" w:themeTint="BF"/>
                <w:sz w:val="18"/>
                <w:szCs w:val="18"/>
              </w:rPr>
              <w:t xml:space="preserve"> </w:t>
            </w:r>
            <w:r w:rsidR="00414180">
              <w:rPr>
                <w:rFonts w:ascii="Georgia" w:hAnsi="Georgia" w:cs="Calibri"/>
                <w:b/>
                <w:color w:val="404040" w:themeColor="text1" w:themeTint="BF"/>
                <w:sz w:val="18"/>
                <w:szCs w:val="18"/>
              </w:rPr>
              <w:t>p</w:t>
            </w:r>
            <w:r w:rsidR="00EF7D11">
              <w:rPr>
                <w:rFonts w:ascii="Georgia" w:hAnsi="Georgia" w:cs="Calibri"/>
                <w:b/>
                <w:color w:val="404040" w:themeColor="text1" w:themeTint="BF"/>
                <w:sz w:val="18"/>
                <w:szCs w:val="18"/>
              </w:rPr>
              <w:t>andemic</w:t>
            </w:r>
          </w:p>
        </w:tc>
        <w:tc>
          <w:tcPr>
            <w:tcW w:w="3685" w:type="dxa"/>
          </w:tcPr>
          <w:p w14:paraId="0818FAEB" w14:textId="77777777" w:rsidR="00EA4EFC" w:rsidRDefault="00EA4EFC" w:rsidP="003354B8">
            <w:pPr>
              <w:spacing w:after="200" w:line="276" w:lineRule="auto"/>
              <w:rPr>
                <w:rFonts w:ascii="Georgia" w:hAnsi="Georgia" w:cs="Calibri"/>
                <w:color w:val="404040" w:themeColor="text1" w:themeTint="BF"/>
                <w:sz w:val="18"/>
                <w:szCs w:val="18"/>
              </w:rPr>
            </w:pPr>
            <w:r w:rsidRPr="00EA4EFC">
              <w:rPr>
                <w:rFonts w:ascii="Georgia" w:hAnsi="Georgia" w:cs="Calibri"/>
                <w:color w:val="404040" w:themeColor="text1" w:themeTint="BF"/>
                <w:sz w:val="18"/>
                <w:szCs w:val="18"/>
              </w:rPr>
              <w:t xml:space="preserve">The UK government and many other </w:t>
            </w:r>
            <w:r w:rsidR="003354B8">
              <w:rPr>
                <w:rFonts w:ascii="Georgia" w:hAnsi="Georgia" w:cs="Calibri"/>
                <w:color w:val="404040" w:themeColor="text1" w:themeTint="BF"/>
                <w:sz w:val="18"/>
                <w:szCs w:val="18"/>
              </w:rPr>
              <w:t>countries have</w:t>
            </w:r>
            <w:r w:rsidRPr="00EA4EFC">
              <w:rPr>
                <w:rFonts w:ascii="Georgia" w:hAnsi="Georgia" w:cs="Calibri"/>
                <w:color w:val="404040" w:themeColor="text1" w:themeTint="BF"/>
                <w:sz w:val="18"/>
                <w:szCs w:val="18"/>
              </w:rPr>
              <w:t xml:space="preserve"> implemented unprecedented measures to restrict the possibility of transmission of the Covid-19 virus by limiting personal contact and international travel. Whilst the ultimate scope and duration of these measures is currently unclear, they have</w:t>
            </w:r>
            <w:r w:rsidR="003354B8">
              <w:rPr>
                <w:rFonts w:ascii="Georgia" w:hAnsi="Georgia" w:cs="Calibri"/>
                <w:color w:val="404040" w:themeColor="text1" w:themeTint="BF"/>
                <w:sz w:val="18"/>
                <w:szCs w:val="18"/>
              </w:rPr>
              <w:t xml:space="preserve"> had</w:t>
            </w:r>
            <w:r w:rsidRPr="00EA4EFC">
              <w:rPr>
                <w:rFonts w:ascii="Georgia" w:hAnsi="Georgia" w:cs="Calibri"/>
                <w:color w:val="404040" w:themeColor="text1" w:themeTint="BF"/>
                <w:sz w:val="18"/>
                <w:szCs w:val="18"/>
              </w:rPr>
              <w:t xml:space="preserve"> a severe impact on the Global Economy, Governments and the Central Banks are attempting to offset</w:t>
            </w:r>
            <w:r w:rsidR="003354B8">
              <w:rPr>
                <w:rFonts w:ascii="Georgia" w:hAnsi="Georgia" w:cs="Calibri"/>
                <w:color w:val="404040" w:themeColor="text1" w:themeTint="BF"/>
                <w:sz w:val="18"/>
                <w:szCs w:val="18"/>
              </w:rPr>
              <w:t xml:space="preserve"> this impact</w:t>
            </w:r>
            <w:r w:rsidRPr="00EA4EFC">
              <w:rPr>
                <w:rFonts w:ascii="Georgia" w:hAnsi="Georgia" w:cs="Calibri"/>
                <w:color w:val="404040" w:themeColor="text1" w:themeTint="BF"/>
                <w:sz w:val="18"/>
                <w:szCs w:val="18"/>
              </w:rPr>
              <w:t xml:space="preserve"> with both traditional and unconventional fiscal and monetary policy measures.  The Company’s portfolio will be impacted by any risks emerging from changes in the macroeconomic environment.</w:t>
            </w:r>
          </w:p>
          <w:p w14:paraId="46C7C4E1" w14:textId="6EB724A3" w:rsidR="00E41692" w:rsidRDefault="00E41692" w:rsidP="00E41692">
            <w:pPr>
              <w:spacing w:after="200" w:line="276" w:lineRule="auto"/>
              <w:rPr>
                <w:rFonts w:ascii="Georgia" w:hAnsi="Georgia" w:cs="Calibri"/>
                <w:color w:val="404040" w:themeColor="text1" w:themeTint="BF"/>
                <w:sz w:val="18"/>
                <w:szCs w:val="18"/>
              </w:rPr>
            </w:pPr>
            <w:r w:rsidRPr="00E41692">
              <w:rPr>
                <w:rFonts w:ascii="Georgia" w:hAnsi="Georgia" w:cs="Calibri"/>
                <w:color w:val="404040" w:themeColor="text1" w:themeTint="BF"/>
                <w:sz w:val="18"/>
                <w:szCs w:val="18"/>
              </w:rPr>
              <w:t>The Company may face issues maintaining its plants if staff are unable to travel or are unwell due to Covid-19.</w:t>
            </w:r>
          </w:p>
          <w:p w14:paraId="4CA03C6E" w14:textId="1CF67056" w:rsidR="00E41692" w:rsidRPr="00E41692" w:rsidRDefault="00E41692" w:rsidP="00E41692">
            <w:pPr>
              <w:spacing w:after="200" w:line="276" w:lineRule="auto"/>
              <w:rPr>
                <w:rFonts w:ascii="Georgia" w:hAnsi="Georgia" w:cs="Calibri"/>
                <w:color w:val="404040" w:themeColor="text1" w:themeTint="BF"/>
                <w:sz w:val="18"/>
                <w:szCs w:val="18"/>
              </w:rPr>
            </w:pPr>
            <w:r w:rsidRPr="00E41692">
              <w:rPr>
                <w:rFonts w:ascii="Georgia" w:hAnsi="Georgia" w:cs="Calibri"/>
                <w:color w:val="404040" w:themeColor="text1" w:themeTint="BF"/>
                <w:sz w:val="18"/>
                <w:szCs w:val="18"/>
              </w:rPr>
              <w:t>The Grid may experience periods of instability or shut-down due to supply demand imbalances resulting from Covid-19.</w:t>
            </w:r>
          </w:p>
          <w:p w14:paraId="77B2180A" w14:textId="27B93AFE" w:rsidR="00E41692" w:rsidRPr="009625B4" w:rsidRDefault="00E41692" w:rsidP="003354B8">
            <w:pPr>
              <w:spacing w:after="200" w:line="276" w:lineRule="auto"/>
              <w:rPr>
                <w:highlight w:val="yellow"/>
              </w:rPr>
            </w:pPr>
          </w:p>
        </w:tc>
        <w:tc>
          <w:tcPr>
            <w:tcW w:w="3260" w:type="dxa"/>
          </w:tcPr>
          <w:p w14:paraId="1162296F" w14:textId="77777777" w:rsidR="00EA4EFC" w:rsidRDefault="00EA4EFC" w:rsidP="002729DC">
            <w:pPr>
              <w:spacing w:after="200" w:line="276" w:lineRule="auto"/>
              <w:rPr>
                <w:rFonts w:ascii="Georgia" w:hAnsi="Georgia" w:cs="Calibri"/>
                <w:color w:val="404040" w:themeColor="text1" w:themeTint="BF"/>
                <w:sz w:val="18"/>
                <w:szCs w:val="18"/>
              </w:rPr>
            </w:pPr>
            <w:r w:rsidRPr="00EA4EFC">
              <w:rPr>
                <w:rFonts w:ascii="Georgia" w:hAnsi="Georgia" w:cs="Calibri"/>
                <w:color w:val="404040" w:themeColor="text1" w:themeTint="BF"/>
                <w:sz w:val="18"/>
                <w:szCs w:val="18"/>
              </w:rPr>
              <w:t>The Investment Adviser monitors the situation within Government and any potential changes to power prices and will alert the Board accordingly.</w:t>
            </w:r>
            <w:r w:rsidR="00E41692">
              <w:rPr>
                <w:rFonts w:ascii="Georgia" w:hAnsi="Georgia" w:cs="Calibri"/>
                <w:color w:val="404040" w:themeColor="text1" w:themeTint="BF"/>
                <w:sz w:val="18"/>
                <w:szCs w:val="18"/>
              </w:rPr>
              <w:t xml:space="preserve"> The post year-end acquisitions of subsidy earning assets with higher ROC earning capability than the Company’s current portfolio should help to reduce the portfolio sensitivity to UK power prices.</w:t>
            </w:r>
          </w:p>
          <w:p w14:paraId="53174AC0" w14:textId="4C77C835" w:rsidR="00E41692" w:rsidRDefault="006B20AF" w:rsidP="002729DC">
            <w:pPr>
              <w:spacing w:after="200" w:line="276" w:lineRule="auto"/>
              <w:rPr>
                <w:rFonts w:ascii="Georgia" w:hAnsi="Georgia" w:cs="Calibri"/>
                <w:color w:val="404040" w:themeColor="text1" w:themeTint="BF"/>
                <w:sz w:val="18"/>
                <w:szCs w:val="18"/>
              </w:rPr>
            </w:pPr>
            <w:r>
              <w:rPr>
                <w:rFonts w:ascii="Georgia" w:hAnsi="Georgia" w:cs="Calibri"/>
                <w:color w:val="404040" w:themeColor="text1" w:themeTint="BF"/>
                <w:sz w:val="18"/>
                <w:szCs w:val="18"/>
              </w:rPr>
              <w:t>The Investment Advise</w:t>
            </w:r>
            <w:r w:rsidR="00E41692" w:rsidRPr="00E41692">
              <w:rPr>
                <w:rFonts w:ascii="Georgia" w:hAnsi="Georgia" w:cs="Calibri"/>
                <w:color w:val="404040" w:themeColor="text1" w:themeTint="BF"/>
                <w:sz w:val="18"/>
                <w:szCs w:val="18"/>
              </w:rPr>
              <w:t>r implemented robust remote working and social distancing and separation protocols to ensure business continuity. </w:t>
            </w:r>
          </w:p>
          <w:p w14:paraId="7327C7F9" w14:textId="77777777" w:rsidR="00E41692" w:rsidRDefault="00E41692" w:rsidP="002729DC">
            <w:pPr>
              <w:spacing w:after="200" w:line="276" w:lineRule="auto"/>
              <w:rPr>
                <w:rFonts w:ascii="Georgia" w:hAnsi="Georgia" w:cs="Calibri"/>
                <w:color w:val="404040" w:themeColor="text1" w:themeTint="BF"/>
                <w:sz w:val="18"/>
                <w:szCs w:val="18"/>
              </w:rPr>
            </w:pPr>
            <w:r w:rsidRPr="00E41692">
              <w:rPr>
                <w:rFonts w:ascii="Georgia" w:hAnsi="Georgia" w:cs="Calibri"/>
                <w:color w:val="404040" w:themeColor="text1" w:themeTint="BF"/>
                <w:sz w:val="18"/>
                <w:szCs w:val="18"/>
              </w:rPr>
              <w:t>Plant maintenance engineers have been designated as essential workers and are permitted to travel during lock-down periods.</w:t>
            </w:r>
          </w:p>
          <w:p w14:paraId="06512F26" w14:textId="322BA1DF" w:rsidR="00E41692" w:rsidRPr="00EA4EFC" w:rsidRDefault="006B20AF" w:rsidP="002729DC">
            <w:pPr>
              <w:spacing w:after="200" w:line="276" w:lineRule="auto"/>
              <w:rPr>
                <w:rFonts w:ascii="Georgia" w:hAnsi="Georgia" w:cs="Calibri"/>
                <w:color w:val="404040" w:themeColor="text1" w:themeTint="BF"/>
                <w:sz w:val="18"/>
                <w:szCs w:val="18"/>
              </w:rPr>
            </w:pPr>
            <w:r>
              <w:rPr>
                <w:rFonts w:ascii="Georgia" w:hAnsi="Georgia" w:cs="Calibri"/>
                <w:color w:val="404040" w:themeColor="text1" w:themeTint="BF"/>
                <w:sz w:val="18"/>
                <w:szCs w:val="18"/>
              </w:rPr>
              <w:t>The Investment Advise</w:t>
            </w:r>
            <w:r w:rsidR="00E41692" w:rsidRPr="00E41692">
              <w:rPr>
                <w:rFonts w:ascii="Georgia" w:hAnsi="Georgia" w:cs="Calibri"/>
                <w:color w:val="404040" w:themeColor="text1" w:themeTint="BF"/>
                <w:sz w:val="18"/>
                <w:szCs w:val="18"/>
              </w:rPr>
              <w:t>r is reviewing the possibility of direct power sales to large-scale customers where feasible and has also commissioned a report on the benefits of integrating storage technologies within the Company's portfolio.</w:t>
            </w:r>
          </w:p>
        </w:tc>
      </w:tr>
    </w:tbl>
    <w:p w14:paraId="2C05A95C" w14:textId="77777777" w:rsidR="00EA4EFC" w:rsidRPr="00EA4EFC" w:rsidRDefault="00EA4EFC" w:rsidP="00E46777">
      <w:pPr>
        <w:rPr>
          <w:rFonts w:ascii="Georgia" w:hAnsi="Georgia" w:cs="Calibri"/>
          <w:b/>
          <w:color w:val="404040" w:themeColor="text1" w:themeTint="BF"/>
          <w:sz w:val="20"/>
          <w:highlight w:val="yellow"/>
        </w:rPr>
      </w:pPr>
    </w:p>
    <w:p w14:paraId="384C9A7B" w14:textId="5DADB099" w:rsidR="00EA4EFC" w:rsidRDefault="00EA4EFC" w:rsidP="00E46777">
      <w:pPr>
        <w:rPr>
          <w:highlight w:val="yellow"/>
        </w:rPr>
      </w:pPr>
    </w:p>
    <w:p w14:paraId="264ED943" w14:textId="77777777" w:rsidR="00973F95" w:rsidRPr="009625B4" w:rsidRDefault="00973F95" w:rsidP="00E46777">
      <w:pPr>
        <w:rPr>
          <w:rFonts w:ascii="Georgia" w:hAnsi="Georgia" w:cs="Calibri"/>
          <w:b/>
          <w:color w:val="404040" w:themeColor="text1" w:themeTint="BF"/>
          <w:sz w:val="20"/>
          <w:highlight w:val="yellow"/>
        </w:rPr>
      </w:pPr>
    </w:p>
    <w:p w14:paraId="17F6DF6D" w14:textId="0C6EB561" w:rsidR="00481E57" w:rsidRPr="00FB7D45" w:rsidRDefault="00B56E61" w:rsidP="00E85EF6">
      <w:pPr>
        <w:pStyle w:val="Heading2"/>
        <w:spacing w:before="0"/>
      </w:pPr>
      <w:r w:rsidRPr="00FB7D45">
        <w:lastRenderedPageBreak/>
        <w:t>Strategic Report (continued)</w:t>
      </w:r>
    </w:p>
    <w:p w14:paraId="74E621CD" w14:textId="77777777" w:rsidR="00ED71B2" w:rsidRPr="00FB7D45" w:rsidRDefault="00ED71B2" w:rsidP="00ED71B2">
      <w:pPr>
        <w:tabs>
          <w:tab w:val="left" w:pos="540"/>
        </w:tabs>
        <w:ind w:left="567" w:hanging="567"/>
        <w:jc w:val="both"/>
        <w:rPr>
          <w:rFonts w:ascii="Georgia" w:hAnsi="Georgia" w:cs="Calibri"/>
          <w:b/>
          <w:color w:val="404040" w:themeColor="text1" w:themeTint="BF"/>
          <w:sz w:val="20"/>
        </w:rPr>
      </w:pPr>
    </w:p>
    <w:p w14:paraId="3BABA112" w14:textId="77777777" w:rsidR="00E42A95" w:rsidRPr="00FB7D45" w:rsidRDefault="00203467" w:rsidP="00ED71B2">
      <w:pPr>
        <w:tabs>
          <w:tab w:val="left" w:pos="540"/>
        </w:tabs>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r>
      <w:r w:rsidR="00930AC1" w:rsidRPr="00FB7D45">
        <w:rPr>
          <w:rFonts w:ascii="Georgia" w:hAnsi="Georgia" w:cs="Calibri"/>
          <w:b/>
          <w:color w:val="404040" w:themeColor="text1" w:themeTint="BF"/>
          <w:sz w:val="20"/>
        </w:rPr>
        <w:t>Princip</w:t>
      </w:r>
      <w:r w:rsidR="003427F1" w:rsidRPr="00FB7D45">
        <w:rPr>
          <w:rFonts w:ascii="Georgia" w:hAnsi="Georgia" w:cs="Calibri"/>
          <w:b/>
          <w:color w:val="404040" w:themeColor="text1" w:themeTint="BF"/>
          <w:sz w:val="20"/>
        </w:rPr>
        <w:t>al</w:t>
      </w:r>
      <w:r w:rsidR="00930AC1" w:rsidRPr="00FB7D45">
        <w:rPr>
          <w:rFonts w:ascii="Georgia" w:hAnsi="Georgia" w:cs="Calibri"/>
          <w:b/>
          <w:color w:val="404040" w:themeColor="text1" w:themeTint="BF"/>
          <w:sz w:val="20"/>
        </w:rPr>
        <w:t xml:space="preserve"> Risks and Uncertainties (continued)</w:t>
      </w:r>
    </w:p>
    <w:p w14:paraId="78159A64" w14:textId="23BF90E6" w:rsidR="00180C4E" w:rsidRDefault="00180C4E" w:rsidP="0092020A">
      <w:pPr>
        <w:tabs>
          <w:tab w:val="left" w:pos="540"/>
        </w:tabs>
        <w:jc w:val="both"/>
        <w:rPr>
          <w:rFonts w:ascii="Georgia" w:hAnsi="Georgia" w:cs="Calibri"/>
          <w:b/>
          <w:color w:val="404040" w:themeColor="text1" w:themeTint="BF"/>
          <w:sz w:val="20"/>
        </w:rPr>
      </w:pPr>
    </w:p>
    <w:p w14:paraId="07269A94" w14:textId="1CAC733F" w:rsidR="00E34F30" w:rsidRPr="00E34F30" w:rsidRDefault="00E34F30" w:rsidP="0092020A">
      <w:pPr>
        <w:tabs>
          <w:tab w:val="left" w:pos="540"/>
        </w:tabs>
        <w:jc w:val="both"/>
        <w:rPr>
          <w:rFonts w:ascii="Georgia" w:hAnsi="Georgia" w:cs="Calibri"/>
          <w:b/>
          <w:color w:val="404040" w:themeColor="text1" w:themeTint="BF"/>
          <w:sz w:val="20"/>
        </w:rPr>
      </w:pPr>
      <w:r w:rsidRPr="00E34F30">
        <w:rPr>
          <w:rFonts w:ascii="Georgia" w:hAnsi="Georgia" w:cs="Calibri"/>
          <w:b/>
          <w:color w:val="404040" w:themeColor="text1" w:themeTint="BF"/>
          <w:sz w:val="20"/>
        </w:rPr>
        <w:t>Longer term viability statement</w:t>
      </w:r>
    </w:p>
    <w:p w14:paraId="37D5344D" w14:textId="77777777" w:rsidR="00E34F30" w:rsidRPr="00FB7D45" w:rsidRDefault="00E34F30" w:rsidP="0092020A">
      <w:pPr>
        <w:tabs>
          <w:tab w:val="left" w:pos="540"/>
        </w:tabs>
        <w:jc w:val="both"/>
        <w:rPr>
          <w:rFonts w:ascii="Georgia" w:hAnsi="Georgia" w:cs="Calibri"/>
          <w:b/>
          <w:color w:val="404040" w:themeColor="text1" w:themeTint="BF"/>
          <w:sz w:val="20"/>
        </w:rPr>
      </w:pPr>
    </w:p>
    <w:p w14:paraId="5D4C10C9" w14:textId="77777777" w:rsidR="00836BFB" w:rsidRPr="00132D27" w:rsidRDefault="00836BFB" w:rsidP="00836BFB">
      <w:pPr>
        <w:jc w:val="both"/>
        <w:rPr>
          <w:rFonts w:ascii="Georgia" w:hAnsi="Georgia"/>
          <w:b/>
          <w:color w:val="404040" w:themeColor="text1" w:themeTint="BF"/>
          <w:sz w:val="20"/>
          <w:szCs w:val="20"/>
        </w:rPr>
      </w:pPr>
      <w:r w:rsidRPr="00FB7D45">
        <w:rPr>
          <w:rFonts w:ascii="Georgia" w:hAnsi="Georgia"/>
          <w:b/>
          <w:color w:val="404040" w:themeColor="text1" w:themeTint="BF"/>
          <w:sz w:val="20"/>
          <w:szCs w:val="20"/>
        </w:rPr>
        <w:t>Assessing the prospects of the Company</w:t>
      </w:r>
    </w:p>
    <w:p w14:paraId="4A2CDD63" w14:textId="77777777" w:rsidR="00836BFB" w:rsidRPr="00132D27" w:rsidRDefault="00836BFB" w:rsidP="00836BFB">
      <w:pPr>
        <w:jc w:val="both"/>
        <w:rPr>
          <w:rFonts w:ascii="Georgia" w:hAnsi="Georgia"/>
          <w:color w:val="404040" w:themeColor="text1" w:themeTint="BF"/>
          <w:sz w:val="20"/>
          <w:szCs w:val="20"/>
        </w:rPr>
      </w:pPr>
      <w:r w:rsidRPr="00132D27">
        <w:rPr>
          <w:rFonts w:ascii="Georgia" w:hAnsi="Georgia"/>
          <w:color w:val="404040" w:themeColor="text1" w:themeTint="BF"/>
          <w:sz w:val="20"/>
          <w:szCs w:val="20"/>
        </w:rPr>
        <w:t xml:space="preserve">The corporate planning process is underpinned by scenarios that encompass a wide spectrum of potential outcomes.  These scenarios are designed to explore the resilience of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 to the potential impact of significant risks set out </w:t>
      </w:r>
      <w:r>
        <w:rPr>
          <w:rFonts w:ascii="Georgia" w:hAnsi="Georgia"/>
          <w:color w:val="404040" w:themeColor="text1" w:themeTint="BF"/>
          <w:sz w:val="20"/>
          <w:szCs w:val="20"/>
        </w:rPr>
        <w:t>below</w:t>
      </w:r>
      <w:r w:rsidRPr="00132D27">
        <w:rPr>
          <w:rFonts w:ascii="Georgia" w:hAnsi="Georgia"/>
          <w:color w:val="404040" w:themeColor="text1" w:themeTint="BF"/>
          <w:sz w:val="20"/>
          <w:szCs w:val="20"/>
        </w:rPr>
        <w:t>.</w:t>
      </w:r>
    </w:p>
    <w:p w14:paraId="36360E29" w14:textId="77777777" w:rsidR="00836BFB" w:rsidRPr="00132D27" w:rsidRDefault="00836BFB" w:rsidP="00836BFB">
      <w:pPr>
        <w:jc w:val="both"/>
        <w:rPr>
          <w:rFonts w:ascii="Georgia" w:hAnsi="Georgia"/>
          <w:color w:val="404040" w:themeColor="text1" w:themeTint="BF"/>
          <w:sz w:val="20"/>
          <w:szCs w:val="20"/>
        </w:rPr>
      </w:pPr>
    </w:p>
    <w:p w14:paraId="52CA03A6" w14:textId="288BF250" w:rsidR="00836BFB" w:rsidRPr="00132D27" w:rsidRDefault="00836BFB" w:rsidP="00836BFB">
      <w:pPr>
        <w:jc w:val="both"/>
        <w:rPr>
          <w:rFonts w:ascii="Georgia" w:hAnsi="Georgia"/>
          <w:color w:val="404040" w:themeColor="text1" w:themeTint="BF"/>
          <w:sz w:val="20"/>
          <w:szCs w:val="20"/>
        </w:rPr>
      </w:pPr>
      <w:r w:rsidRPr="00132D27">
        <w:rPr>
          <w:rFonts w:ascii="Georgia" w:hAnsi="Georgia"/>
          <w:color w:val="404040" w:themeColor="text1" w:themeTint="BF"/>
          <w:sz w:val="20"/>
          <w:szCs w:val="20"/>
        </w:rPr>
        <w:t xml:space="preserve">The scenarios are designed to be severe but plausible and take full account of the availability and likely effectiveness of the mitigating actions that could be taken to avoid or reduce the impact or occurrence of the underlying risks and </w:t>
      </w:r>
      <w:r>
        <w:rPr>
          <w:rFonts w:ascii="Georgia" w:hAnsi="Georgia"/>
          <w:color w:val="404040" w:themeColor="text1" w:themeTint="BF"/>
          <w:sz w:val="20"/>
          <w:szCs w:val="20"/>
        </w:rPr>
        <w:t>which would</w:t>
      </w:r>
      <w:r w:rsidRPr="00132D27">
        <w:rPr>
          <w:rFonts w:ascii="Georgia" w:hAnsi="Georgia"/>
          <w:color w:val="404040" w:themeColor="text1" w:themeTint="BF"/>
          <w:sz w:val="20"/>
          <w:szCs w:val="20"/>
        </w:rPr>
        <w:t xml:space="preserve"> realistically be open to ma</w:t>
      </w:r>
      <w:r w:rsidR="005C3886">
        <w:rPr>
          <w:rFonts w:ascii="Georgia" w:hAnsi="Georgia"/>
          <w:color w:val="404040" w:themeColor="text1" w:themeTint="BF"/>
          <w:sz w:val="20"/>
          <w:szCs w:val="20"/>
        </w:rPr>
        <w:t xml:space="preserve">nagement in the circumstances. </w:t>
      </w:r>
      <w:r w:rsidRPr="00132D27">
        <w:rPr>
          <w:rFonts w:ascii="Georgia" w:hAnsi="Georgia"/>
          <w:color w:val="404040" w:themeColor="text1" w:themeTint="BF"/>
          <w:sz w:val="20"/>
          <w:szCs w:val="20"/>
        </w:rPr>
        <w:t xml:space="preserve">In considering the likely effectiveness of such actions, the conclusions of the Board’s regular monitoring and review of risk and internal control systems, as discussed on </w:t>
      </w:r>
      <w:r w:rsidRPr="006F3DF3">
        <w:rPr>
          <w:rFonts w:ascii="Georgia" w:hAnsi="Georgia"/>
          <w:color w:val="404040" w:themeColor="text1" w:themeTint="BF"/>
          <w:sz w:val="20"/>
          <w:szCs w:val="20"/>
        </w:rPr>
        <w:t xml:space="preserve">page </w:t>
      </w:r>
      <w:r w:rsidR="006044C6">
        <w:rPr>
          <w:rFonts w:ascii="Georgia" w:hAnsi="Georgia"/>
          <w:color w:val="404040" w:themeColor="text1" w:themeTint="BF"/>
          <w:sz w:val="20"/>
          <w:szCs w:val="20"/>
        </w:rPr>
        <w:t>39</w:t>
      </w:r>
      <w:r w:rsidRPr="003766E0">
        <w:rPr>
          <w:rFonts w:ascii="Georgia" w:hAnsi="Georgia"/>
          <w:color w:val="404040" w:themeColor="text1" w:themeTint="BF"/>
          <w:sz w:val="20"/>
          <w:szCs w:val="20"/>
        </w:rPr>
        <w:t>,</w:t>
      </w:r>
      <w:r w:rsidRPr="00132D27">
        <w:rPr>
          <w:rFonts w:ascii="Georgia" w:hAnsi="Georgia"/>
          <w:color w:val="404040" w:themeColor="text1" w:themeTint="BF"/>
          <w:sz w:val="20"/>
          <w:szCs w:val="20"/>
        </w:rPr>
        <w:t xml:space="preserve"> is taken into account.</w:t>
      </w:r>
    </w:p>
    <w:p w14:paraId="2AFADF75" w14:textId="77777777" w:rsidR="00836BFB" w:rsidRPr="00132D27" w:rsidRDefault="00836BFB" w:rsidP="00836BFB">
      <w:pPr>
        <w:jc w:val="both"/>
        <w:rPr>
          <w:rFonts w:ascii="Georgia" w:hAnsi="Georgia"/>
          <w:color w:val="404040" w:themeColor="text1" w:themeTint="BF"/>
          <w:sz w:val="20"/>
          <w:szCs w:val="20"/>
        </w:rPr>
      </w:pPr>
    </w:p>
    <w:p w14:paraId="755B5169" w14:textId="77777777" w:rsidR="00836BFB" w:rsidRPr="00A565EF" w:rsidRDefault="00836BFB" w:rsidP="00836BFB">
      <w:pPr>
        <w:jc w:val="both"/>
        <w:rPr>
          <w:rFonts w:ascii="Georgia" w:hAnsi="Georgia"/>
          <w:color w:val="404040" w:themeColor="text1" w:themeTint="BF"/>
          <w:sz w:val="20"/>
          <w:szCs w:val="20"/>
        </w:rPr>
      </w:pPr>
      <w:r w:rsidRPr="00A565EF">
        <w:rPr>
          <w:rFonts w:ascii="Georgia" w:hAnsi="Georgia"/>
          <w:color w:val="404040" w:themeColor="text1" w:themeTint="BF"/>
          <w:sz w:val="20"/>
          <w:szCs w:val="20"/>
        </w:rPr>
        <w:t xml:space="preserve">The </w:t>
      </w:r>
      <w:r>
        <w:rPr>
          <w:rFonts w:ascii="Georgia" w:hAnsi="Georgia"/>
          <w:color w:val="404040" w:themeColor="text1" w:themeTint="BF"/>
          <w:sz w:val="20"/>
          <w:szCs w:val="20"/>
        </w:rPr>
        <w:t>Board</w:t>
      </w:r>
      <w:r w:rsidRPr="00A565EF">
        <w:rPr>
          <w:rFonts w:ascii="Georgia" w:hAnsi="Georgia"/>
          <w:color w:val="404040" w:themeColor="text1" w:themeTint="BF"/>
          <w:sz w:val="20"/>
          <w:szCs w:val="20"/>
        </w:rPr>
        <w:t xml:space="preserve"> reviewed the impact of stress testing the quantifiable risks to the Company’s cash flows in the </w:t>
      </w:r>
      <w:r>
        <w:rPr>
          <w:rFonts w:ascii="Georgia" w:hAnsi="Georgia"/>
          <w:color w:val="404040" w:themeColor="text1" w:themeTint="BF"/>
          <w:sz w:val="20"/>
          <w:szCs w:val="20"/>
        </w:rPr>
        <w:t>previous pages</w:t>
      </w:r>
      <w:r w:rsidRPr="00A565EF">
        <w:rPr>
          <w:rFonts w:ascii="Georgia" w:hAnsi="Georgia"/>
          <w:color w:val="404040" w:themeColor="text1" w:themeTint="BF"/>
          <w:sz w:val="20"/>
          <w:szCs w:val="20"/>
        </w:rPr>
        <w:t xml:space="preserve"> as detailed in risk factors 1-</w:t>
      </w:r>
      <w:r>
        <w:rPr>
          <w:rFonts w:ascii="Georgia" w:hAnsi="Georgia"/>
          <w:color w:val="404040" w:themeColor="text1" w:themeTint="BF"/>
          <w:sz w:val="20"/>
          <w:szCs w:val="20"/>
        </w:rPr>
        <w:t>9</w:t>
      </w:r>
      <w:r w:rsidRPr="00A565EF">
        <w:rPr>
          <w:rFonts w:ascii="Georgia" w:hAnsi="Georgia"/>
          <w:color w:val="404040" w:themeColor="text1" w:themeTint="BF"/>
          <w:sz w:val="20"/>
          <w:szCs w:val="20"/>
        </w:rPr>
        <w:t xml:space="preserve"> and concluded that the Company, assuming current leverage levels, would be able to continue to produce distributable income in the event of the following scenarios:</w:t>
      </w:r>
    </w:p>
    <w:p w14:paraId="72D4D60E" w14:textId="77777777" w:rsidR="00132D27" w:rsidRPr="009625B4" w:rsidRDefault="00132D27" w:rsidP="00132D27">
      <w:pPr>
        <w:jc w:val="both"/>
        <w:rPr>
          <w:rFonts w:ascii="Georgia" w:hAnsi="Georgia"/>
          <w:color w:val="404040" w:themeColor="text1" w:themeTint="BF"/>
          <w:sz w:val="20"/>
          <w:szCs w:val="20"/>
          <w:highlight w:val="yellow"/>
        </w:rPr>
      </w:pPr>
    </w:p>
    <w:tbl>
      <w:tblPr>
        <w:tblStyle w:val="TableGrid1"/>
        <w:tblW w:w="0" w:type="auto"/>
        <w:tblInd w:w="250" w:type="dxa"/>
        <w:tblLook w:val="04A0" w:firstRow="1" w:lastRow="0" w:firstColumn="1" w:lastColumn="0" w:noHBand="0" w:noVBand="1"/>
      </w:tblPr>
      <w:tblGrid>
        <w:gridCol w:w="1418"/>
        <w:gridCol w:w="4536"/>
      </w:tblGrid>
      <w:tr w:rsidR="00132D27" w:rsidRPr="009625B4" w14:paraId="082B44DC" w14:textId="77777777" w:rsidTr="00EF6D72">
        <w:tc>
          <w:tcPr>
            <w:tcW w:w="1418" w:type="dxa"/>
            <w:shd w:val="clear" w:color="auto" w:fill="auto"/>
          </w:tcPr>
          <w:p w14:paraId="6A24BF62" w14:textId="7F42DA63" w:rsidR="00132D27" w:rsidRPr="00AA2692" w:rsidRDefault="00A915A5" w:rsidP="00A915A5">
            <w:pPr>
              <w:rPr>
                <w:rFonts w:ascii="Georgia" w:hAnsi="Georgia"/>
                <w:color w:val="404040" w:themeColor="text1" w:themeTint="BF"/>
                <w:sz w:val="20"/>
                <w:szCs w:val="20"/>
              </w:rPr>
            </w:pPr>
            <w:r w:rsidRPr="00AA2692">
              <w:rPr>
                <w:rFonts w:ascii="Georgia" w:hAnsi="Georgia"/>
                <w:color w:val="404040" w:themeColor="text1" w:themeTint="BF"/>
                <w:sz w:val="20"/>
                <w:szCs w:val="20"/>
              </w:rPr>
              <w:t xml:space="preserve">Strategic Report </w:t>
            </w:r>
            <w:r w:rsidR="00132D27" w:rsidRPr="00AA2692">
              <w:rPr>
                <w:rFonts w:ascii="Georgia" w:hAnsi="Georgia"/>
                <w:color w:val="404040" w:themeColor="text1" w:themeTint="BF"/>
                <w:sz w:val="20"/>
                <w:szCs w:val="20"/>
              </w:rPr>
              <w:t>Risk Factor</w:t>
            </w:r>
          </w:p>
        </w:tc>
        <w:tc>
          <w:tcPr>
            <w:tcW w:w="4536" w:type="dxa"/>
            <w:shd w:val="clear" w:color="auto" w:fill="auto"/>
          </w:tcPr>
          <w:p w14:paraId="1ECF0CD0" w14:textId="77777777" w:rsidR="00132D27" w:rsidRPr="009625B4" w:rsidRDefault="00132D27" w:rsidP="00132D27">
            <w:pPr>
              <w:jc w:val="both"/>
              <w:rPr>
                <w:rFonts w:ascii="Georgia" w:hAnsi="Georgia"/>
                <w:color w:val="404040" w:themeColor="text1" w:themeTint="BF"/>
                <w:sz w:val="20"/>
                <w:szCs w:val="20"/>
                <w:highlight w:val="yellow"/>
              </w:rPr>
            </w:pPr>
          </w:p>
        </w:tc>
      </w:tr>
      <w:tr w:rsidR="00132D27" w:rsidRPr="009625B4" w14:paraId="16703D5C" w14:textId="77777777" w:rsidTr="00EF6D72">
        <w:tc>
          <w:tcPr>
            <w:tcW w:w="1418" w:type="dxa"/>
            <w:shd w:val="clear" w:color="auto" w:fill="auto"/>
          </w:tcPr>
          <w:p w14:paraId="7EFD4F5C" w14:textId="2F7F65D0" w:rsidR="00132D27" w:rsidRPr="00AA2692" w:rsidRDefault="00A565EF" w:rsidP="00132D27">
            <w:pPr>
              <w:jc w:val="both"/>
              <w:rPr>
                <w:rFonts w:ascii="Georgia" w:hAnsi="Georgia"/>
                <w:color w:val="404040" w:themeColor="text1" w:themeTint="BF"/>
                <w:sz w:val="20"/>
                <w:szCs w:val="20"/>
              </w:rPr>
            </w:pPr>
            <w:r w:rsidRPr="00AA2692">
              <w:rPr>
                <w:rFonts w:ascii="Georgia" w:hAnsi="Georgia"/>
                <w:color w:val="404040" w:themeColor="text1" w:themeTint="BF"/>
                <w:sz w:val="20"/>
                <w:szCs w:val="20"/>
              </w:rPr>
              <w:t>2</w:t>
            </w:r>
            <w:r w:rsidR="003A43BC" w:rsidRPr="00AA2692">
              <w:rPr>
                <w:rFonts w:ascii="Georgia" w:hAnsi="Georgia"/>
                <w:color w:val="404040" w:themeColor="text1" w:themeTint="BF"/>
                <w:sz w:val="20"/>
                <w:szCs w:val="20"/>
              </w:rPr>
              <w:t>.</w:t>
            </w:r>
          </w:p>
        </w:tc>
        <w:tc>
          <w:tcPr>
            <w:tcW w:w="4536" w:type="dxa"/>
            <w:shd w:val="clear" w:color="auto" w:fill="auto"/>
          </w:tcPr>
          <w:p w14:paraId="56DA7967" w14:textId="77777777" w:rsidR="00132D27" w:rsidRPr="00EF6D72" w:rsidRDefault="00132D27" w:rsidP="00346C1B">
            <w:pPr>
              <w:jc w:val="both"/>
              <w:rPr>
                <w:rFonts w:ascii="Georgia" w:hAnsi="Georgia"/>
                <w:color w:val="404040" w:themeColor="text1" w:themeTint="BF"/>
                <w:sz w:val="20"/>
                <w:szCs w:val="20"/>
              </w:rPr>
            </w:pPr>
            <w:r w:rsidRPr="00EF6D72">
              <w:rPr>
                <w:rFonts w:ascii="Georgia" w:hAnsi="Georgia"/>
                <w:color w:val="404040" w:themeColor="text1" w:themeTint="BF"/>
                <w:sz w:val="20"/>
                <w:szCs w:val="20"/>
              </w:rPr>
              <w:t xml:space="preserve">Plant performance degradation </w:t>
            </w:r>
            <w:r w:rsidR="00226EF0" w:rsidRPr="00EF6D72">
              <w:rPr>
                <w:rFonts w:ascii="Georgia" w:hAnsi="Georgia"/>
                <w:color w:val="404040" w:themeColor="text1" w:themeTint="BF"/>
                <w:sz w:val="20"/>
                <w:szCs w:val="20"/>
              </w:rPr>
              <w:t>of 0.8%</w:t>
            </w:r>
            <w:r w:rsidR="00346C1B" w:rsidRPr="00EF6D72">
              <w:rPr>
                <w:rFonts w:ascii="Georgia" w:hAnsi="Georgia"/>
                <w:color w:val="404040" w:themeColor="text1" w:themeTint="BF"/>
                <w:sz w:val="20"/>
                <w:szCs w:val="20"/>
              </w:rPr>
              <w:t xml:space="preserve"> </w:t>
            </w:r>
            <w:r w:rsidR="004A4B8F" w:rsidRPr="00EF6D72">
              <w:rPr>
                <w:rFonts w:ascii="Georgia" w:hAnsi="Georgia"/>
                <w:color w:val="404040" w:themeColor="text1" w:themeTint="BF"/>
                <w:sz w:val="20"/>
                <w:szCs w:val="20"/>
              </w:rPr>
              <w:t>per annum versus 0.4% per annum</w:t>
            </w:r>
          </w:p>
        </w:tc>
      </w:tr>
      <w:tr w:rsidR="00815A8B" w:rsidRPr="009625B4" w14:paraId="59195920" w14:textId="77777777" w:rsidTr="00EF6D72">
        <w:tc>
          <w:tcPr>
            <w:tcW w:w="1418" w:type="dxa"/>
            <w:shd w:val="clear" w:color="auto" w:fill="auto"/>
          </w:tcPr>
          <w:p w14:paraId="73EBD941" w14:textId="3C7D0494" w:rsidR="00815A8B" w:rsidRPr="00AA2692" w:rsidRDefault="00815A8B" w:rsidP="00132D27">
            <w:pPr>
              <w:jc w:val="both"/>
              <w:rPr>
                <w:rFonts w:ascii="Georgia" w:hAnsi="Georgia"/>
                <w:color w:val="404040" w:themeColor="text1" w:themeTint="BF"/>
                <w:sz w:val="20"/>
                <w:szCs w:val="20"/>
              </w:rPr>
            </w:pPr>
            <w:r w:rsidRPr="00AA2692">
              <w:rPr>
                <w:rFonts w:ascii="Georgia" w:hAnsi="Georgia"/>
                <w:color w:val="404040" w:themeColor="text1" w:themeTint="BF"/>
                <w:sz w:val="20"/>
                <w:szCs w:val="20"/>
              </w:rPr>
              <w:t>2.</w:t>
            </w:r>
          </w:p>
        </w:tc>
        <w:tc>
          <w:tcPr>
            <w:tcW w:w="4536" w:type="dxa"/>
            <w:shd w:val="clear" w:color="auto" w:fill="auto"/>
          </w:tcPr>
          <w:p w14:paraId="39FA79A4" w14:textId="46D1616A" w:rsidR="00815A8B" w:rsidRPr="00EF6D72" w:rsidRDefault="00815A8B" w:rsidP="00132D27">
            <w:pPr>
              <w:jc w:val="both"/>
              <w:rPr>
                <w:rFonts w:ascii="Georgia" w:hAnsi="Georgia"/>
                <w:color w:val="404040" w:themeColor="text1" w:themeTint="BF"/>
                <w:sz w:val="20"/>
                <w:szCs w:val="20"/>
              </w:rPr>
            </w:pPr>
            <w:r w:rsidRPr="00EF6D72">
              <w:rPr>
                <w:rFonts w:ascii="Georgia" w:hAnsi="Georgia"/>
                <w:color w:val="404040" w:themeColor="text1" w:themeTint="BF"/>
                <w:sz w:val="20"/>
                <w:szCs w:val="20"/>
              </w:rPr>
              <w:t>Plant availability reduced to 95%</w:t>
            </w:r>
          </w:p>
        </w:tc>
      </w:tr>
      <w:tr w:rsidR="00132D27" w:rsidRPr="009625B4" w14:paraId="3DFC0B0A" w14:textId="77777777" w:rsidTr="00EF6D72">
        <w:tc>
          <w:tcPr>
            <w:tcW w:w="1418" w:type="dxa"/>
            <w:shd w:val="clear" w:color="auto" w:fill="auto"/>
          </w:tcPr>
          <w:p w14:paraId="64BC7805" w14:textId="3DB83319" w:rsidR="00132D27" w:rsidRPr="00AA2692" w:rsidRDefault="00764871" w:rsidP="00132D27">
            <w:pPr>
              <w:jc w:val="both"/>
              <w:rPr>
                <w:rFonts w:ascii="Georgia" w:hAnsi="Georgia"/>
                <w:color w:val="404040" w:themeColor="text1" w:themeTint="BF"/>
                <w:sz w:val="20"/>
                <w:szCs w:val="20"/>
              </w:rPr>
            </w:pPr>
            <w:r w:rsidRPr="00AA2692">
              <w:rPr>
                <w:rFonts w:ascii="Georgia" w:hAnsi="Georgia"/>
                <w:color w:val="404040" w:themeColor="text1" w:themeTint="BF"/>
                <w:sz w:val="20"/>
                <w:szCs w:val="20"/>
              </w:rPr>
              <w:t>5</w:t>
            </w:r>
            <w:r w:rsidR="003A43BC" w:rsidRPr="00AA2692">
              <w:rPr>
                <w:rFonts w:ascii="Georgia" w:hAnsi="Georgia"/>
                <w:color w:val="404040" w:themeColor="text1" w:themeTint="BF"/>
                <w:sz w:val="20"/>
                <w:szCs w:val="20"/>
              </w:rPr>
              <w:t>.</w:t>
            </w:r>
          </w:p>
        </w:tc>
        <w:tc>
          <w:tcPr>
            <w:tcW w:w="4536" w:type="dxa"/>
            <w:shd w:val="clear" w:color="auto" w:fill="auto"/>
          </w:tcPr>
          <w:p w14:paraId="2D55571F" w14:textId="77777777" w:rsidR="00132D27" w:rsidRPr="00EF6D72" w:rsidRDefault="00226EF0" w:rsidP="00132D27">
            <w:pPr>
              <w:jc w:val="both"/>
              <w:rPr>
                <w:rFonts w:ascii="Georgia" w:hAnsi="Georgia"/>
                <w:color w:val="404040" w:themeColor="text1" w:themeTint="BF"/>
                <w:sz w:val="20"/>
                <w:szCs w:val="20"/>
              </w:rPr>
            </w:pPr>
            <w:r w:rsidRPr="00EF6D72">
              <w:rPr>
                <w:rFonts w:ascii="Georgia" w:hAnsi="Georgia"/>
                <w:color w:val="404040" w:themeColor="text1" w:themeTint="BF"/>
                <w:sz w:val="20"/>
                <w:szCs w:val="20"/>
              </w:rPr>
              <w:t>P90 irradiation</w:t>
            </w:r>
            <w:r w:rsidR="004A4B8F" w:rsidRPr="00EF6D72">
              <w:rPr>
                <w:rFonts w:ascii="Georgia" w:hAnsi="Georgia"/>
                <w:color w:val="404040" w:themeColor="text1" w:themeTint="BF"/>
                <w:sz w:val="20"/>
                <w:szCs w:val="20"/>
              </w:rPr>
              <w:t xml:space="preserve"> </w:t>
            </w:r>
          </w:p>
        </w:tc>
      </w:tr>
      <w:tr w:rsidR="00132D27" w:rsidRPr="00132D27" w14:paraId="2501155B" w14:textId="77777777" w:rsidTr="00EF6D72">
        <w:tc>
          <w:tcPr>
            <w:tcW w:w="1418" w:type="dxa"/>
            <w:shd w:val="clear" w:color="auto" w:fill="auto"/>
          </w:tcPr>
          <w:p w14:paraId="0940631E" w14:textId="46762FB6" w:rsidR="00132D27" w:rsidRPr="00AA2692" w:rsidRDefault="00764871" w:rsidP="00132D27">
            <w:pPr>
              <w:jc w:val="both"/>
              <w:rPr>
                <w:rFonts w:ascii="Georgia" w:hAnsi="Georgia"/>
                <w:color w:val="404040" w:themeColor="text1" w:themeTint="BF"/>
                <w:sz w:val="20"/>
                <w:szCs w:val="20"/>
              </w:rPr>
            </w:pPr>
            <w:r w:rsidRPr="00AA2692">
              <w:rPr>
                <w:rFonts w:ascii="Georgia" w:hAnsi="Georgia"/>
                <w:color w:val="404040" w:themeColor="text1" w:themeTint="BF"/>
                <w:sz w:val="20"/>
                <w:szCs w:val="20"/>
              </w:rPr>
              <w:t>6</w:t>
            </w:r>
            <w:r w:rsidR="003A43BC" w:rsidRPr="00AA2692">
              <w:rPr>
                <w:rFonts w:ascii="Georgia" w:hAnsi="Georgia"/>
                <w:color w:val="404040" w:themeColor="text1" w:themeTint="BF"/>
                <w:sz w:val="20"/>
                <w:szCs w:val="20"/>
              </w:rPr>
              <w:t>.</w:t>
            </w:r>
          </w:p>
        </w:tc>
        <w:tc>
          <w:tcPr>
            <w:tcW w:w="4536" w:type="dxa"/>
            <w:shd w:val="clear" w:color="auto" w:fill="auto"/>
          </w:tcPr>
          <w:p w14:paraId="06271945" w14:textId="77777777" w:rsidR="00132D27" w:rsidRPr="006163FD" w:rsidRDefault="00226EF0" w:rsidP="001320B6">
            <w:pPr>
              <w:jc w:val="both"/>
              <w:rPr>
                <w:rFonts w:ascii="Georgia" w:hAnsi="Georgia"/>
                <w:color w:val="404040" w:themeColor="text1" w:themeTint="BF"/>
                <w:sz w:val="20"/>
                <w:szCs w:val="20"/>
              </w:rPr>
            </w:pPr>
            <w:r w:rsidRPr="00EF6D72">
              <w:rPr>
                <w:rFonts w:ascii="Georgia" w:hAnsi="Georgia"/>
                <w:color w:val="404040" w:themeColor="text1" w:themeTint="BF"/>
                <w:sz w:val="20"/>
                <w:szCs w:val="20"/>
              </w:rPr>
              <w:t xml:space="preserve">Power </w:t>
            </w:r>
            <w:r w:rsidR="001320B6" w:rsidRPr="00EF6D72">
              <w:rPr>
                <w:rFonts w:ascii="Georgia" w:hAnsi="Georgia"/>
                <w:color w:val="404040" w:themeColor="text1" w:themeTint="BF"/>
                <w:sz w:val="20"/>
                <w:szCs w:val="20"/>
              </w:rPr>
              <w:t>price</w:t>
            </w:r>
            <w:r w:rsidRPr="00EF6D72">
              <w:rPr>
                <w:rFonts w:ascii="Georgia" w:hAnsi="Georgia"/>
                <w:color w:val="404040" w:themeColor="text1" w:themeTint="BF"/>
                <w:sz w:val="20"/>
                <w:szCs w:val="20"/>
              </w:rPr>
              <w:t xml:space="preserve"> set to zero</w:t>
            </w:r>
          </w:p>
        </w:tc>
      </w:tr>
    </w:tbl>
    <w:p w14:paraId="359CFAC2" w14:textId="77777777" w:rsidR="00132D27" w:rsidRPr="00132D27" w:rsidRDefault="00132D27" w:rsidP="00132D27">
      <w:pPr>
        <w:jc w:val="both"/>
        <w:rPr>
          <w:rFonts w:ascii="Georgia" w:hAnsi="Georgia"/>
          <w:color w:val="404040" w:themeColor="text1" w:themeTint="BF"/>
          <w:sz w:val="20"/>
          <w:szCs w:val="20"/>
        </w:rPr>
      </w:pPr>
    </w:p>
    <w:p w14:paraId="624CAEE1" w14:textId="77777777" w:rsidR="00132D27" w:rsidRPr="00132D27" w:rsidRDefault="00132D27" w:rsidP="00132D27">
      <w:pPr>
        <w:jc w:val="both"/>
        <w:rPr>
          <w:rFonts w:ascii="Georgia" w:hAnsi="Georgia"/>
          <w:color w:val="404040" w:themeColor="text1" w:themeTint="BF"/>
          <w:sz w:val="20"/>
          <w:szCs w:val="20"/>
        </w:rPr>
      </w:pPr>
    </w:p>
    <w:p w14:paraId="7BDBCC82" w14:textId="4318A1CB" w:rsidR="00836BFB" w:rsidRPr="00132D27" w:rsidRDefault="00836BFB" w:rsidP="00836BFB">
      <w:pPr>
        <w:jc w:val="both"/>
        <w:rPr>
          <w:rFonts w:ascii="Georgia" w:hAnsi="Georgia"/>
          <w:color w:val="404040" w:themeColor="text1" w:themeTint="BF"/>
          <w:sz w:val="20"/>
          <w:szCs w:val="20"/>
        </w:rPr>
      </w:pPr>
      <w:r>
        <w:rPr>
          <w:rFonts w:ascii="Georgia" w:hAnsi="Georgia"/>
          <w:color w:val="404040" w:themeColor="text1" w:themeTint="BF"/>
          <w:sz w:val="20"/>
          <w:szCs w:val="20"/>
        </w:rPr>
        <w:t>The Board</w:t>
      </w:r>
      <w:r w:rsidRPr="00132D27">
        <w:rPr>
          <w:rFonts w:ascii="Georgia" w:hAnsi="Georgia"/>
          <w:color w:val="404040" w:themeColor="text1" w:themeTint="BF"/>
          <w:sz w:val="20"/>
          <w:szCs w:val="20"/>
        </w:rPr>
        <w:t xml:space="preserve"> consider</w:t>
      </w:r>
      <w:r>
        <w:rPr>
          <w:rFonts w:ascii="Georgia" w:hAnsi="Georgia"/>
          <w:color w:val="404040" w:themeColor="text1" w:themeTint="BF"/>
          <w:sz w:val="20"/>
          <w:szCs w:val="20"/>
        </w:rPr>
        <w:t>s</w:t>
      </w:r>
      <w:r w:rsidRPr="00132D27">
        <w:rPr>
          <w:rFonts w:ascii="Georgia" w:hAnsi="Georgia"/>
          <w:color w:val="404040" w:themeColor="text1" w:themeTint="BF"/>
          <w:sz w:val="20"/>
          <w:szCs w:val="20"/>
        </w:rPr>
        <w:t xml:space="preserve"> that this stress testing based assessment of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’s prospects is reasonable in the circumstances of the inherent uncertainty involved.</w:t>
      </w:r>
      <w:r>
        <w:rPr>
          <w:rFonts w:ascii="Georgia" w:hAnsi="Georgia"/>
          <w:color w:val="404040" w:themeColor="text1" w:themeTint="BF"/>
          <w:sz w:val="20"/>
          <w:szCs w:val="20"/>
        </w:rPr>
        <w:t xml:space="preserve"> </w:t>
      </w:r>
      <w:r w:rsidRPr="00E97629">
        <w:rPr>
          <w:rFonts w:ascii="Georgia" w:hAnsi="Georgia"/>
          <w:color w:val="404040" w:themeColor="text1" w:themeTint="BF"/>
          <w:sz w:val="20"/>
          <w:szCs w:val="20"/>
        </w:rPr>
        <w:t>In accordance with the Articles, every five years the Board is required to propose an ordinary resolution that the Company should cease to continue as presently constituted. The first such discontinuation vote</w:t>
      </w:r>
      <w:r>
        <w:rPr>
          <w:rFonts w:ascii="Georgia" w:hAnsi="Georgia"/>
          <w:color w:val="404040" w:themeColor="text1" w:themeTint="BF"/>
          <w:sz w:val="20"/>
          <w:szCs w:val="20"/>
        </w:rPr>
        <w:t xml:space="preserve"> was</w:t>
      </w:r>
      <w:r w:rsidRPr="00E97629">
        <w:rPr>
          <w:rFonts w:ascii="Georgia" w:hAnsi="Georgia"/>
          <w:color w:val="404040" w:themeColor="text1" w:themeTint="BF"/>
          <w:sz w:val="20"/>
          <w:szCs w:val="20"/>
        </w:rPr>
        <w:t xml:space="preserve"> held at </w:t>
      </w:r>
      <w:r w:rsidRPr="00AE4214">
        <w:rPr>
          <w:rFonts w:ascii="Georgia" w:hAnsi="Georgia"/>
          <w:color w:val="404040" w:themeColor="text1" w:themeTint="BF"/>
          <w:sz w:val="20"/>
          <w:szCs w:val="20"/>
        </w:rPr>
        <w:t xml:space="preserve">the </w:t>
      </w:r>
      <w:r w:rsidR="009A47B3">
        <w:rPr>
          <w:rFonts w:ascii="Georgia" w:hAnsi="Georgia"/>
          <w:color w:val="404040" w:themeColor="text1" w:themeTint="BF"/>
          <w:sz w:val="20"/>
          <w:szCs w:val="20"/>
        </w:rPr>
        <w:t>2018</w:t>
      </w:r>
      <w:r w:rsidRPr="00AE4214">
        <w:rPr>
          <w:rFonts w:ascii="Georgia" w:hAnsi="Georgia"/>
          <w:color w:val="404040" w:themeColor="text1" w:themeTint="BF"/>
          <w:sz w:val="20"/>
          <w:szCs w:val="20"/>
        </w:rPr>
        <w:t xml:space="preserve"> AGM</w:t>
      </w:r>
      <w:r w:rsidR="0092020A">
        <w:rPr>
          <w:rFonts w:ascii="Georgia" w:hAnsi="Georgia"/>
          <w:color w:val="404040" w:themeColor="text1" w:themeTint="BF"/>
          <w:sz w:val="20"/>
          <w:szCs w:val="20"/>
        </w:rPr>
        <w:t xml:space="preserve"> and resulted in a </w:t>
      </w:r>
      <w:r w:rsidR="00E34F30" w:rsidRPr="009A47B3">
        <w:rPr>
          <w:rFonts w:ascii="Georgia" w:hAnsi="Georgia"/>
          <w:color w:val="404040" w:themeColor="text1" w:themeTint="BF"/>
          <w:sz w:val="20"/>
          <w:szCs w:val="20"/>
        </w:rPr>
        <w:t>99.46</w:t>
      </w:r>
      <w:r w:rsidRPr="009A47B3">
        <w:rPr>
          <w:rFonts w:ascii="Georgia" w:hAnsi="Georgia"/>
          <w:color w:val="404040" w:themeColor="text1" w:themeTint="BF"/>
          <w:sz w:val="20"/>
          <w:szCs w:val="20"/>
        </w:rPr>
        <w:t>% vote in favour of continuation</w:t>
      </w:r>
      <w:r w:rsidR="00E34F30" w:rsidRPr="009A47B3">
        <w:rPr>
          <w:rFonts w:ascii="Georgia" w:hAnsi="Georgia"/>
          <w:color w:val="404040" w:themeColor="text1" w:themeTint="BF"/>
          <w:sz w:val="20"/>
          <w:szCs w:val="20"/>
        </w:rPr>
        <w:t>.</w:t>
      </w:r>
    </w:p>
    <w:p w14:paraId="3A41872C" w14:textId="77777777" w:rsidR="00836BFB" w:rsidRPr="00132D27" w:rsidRDefault="00836BFB" w:rsidP="00836BFB">
      <w:pPr>
        <w:jc w:val="both"/>
        <w:rPr>
          <w:rFonts w:ascii="Georgia" w:hAnsi="Georgia"/>
          <w:color w:val="404040" w:themeColor="text1" w:themeTint="BF"/>
          <w:sz w:val="20"/>
          <w:szCs w:val="20"/>
        </w:rPr>
      </w:pPr>
    </w:p>
    <w:p w14:paraId="7EEB64D8" w14:textId="77777777" w:rsidR="00836BFB" w:rsidRPr="00132D27" w:rsidRDefault="00836BFB" w:rsidP="00836BFB">
      <w:pPr>
        <w:jc w:val="both"/>
        <w:rPr>
          <w:rFonts w:ascii="Georgia" w:hAnsi="Georgia"/>
          <w:b/>
          <w:color w:val="404040" w:themeColor="text1" w:themeTint="BF"/>
          <w:sz w:val="20"/>
          <w:szCs w:val="20"/>
        </w:rPr>
      </w:pPr>
      <w:r w:rsidRPr="00132D27">
        <w:rPr>
          <w:rFonts w:ascii="Georgia" w:hAnsi="Georgia"/>
          <w:b/>
          <w:color w:val="404040" w:themeColor="text1" w:themeTint="BF"/>
          <w:sz w:val="20"/>
          <w:szCs w:val="20"/>
        </w:rPr>
        <w:t>The period over which we confirm longer</w:t>
      </w:r>
      <w:r>
        <w:rPr>
          <w:rFonts w:ascii="Georgia" w:hAnsi="Georgia"/>
          <w:b/>
          <w:color w:val="404040" w:themeColor="text1" w:themeTint="BF"/>
          <w:sz w:val="20"/>
          <w:szCs w:val="20"/>
        </w:rPr>
        <w:t xml:space="preserve"> </w:t>
      </w:r>
      <w:r w:rsidRPr="00132D27">
        <w:rPr>
          <w:rFonts w:ascii="Georgia" w:hAnsi="Georgia"/>
          <w:b/>
          <w:color w:val="404040" w:themeColor="text1" w:themeTint="BF"/>
          <w:sz w:val="20"/>
          <w:szCs w:val="20"/>
        </w:rPr>
        <w:t>term viability</w:t>
      </w:r>
    </w:p>
    <w:p w14:paraId="2788A5B6" w14:textId="30FA96C1" w:rsidR="00836BFB" w:rsidRPr="00132D27" w:rsidRDefault="00836BFB" w:rsidP="00836BFB">
      <w:pPr>
        <w:jc w:val="both"/>
        <w:rPr>
          <w:rFonts w:ascii="Georgia" w:hAnsi="Georgia"/>
          <w:color w:val="404040" w:themeColor="text1" w:themeTint="BF"/>
          <w:sz w:val="20"/>
          <w:szCs w:val="20"/>
        </w:rPr>
      </w:pPr>
      <w:r w:rsidRPr="00132D27">
        <w:rPr>
          <w:rFonts w:ascii="Georgia" w:hAnsi="Georgia"/>
          <w:color w:val="404040" w:themeColor="text1" w:themeTint="BF"/>
          <w:sz w:val="20"/>
          <w:szCs w:val="20"/>
        </w:rPr>
        <w:t xml:space="preserve">Within the context of the corporate planning framework discussed above, the </w:t>
      </w:r>
      <w:r>
        <w:rPr>
          <w:rFonts w:ascii="Georgia" w:hAnsi="Georgia"/>
          <w:color w:val="404040" w:themeColor="text1" w:themeTint="BF"/>
          <w:sz w:val="20"/>
          <w:szCs w:val="20"/>
        </w:rPr>
        <w:t>Board</w:t>
      </w:r>
      <w:r w:rsidRPr="00132D27">
        <w:rPr>
          <w:rFonts w:ascii="Georgia" w:hAnsi="Georgia"/>
          <w:color w:val="404040" w:themeColor="text1" w:themeTint="BF"/>
          <w:sz w:val="20"/>
          <w:szCs w:val="20"/>
        </w:rPr>
        <w:t xml:space="preserve"> ha</w:t>
      </w:r>
      <w:r>
        <w:rPr>
          <w:rFonts w:ascii="Georgia" w:hAnsi="Georgia"/>
          <w:color w:val="404040" w:themeColor="text1" w:themeTint="BF"/>
          <w:sz w:val="20"/>
          <w:szCs w:val="20"/>
        </w:rPr>
        <w:t>s</w:t>
      </w:r>
      <w:r w:rsidRPr="00132D27">
        <w:rPr>
          <w:rFonts w:ascii="Georgia" w:hAnsi="Georgia"/>
          <w:color w:val="404040" w:themeColor="text1" w:themeTint="BF"/>
          <w:sz w:val="20"/>
          <w:szCs w:val="20"/>
        </w:rPr>
        <w:t xml:space="preserve"> assessed the prospects of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 over a three year period ending 30 June 20</w:t>
      </w:r>
      <w:r w:rsidR="007225D3">
        <w:rPr>
          <w:rFonts w:ascii="Georgia" w:hAnsi="Georgia"/>
          <w:color w:val="404040" w:themeColor="text1" w:themeTint="BF"/>
          <w:sz w:val="20"/>
          <w:szCs w:val="20"/>
        </w:rPr>
        <w:t>23</w:t>
      </w:r>
      <w:r w:rsidRPr="00132D27">
        <w:rPr>
          <w:rFonts w:ascii="Georgia" w:hAnsi="Georgia"/>
          <w:color w:val="404040" w:themeColor="text1" w:themeTint="BF"/>
          <w:sz w:val="20"/>
          <w:szCs w:val="20"/>
        </w:rPr>
        <w:t xml:space="preserve">. Whilst the </w:t>
      </w:r>
      <w:r>
        <w:rPr>
          <w:rFonts w:ascii="Georgia" w:hAnsi="Georgia"/>
          <w:color w:val="404040" w:themeColor="text1" w:themeTint="BF"/>
          <w:sz w:val="20"/>
          <w:szCs w:val="20"/>
        </w:rPr>
        <w:t>Board</w:t>
      </w:r>
      <w:r w:rsidRPr="00132D27">
        <w:rPr>
          <w:rFonts w:ascii="Georgia" w:hAnsi="Georgia"/>
          <w:color w:val="404040" w:themeColor="text1" w:themeTint="BF"/>
          <w:sz w:val="20"/>
          <w:szCs w:val="20"/>
        </w:rPr>
        <w:t xml:space="preserve"> ha</w:t>
      </w:r>
      <w:r>
        <w:rPr>
          <w:rFonts w:ascii="Georgia" w:hAnsi="Georgia"/>
          <w:color w:val="404040" w:themeColor="text1" w:themeTint="BF"/>
          <w:sz w:val="20"/>
          <w:szCs w:val="20"/>
        </w:rPr>
        <w:t>s</w:t>
      </w:r>
      <w:r w:rsidRPr="00132D27">
        <w:rPr>
          <w:rFonts w:ascii="Georgia" w:hAnsi="Georgia"/>
          <w:color w:val="404040" w:themeColor="text1" w:themeTint="BF"/>
          <w:sz w:val="20"/>
          <w:szCs w:val="20"/>
        </w:rPr>
        <w:t xml:space="preserve"> no reason to believe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 will not be viable over a longer period, given the inherent uncertainty involved the period over which the </w:t>
      </w:r>
      <w:r>
        <w:rPr>
          <w:rFonts w:ascii="Georgia" w:hAnsi="Georgia"/>
          <w:color w:val="404040" w:themeColor="text1" w:themeTint="BF"/>
          <w:sz w:val="20"/>
          <w:szCs w:val="20"/>
        </w:rPr>
        <w:t>Board</w:t>
      </w:r>
      <w:r w:rsidRPr="00132D27">
        <w:rPr>
          <w:rFonts w:ascii="Georgia" w:hAnsi="Georgia"/>
          <w:color w:val="404040" w:themeColor="text1" w:themeTint="BF"/>
          <w:sz w:val="20"/>
          <w:szCs w:val="20"/>
        </w:rPr>
        <w:t xml:space="preserve"> consider</w:t>
      </w:r>
      <w:r>
        <w:rPr>
          <w:rFonts w:ascii="Georgia" w:hAnsi="Georgia"/>
          <w:color w:val="404040" w:themeColor="text1" w:themeTint="BF"/>
          <w:sz w:val="20"/>
          <w:szCs w:val="20"/>
        </w:rPr>
        <w:t>s</w:t>
      </w:r>
      <w:r w:rsidRPr="00132D27">
        <w:rPr>
          <w:rFonts w:ascii="Georgia" w:hAnsi="Georgia"/>
          <w:color w:val="404040" w:themeColor="text1" w:themeTint="BF"/>
          <w:sz w:val="20"/>
          <w:szCs w:val="20"/>
        </w:rPr>
        <w:t xml:space="preserve"> it possible to form a reasonable expectation as to the </w:t>
      </w:r>
      <w:r>
        <w:rPr>
          <w:rFonts w:ascii="Georgia" w:hAnsi="Georgia"/>
          <w:color w:val="404040" w:themeColor="text1" w:themeTint="BF"/>
          <w:sz w:val="20"/>
          <w:szCs w:val="20"/>
        </w:rPr>
        <w:t xml:space="preserve">Company’s longer </w:t>
      </w:r>
      <w:r w:rsidRPr="00132D27">
        <w:rPr>
          <w:rFonts w:ascii="Georgia" w:hAnsi="Georgia"/>
          <w:color w:val="404040" w:themeColor="text1" w:themeTint="BF"/>
          <w:sz w:val="20"/>
          <w:szCs w:val="20"/>
        </w:rPr>
        <w:t>term viability, based on the stress testing scenario planning discussed above, is the three year period to June 20</w:t>
      </w:r>
      <w:r w:rsidR="000C3601">
        <w:rPr>
          <w:rFonts w:ascii="Georgia" w:hAnsi="Georgia"/>
          <w:color w:val="404040" w:themeColor="text1" w:themeTint="BF"/>
          <w:sz w:val="20"/>
          <w:szCs w:val="20"/>
        </w:rPr>
        <w:t>23</w:t>
      </w:r>
      <w:r w:rsidRPr="00132D27">
        <w:rPr>
          <w:rFonts w:ascii="Georgia" w:hAnsi="Georgia"/>
          <w:color w:val="404040" w:themeColor="text1" w:themeTint="BF"/>
          <w:sz w:val="20"/>
          <w:szCs w:val="20"/>
        </w:rPr>
        <w:t>.  This period</w:t>
      </w:r>
      <w:r>
        <w:rPr>
          <w:rFonts w:ascii="Georgia" w:hAnsi="Georgia"/>
          <w:color w:val="404040" w:themeColor="text1" w:themeTint="BF"/>
          <w:sz w:val="20"/>
          <w:szCs w:val="20"/>
        </w:rPr>
        <w:t xml:space="preserve"> is</w:t>
      </w:r>
      <w:r w:rsidRPr="00132D27">
        <w:rPr>
          <w:rFonts w:ascii="Georgia" w:hAnsi="Georgia"/>
          <w:color w:val="404040" w:themeColor="text1" w:themeTint="BF"/>
          <w:sz w:val="20"/>
          <w:szCs w:val="20"/>
        </w:rPr>
        <w:t xml:space="preserve"> used </w:t>
      </w:r>
      <w:r>
        <w:rPr>
          <w:rFonts w:ascii="Georgia" w:hAnsi="Georgia"/>
          <w:color w:val="404040" w:themeColor="text1" w:themeTint="BF"/>
          <w:sz w:val="20"/>
          <w:szCs w:val="20"/>
        </w:rPr>
        <w:t>for our mid-term business plans and</w:t>
      </w:r>
      <w:r w:rsidRPr="00132D27">
        <w:rPr>
          <w:rFonts w:ascii="Georgia" w:hAnsi="Georgia"/>
          <w:color w:val="404040" w:themeColor="text1" w:themeTint="BF"/>
          <w:sz w:val="20"/>
          <w:szCs w:val="20"/>
        </w:rPr>
        <w:t xml:space="preserve"> has been selected because it presents the Board and therefore readers of the annual report with a reasonable degree of confidence whilst still </w:t>
      </w:r>
      <w:r>
        <w:rPr>
          <w:rFonts w:ascii="Georgia" w:hAnsi="Georgia"/>
          <w:color w:val="404040" w:themeColor="text1" w:themeTint="BF"/>
          <w:sz w:val="20"/>
          <w:szCs w:val="20"/>
        </w:rPr>
        <w:t xml:space="preserve">providing an appropriate longer </w:t>
      </w:r>
      <w:r w:rsidRPr="00132D27">
        <w:rPr>
          <w:rFonts w:ascii="Georgia" w:hAnsi="Georgia"/>
          <w:color w:val="404040" w:themeColor="text1" w:themeTint="BF"/>
          <w:sz w:val="20"/>
          <w:szCs w:val="20"/>
        </w:rPr>
        <w:t>term outlook.</w:t>
      </w:r>
    </w:p>
    <w:p w14:paraId="4049F8AE" w14:textId="77777777" w:rsidR="00836BFB" w:rsidRPr="00132D27" w:rsidRDefault="00836BFB" w:rsidP="00836BFB">
      <w:pPr>
        <w:jc w:val="both"/>
        <w:rPr>
          <w:rFonts w:ascii="Georgia" w:hAnsi="Georgia"/>
          <w:color w:val="404040" w:themeColor="text1" w:themeTint="BF"/>
          <w:sz w:val="20"/>
          <w:szCs w:val="20"/>
        </w:rPr>
      </w:pPr>
    </w:p>
    <w:p w14:paraId="70D60293" w14:textId="77777777" w:rsidR="00836BFB" w:rsidRPr="00132D27" w:rsidRDefault="00836BFB" w:rsidP="00836BFB">
      <w:pPr>
        <w:jc w:val="both"/>
        <w:rPr>
          <w:rFonts w:ascii="Georgia" w:hAnsi="Georgia"/>
          <w:b/>
          <w:color w:val="404040" w:themeColor="text1" w:themeTint="BF"/>
          <w:sz w:val="20"/>
          <w:szCs w:val="20"/>
        </w:rPr>
      </w:pPr>
      <w:r w:rsidRPr="00132D27">
        <w:rPr>
          <w:rFonts w:ascii="Georgia" w:hAnsi="Georgia"/>
          <w:b/>
          <w:color w:val="404040" w:themeColor="text1" w:themeTint="BF"/>
          <w:sz w:val="20"/>
          <w:szCs w:val="20"/>
        </w:rPr>
        <w:t>Confirmation of longer</w:t>
      </w:r>
      <w:r>
        <w:rPr>
          <w:rFonts w:ascii="Georgia" w:hAnsi="Georgia"/>
          <w:b/>
          <w:color w:val="404040" w:themeColor="text1" w:themeTint="BF"/>
          <w:sz w:val="20"/>
          <w:szCs w:val="20"/>
        </w:rPr>
        <w:t xml:space="preserve"> </w:t>
      </w:r>
      <w:r w:rsidRPr="00132D27">
        <w:rPr>
          <w:rFonts w:ascii="Georgia" w:hAnsi="Georgia"/>
          <w:b/>
          <w:color w:val="404040" w:themeColor="text1" w:themeTint="BF"/>
          <w:sz w:val="20"/>
          <w:szCs w:val="20"/>
        </w:rPr>
        <w:t>term viability</w:t>
      </w:r>
    </w:p>
    <w:p w14:paraId="5D2DB9A9" w14:textId="77777777" w:rsidR="00836BFB" w:rsidRPr="00132D27" w:rsidRDefault="00836BFB" w:rsidP="00836BFB">
      <w:pPr>
        <w:jc w:val="both"/>
        <w:rPr>
          <w:rFonts w:ascii="Georgia" w:hAnsi="Georgia"/>
          <w:color w:val="404040" w:themeColor="text1" w:themeTint="BF"/>
          <w:sz w:val="20"/>
          <w:szCs w:val="20"/>
        </w:rPr>
      </w:pPr>
      <w:r w:rsidRPr="00132D27">
        <w:rPr>
          <w:rFonts w:ascii="Georgia" w:hAnsi="Georgia"/>
          <w:color w:val="404040" w:themeColor="text1" w:themeTint="BF"/>
          <w:sz w:val="20"/>
          <w:szCs w:val="20"/>
        </w:rPr>
        <w:t xml:space="preserve">The </w:t>
      </w:r>
      <w:r>
        <w:rPr>
          <w:rFonts w:ascii="Georgia" w:hAnsi="Georgia"/>
          <w:color w:val="404040" w:themeColor="text1" w:themeTint="BF"/>
          <w:sz w:val="20"/>
          <w:szCs w:val="20"/>
        </w:rPr>
        <w:t>Board</w:t>
      </w:r>
      <w:r w:rsidRPr="00132D27">
        <w:rPr>
          <w:rFonts w:ascii="Georgia" w:hAnsi="Georgia"/>
          <w:color w:val="404040" w:themeColor="text1" w:themeTint="BF"/>
          <w:sz w:val="20"/>
          <w:szCs w:val="20"/>
        </w:rPr>
        <w:t xml:space="preserve"> confirm</w:t>
      </w:r>
      <w:r>
        <w:rPr>
          <w:rFonts w:ascii="Georgia" w:hAnsi="Georgia"/>
          <w:color w:val="404040" w:themeColor="text1" w:themeTint="BF"/>
          <w:sz w:val="20"/>
          <w:szCs w:val="20"/>
        </w:rPr>
        <w:t>s</w:t>
      </w:r>
      <w:r w:rsidRPr="00132D27">
        <w:rPr>
          <w:rFonts w:ascii="Georgia" w:hAnsi="Georgia"/>
          <w:color w:val="404040" w:themeColor="text1" w:themeTint="BF"/>
          <w:sz w:val="20"/>
          <w:szCs w:val="20"/>
        </w:rPr>
        <w:t xml:space="preserve"> that </w:t>
      </w:r>
      <w:r>
        <w:rPr>
          <w:rFonts w:ascii="Georgia" w:hAnsi="Georgia"/>
          <w:color w:val="404040" w:themeColor="text1" w:themeTint="BF"/>
          <w:sz w:val="20"/>
          <w:szCs w:val="20"/>
        </w:rPr>
        <w:t>its</w:t>
      </w:r>
      <w:r w:rsidRPr="00132D27">
        <w:rPr>
          <w:rFonts w:ascii="Georgia" w:hAnsi="Georgia"/>
          <w:color w:val="404040" w:themeColor="text1" w:themeTint="BF"/>
          <w:sz w:val="20"/>
          <w:szCs w:val="20"/>
        </w:rPr>
        <w:t xml:space="preserve"> assessment of the principal risks facing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 was robust.</w:t>
      </w:r>
    </w:p>
    <w:p w14:paraId="3E3876C4" w14:textId="77777777" w:rsidR="00836BFB" w:rsidRPr="00132D27" w:rsidRDefault="00836BFB" w:rsidP="00836BFB">
      <w:pPr>
        <w:jc w:val="both"/>
        <w:rPr>
          <w:rFonts w:ascii="Georgia" w:hAnsi="Georgia"/>
          <w:color w:val="404040" w:themeColor="text1" w:themeTint="BF"/>
          <w:sz w:val="20"/>
          <w:szCs w:val="20"/>
        </w:rPr>
      </w:pPr>
    </w:p>
    <w:p w14:paraId="17310609" w14:textId="41EC3F35" w:rsidR="00836BFB" w:rsidRPr="00132D27" w:rsidRDefault="00836BFB" w:rsidP="00836BFB">
      <w:pPr>
        <w:jc w:val="both"/>
        <w:rPr>
          <w:rFonts w:ascii="Georgia" w:hAnsi="Georgia"/>
          <w:sz w:val="20"/>
          <w:szCs w:val="20"/>
        </w:rPr>
      </w:pPr>
      <w:r w:rsidRPr="00132D27">
        <w:rPr>
          <w:rFonts w:ascii="Georgia" w:hAnsi="Georgia"/>
          <w:color w:val="404040" w:themeColor="text1" w:themeTint="BF"/>
          <w:sz w:val="20"/>
          <w:szCs w:val="20"/>
        </w:rPr>
        <w:t xml:space="preserve">Based upon the robust assessment of the principal risks facing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 </w:t>
      </w:r>
      <w:r>
        <w:rPr>
          <w:rFonts w:ascii="Georgia" w:hAnsi="Georgia"/>
          <w:color w:val="404040" w:themeColor="text1" w:themeTint="BF"/>
          <w:sz w:val="20"/>
          <w:szCs w:val="20"/>
        </w:rPr>
        <w:t xml:space="preserve">and its stress </w:t>
      </w:r>
      <w:r w:rsidRPr="00132D27">
        <w:rPr>
          <w:rFonts w:ascii="Georgia" w:hAnsi="Georgia"/>
          <w:color w:val="404040" w:themeColor="text1" w:themeTint="BF"/>
          <w:sz w:val="20"/>
          <w:szCs w:val="20"/>
        </w:rPr>
        <w:t xml:space="preserve">testing based assessment of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’s prospects, the </w:t>
      </w:r>
      <w:r>
        <w:rPr>
          <w:rFonts w:ascii="Georgia" w:hAnsi="Georgia"/>
          <w:color w:val="404040" w:themeColor="text1" w:themeTint="BF"/>
          <w:sz w:val="20"/>
          <w:szCs w:val="20"/>
        </w:rPr>
        <w:t>Board</w:t>
      </w:r>
      <w:r w:rsidRPr="00132D27">
        <w:rPr>
          <w:rFonts w:ascii="Georgia" w:hAnsi="Georgia"/>
          <w:color w:val="404040" w:themeColor="text1" w:themeTint="BF"/>
          <w:sz w:val="20"/>
          <w:szCs w:val="20"/>
        </w:rPr>
        <w:t xml:space="preserve"> confirm</w:t>
      </w:r>
      <w:r>
        <w:rPr>
          <w:rFonts w:ascii="Georgia" w:hAnsi="Georgia"/>
          <w:color w:val="404040" w:themeColor="text1" w:themeTint="BF"/>
          <w:sz w:val="20"/>
          <w:szCs w:val="20"/>
        </w:rPr>
        <w:t>s</w:t>
      </w:r>
      <w:r w:rsidRPr="00132D27">
        <w:rPr>
          <w:rFonts w:ascii="Georgia" w:hAnsi="Georgia"/>
          <w:color w:val="404040" w:themeColor="text1" w:themeTint="BF"/>
          <w:sz w:val="20"/>
          <w:szCs w:val="20"/>
        </w:rPr>
        <w:t xml:space="preserve"> that </w:t>
      </w:r>
      <w:r>
        <w:rPr>
          <w:rFonts w:ascii="Georgia" w:hAnsi="Georgia"/>
          <w:color w:val="404040" w:themeColor="text1" w:themeTint="BF"/>
          <w:sz w:val="20"/>
          <w:szCs w:val="20"/>
        </w:rPr>
        <w:t>it has</w:t>
      </w:r>
      <w:r w:rsidRPr="00132D27">
        <w:rPr>
          <w:rFonts w:ascii="Georgia" w:hAnsi="Georgia"/>
          <w:color w:val="404040" w:themeColor="text1" w:themeTint="BF"/>
          <w:sz w:val="20"/>
          <w:szCs w:val="20"/>
        </w:rPr>
        <w:t xml:space="preserve"> a reasonable expectation that the </w:t>
      </w:r>
      <w:r>
        <w:rPr>
          <w:rFonts w:ascii="Georgia" w:hAnsi="Georgia"/>
          <w:color w:val="404040" w:themeColor="text1" w:themeTint="BF"/>
          <w:sz w:val="20"/>
          <w:szCs w:val="20"/>
        </w:rPr>
        <w:t>Company</w:t>
      </w:r>
      <w:r w:rsidRPr="00132D27">
        <w:rPr>
          <w:rFonts w:ascii="Georgia" w:hAnsi="Georgia"/>
          <w:color w:val="404040" w:themeColor="text1" w:themeTint="BF"/>
          <w:sz w:val="20"/>
          <w:szCs w:val="20"/>
        </w:rPr>
        <w:t xml:space="preserve"> will be able to continue in operation and meet its liabilities as they fall d</w:t>
      </w:r>
      <w:r w:rsidR="009A47B3">
        <w:rPr>
          <w:rFonts w:ascii="Georgia" w:hAnsi="Georgia"/>
          <w:color w:val="404040" w:themeColor="text1" w:themeTint="BF"/>
          <w:sz w:val="20"/>
          <w:szCs w:val="20"/>
        </w:rPr>
        <w:t>ue over the period to June 2023.</w:t>
      </w:r>
    </w:p>
    <w:p w14:paraId="64426A01" w14:textId="77777777" w:rsidR="00256451" w:rsidRPr="009625B4" w:rsidRDefault="00256451" w:rsidP="00B56E61">
      <w:pPr>
        <w:pStyle w:val="ListParagraph"/>
        <w:tabs>
          <w:tab w:val="left" w:pos="540"/>
        </w:tabs>
        <w:spacing w:after="200" w:line="276" w:lineRule="auto"/>
        <w:ind w:left="567" w:hanging="567"/>
        <w:jc w:val="both"/>
        <w:rPr>
          <w:highlight w:val="yellow"/>
        </w:rPr>
      </w:pPr>
    </w:p>
    <w:p w14:paraId="62E9A1F8" w14:textId="77777777" w:rsidR="00E23F99" w:rsidRPr="00FB7D45" w:rsidRDefault="00256451" w:rsidP="00E23F99">
      <w:pPr>
        <w:pStyle w:val="Heading2"/>
        <w:spacing w:before="0"/>
      </w:pPr>
      <w:r w:rsidRPr="009625B4">
        <w:rPr>
          <w:highlight w:val="yellow"/>
        </w:rPr>
        <w:br w:type="page"/>
      </w:r>
      <w:r w:rsidR="00132D27" w:rsidRPr="00FB7D45" w:rsidDel="00132D27">
        <w:lastRenderedPageBreak/>
        <w:t xml:space="preserve"> </w:t>
      </w:r>
      <w:r w:rsidR="00E23F99" w:rsidRPr="00FB7D45">
        <w:t>Strategic Report (continued)</w:t>
      </w:r>
    </w:p>
    <w:p w14:paraId="37F79FBB" w14:textId="77777777" w:rsidR="00E23F99" w:rsidRPr="00FB7D45" w:rsidRDefault="00E23F99" w:rsidP="00E85EF6">
      <w:pPr>
        <w:pStyle w:val="ListParagraph"/>
        <w:ind w:left="360"/>
        <w:rPr>
          <w:rFonts w:ascii="Georgia" w:hAnsi="Georgia" w:cs="Calibri"/>
          <w:b/>
          <w:color w:val="404040" w:themeColor="text1" w:themeTint="BF"/>
          <w:sz w:val="20"/>
        </w:rPr>
      </w:pPr>
    </w:p>
    <w:p w14:paraId="31B78D58" w14:textId="77777777" w:rsidR="00966319" w:rsidRPr="00FB7D45" w:rsidRDefault="00966319" w:rsidP="00966319">
      <w:pPr>
        <w:tabs>
          <w:tab w:val="left" w:pos="540"/>
        </w:tabs>
        <w:spacing w:after="200" w:line="276" w:lineRule="auto"/>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289761FD" w14:textId="4EAE80A2" w:rsidR="00836BFB" w:rsidRDefault="00836BFB" w:rsidP="00836BFB">
      <w:pPr>
        <w:jc w:val="both"/>
        <w:rPr>
          <w:rFonts w:ascii="Georgia" w:hAnsi="Georgia"/>
          <w:b/>
          <w:color w:val="404040" w:themeColor="text1" w:themeTint="BF"/>
          <w:sz w:val="20"/>
          <w:szCs w:val="20"/>
        </w:rPr>
      </w:pPr>
      <w:r w:rsidRPr="00132D27">
        <w:rPr>
          <w:rFonts w:ascii="Georgia" w:hAnsi="Georgia"/>
          <w:b/>
          <w:color w:val="404040" w:themeColor="text1" w:themeTint="BF"/>
          <w:sz w:val="20"/>
          <w:szCs w:val="20"/>
        </w:rPr>
        <w:t>Longer</w:t>
      </w:r>
      <w:r>
        <w:rPr>
          <w:rFonts w:ascii="Georgia" w:hAnsi="Georgia"/>
          <w:b/>
          <w:color w:val="404040" w:themeColor="text1" w:themeTint="BF"/>
          <w:sz w:val="20"/>
          <w:szCs w:val="20"/>
        </w:rPr>
        <w:t xml:space="preserve"> </w:t>
      </w:r>
      <w:r w:rsidRPr="00132D27">
        <w:rPr>
          <w:rFonts w:ascii="Georgia" w:hAnsi="Georgia"/>
          <w:b/>
          <w:color w:val="404040" w:themeColor="text1" w:themeTint="BF"/>
          <w:sz w:val="20"/>
          <w:szCs w:val="20"/>
        </w:rPr>
        <w:t xml:space="preserve">term viability statement </w:t>
      </w:r>
      <w:r>
        <w:rPr>
          <w:rFonts w:ascii="Georgia" w:hAnsi="Georgia"/>
          <w:b/>
          <w:color w:val="404040" w:themeColor="text1" w:themeTint="BF"/>
          <w:sz w:val="20"/>
          <w:szCs w:val="20"/>
        </w:rPr>
        <w:t>(continued)</w:t>
      </w:r>
    </w:p>
    <w:p w14:paraId="178993E1" w14:textId="3C530EAE" w:rsidR="00FD4422" w:rsidRDefault="00FD4422" w:rsidP="00836BFB">
      <w:pPr>
        <w:jc w:val="both"/>
        <w:rPr>
          <w:rFonts w:ascii="Georgia" w:hAnsi="Georgia"/>
          <w:b/>
          <w:color w:val="404040" w:themeColor="text1" w:themeTint="BF"/>
          <w:sz w:val="20"/>
          <w:szCs w:val="20"/>
        </w:rPr>
      </w:pPr>
    </w:p>
    <w:p w14:paraId="59670453" w14:textId="4FEC7C2F" w:rsidR="00FD4422" w:rsidRPr="00132D27" w:rsidRDefault="00FD4422" w:rsidP="00836BFB">
      <w:pPr>
        <w:jc w:val="both"/>
        <w:rPr>
          <w:rFonts w:ascii="Georgia" w:hAnsi="Georgia"/>
          <w:b/>
          <w:color w:val="404040" w:themeColor="text1" w:themeTint="BF"/>
          <w:sz w:val="20"/>
          <w:szCs w:val="20"/>
        </w:rPr>
      </w:pPr>
      <w:r w:rsidRPr="00132D27">
        <w:rPr>
          <w:rFonts w:ascii="Georgia" w:hAnsi="Georgia"/>
          <w:b/>
          <w:color w:val="404040" w:themeColor="text1" w:themeTint="BF"/>
          <w:sz w:val="20"/>
          <w:szCs w:val="20"/>
        </w:rPr>
        <w:t>Confirmation of longer</w:t>
      </w:r>
      <w:r>
        <w:rPr>
          <w:rFonts w:ascii="Georgia" w:hAnsi="Georgia"/>
          <w:b/>
          <w:color w:val="404040" w:themeColor="text1" w:themeTint="BF"/>
          <w:sz w:val="20"/>
          <w:szCs w:val="20"/>
        </w:rPr>
        <w:t xml:space="preserve"> </w:t>
      </w:r>
      <w:r w:rsidRPr="00132D27">
        <w:rPr>
          <w:rFonts w:ascii="Georgia" w:hAnsi="Georgia"/>
          <w:b/>
          <w:color w:val="404040" w:themeColor="text1" w:themeTint="BF"/>
          <w:sz w:val="20"/>
          <w:szCs w:val="20"/>
        </w:rPr>
        <w:t>term viability</w:t>
      </w:r>
      <w:r>
        <w:rPr>
          <w:rFonts w:ascii="Georgia" w:hAnsi="Georgia"/>
          <w:b/>
          <w:color w:val="404040" w:themeColor="text1" w:themeTint="BF"/>
          <w:sz w:val="20"/>
          <w:szCs w:val="20"/>
        </w:rPr>
        <w:t xml:space="preserve"> (continued)</w:t>
      </w:r>
    </w:p>
    <w:p w14:paraId="04A02776" w14:textId="77777777" w:rsidR="00836BFB" w:rsidRPr="001B56EC" w:rsidRDefault="00836BFB" w:rsidP="00836BFB">
      <w:pPr>
        <w:autoSpaceDE w:val="0"/>
        <w:autoSpaceDN w:val="0"/>
        <w:adjustRightInd w:val="0"/>
        <w:jc w:val="both"/>
        <w:rPr>
          <w:rFonts w:ascii="Georgia" w:hAnsi="Georgia" w:cs="Calibri"/>
          <w:color w:val="404040" w:themeColor="text1" w:themeTint="BF"/>
          <w:sz w:val="20"/>
        </w:rPr>
      </w:pPr>
      <w:r w:rsidRPr="001B56EC">
        <w:rPr>
          <w:rFonts w:ascii="Georgia" w:hAnsi="Georgia" w:cs="Calibri"/>
          <w:color w:val="404040" w:themeColor="text1" w:themeTint="BF"/>
          <w:sz w:val="20"/>
        </w:rPr>
        <w:t>These inherent risks associated with investments in the solar energy sector could result in a material adverse effect on the Company’s performance and value of Ordinary Shares.</w:t>
      </w:r>
    </w:p>
    <w:p w14:paraId="0F16992F" w14:textId="77777777" w:rsidR="00836BFB" w:rsidRDefault="00836BFB" w:rsidP="00836BFB">
      <w:pPr>
        <w:autoSpaceDE w:val="0"/>
        <w:autoSpaceDN w:val="0"/>
        <w:adjustRightInd w:val="0"/>
        <w:jc w:val="both"/>
        <w:rPr>
          <w:rFonts w:ascii="Georgia" w:hAnsi="Georgia" w:cs="Calibri"/>
          <w:color w:val="404040" w:themeColor="text1" w:themeTint="BF"/>
          <w:sz w:val="20"/>
        </w:rPr>
      </w:pPr>
    </w:p>
    <w:p w14:paraId="70FF6634" w14:textId="08A3929A" w:rsidR="00836BFB" w:rsidRDefault="00836BFB" w:rsidP="00836BFB">
      <w:pPr>
        <w:jc w:val="both"/>
        <w:rPr>
          <w:rFonts w:ascii="Georgia" w:hAnsi="Georgia" w:cs="Calibri"/>
          <w:color w:val="404040" w:themeColor="text1" w:themeTint="BF"/>
          <w:sz w:val="20"/>
        </w:rPr>
      </w:pPr>
      <w:r w:rsidRPr="00037678">
        <w:rPr>
          <w:rFonts w:ascii="Georgia" w:hAnsi="Georgia" w:cs="Calibri"/>
          <w:color w:val="404040" w:themeColor="text1" w:themeTint="BF"/>
          <w:sz w:val="20"/>
        </w:rPr>
        <w:t xml:space="preserve">The </w:t>
      </w:r>
      <w:r>
        <w:rPr>
          <w:rFonts w:ascii="Georgia" w:hAnsi="Georgia" w:cs="Calibri"/>
          <w:color w:val="404040" w:themeColor="text1" w:themeTint="BF"/>
          <w:sz w:val="20"/>
        </w:rPr>
        <w:t>Company</w:t>
      </w:r>
      <w:r w:rsidRPr="00037678">
        <w:rPr>
          <w:rFonts w:ascii="Georgia" w:hAnsi="Georgia" w:cs="Calibri"/>
          <w:color w:val="404040" w:themeColor="text1" w:themeTint="BF"/>
          <w:sz w:val="20"/>
        </w:rPr>
        <w:t xml:space="preserve">’s risks are mitigated and managed by the Board through continual </w:t>
      </w:r>
      <w:r>
        <w:rPr>
          <w:rFonts w:ascii="Georgia" w:hAnsi="Georgia" w:cs="Calibri"/>
          <w:color w:val="404040" w:themeColor="text1" w:themeTint="BF"/>
          <w:sz w:val="20"/>
        </w:rPr>
        <w:t xml:space="preserve">review, policy setting and half </w:t>
      </w:r>
      <w:r w:rsidRPr="00037678">
        <w:rPr>
          <w:rFonts w:ascii="Georgia" w:hAnsi="Georgia" w:cs="Calibri"/>
          <w:color w:val="404040" w:themeColor="text1" w:themeTint="BF"/>
          <w:sz w:val="20"/>
        </w:rPr>
        <w:t xml:space="preserve">yearly review of the </w:t>
      </w:r>
      <w:r>
        <w:rPr>
          <w:rFonts w:ascii="Georgia" w:hAnsi="Georgia" w:cs="Calibri"/>
          <w:color w:val="404040" w:themeColor="text1" w:themeTint="BF"/>
          <w:sz w:val="20"/>
        </w:rPr>
        <w:t>Company</w:t>
      </w:r>
      <w:r w:rsidRPr="00037678">
        <w:rPr>
          <w:rFonts w:ascii="Georgia" w:hAnsi="Georgia" w:cs="Calibri"/>
          <w:color w:val="404040" w:themeColor="text1" w:themeTint="BF"/>
          <w:sz w:val="20"/>
        </w:rPr>
        <w:t>’s risk matrix by the Audit Committee to ensure that procedures are in place with the intention of minimising the impact of the above mentioned</w:t>
      </w:r>
      <w:r>
        <w:rPr>
          <w:rFonts w:ascii="Georgia" w:hAnsi="Georgia" w:cs="Calibri"/>
          <w:color w:val="404040" w:themeColor="text1" w:themeTint="BF"/>
          <w:sz w:val="20"/>
        </w:rPr>
        <w:t xml:space="preserve"> </w:t>
      </w:r>
      <w:r w:rsidRPr="00037678">
        <w:rPr>
          <w:rFonts w:ascii="Georgia" w:hAnsi="Georgia" w:cs="Calibri"/>
          <w:color w:val="404040" w:themeColor="text1" w:themeTint="BF"/>
          <w:sz w:val="20"/>
        </w:rPr>
        <w:t xml:space="preserve">risks. The Board carried out its </w:t>
      </w:r>
      <w:r>
        <w:rPr>
          <w:rFonts w:ascii="Georgia" w:hAnsi="Georgia" w:cs="Calibri"/>
          <w:color w:val="404040" w:themeColor="text1" w:themeTint="BF"/>
          <w:sz w:val="20"/>
        </w:rPr>
        <w:t xml:space="preserve">last </w:t>
      </w:r>
      <w:r w:rsidRPr="00037678">
        <w:rPr>
          <w:rFonts w:ascii="Georgia" w:hAnsi="Georgia" w:cs="Calibri"/>
          <w:color w:val="404040" w:themeColor="text1" w:themeTint="BF"/>
          <w:sz w:val="20"/>
        </w:rPr>
        <w:t xml:space="preserve">formal review of the risk matrix at the Audit Committee meeting held </w:t>
      </w:r>
      <w:r w:rsidRPr="00AE4214">
        <w:rPr>
          <w:rFonts w:ascii="Georgia" w:hAnsi="Georgia" w:cs="Calibri"/>
          <w:color w:val="404040" w:themeColor="text1" w:themeTint="BF"/>
          <w:sz w:val="20"/>
        </w:rPr>
        <w:t xml:space="preserve">on </w:t>
      </w:r>
      <w:r w:rsidR="0040148B" w:rsidRPr="0040148B">
        <w:rPr>
          <w:rFonts w:ascii="Georgia" w:hAnsi="Georgia" w:cs="Calibri"/>
          <w:color w:val="404040" w:themeColor="text1" w:themeTint="BF"/>
          <w:sz w:val="20"/>
        </w:rPr>
        <w:t>14</w:t>
      </w:r>
      <w:r w:rsidR="00AE4214" w:rsidRPr="0040148B">
        <w:rPr>
          <w:rFonts w:ascii="Georgia" w:hAnsi="Georgia" w:cs="Calibri"/>
          <w:color w:val="404040" w:themeColor="text1" w:themeTint="BF"/>
          <w:sz w:val="20"/>
        </w:rPr>
        <w:t xml:space="preserve"> September </w:t>
      </w:r>
      <w:r w:rsidR="00904E51" w:rsidRPr="0040148B">
        <w:rPr>
          <w:rFonts w:ascii="Georgia" w:hAnsi="Georgia" w:cs="Calibri"/>
          <w:color w:val="404040" w:themeColor="text1" w:themeTint="BF"/>
          <w:sz w:val="20"/>
        </w:rPr>
        <w:t>2020</w:t>
      </w:r>
      <w:r w:rsidRPr="0040148B">
        <w:rPr>
          <w:rFonts w:ascii="Georgia" w:hAnsi="Georgia" w:cs="Calibri"/>
          <w:color w:val="404040" w:themeColor="text1" w:themeTint="BF"/>
          <w:sz w:val="20"/>
        </w:rPr>
        <w:t>.</w:t>
      </w:r>
      <w:r w:rsidRPr="00037678">
        <w:rPr>
          <w:rFonts w:ascii="Georgia" w:hAnsi="Georgia" w:cs="Calibri"/>
          <w:color w:val="404040" w:themeColor="text1" w:themeTint="BF"/>
          <w:sz w:val="20"/>
        </w:rPr>
        <w:t xml:space="preserve"> The Board relies on periodic reports provided by the Investment Adviser and Administrator regarding risks that the </w:t>
      </w:r>
      <w:r>
        <w:rPr>
          <w:rFonts w:ascii="Georgia" w:hAnsi="Georgia" w:cs="Calibri"/>
          <w:color w:val="404040" w:themeColor="text1" w:themeTint="BF"/>
          <w:sz w:val="20"/>
        </w:rPr>
        <w:t>Company</w:t>
      </w:r>
      <w:r w:rsidRPr="00037678">
        <w:rPr>
          <w:rFonts w:ascii="Georgia" w:hAnsi="Georgia" w:cs="Calibri"/>
          <w:color w:val="404040" w:themeColor="text1" w:themeTint="BF"/>
          <w:sz w:val="20"/>
        </w:rPr>
        <w:t xml:space="preserve"> faces. When required, experts will be employed to gather information, includi</w:t>
      </w:r>
      <w:r w:rsidR="00467FDB">
        <w:rPr>
          <w:rFonts w:ascii="Georgia" w:hAnsi="Georgia" w:cs="Calibri"/>
          <w:color w:val="404040" w:themeColor="text1" w:themeTint="BF"/>
          <w:sz w:val="20"/>
        </w:rPr>
        <w:t>ng tax advisers, legal advisers</w:t>
      </w:r>
      <w:r w:rsidRPr="00037678">
        <w:rPr>
          <w:rFonts w:ascii="Georgia" w:hAnsi="Georgia" w:cs="Calibri"/>
          <w:color w:val="404040" w:themeColor="text1" w:themeTint="BF"/>
          <w:sz w:val="20"/>
        </w:rPr>
        <w:t xml:space="preserve"> and environmental advisers. </w:t>
      </w:r>
    </w:p>
    <w:p w14:paraId="30229005" w14:textId="45CAF593" w:rsidR="00130FA8" w:rsidRDefault="00130FA8" w:rsidP="00836BFB">
      <w:pPr>
        <w:jc w:val="both"/>
        <w:rPr>
          <w:rFonts w:ascii="Georgia" w:hAnsi="Georgia" w:cs="Calibri"/>
          <w:color w:val="404040" w:themeColor="text1" w:themeTint="BF"/>
          <w:sz w:val="20"/>
        </w:rPr>
      </w:pPr>
    </w:p>
    <w:p w14:paraId="28BF54E0" w14:textId="77777777" w:rsidR="00130FA8" w:rsidRPr="00130FA8" w:rsidRDefault="00130FA8" w:rsidP="00130FA8">
      <w:pPr>
        <w:jc w:val="both"/>
        <w:rPr>
          <w:rFonts w:ascii="Georgia" w:hAnsi="Georgia"/>
          <w:b/>
          <w:color w:val="404040" w:themeColor="text1" w:themeTint="BF"/>
          <w:sz w:val="20"/>
          <w:szCs w:val="20"/>
        </w:rPr>
      </w:pPr>
      <w:r w:rsidRPr="00130FA8">
        <w:rPr>
          <w:rFonts w:ascii="Georgia" w:hAnsi="Georgia"/>
          <w:b/>
          <w:color w:val="404040" w:themeColor="text1" w:themeTint="BF"/>
          <w:sz w:val="20"/>
          <w:szCs w:val="20"/>
        </w:rPr>
        <w:t xml:space="preserve">Directors’ Responsibilities Pursuant to Section 172 of the Companies Act 2006 </w:t>
      </w:r>
    </w:p>
    <w:p w14:paraId="4F27F06A" w14:textId="77777777" w:rsidR="00130FA8" w:rsidRPr="00B148F9" w:rsidRDefault="00130FA8" w:rsidP="00130FA8">
      <w:pPr>
        <w:pStyle w:val="wordsection1"/>
        <w:rPr>
          <w:rFonts w:ascii="Century Gothic" w:hAnsi="Century Gothic" w:cs="Arial"/>
          <w:sz w:val="20"/>
          <w:szCs w:val="20"/>
        </w:rPr>
      </w:pPr>
    </w:p>
    <w:p w14:paraId="4A3EE095" w14:textId="77777777" w:rsidR="00130FA8" w:rsidRPr="00130FA8" w:rsidRDefault="00130FA8" w:rsidP="00130FA8">
      <w:pPr>
        <w:jc w:val="both"/>
        <w:rPr>
          <w:rFonts w:ascii="Georgia" w:hAnsi="Georgia" w:cs="Calibri"/>
          <w:color w:val="404040" w:themeColor="text1" w:themeTint="BF"/>
          <w:sz w:val="20"/>
        </w:rPr>
      </w:pPr>
      <w:r w:rsidRPr="00130FA8">
        <w:rPr>
          <w:rFonts w:ascii="Georgia" w:hAnsi="Georgia" w:cs="Calibri"/>
          <w:color w:val="404040" w:themeColor="text1" w:themeTint="BF"/>
          <w:sz w:val="20"/>
        </w:rPr>
        <w:t>Section 172 of the Companies Act 2006 applies directly to UK domiciled companies. Nonetheless the AIC Code requires that the matters set out in section 172 are reported on by all companies, irrespective of domicile, provided this does not conflict with local company law.</w:t>
      </w:r>
    </w:p>
    <w:p w14:paraId="693A984E" w14:textId="77777777" w:rsidR="00130FA8" w:rsidRPr="00130FA8" w:rsidRDefault="00130FA8" w:rsidP="00130FA8">
      <w:pPr>
        <w:jc w:val="both"/>
        <w:rPr>
          <w:rFonts w:ascii="Georgia" w:hAnsi="Georgia" w:cs="Calibri"/>
          <w:color w:val="404040" w:themeColor="text1" w:themeTint="BF"/>
          <w:sz w:val="20"/>
        </w:rPr>
      </w:pPr>
    </w:p>
    <w:p w14:paraId="07F1E2EC" w14:textId="684A1903" w:rsidR="00130FA8" w:rsidRDefault="00130FA8" w:rsidP="00130FA8">
      <w:pPr>
        <w:jc w:val="both"/>
        <w:rPr>
          <w:rFonts w:ascii="Georgia" w:hAnsi="Georgia" w:cs="Calibri"/>
          <w:color w:val="404040" w:themeColor="text1" w:themeTint="BF"/>
          <w:sz w:val="20"/>
        </w:rPr>
      </w:pPr>
      <w:r w:rsidRPr="00130FA8">
        <w:rPr>
          <w:rFonts w:ascii="Georgia" w:hAnsi="Georgia" w:cs="Calibri"/>
          <w:color w:val="404040" w:themeColor="text1" w:themeTint="BF"/>
          <w:sz w:val="20"/>
        </w:rPr>
        <w:t xml:space="preserve">Section 172  recognises that directors are responsible for acting in a way that they consider, in good faith, is the most likely to promote the success of the </w:t>
      </w:r>
      <w:r w:rsidR="00467FDB">
        <w:rPr>
          <w:rFonts w:ascii="Georgia" w:hAnsi="Georgia" w:cs="Calibri"/>
          <w:color w:val="404040" w:themeColor="text1" w:themeTint="BF"/>
          <w:sz w:val="20"/>
        </w:rPr>
        <w:t xml:space="preserve">Company for the benefit of its </w:t>
      </w:r>
      <w:r w:rsidR="00D33606">
        <w:rPr>
          <w:rFonts w:ascii="Georgia" w:hAnsi="Georgia" w:cs="Calibri"/>
          <w:color w:val="404040" w:themeColor="text1" w:themeTint="BF"/>
          <w:sz w:val="20"/>
        </w:rPr>
        <w:t>S</w:t>
      </w:r>
      <w:r w:rsidRPr="00130FA8">
        <w:rPr>
          <w:rFonts w:ascii="Georgia" w:hAnsi="Georgia" w:cs="Calibri"/>
          <w:color w:val="404040" w:themeColor="text1" w:themeTint="BF"/>
          <w:sz w:val="20"/>
        </w:rPr>
        <w:t>hareholders as a whole. In doing so, they are also required to consider the broader implications of their decisions and operations on other key stakeholders and their impact on the wider community and the environment. Key decisions are those that are either material to the Company or are significant to any of the Company’s key stakeholders. The Company’s engagement with key stakeholders and the key decisions that were made or approved by the Directors during the year are described below.</w:t>
      </w:r>
    </w:p>
    <w:p w14:paraId="658F5925" w14:textId="294E4BB7" w:rsidR="002122E3" w:rsidRDefault="002122E3" w:rsidP="00130FA8">
      <w:pPr>
        <w:jc w:val="both"/>
        <w:rPr>
          <w:rFonts w:ascii="Georgia" w:hAnsi="Georgia" w:cs="Calibri"/>
          <w:color w:val="404040" w:themeColor="text1" w:themeTint="BF"/>
          <w:sz w:val="20"/>
        </w:rPr>
      </w:pPr>
    </w:p>
    <w:p w14:paraId="3BBB6267" w14:textId="46EDA4F7" w:rsidR="002122E3" w:rsidRDefault="002122E3" w:rsidP="00130FA8">
      <w:pPr>
        <w:jc w:val="both"/>
        <w:rPr>
          <w:rFonts w:ascii="Georgia" w:hAnsi="Georgia" w:cs="Calibri"/>
          <w:color w:val="404040" w:themeColor="text1" w:themeTint="BF"/>
          <w:sz w:val="20"/>
        </w:rPr>
      </w:pPr>
    </w:p>
    <w:p w14:paraId="25DE7F5C" w14:textId="0978130D" w:rsidR="002122E3" w:rsidRDefault="002122E3" w:rsidP="00130FA8">
      <w:pPr>
        <w:jc w:val="both"/>
        <w:rPr>
          <w:rFonts w:ascii="Georgia" w:hAnsi="Georgia" w:cs="Calibri"/>
          <w:color w:val="404040" w:themeColor="text1" w:themeTint="BF"/>
          <w:sz w:val="20"/>
        </w:rPr>
      </w:pPr>
    </w:p>
    <w:p w14:paraId="5E7F94B1" w14:textId="1428C723" w:rsidR="002122E3" w:rsidRDefault="002122E3" w:rsidP="00130FA8">
      <w:pPr>
        <w:jc w:val="both"/>
        <w:rPr>
          <w:rFonts w:ascii="Georgia" w:hAnsi="Georgia" w:cs="Calibri"/>
          <w:color w:val="404040" w:themeColor="text1" w:themeTint="BF"/>
          <w:sz w:val="20"/>
        </w:rPr>
      </w:pPr>
    </w:p>
    <w:p w14:paraId="7B6C3339" w14:textId="21C9705F" w:rsidR="002122E3" w:rsidRDefault="002122E3" w:rsidP="00130FA8">
      <w:pPr>
        <w:jc w:val="both"/>
        <w:rPr>
          <w:rFonts w:ascii="Georgia" w:hAnsi="Georgia" w:cs="Calibri"/>
          <w:color w:val="404040" w:themeColor="text1" w:themeTint="BF"/>
          <w:sz w:val="20"/>
        </w:rPr>
      </w:pPr>
    </w:p>
    <w:p w14:paraId="47E8B4E4" w14:textId="554FA924" w:rsidR="002122E3" w:rsidRDefault="002122E3" w:rsidP="00130FA8">
      <w:pPr>
        <w:jc w:val="both"/>
        <w:rPr>
          <w:rFonts w:ascii="Georgia" w:hAnsi="Georgia" w:cs="Calibri"/>
          <w:color w:val="404040" w:themeColor="text1" w:themeTint="BF"/>
          <w:sz w:val="20"/>
        </w:rPr>
      </w:pPr>
    </w:p>
    <w:p w14:paraId="6C18A0FE" w14:textId="7CBECB4C" w:rsidR="002122E3" w:rsidRDefault="002122E3" w:rsidP="00130FA8">
      <w:pPr>
        <w:jc w:val="both"/>
        <w:rPr>
          <w:rFonts w:ascii="Georgia" w:hAnsi="Georgia" w:cs="Calibri"/>
          <w:color w:val="404040" w:themeColor="text1" w:themeTint="BF"/>
          <w:sz w:val="20"/>
        </w:rPr>
      </w:pPr>
    </w:p>
    <w:p w14:paraId="3E8A0C2F" w14:textId="340FE029" w:rsidR="002122E3" w:rsidRDefault="002122E3" w:rsidP="00130FA8">
      <w:pPr>
        <w:jc w:val="both"/>
        <w:rPr>
          <w:rFonts w:ascii="Georgia" w:hAnsi="Georgia" w:cs="Calibri"/>
          <w:color w:val="404040" w:themeColor="text1" w:themeTint="BF"/>
          <w:sz w:val="20"/>
        </w:rPr>
      </w:pPr>
    </w:p>
    <w:p w14:paraId="6017537E" w14:textId="080918BB" w:rsidR="002122E3" w:rsidRDefault="002122E3" w:rsidP="00130FA8">
      <w:pPr>
        <w:jc w:val="both"/>
        <w:rPr>
          <w:rFonts w:ascii="Georgia" w:hAnsi="Georgia" w:cs="Calibri"/>
          <w:color w:val="404040" w:themeColor="text1" w:themeTint="BF"/>
          <w:sz w:val="20"/>
        </w:rPr>
      </w:pPr>
    </w:p>
    <w:p w14:paraId="6006796D" w14:textId="1C8428CB" w:rsidR="002122E3" w:rsidRDefault="002122E3" w:rsidP="00130FA8">
      <w:pPr>
        <w:jc w:val="both"/>
        <w:rPr>
          <w:rFonts w:ascii="Georgia" w:hAnsi="Georgia" w:cs="Calibri"/>
          <w:color w:val="404040" w:themeColor="text1" w:themeTint="BF"/>
          <w:sz w:val="20"/>
        </w:rPr>
      </w:pPr>
    </w:p>
    <w:p w14:paraId="151DBBD4" w14:textId="5A1992BE" w:rsidR="002122E3" w:rsidRDefault="002122E3" w:rsidP="00130FA8">
      <w:pPr>
        <w:jc w:val="both"/>
        <w:rPr>
          <w:rFonts w:ascii="Georgia" w:hAnsi="Georgia" w:cs="Calibri"/>
          <w:color w:val="404040" w:themeColor="text1" w:themeTint="BF"/>
          <w:sz w:val="20"/>
        </w:rPr>
      </w:pPr>
    </w:p>
    <w:p w14:paraId="221F7AD6" w14:textId="4C3B9850" w:rsidR="002122E3" w:rsidRDefault="002122E3" w:rsidP="00130FA8">
      <w:pPr>
        <w:jc w:val="both"/>
        <w:rPr>
          <w:rFonts w:ascii="Georgia" w:hAnsi="Georgia" w:cs="Calibri"/>
          <w:color w:val="404040" w:themeColor="text1" w:themeTint="BF"/>
          <w:sz w:val="20"/>
        </w:rPr>
      </w:pPr>
    </w:p>
    <w:p w14:paraId="254F023E" w14:textId="342F674C" w:rsidR="002122E3" w:rsidRDefault="002122E3" w:rsidP="00130FA8">
      <w:pPr>
        <w:jc w:val="both"/>
        <w:rPr>
          <w:rFonts w:ascii="Georgia" w:hAnsi="Georgia" w:cs="Calibri"/>
          <w:color w:val="404040" w:themeColor="text1" w:themeTint="BF"/>
          <w:sz w:val="20"/>
        </w:rPr>
      </w:pPr>
    </w:p>
    <w:p w14:paraId="199AA1A2" w14:textId="648842D7" w:rsidR="002122E3" w:rsidRDefault="002122E3" w:rsidP="00130FA8">
      <w:pPr>
        <w:jc w:val="both"/>
        <w:rPr>
          <w:rFonts w:ascii="Georgia" w:hAnsi="Georgia" w:cs="Calibri"/>
          <w:color w:val="404040" w:themeColor="text1" w:themeTint="BF"/>
          <w:sz w:val="20"/>
        </w:rPr>
      </w:pPr>
    </w:p>
    <w:p w14:paraId="5A7914C9" w14:textId="020F5B32" w:rsidR="002122E3" w:rsidRDefault="002122E3" w:rsidP="00130FA8">
      <w:pPr>
        <w:jc w:val="both"/>
        <w:rPr>
          <w:rFonts w:ascii="Georgia" w:hAnsi="Georgia" w:cs="Calibri"/>
          <w:color w:val="404040" w:themeColor="text1" w:themeTint="BF"/>
          <w:sz w:val="20"/>
        </w:rPr>
      </w:pPr>
    </w:p>
    <w:p w14:paraId="222A3C12" w14:textId="57ABCB90" w:rsidR="002122E3" w:rsidRDefault="002122E3" w:rsidP="00130FA8">
      <w:pPr>
        <w:jc w:val="both"/>
        <w:rPr>
          <w:rFonts w:ascii="Georgia" w:hAnsi="Georgia" w:cs="Calibri"/>
          <w:color w:val="404040" w:themeColor="text1" w:themeTint="BF"/>
          <w:sz w:val="20"/>
        </w:rPr>
      </w:pPr>
    </w:p>
    <w:p w14:paraId="74AD341E" w14:textId="7BB1D915" w:rsidR="002122E3" w:rsidRDefault="002122E3" w:rsidP="00130FA8">
      <w:pPr>
        <w:jc w:val="both"/>
        <w:rPr>
          <w:rFonts w:ascii="Georgia" w:hAnsi="Georgia" w:cs="Calibri"/>
          <w:color w:val="404040" w:themeColor="text1" w:themeTint="BF"/>
          <w:sz w:val="20"/>
        </w:rPr>
      </w:pPr>
    </w:p>
    <w:p w14:paraId="70E1F535" w14:textId="222EECD4" w:rsidR="002122E3" w:rsidRDefault="002122E3" w:rsidP="00130FA8">
      <w:pPr>
        <w:jc w:val="both"/>
        <w:rPr>
          <w:rFonts w:ascii="Georgia" w:hAnsi="Georgia" w:cs="Calibri"/>
          <w:color w:val="404040" w:themeColor="text1" w:themeTint="BF"/>
          <w:sz w:val="20"/>
        </w:rPr>
      </w:pPr>
    </w:p>
    <w:p w14:paraId="7D4044D3" w14:textId="0E89CADA" w:rsidR="002122E3" w:rsidRDefault="002122E3" w:rsidP="00130FA8">
      <w:pPr>
        <w:jc w:val="both"/>
        <w:rPr>
          <w:rFonts w:ascii="Georgia" w:hAnsi="Georgia" w:cs="Calibri"/>
          <w:color w:val="404040" w:themeColor="text1" w:themeTint="BF"/>
          <w:sz w:val="20"/>
        </w:rPr>
      </w:pPr>
    </w:p>
    <w:p w14:paraId="5737C46B" w14:textId="51C32C81" w:rsidR="002122E3" w:rsidRDefault="002122E3" w:rsidP="00130FA8">
      <w:pPr>
        <w:jc w:val="both"/>
        <w:rPr>
          <w:rFonts w:ascii="Georgia" w:hAnsi="Georgia" w:cs="Calibri"/>
          <w:color w:val="404040" w:themeColor="text1" w:themeTint="BF"/>
          <w:sz w:val="20"/>
        </w:rPr>
      </w:pPr>
    </w:p>
    <w:p w14:paraId="478F2BD3" w14:textId="2F21C4B2" w:rsidR="002122E3" w:rsidRDefault="002122E3" w:rsidP="00130FA8">
      <w:pPr>
        <w:jc w:val="both"/>
        <w:rPr>
          <w:rFonts w:ascii="Georgia" w:hAnsi="Georgia" w:cs="Calibri"/>
          <w:color w:val="404040" w:themeColor="text1" w:themeTint="BF"/>
          <w:sz w:val="20"/>
        </w:rPr>
      </w:pPr>
    </w:p>
    <w:p w14:paraId="3D839BA2" w14:textId="293F4C31" w:rsidR="002122E3" w:rsidRDefault="002122E3" w:rsidP="00130FA8">
      <w:pPr>
        <w:jc w:val="both"/>
        <w:rPr>
          <w:rFonts w:ascii="Georgia" w:hAnsi="Georgia" w:cs="Calibri"/>
          <w:color w:val="404040" w:themeColor="text1" w:themeTint="BF"/>
          <w:sz w:val="20"/>
        </w:rPr>
      </w:pPr>
    </w:p>
    <w:p w14:paraId="7C5AB6A2" w14:textId="63D61472" w:rsidR="002122E3" w:rsidRDefault="002122E3" w:rsidP="00130FA8">
      <w:pPr>
        <w:jc w:val="both"/>
        <w:rPr>
          <w:rFonts w:ascii="Georgia" w:hAnsi="Georgia" w:cs="Calibri"/>
          <w:color w:val="404040" w:themeColor="text1" w:themeTint="BF"/>
          <w:sz w:val="20"/>
        </w:rPr>
      </w:pPr>
    </w:p>
    <w:p w14:paraId="26DB5100" w14:textId="1F8E7B28" w:rsidR="002122E3" w:rsidRDefault="002122E3" w:rsidP="00130FA8">
      <w:pPr>
        <w:jc w:val="both"/>
        <w:rPr>
          <w:rFonts w:ascii="Georgia" w:hAnsi="Georgia" w:cs="Calibri"/>
          <w:color w:val="404040" w:themeColor="text1" w:themeTint="BF"/>
          <w:sz w:val="20"/>
        </w:rPr>
      </w:pPr>
    </w:p>
    <w:p w14:paraId="38177FCE" w14:textId="25DD7B6A" w:rsidR="002122E3" w:rsidRDefault="002122E3" w:rsidP="00130FA8">
      <w:pPr>
        <w:jc w:val="both"/>
        <w:rPr>
          <w:rFonts w:ascii="Georgia" w:hAnsi="Georgia" w:cs="Calibri"/>
          <w:color w:val="404040" w:themeColor="text1" w:themeTint="BF"/>
          <w:sz w:val="20"/>
        </w:rPr>
      </w:pPr>
    </w:p>
    <w:p w14:paraId="3CD46115" w14:textId="6E42B330" w:rsidR="002122E3" w:rsidRDefault="002122E3" w:rsidP="00130FA8">
      <w:pPr>
        <w:jc w:val="both"/>
        <w:rPr>
          <w:rFonts w:ascii="Georgia" w:hAnsi="Georgia" w:cs="Calibri"/>
          <w:color w:val="404040" w:themeColor="text1" w:themeTint="BF"/>
          <w:sz w:val="20"/>
        </w:rPr>
      </w:pPr>
    </w:p>
    <w:p w14:paraId="0FE12F21" w14:textId="4A078E97" w:rsidR="002122E3" w:rsidRDefault="002122E3" w:rsidP="00130FA8">
      <w:pPr>
        <w:jc w:val="both"/>
        <w:rPr>
          <w:rFonts w:ascii="Georgia" w:hAnsi="Georgia" w:cs="Calibri"/>
          <w:color w:val="404040" w:themeColor="text1" w:themeTint="BF"/>
          <w:sz w:val="20"/>
        </w:rPr>
      </w:pPr>
    </w:p>
    <w:p w14:paraId="1EF60801" w14:textId="2B2C1F01" w:rsidR="002122E3" w:rsidRDefault="002122E3" w:rsidP="00130FA8">
      <w:pPr>
        <w:jc w:val="both"/>
        <w:rPr>
          <w:rFonts w:ascii="Georgia" w:hAnsi="Georgia" w:cs="Calibri"/>
          <w:color w:val="404040" w:themeColor="text1" w:themeTint="BF"/>
          <w:sz w:val="20"/>
        </w:rPr>
      </w:pPr>
    </w:p>
    <w:p w14:paraId="56AE33B1" w14:textId="49D3E847" w:rsidR="002122E3" w:rsidRDefault="002122E3" w:rsidP="00130FA8">
      <w:pPr>
        <w:jc w:val="both"/>
        <w:rPr>
          <w:rFonts w:ascii="Georgia" w:hAnsi="Georgia" w:cs="Calibri"/>
          <w:color w:val="404040" w:themeColor="text1" w:themeTint="BF"/>
          <w:sz w:val="20"/>
        </w:rPr>
      </w:pPr>
    </w:p>
    <w:p w14:paraId="4AF23D3A" w14:textId="77777777" w:rsidR="002122E3" w:rsidRPr="00FB7D45" w:rsidRDefault="002122E3" w:rsidP="002122E3">
      <w:pPr>
        <w:pStyle w:val="Heading2"/>
        <w:spacing w:before="0"/>
      </w:pPr>
      <w:r w:rsidRPr="00FB7D45">
        <w:lastRenderedPageBreak/>
        <w:t>Strategic Report (continued)</w:t>
      </w:r>
    </w:p>
    <w:p w14:paraId="4A23C106" w14:textId="77777777" w:rsidR="002122E3" w:rsidRPr="00FB7D45" w:rsidRDefault="002122E3" w:rsidP="002122E3">
      <w:pPr>
        <w:pStyle w:val="ListParagraph"/>
        <w:ind w:left="360"/>
        <w:rPr>
          <w:rFonts w:ascii="Georgia" w:hAnsi="Georgia" w:cs="Calibri"/>
          <w:b/>
          <w:color w:val="404040" w:themeColor="text1" w:themeTint="BF"/>
          <w:sz w:val="20"/>
        </w:rPr>
      </w:pPr>
    </w:p>
    <w:p w14:paraId="58B0CCAF" w14:textId="77777777" w:rsidR="002122E3" w:rsidRPr="00FB7D45" w:rsidRDefault="002122E3" w:rsidP="002122E3">
      <w:pPr>
        <w:tabs>
          <w:tab w:val="left" w:pos="540"/>
        </w:tabs>
        <w:spacing w:after="200" w:line="276" w:lineRule="auto"/>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p w14:paraId="163BE4A4" w14:textId="77777777" w:rsidR="00130FA8" w:rsidRDefault="00130FA8" w:rsidP="00836BFB">
      <w:pPr>
        <w:jc w:val="both"/>
        <w:rPr>
          <w:rFonts w:ascii="Georgia" w:hAnsi="Georgia" w:cs="Calibri"/>
          <w:color w:val="404040" w:themeColor="text1" w:themeTint="BF"/>
          <w:sz w:val="20"/>
        </w:rPr>
      </w:pPr>
    </w:p>
    <w:tbl>
      <w:tblPr>
        <w:tblW w:w="0" w:type="auto"/>
        <w:tblCellMar>
          <w:left w:w="0" w:type="dxa"/>
          <w:right w:w="0" w:type="dxa"/>
        </w:tblCellMar>
        <w:tblLook w:val="04A0" w:firstRow="1" w:lastRow="0" w:firstColumn="1" w:lastColumn="0" w:noHBand="0" w:noVBand="1"/>
      </w:tblPr>
      <w:tblGrid>
        <w:gridCol w:w="3012"/>
        <w:gridCol w:w="3012"/>
        <w:gridCol w:w="3016"/>
      </w:tblGrid>
      <w:tr w:rsidR="00130FA8" w:rsidRPr="00B148F9" w14:paraId="3373B733" w14:textId="77777777" w:rsidTr="00103357">
        <w:trPr>
          <w:trHeight w:val="446"/>
        </w:trPr>
        <w:tc>
          <w:tcPr>
            <w:tcW w:w="30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FC1C57" w14:textId="77777777" w:rsidR="00130FA8" w:rsidRPr="00130FA8" w:rsidRDefault="00130FA8" w:rsidP="00103357">
            <w:pPr>
              <w:rPr>
                <w:rFonts w:ascii="Georgia" w:hAnsi="Georgia" w:cs="Calibri"/>
                <w:b/>
                <w:color w:val="404040" w:themeColor="text1" w:themeTint="BF"/>
                <w:sz w:val="20"/>
              </w:rPr>
            </w:pPr>
            <w:r w:rsidRPr="00130FA8">
              <w:rPr>
                <w:rFonts w:ascii="Georgia" w:hAnsi="Georgia" w:cs="Calibri"/>
                <w:b/>
                <w:color w:val="404040" w:themeColor="text1" w:themeTint="BF"/>
                <w:sz w:val="20"/>
              </w:rPr>
              <w:t>Stakeholder group</w:t>
            </w:r>
          </w:p>
        </w:tc>
        <w:tc>
          <w:tcPr>
            <w:tcW w:w="30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D81FEE" w14:textId="77777777" w:rsidR="00130FA8" w:rsidRPr="00130FA8" w:rsidRDefault="00130FA8" w:rsidP="00103357">
            <w:pPr>
              <w:rPr>
                <w:rFonts w:ascii="Georgia" w:hAnsi="Georgia" w:cs="Calibri"/>
                <w:b/>
                <w:color w:val="404040" w:themeColor="text1" w:themeTint="BF"/>
                <w:sz w:val="20"/>
              </w:rPr>
            </w:pPr>
            <w:r w:rsidRPr="00130FA8">
              <w:rPr>
                <w:rFonts w:ascii="Georgia" w:hAnsi="Georgia" w:cs="Calibri"/>
                <w:b/>
                <w:color w:val="404040" w:themeColor="text1" w:themeTint="BF"/>
                <w:sz w:val="20"/>
              </w:rPr>
              <w:t>Methods of engagement</w:t>
            </w:r>
          </w:p>
        </w:tc>
        <w:tc>
          <w:tcPr>
            <w:tcW w:w="3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4DBDB6" w14:textId="77777777" w:rsidR="00130FA8" w:rsidRPr="00130FA8" w:rsidRDefault="00130FA8" w:rsidP="00103357">
            <w:pPr>
              <w:rPr>
                <w:rFonts w:ascii="Georgia" w:hAnsi="Georgia" w:cs="Calibri"/>
                <w:b/>
                <w:color w:val="404040" w:themeColor="text1" w:themeTint="BF"/>
                <w:sz w:val="20"/>
              </w:rPr>
            </w:pPr>
            <w:r w:rsidRPr="00130FA8">
              <w:rPr>
                <w:rFonts w:ascii="Georgia" w:hAnsi="Georgia" w:cs="Calibri"/>
                <w:b/>
                <w:color w:val="404040" w:themeColor="text1" w:themeTint="BF"/>
                <w:sz w:val="20"/>
              </w:rPr>
              <w:t>Benefits of engagements</w:t>
            </w:r>
          </w:p>
        </w:tc>
      </w:tr>
      <w:tr w:rsidR="00130FA8" w:rsidRPr="00B148F9" w14:paraId="680BB56F" w14:textId="77777777" w:rsidTr="00103357">
        <w:tc>
          <w:tcPr>
            <w:tcW w:w="30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7EF53"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Shareholders</w:t>
            </w:r>
          </w:p>
          <w:p w14:paraId="57B52E26" w14:textId="77777777" w:rsidR="00130FA8" w:rsidRPr="00130FA8" w:rsidRDefault="00130FA8" w:rsidP="00103357">
            <w:pPr>
              <w:rPr>
                <w:rFonts w:ascii="Georgia" w:hAnsi="Georgia" w:cs="Calibri"/>
                <w:color w:val="404040" w:themeColor="text1" w:themeTint="BF"/>
                <w:sz w:val="20"/>
              </w:rPr>
            </w:pPr>
          </w:p>
          <w:p w14:paraId="5CB85054" w14:textId="025C866D"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 xml:space="preserve">The major investors in the Company’s shares are set out on page </w:t>
            </w:r>
            <w:r w:rsidR="00F11234">
              <w:rPr>
                <w:rFonts w:ascii="Georgia" w:hAnsi="Georgia" w:cs="Calibri"/>
                <w:color w:val="404040" w:themeColor="text1" w:themeTint="BF"/>
                <w:sz w:val="20"/>
              </w:rPr>
              <w:t>83.</w:t>
            </w:r>
          </w:p>
          <w:p w14:paraId="25EE8F44" w14:textId="77777777" w:rsidR="00130FA8" w:rsidRPr="00130FA8" w:rsidRDefault="00130FA8" w:rsidP="00103357">
            <w:pPr>
              <w:rPr>
                <w:rFonts w:ascii="Georgia" w:hAnsi="Georgia" w:cs="Calibri"/>
                <w:color w:val="404040" w:themeColor="text1" w:themeTint="BF"/>
                <w:sz w:val="20"/>
              </w:rPr>
            </w:pPr>
          </w:p>
          <w:p w14:paraId="4BFAFAFF"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Continued access to capital is vital to the Company’s longer term growth objectives, and therefore, in line with its objectives, the Company seeks to maintain shareholder satisfaction through:</w:t>
            </w:r>
          </w:p>
          <w:p w14:paraId="767BD390" w14:textId="46BEBB8C" w:rsidR="00130FA8" w:rsidRDefault="00130FA8" w:rsidP="000916C2">
            <w:pPr>
              <w:pStyle w:val="ListParagraph"/>
              <w:numPr>
                <w:ilvl w:val="0"/>
                <w:numId w:val="23"/>
              </w:numPr>
              <w:rPr>
                <w:rFonts w:ascii="Georgia" w:hAnsi="Georgia" w:cs="Calibri"/>
                <w:color w:val="404040" w:themeColor="text1" w:themeTint="BF"/>
                <w:sz w:val="20"/>
              </w:rPr>
            </w:pPr>
            <w:r w:rsidRPr="00130FA8">
              <w:rPr>
                <w:rFonts w:ascii="Georgia" w:hAnsi="Georgia" w:cs="Calibri"/>
                <w:color w:val="404040" w:themeColor="text1" w:themeTint="BF"/>
                <w:sz w:val="20"/>
              </w:rPr>
              <w:t xml:space="preserve">Positive risk-adjusted returns </w:t>
            </w:r>
          </w:p>
          <w:p w14:paraId="1E2DB41E" w14:textId="46A914BB" w:rsidR="009A47B3" w:rsidRPr="00130FA8" w:rsidRDefault="009A47B3" w:rsidP="000916C2">
            <w:pPr>
              <w:pStyle w:val="ListParagraph"/>
              <w:numPr>
                <w:ilvl w:val="0"/>
                <w:numId w:val="23"/>
              </w:numPr>
              <w:rPr>
                <w:rFonts w:ascii="Georgia" w:hAnsi="Georgia" w:cs="Calibri"/>
                <w:color w:val="404040" w:themeColor="text1" w:themeTint="BF"/>
                <w:sz w:val="20"/>
              </w:rPr>
            </w:pPr>
            <w:r>
              <w:rPr>
                <w:rFonts w:ascii="Georgia" w:hAnsi="Georgia" w:cs="Calibri"/>
                <w:color w:val="404040" w:themeColor="text1" w:themeTint="BF"/>
                <w:sz w:val="20"/>
              </w:rPr>
              <w:t>Payment of Quarterly dividends</w:t>
            </w:r>
          </w:p>
          <w:p w14:paraId="07702DBB" w14:textId="77777777" w:rsidR="00130FA8" w:rsidRPr="00130FA8" w:rsidRDefault="00130FA8" w:rsidP="00103357">
            <w:pPr>
              <w:rPr>
                <w:rFonts w:ascii="Georgia" w:hAnsi="Georgia" w:cs="Calibri"/>
                <w:color w:val="404040" w:themeColor="text1" w:themeTint="BF"/>
                <w:sz w:val="20"/>
              </w:rPr>
            </w:pPr>
          </w:p>
          <w:p w14:paraId="7597207E" w14:textId="77777777" w:rsidR="00130FA8" w:rsidRPr="00130FA8" w:rsidRDefault="00130FA8" w:rsidP="00103357">
            <w:pPr>
              <w:rPr>
                <w:rFonts w:ascii="Georgia" w:hAnsi="Georgia" w:cs="Calibri"/>
                <w:color w:val="404040" w:themeColor="text1" w:themeTint="BF"/>
                <w:sz w:val="20"/>
              </w:rPr>
            </w:pPr>
          </w:p>
        </w:tc>
        <w:tc>
          <w:tcPr>
            <w:tcW w:w="3012" w:type="dxa"/>
            <w:tcBorders>
              <w:top w:val="nil"/>
              <w:left w:val="nil"/>
              <w:bottom w:val="single" w:sz="8" w:space="0" w:color="auto"/>
              <w:right w:val="single" w:sz="8" w:space="0" w:color="auto"/>
            </w:tcBorders>
            <w:tcMar>
              <w:top w:w="0" w:type="dxa"/>
              <w:left w:w="108" w:type="dxa"/>
              <w:bottom w:w="0" w:type="dxa"/>
              <w:right w:w="108" w:type="dxa"/>
            </w:tcMar>
          </w:tcPr>
          <w:p w14:paraId="41C67F81" w14:textId="77777777" w:rsidR="00130FA8" w:rsidRPr="00130FA8" w:rsidRDefault="00130FA8" w:rsidP="00103357">
            <w:pPr>
              <w:rPr>
                <w:rFonts w:ascii="Georgia" w:hAnsi="Georgia" w:cs="Calibri"/>
                <w:color w:val="404040" w:themeColor="text1" w:themeTint="BF"/>
                <w:sz w:val="20"/>
              </w:rPr>
            </w:pPr>
          </w:p>
          <w:p w14:paraId="771649E8" w14:textId="77777777" w:rsidR="00130FA8" w:rsidRPr="00130FA8" w:rsidRDefault="00130FA8" w:rsidP="00103357">
            <w:pPr>
              <w:rPr>
                <w:rFonts w:ascii="Georgia" w:hAnsi="Georgia" w:cs="Calibri"/>
                <w:color w:val="404040" w:themeColor="text1" w:themeTint="BF"/>
                <w:sz w:val="20"/>
              </w:rPr>
            </w:pPr>
          </w:p>
          <w:p w14:paraId="2D1E4584" w14:textId="522E039D" w:rsidR="00130FA8" w:rsidRPr="00130FA8" w:rsidRDefault="00D33606" w:rsidP="00103357">
            <w:pPr>
              <w:rPr>
                <w:rFonts w:ascii="Georgia" w:hAnsi="Georgia" w:cs="Calibri"/>
                <w:color w:val="404040" w:themeColor="text1" w:themeTint="BF"/>
                <w:sz w:val="20"/>
              </w:rPr>
            </w:pPr>
            <w:r>
              <w:rPr>
                <w:rFonts w:ascii="Georgia" w:hAnsi="Georgia" w:cs="Calibri"/>
                <w:color w:val="404040" w:themeColor="text1" w:themeTint="BF"/>
                <w:sz w:val="20"/>
              </w:rPr>
              <w:t>The Company engages with its S</w:t>
            </w:r>
            <w:r w:rsidR="00130FA8" w:rsidRPr="00130FA8">
              <w:rPr>
                <w:rFonts w:ascii="Georgia" w:hAnsi="Georgia" w:cs="Calibri"/>
                <w:color w:val="404040" w:themeColor="text1" w:themeTint="BF"/>
                <w:sz w:val="20"/>
              </w:rPr>
              <w:t>hareholders through the issue of regular portfolio updates in the form of RNS announcements and quarterly factsheets.</w:t>
            </w:r>
          </w:p>
          <w:p w14:paraId="7D5D92B8" w14:textId="77777777" w:rsidR="00130FA8" w:rsidRPr="00130FA8" w:rsidRDefault="00130FA8" w:rsidP="00103357">
            <w:pPr>
              <w:rPr>
                <w:rFonts w:ascii="Georgia" w:hAnsi="Georgia" w:cs="Calibri"/>
                <w:color w:val="404040" w:themeColor="text1" w:themeTint="BF"/>
                <w:sz w:val="20"/>
              </w:rPr>
            </w:pPr>
          </w:p>
          <w:p w14:paraId="09D29EC6"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The Company provides in-depth commentary on the investment portfolio, corporate governance and corporate outlook in its semi-annual financial statements.</w:t>
            </w:r>
          </w:p>
          <w:p w14:paraId="7021C434" w14:textId="77777777" w:rsidR="00130FA8" w:rsidRPr="00130FA8" w:rsidRDefault="00130FA8" w:rsidP="00103357">
            <w:pPr>
              <w:rPr>
                <w:rFonts w:ascii="Georgia" w:hAnsi="Georgia" w:cs="Calibri"/>
                <w:color w:val="404040" w:themeColor="text1" w:themeTint="BF"/>
                <w:sz w:val="20"/>
              </w:rPr>
            </w:pPr>
          </w:p>
          <w:p w14:paraId="5A70FA85" w14:textId="4A2A72F3"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 xml:space="preserve">In addition, the Company, through its brokers and Investment </w:t>
            </w:r>
            <w:r w:rsidR="009A47B3">
              <w:rPr>
                <w:rFonts w:ascii="Georgia" w:hAnsi="Georgia" w:cs="Calibri"/>
                <w:color w:val="404040" w:themeColor="text1" w:themeTint="BF"/>
                <w:sz w:val="20"/>
              </w:rPr>
              <w:t xml:space="preserve">Adviser </w:t>
            </w:r>
            <w:r w:rsidRPr="00130FA8">
              <w:rPr>
                <w:rFonts w:ascii="Georgia" w:hAnsi="Georgia" w:cs="Calibri"/>
                <w:color w:val="404040" w:themeColor="text1" w:themeTint="BF"/>
                <w:sz w:val="20"/>
              </w:rPr>
              <w:t>undertake regular roadshows to meet with existing and prospective investors to solicit their feedback, understand any areas of concern, and share forward looking investment commentary.</w:t>
            </w:r>
          </w:p>
          <w:p w14:paraId="3B47B56E" w14:textId="77777777" w:rsidR="00130FA8" w:rsidRPr="00130FA8" w:rsidRDefault="00130FA8" w:rsidP="00103357">
            <w:pPr>
              <w:rPr>
                <w:rFonts w:ascii="Georgia" w:hAnsi="Georgia" w:cs="Calibri"/>
                <w:color w:val="404040" w:themeColor="text1" w:themeTint="BF"/>
                <w:sz w:val="20"/>
              </w:rPr>
            </w:pPr>
          </w:p>
          <w:p w14:paraId="49081321"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The Board receives quarterly feedback from its brokers in respect of their investor engagement and investor sentiment.</w:t>
            </w:r>
          </w:p>
        </w:tc>
        <w:tc>
          <w:tcPr>
            <w:tcW w:w="3016" w:type="dxa"/>
            <w:tcBorders>
              <w:top w:val="nil"/>
              <w:left w:val="nil"/>
              <w:bottom w:val="single" w:sz="8" w:space="0" w:color="auto"/>
              <w:right w:val="single" w:sz="8" w:space="0" w:color="auto"/>
            </w:tcBorders>
            <w:tcMar>
              <w:top w:w="0" w:type="dxa"/>
              <w:left w:w="108" w:type="dxa"/>
              <w:bottom w:w="0" w:type="dxa"/>
              <w:right w:w="108" w:type="dxa"/>
            </w:tcMar>
          </w:tcPr>
          <w:p w14:paraId="55D2AE7B" w14:textId="77777777" w:rsidR="00130FA8" w:rsidRPr="00130FA8" w:rsidRDefault="00130FA8" w:rsidP="00103357">
            <w:pPr>
              <w:rPr>
                <w:rFonts w:ascii="Georgia" w:hAnsi="Georgia" w:cs="Calibri"/>
                <w:color w:val="404040" w:themeColor="text1" w:themeTint="BF"/>
                <w:sz w:val="20"/>
              </w:rPr>
            </w:pPr>
          </w:p>
          <w:p w14:paraId="0E7C8831" w14:textId="77777777" w:rsidR="00130FA8" w:rsidRPr="00130FA8" w:rsidRDefault="00130FA8" w:rsidP="00103357">
            <w:pPr>
              <w:rPr>
                <w:rFonts w:ascii="Georgia" w:hAnsi="Georgia" w:cs="Calibri"/>
                <w:color w:val="404040" w:themeColor="text1" w:themeTint="BF"/>
                <w:sz w:val="20"/>
              </w:rPr>
            </w:pPr>
          </w:p>
          <w:p w14:paraId="5A817BAB"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In the financial year the Company issued:</w:t>
            </w:r>
          </w:p>
          <w:p w14:paraId="34722DFB" w14:textId="35A889E7" w:rsidR="00130FA8" w:rsidRPr="00130FA8" w:rsidRDefault="00F5350E" w:rsidP="000916C2">
            <w:pPr>
              <w:numPr>
                <w:ilvl w:val="0"/>
                <w:numId w:val="22"/>
              </w:numPr>
              <w:contextualSpacing/>
              <w:rPr>
                <w:rFonts w:ascii="Georgia" w:hAnsi="Georgia" w:cs="Calibri"/>
                <w:color w:val="404040" w:themeColor="text1" w:themeTint="BF"/>
                <w:sz w:val="20"/>
              </w:rPr>
            </w:pPr>
            <w:r>
              <w:rPr>
                <w:rFonts w:ascii="Georgia" w:hAnsi="Georgia" w:cs="Calibri"/>
                <w:color w:val="404040" w:themeColor="text1" w:themeTint="BF"/>
                <w:sz w:val="20"/>
              </w:rPr>
              <w:t>Two</w:t>
            </w:r>
            <w:r w:rsidR="00130FA8" w:rsidRPr="00130FA8">
              <w:rPr>
                <w:rFonts w:ascii="Georgia" w:hAnsi="Georgia" w:cs="Calibri"/>
                <w:color w:val="404040" w:themeColor="text1" w:themeTint="BF"/>
                <w:sz w:val="20"/>
              </w:rPr>
              <w:t xml:space="preserve"> Portfolio updates by way of RNS</w:t>
            </w:r>
          </w:p>
          <w:p w14:paraId="26FE7243" w14:textId="3705E45C" w:rsidR="00A31C75" w:rsidRPr="00A31C75" w:rsidRDefault="00A31C75" w:rsidP="00A31C75">
            <w:pPr>
              <w:pStyle w:val="ListParagraph"/>
              <w:numPr>
                <w:ilvl w:val="0"/>
                <w:numId w:val="22"/>
              </w:numPr>
              <w:rPr>
                <w:rFonts w:ascii="Georgia" w:hAnsi="Georgia" w:cs="Calibri"/>
                <w:color w:val="404040" w:themeColor="text1" w:themeTint="BF"/>
                <w:sz w:val="20"/>
              </w:rPr>
            </w:pPr>
            <w:r w:rsidRPr="00A31C75">
              <w:rPr>
                <w:rFonts w:ascii="Georgia" w:hAnsi="Georgia" w:cs="Calibri"/>
                <w:color w:val="404040" w:themeColor="text1" w:themeTint="BF"/>
                <w:sz w:val="20"/>
              </w:rPr>
              <w:t xml:space="preserve">The Company issued an EGM circular following consultation with its shareholders to revise its investment strategy and fee structure.  The proposals were </w:t>
            </w:r>
            <w:r w:rsidR="00B53A67" w:rsidRPr="00A31C75">
              <w:rPr>
                <w:rFonts w:ascii="Georgia" w:hAnsi="Georgia" w:cs="Calibri"/>
                <w:color w:val="404040" w:themeColor="text1" w:themeTint="BF"/>
                <w:sz w:val="20"/>
              </w:rPr>
              <w:t>subsequently</w:t>
            </w:r>
            <w:r w:rsidRPr="00A31C75">
              <w:rPr>
                <w:rFonts w:ascii="Georgia" w:hAnsi="Georgia" w:cs="Calibri"/>
                <w:color w:val="404040" w:themeColor="text1" w:themeTint="BF"/>
                <w:sz w:val="20"/>
              </w:rPr>
              <w:t xml:space="preserve"> approved by a substantial majority of the </w:t>
            </w:r>
            <w:r w:rsidR="00B53A67" w:rsidRPr="00A31C75">
              <w:rPr>
                <w:rFonts w:ascii="Georgia" w:hAnsi="Georgia" w:cs="Calibri"/>
                <w:color w:val="404040" w:themeColor="text1" w:themeTint="BF"/>
                <w:sz w:val="20"/>
              </w:rPr>
              <w:t>Company’s</w:t>
            </w:r>
            <w:r w:rsidRPr="00A31C75">
              <w:rPr>
                <w:rFonts w:ascii="Georgia" w:hAnsi="Georgia" w:cs="Calibri"/>
                <w:color w:val="404040" w:themeColor="text1" w:themeTint="BF"/>
                <w:sz w:val="20"/>
              </w:rPr>
              <w:t xml:space="preserve"> shareholders.</w:t>
            </w:r>
          </w:p>
          <w:p w14:paraId="45DB1742" w14:textId="77777777" w:rsidR="00130FA8" w:rsidRPr="00130FA8" w:rsidRDefault="00130FA8" w:rsidP="00103357">
            <w:pPr>
              <w:rPr>
                <w:rFonts w:ascii="Georgia" w:hAnsi="Georgia" w:cs="Calibri"/>
                <w:color w:val="404040" w:themeColor="text1" w:themeTint="BF"/>
                <w:sz w:val="20"/>
              </w:rPr>
            </w:pPr>
          </w:p>
          <w:p w14:paraId="01180B7C" w14:textId="77777777" w:rsidR="00130FA8" w:rsidRPr="00130FA8" w:rsidRDefault="00130FA8" w:rsidP="00103357">
            <w:pPr>
              <w:ind w:left="30"/>
              <w:rPr>
                <w:rFonts w:ascii="Georgia" w:hAnsi="Georgia" w:cs="Calibri"/>
                <w:color w:val="404040" w:themeColor="text1" w:themeTint="BF"/>
                <w:sz w:val="20"/>
              </w:rPr>
            </w:pPr>
          </w:p>
          <w:p w14:paraId="127D329F" w14:textId="77777777" w:rsidR="00130FA8" w:rsidRPr="00130FA8" w:rsidRDefault="00130FA8" w:rsidP="00103357">
            <w:pPr>
              <w:rPr>
                <w:rFonts w:ascii="Georgia" w:hAnsi="Georgia" w:cs="Calibri"/>
                <w:color w:val="404040" w:themeColor="text1" w:themeTint="BF"/>
                <w:sz w:val="20"/>
              </w:rPr>
            </w:pPr>
          </w:p>
        </w:tc>
      </w:tr>
      <w:tr w:rsidR="00130FA8" w:rsidRPr="00B148F9" w14:paraId="7626013C" w14:textId="77777777" w:rsidTr="009A47B3">
        <w:tc>
          <w:tcPr>
            <w:tcW w:w="30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3C4718"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Service providers</w:t>
            </w:r>
          </w:p>
          <w:p w14:paraId="378024C2" w14:textId="77777777" w:rsidR="00130FA8" w:rsidRPr="00130FA8" w:rsidRDefault="00130FA8" w:rsidP="00103357">
            <w:pPr>
              <w:rPr>
                <w:rFonts w:ascii="Georgia" w:hAnsi="Georgia" w:cs="Calibri"/>
                <w:color w:val="404040" w:themeColor="text1" w:themeTint="BF"/>
                <w:sz w:val="20"/>
              </w:rPr>
            </w:pPr>
          </w:p>
          <w:p w14:paraId="4A0EF36D" w14:textId="02EA8B7C"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 xml:space="preserve">The Company does not have any direct employees; however, it works closely with a number of service providers (the Investment </w:t>
            </w:r>
            <w:r w:rsidR="009A47B3">
              <w:rPr>
                <w:rFonts w:ascii="Georgia" w:hAnsi="Georgia" w:cs="Calibri"/>
                <w:color w:val="404040" w:themeColor="text1" w:themeTint="BF"/>
                <w:sz w:val="20"/>
              </w:rPr>
              <w:t>Advise</w:t>
            </w:r>
            <w:r w:rsidR="00ED528F">
              <w:rPr>
                <w:rFonts w:ascii="Georgia" w:hAnsi="Georgia" w:cs="Calibri"/>
                <w:color w:val="404040" w:themeColor="text1" w:themeTint="BF"/>
                <w:sz w:val="20"/>
              </w:rPr>
              <w:t>r</w:t>
            </w:r>
            <w:r w:rsidRPr="00130FA8">
              <w:rPr>
                <w:rFonts w:ascii="Georgia" w:hAnsi="Georgia" w:cs="Calibri"/>
                <w:color w:val="404040" w:themeColor="text1" w:themeTint="BF"/>
                <w:sz w:val="20"/>
              </w:rPr>
              <w:t>, Admini</w:t>
            </w:r>
            <w:r w:rsidR="009A47B3">
              <w:rPr>
                <w:rFonts w:ascii="Georgia" w:hAnsi="Georgia" w:cs="Calibri"/>
                <w:color w:val="404040" w:themeColor="text1" w:themeTint="BF"/>
                <w:sz w:val="20"/>
              </w:rPr>
              <w:t>strators, secretaries, auditor,</w:t>
            </w:r>
            <w:r w:rsidRPr="00130FA8">
              <w:rPr>
                <w:rFonts w:ascii="Georgia" w:hAnsi="Georgia" w:cs="Calibri"/>
                <w:color w:val="404040" w:themeColor="text1" w:themeTint="BF"/>
                <w:sz w:val="20"/>
              </w:rPr>
              <w:t xml:space="preserve"> brokers and other professional advisers).</w:t>
            </w:r>
          </w:p>
          <w:p w14:paraId="3A9D8B58"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The independence, quality and timeliness of their service provision is critical to the success of the Company.</w:t>
            </w:r>
          </w:p>
        </w:tc>
        <w:tc>
          <w:tcPr>
            <w:tcW w:w="3012" w:type="dxa"/>
            <w:tcBorders>
              <w:top w:val="nil"/>
              <w:left w:val="nil"/>
              <w:bottom w:val="single" w:sz="8" w:space="0" w:color="auto"/>
              <w:right w:val="single" w:sz="8" w:space="0" w:color="auto"/>
            </w:tcBorders>
            <w:tcMar>
              <w:top w:w="0" w:type="dxa"/>
              <w:left w:w="108" w:type="dxa"/>
              <w:bottom w:w="0" w:type="dxa"/>
              <w:right w:w="108" w:type="dxa"/>
            </w:tcMar>
          </w:tcPr>
          <w:p w14:paraId="48F77447" w14:textId="77777777" w:rsidR="00130FA8" w:rsidRPr="00130FA8" w:rsidRDefault="00130FA8" w:rsidP="00103357">
            <w:pPr>
              <w:rPr>
                <w:rFonts w:ascii="Georgia" w:hAnsi="Georgia" w:cs="Calibri"/>
                <w:color w:val="404040" w:themeColor="text1" w:themeTint="BF"/>
                <w:sz w:val="20"/>
              </w:rPr>
            </w:pPr>
          </w:p>
          <w:p w14:paraId="5834A24E" w14:textId="77777777" w:rsidR="00130FA8" w:rsidRPr="00130FA8" w:rsidRDefault="00130FA8" w:rsidP="00103357">
            <w:pPr>
              <w:rPr>
                <w:rFonts w:ascii="Georgia" w:hAnsi="Georgia" w:cs="Calibri"/>
                <w:color w:val="404040" w:themeColor="text1" w:themeTint="BF"/>
                <w:sz w:val="20"/>
              </w:rPr>
            </w:pPr>
          </w:p>
          <w:p w14:paraId="7643745B"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The Company has identified its key service providers and on an annual basis undertakes a review of performance based on a questionnaire through which it also seeks feedback.</w:t>
            </w:r>
          </w:p>
          <w:p w14:paraId="14D3C817" w14:textId="77777777" w:rsidR="00130FA8" w:rsidRPr="00130FA8" w:rsidRDefault="00130FA8" w:rsidP="00103357">
            <w:pPr>
              <w:rPr>
                <w:rFonts w:ascii="Georgia" w:hAnsi="Georgia" w:cs="Calibri"/>
                <w:color w:val="404040" w:themeColor="text1" w:themeTint="BF"/>
                <w:sz w:val="20"/>
              </w:rPr>
            </w:pPr>
          </w:p>
          <w:p w14:paraId="1BAFC5BE"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Furthermore, the Board and its sub-committees engage regularly with its service providers on a formal and informal basis.</w:t>
            </w:r>
          </w:p>
          <w:p w14:paraId="4141C405" w14:textId="77777777" w:rsidR="00130FA8" w:rsidRPr="00130FA8" w:rsidRDefault="00130FA8" w:rsidP="00103357">
            <w:pPr>
              <w:rPr>
                <w:rFonts w:ascii="Georgia" w:hAnsi="Georgia" w:cs="Calibri"/>
                <w:color w:val="404040" w:themeColor="text1" w:themeTint="BF"/>
                <w:sz w:val="20"/>
              </w:rPr>
            </w:pPr>
          </w:p>
          <w:p w14:paraId="1309BDEC" w14:textId="77777777" w:rsidR="00130FA8" w:rsidRP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The Company will also regularly review all material contracts for service quality and value.</w:t>
            </w:r>
          </w:p>
        </w:tc>
        <w:tc>
          <w:tcPr>
            <w:tcW w:w="3016" w:type="dxa"/>
            <w:tcBorders>
              <w:top w:val="nil"/>
              <w:left w:val="nil"/>
              <w:bottom w:val="single" w:sz="8" w:space="0" w:color="auto"/>
              <w:right w:val="single" w:sz="8" w:space="0" w:color="auto"/>
            </w:tcBorders>
            <w:tcMar>
              <w:top w:w="0" w:type="dxa"/>
              <w:left w:w="108" w:type="dxa"/>
              <w:bottom w:w="0" w:type="dxa"/>
              <w:right w:w="108" w:type="dxa"/>
            </w:tcMar>
          </w:tcPr>
          <w:p w14:paraId="77C7D2DC" w14:textId="77777777" w:rsidR="00130FA8" w:rsidRPr="00130FA8" w:rsidRDefault="00130FA8" w:rsidP="00103357">
            <w:pPr>
              <w:rPr>
                <w:rFonts w:ascii="Georgia" w:hAnsi="Georgia" w:cs="Calibri"/>
                <w:color w:val="404040" w:themeColor="text1" w:themeTint="BF"/>
                <w:sz w:val="20"/>
              </w:rPr>
            </w:pPr>
          </w:p>
          <w:p w14:paraId="47F130BE" w14:textId="77777777" w:rsidR="00130FA8" w:rsidRPr="00130FA8" w:rsidRDefault="00130FA8" w:rsidP="00103357">
            <w:pPr>
              <w:rPr>
                <w:rFonts w:ascii="Georgia" w:hAnsi="Georgia" w:cs="Calibri"/>
                <w:color w:val="404040" w:themeColor="text1" w:themeTint="BF"/>
                <w:sz w:val="20"/>
              </w:rPr>
            </w:pPr>
          </w:p>
          <w:p w14:paraId="48D8D4A2" w14:textId="77777777" w:rsidR="00130FA8" w:rsidRDefault="00130FA8" w:rsidP="00103357">
            <w:pPr>
              <w:rPr>
                <w:rFonts w:ascii="Georgia" w:hAnsi="Georgia" w:cs="Calibri"/>
                <w:color w:val="404040" w:themeColor="text1" w:themeTint="BF"/>
                <w:sz w:val="20"/>
              </w:rPr>
            </w:pPr>
            <w:r w:rsidRPr="00130FA8">
              <w:rPr>
                <w:rFonts w:ascii="Georgia" w:hAnsi="Georgia" w:cs="Calibri"/>
                <w:color w:val="404040" w:themeColor="text1" w:themeTint="BF"/>
                <w:sz w:val="20"/>
              </w:rPr>
              <w:t>The Feedback given by the service providers is used to review the Company’s policies and procedures to ensure open lines of communication, and operational efficiency.</w:t>
            </w:r>
          </w:p>
          <w:p w14:paraId="5A046BDA" w14:textId="77777777" w:rsidR="00A31C75" w:rsidRDefault="00A31C75" w:rsidP="00103357">
            <w:pPr>
              <w:rPr>
                <w:rFonts w:ascii="Georgia" w:hAnsi="Georgia" w:cs="Calibri"/>
                <w:color w:val="404040" w:themeColor="text1" w:themeTint="BF"/>
                <w:sz w:val="20"/>
              </w:rPr>
            </w:pPr>
          </w:p>
          <w:p w14:paraId="0AE7B561" w14:textId="4A7395C8" w:rsidR="00A31C75" w:rsidRPr="00130FA8" w:rsidRDefault="00A31C75" w:rsidP="00103357">
            <w:pPr>
              <w:rPr>
                <w:rFonts w:ascii="Georgia" w:hAnsi="Georgia" w:cs="Calibri"/>
                <w:color w:val="404040" w:themeColor="text1" w:themeTint="BF"/>
                <w:sz w:val="20"/>
              </w:rPr>
            </w:pPr>
            <w:r w:rsidRPr="00A31C75">
              <w:rPr>
                <w:rFonts w:ascii="Georgia" w:hAnsi="Georgia" w:cs="Calibri"/>
                <w:color w:val="404040" w:themeColor="text1" w:themeTint="BF"/>
                <w:sz w:val="20"/>
              </w:rPr>
              <w:t>The Company is able to identify and resolve problems with service provider relationships via this process.</w:t>
            </w:r>
          </w:p>
        </w:tc>
      </w:tr>
    </w:tbl>
    <w:p w14:paraId="12B22169" w14:textId="77777777" w:rsidR="00B56E61" w:rsidRPr="00130FA8" w:rsidRDefault="00B56E61" w:rsidP="00130FA8">
      <w:pPr>
        <w:autoSpaceDE w:val="0"/>
        <w:autoSpaceDN w:val="0"/>
        <w:adjustRightInd w:val="0"/>
        <w:jc w:val="both"/>
        <w:rPr>
          <w:rFonts w:ascii="Georgia" w:hAnsi="Georgia" w:cs="Calibri"/>
          <w:color w:val="404040" w:themeColor="text1" w:themeTint="BF"/>
          <w:sz w:val="20"/>
        </w:rPr>
      </w:pPr>
    </w:p>
    <w:p w14:paraId="56B871A4" w14:textId="2B5E49F9"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4A8415D3" w14:textId="77777777" w:rsidR="002122E3" w:rsidRPr="00FB7D45" w:rsidRDefault="002122E3" w:rsidP="002122E3">
      <w:pPr>
        <w:pStyle w:val="Heading2"/>
        <w:spacing w:before="0"/>
      </w:pPr>
      <w:r w:rsidRPr="00FB7D45">
        <w:lastRenderedPageBreak/>
        <w:t>Strategic Report (continued)</w:t>
      </w:r>
    </w:p>
    <w:p w14:paraId="48461705" w14:textId="77777777" w:rsidR="002122E3" w:rsidRPr="00FB7D45" w:rsidRDefault="002122E3" w:rsidP="002122E3">
      <w:pPr>
        <w:pStyle w:val="ListParagraph"/>
        <w:ind w:left="360"/>
        <w:rPr>
          <w:rFonts w:ascii="Georgia" w:hAnsi="Georgia" w:cs="Calibri"/>
          <w:b/>
          <w:color w:val="404040" w:themeColor="text1" w:themeTint="BF"/>
          <w:sz w:val="20"/>
        </w:rPr>
      </w:pPr>
    </w:p>
    <w:p w14:paraId="43EDECB7" w14:textId="77777777" w:rsidR="002122E3" w:rsidRPr="00FB7D45" w:rsidRDefault="002122E3" w:rsidP="002122E3">
      <w:pPr>
        <w:tabs>
          <w:tab w:val="left" w:pos="540"/>
        </w:tabs>
        <w:spacing w:after="200" w:line="276" w:lineRule="auto"/>
        <w:ind w:left="567" w:hanging="567"/>
        <w:jc w:val="both"/>
        <w:rPr>
          <w:rFonts w:ascii="Georgia" w:hAnsi="Georgia" w:cs="Calibri"/>
          <w:b/>
          <w:color w:val="404040" w:themeColor="text1" w:themeTint="BF"/>
          <w:sz w:val="20"/>
        </w:rPr>
      </w:pPr>
      <w:r w:rsidRPr="00FB7D45">
        <w:rPr>
          <w:rFonts w:ascii="Georgia" w:hAnsi="Georgia" w:cs="Calibri"/>
          <w:b/>
          <w:color w:val="404040" w:themeColor="text1" w:themeTint="BF"/>
          <w:sz w:val="20"/>
        </w:rPr>
        <w:t xml:space="preserve">7. </w:t>
      </w:r>
      <w:r w:rsidRPr="00FB7D45">
        <w:rPr>
          <w:rFonts w:ascii="Georgia" w:hAnsi="Georgia" w:cs="Calibri"/>
          <w:b/>
          <w:color w:val="404040" w:themeColor="text1" w:themeTint="BF"/>
          <w:sz w:val="20"/>
        </w:rPr>
        <w:tab/>
        <w:t>Principal Risks and Uncertainties (continued)</w:t>
      </w:r>
    </w:p>
    <w:tbl>
      <w:tblPr>
        <w:tblStyle w:val="TableGrid"/>
        <w:tblW w:w="0" w:type="auto"/>
        <w:tblLook w:val="04A0" w:firstRow="1" w:lastRow="0" w:firstColumn="1" w:lastColumn="0" w:noHBand="0" w:noVBand="1"/>
      </w:tblPr>
      <w:tblGrid>
        <w:gridCol w:w="3116"/>
        <w:gridCol w:w="3117"/>
        <w:gridCol w:w="3117"/>
      </w:tblGrid>
      <w:tr w:rsidR="002122E3" w14:paraId="7C0F1306" w14:textId="77777777" w:rsidTr="002122E3">
        <w:tc>
          <w:tcPr>
            <w:tcW w:w="3116" w:type="dxa"/>
          </w:tcPr>
          <w:p w14:paraId="2AC97FBE" w14:textId="77777777" w:rsidR="002122E3" w:rsidRPr="00130FA8" w:rsidRDefault="002122E3" w:rsidP="002122E3">
            <w:pPr>
              <w:rPr>
                <w:rFonts w:ascii="Georgia" w:hAnsi="Georgia" w:cs="Calibri"/>
                <w:color w:val="404040" w:themeColor="text1" w:themeTint="BF"/>
                <w:sz w:val="20"/>
              </w:rPr>
            </w:pPr>
            <w:r w:rsidRPr="00130FA8">
              <w:rPr>
                <w:rFonts w:ascii="Georgia" w:hAnsi="Georgia" w:cs="Calibri"/>
                <w:color w:val="404040" w:themeColor="text1" w:themeTint="BF"/>
                <w:sz w:val="20"/>
              </w:rPr>
              <w:t>Portfolio Companies</w:t>
            </w:r>
          </w:p>
          <w:p w14:paraId="0F365E1D" w14:textId="77777777" w:rsidR="002122E3" w:rsidRPr="00130FA8" w:rsidRDefault="002122E3" w:rsidP="002122E3">
            <w:pPr>
              <w:rPr>
                <w:rFonts w:ascii="Georgia" w:hAnsi="Georgia" w:cs="Calibri"/>
                <w:color w:val="404040" w:themeColor="text1" w:themeTint="BF"/>
                <w:sz w:val="20"/>
              </w:rPr>
            </w:pPr>
          </w:p>
          <w:p w14:paraId="33C539F4" w14:textId="3A79A356" w:rsidR="002122E3" w:rsidRPr="00130FA8" w:rsidRDefault="002122E3" w:rsidP="002122E3">
            <w:pPr>
              <w:rPr>
                <w:rFonts w:ascii="Georgia" w:hAnsi="Georgia" w:cs="Calibri"/>
                <w:color w:val="404040" w:themeColor="text1" w:themeTint="BF"/>
                <w:sz w:val="20"/>
              </w:rPr>
            </w:pPr>
            <w:r>
              <w:rPr>
                <w:rFonts w:ascii="Georgia" w:hAnsi="Georgia"/>
                <w:color w:val="404040" w:themeColor="text1" w:themeTint="BF"/>
                <w:sz w:val="20"/>
                <w:szCs w:val="20"/>
              </w:rPr>
              <w:t>T</w:t>
            </w:r>
            <w:r w:rsidRPr="009A47B3">
              <w:rPr>
                <w:rFonts w:ascii="Georgia" w:hAnsi="Georgia"/>
                <w:color w:val="404040" w:themeColor="text1" w:themeTint="BF"/>
                <w:sz w:val="20"/>
                <w:szCs w:val="20"/>
              </w:rPr>
              <w:t xml:space="preserve">he Company held an operational portfolio of </w:t>
            </w:r>
            <w:r w:rsidR="00D33606">
              <w:rPr>
                <w:rFonts w:ascii="Georgia" w:hAnsi="Georgia"/>
                <w:color w:val="404040" w:themeColor="text1" w:themeTint="BF"/>
                <w:sz w:val="20"/>
                <w:szCs w:val="20"/>
              </w:rPr>
              <w:t>90</w:t>
            </w:r>
            <w:r w:rsidRPr="009A47B3">
              <w:rPr>
                <w:rFonts w:ascii="Georgia" w:hAnsi="Georgia"/>
                <w:color w:val="404040" w:themeColor="text1" w:themeTint="BF"/>
                <w:sz w:val="20"/>
                <w:szCs w:val="20"/>
              </w:rPr>
              <w:t xml:space="preserve"> PV plants (</w:t>
            </w:r>
            <w:r w:rsidRPr="00D33606">
              <w:rPr>
                <w:rFonts w:ascii="Georgia" w:hAnsi="Georgia"/>
                <w:color w:val="404040" w:themeColor="text1" w:themeTint="BF"/>
                <w:sz w:val="20"/>
                <w:szCs w:val="20"/>
              </w:rPr>
              <w:t xml:space="preserve">consisting of </w:t>
            </w:r>
            <w:r w:rsidR="00D33606" w:rsidRPr="00D33606">
              <w:rPr>
                <w:rFonts w:ascii="Georgia" w:hAnsi="Georgia"/>
                <w:color w:val="404040" w:themeColor="text1" w:themeTint="BF"/>
                <w:sz w:val="20"/>
                <w:szCs w:val="20"/>
              </w:rPr>
              <w:t>49</w:t>
            </w:r>
            <w:r w:rsidRPr="00D33606">
              <w:rPr>
                <w:rFonts w:ascii="Georgia" w:hAnsi="Georgia"/>
                <w:color w:val="404040" w:themeColor="text1" w:themeTint="BF"/>
                <w:sz w:val="20"/>
                <w:szCs w:val="20"/>
              </w:rPr>
              <w:t xml:space="preserve"> large scale sites, 39 micro sites and 2 roof top sites) with a</w:t>
            </w:r>
            <w:r w:rsidRPr="009A47B3">
              <w:rPr>
                <w:rFonts w:ascii="Georgia" w:hAnsi="Georgia"/>
                <w:color w:val="404040" w:themeColor="text1" w:themeTint="BF"/>
                <w:sz w:val="20"/>
                <w:szCs w:val="20"/>
              </w:rPr>
              <w:t xml:space="preserve"> total capacity of </w:t>
            </w:r>
            <w:r w:rsidR="00315872" w:rsidRPr="00315872">
              <w:rPr>
                <w:rFonts w:ascii="Georgia" w:hAnsi="Georgia"/>
                <w:color w:val="404040" w:themeColor="text1" w:themeTint="BF"/>
                <w:sz w:val="20"/>
                <w:szCs w:val="20"/>
              </w:rPr>
              <w:t>478</w:t>
            </w:r>
            <w:r w:rsidRPr="00315872">
              <w:rPr>
                <w:rFonts w:ascii="Georgia" w:hAnsi="Georgia"/>
                <w:color w:val="404040" w:themeColor="text1" w:themeTint="BF"/>
                <w:sz w:val="20"/>
                <w:szCs w:val="20"/>
              </w:rPr>
              <w:t>.</w:t>
            </w:r>
            <w:r w:rsidR="00315872" w:rsidRPr="00315872">
              <w:rPr>
                <w:rFonts w:ascii="Georgia" w:hAnsi="Georgia"/>
                <w:color w:val="404040" w:themeColor="text1" w:themeTint="BF"/>
                <w:sz w:val="20"/>
                <w:szCs w:val="20"/>
              </w:rPr>
              <w:t>8</w:t>
            </w:r>
            <w:r w:rsidRPr="00315872">
              <w:rPr>
                <w:rFonts w:ascii="Georgia" w:hAnsi="Georgia"/>
                <w:color w:val="404040" w:themeColor="text1" w:themeTint="BF"/>
                <w:sz w:val="20"/>
                <w:szCs w:val="20"/>
              </w:rPr>
              <w:t>MWp</w:t>
            </w:r>
            <w:r w:rsidRPr="009A47B3">
              <w:rPr>
                <w:rFonts w:ascii="Georgia" w:hAnsi="Georgia"/>
                <w:color w:val="404040" w:themeColor="text1" w:themeTint="BF"/>
                <w:sz w:val="20"/>
                <w:szCs w:val="20"/>
              </w:rPr>
              <w:t xml:space="preserve"> with the portfolio displaying strong </w:t>
            </w:r>
            <w:r>
              <w:rPr>
                <w:rFonts w:ascii="Georgia" w:hAnsi="Georgia"/>
                <w:color w:val="404040" w:themeColor="text1" w:themeTint="BF"/>
                <w:sz w:val="20"/>
                <w:szCs w:val="20"/>
              </w:rPr>
              <w:t xml:space="preserve">geographical </w:t>
            </w:r>
            <w:r w:rsidRPr="009A47B3">
              <w:rPr>
                <w:rFonts w:ascii="Georgia" w:hAnsi="Georgia"/>
                <w:color w:val="404040" w:themeColor="text1" w:themeTint="BF"/>
                <w:sz w:val="20"/>
                <w:szCs w:val="20"/>
              </w:rPr>
              <w:t>diversity</w:t>
            </w:r>
            <w:r>
              <w:rPr>
                <w:rFonts w:ascii="Georgia" w:hAnsi="Georgia"/>
                <w:color w:val="404040" w:themeColor="text1" w:themeTint="BF"/>
                <w:sz w:val="20"/>
                <w:szCs w:val="20"/>
              </w:rPr>
              <w:t>.</w:t>
            </w:r>
            <w:r w:rsidRPr="009A47B3">
              <w:rPr>
                <w:rFonts w:ascii="Georgia" w:hAnsi="Georgia"/>
                <w:color w:val="404040" w:themeColor="text1" w:themeTint="BF"/>
                <w:sz w:val="20"/>
                <w:szCs w:val="20"/>
              </w:rPr>
              <w:t xml:space="preserve"> </w:t>
            </w:r>
          </w:p>
          <w:p w14:paraId="66A931C5" w14:textId="304D210E" w:rsidR="002122E3" w:rsidRDefault="002122E3" w:rsidP="002122E3">
            <w:pPr>
              <w:rPr>
                <w:rFonts w:ascii="Georgia" w:hAnsi="Georgia" w:cs="Calibri"/>
                <w:color w:val="404040" w:themeColor="text1" w:themeTint="BF"/>
                <w:sz w:val="20"/>
              </w:rPr>
            </w:pPr>
            <w:r w:rsidRPr="00130FA8">
              <w:rPr>
                <w:rFonts w:ascii="Georgia" w:hAnsi="Georgia" w:cs="Calibri"/>
                <w:color w:val="404040" w:themeColor="text1" w:themeTint="BF"/>
                <w:sz w:val="20"/>
              </w:rPr>
              <w:tab/>
            </w:r>
          </w:p>
        </w:tc>
        <w:tc>
          <w:tcPr>
            <w:tcW w:w="3117" w:type="dxa"/>
          </w:tcPr>
          <w:p w14:paraId="222BC327" w14:textId="5D39F4DF" w:rsidR="002122E3" w:rsidRDefault="00FA6D75" w:rsidP="002122E3">
            <w:pPr>
              <w:rPr>
                <w:rFonts w:ascii="Georgia" w:hAnsi="Georgia" w:cs="Calibri"/>
                <w:color w:val="404040" w:themeColor="text1" w:themeTint="BF"/>
                <w:sz w:val="20"/>
              </w:rPr>
            </w:pPr>
            <w:r w:rsidRPr="00FA6D75">
              <w:rPr>
                <w:rFonts w:ascii="Georgia" w:hAnsi="Georgia" w:cs="Calibri"/>
                <w:color w:val="404040" w:themeColor="text1" w:themeTint="BF"/>
                <w:sz w:val="20"/>
              </w:rPr>
              <w:t>The board reviews cash-flow projections for each investment that the company makes and for the entire portfolio on a regular basis.</w:t>
            </w:r>
          </w:p>
          <w:p w14:paraId="1EBB1C0E" w14:textId="77777777" w:rsidR="00FA6D75" w:rsidRPr="00130FA8" w:rsidRDefault="00FA6D75" w:rsidP="002122E3">
            <w:pPr>
              <w:rPr>
                <w:rFonts w:ascii="Georgia" w:hAnsi="Georgia" w:cs="Calibri"/>
                <w:color w:val="404040" w:themeColor="text1" w:themeTint="BF"/>
                <w:sz w:val="20"/>
              </w:rPr>
            </w:pPr>
          </w:p>
          <w:p w14:paraId="03E7461C" w14:textId="6215A4E1" w:rsidR="002122E3" w:rsidRDefault="00FA6D75" w:rsidP="00FA6D75">
            <w:pPr>
              <w:rPr>
                <w:rFonts w:ascii="Georgia" w:hAnsi="Georgia" w:cs="Calibri"/>
                <w:color w:val="404040" w:themeColor="text1" w:themeTint="BF"/>
                <w:sz w:val="20"/>
              </w:rPr>
            </w:pPr>
            <w:r w:rsidRPr="00FA6D75">
              <w:rPr>
                <w:rFonts w:ascii="Georgia" w:hAnsi="Georgia" w:cs="Calibri"/>
                <w:color w:val="404040" w:themeColor="text1" w:themeTint="BF"/>
                <w:sz w:val="20"/>
              </w:rPr>
              <w:t>The Investment Adviser ensures that when the agreements are initially put in place, the end dates of the investments are staggered in order to ensure a constant flow of revenue.  PPA counterparties are selected on a competitive basis but with a clear focus on achieving diversification of counterparty risk.  A quarterly update on the contracts is provided in the Investment Advis</w:t>
            </w:r>
            <w:r w:rsidR="00712748">
              <w:rPr>
                <w:rFonts w:ascii="Georgia" w:hAnsi="Georgia" w:cs="Calibri"/>
                <w:color w:val="404040" w:themeColor="text1" w:themeTint="BF"/>
                <w:sz w:val="20"/>
              </w:rPr>
              <w:t>e</w:t>
            </w:r>
            <w:r w:rsidRPr="00FA6D75">
              <w:rPr>
                <w:rFonts w:ascii="Georgia" w:hAnsi="Georgia" w:cs="Calibri"/>
                <w:color w:val="404040" w:themeColor="text1" w:themeTint="BF"/>
                <w:sz w:val="20"/>
              </w:rPr>
              <w:t>r's Report within the Board Packs.</w:t>
            </w:r>
          </w:p>
        </w:tc>
        <w:tc>
          <w:tcPr>
            <w:tcW w:w="3117" w:type="dxa"/>
          </w:tcPr>
          <w:p w14:paraId="570729DD" w14:textId="18DE6D0E" w:rsidR="002122E3" w:rsidRPr="00130FA8" w:rsidRDefault="00FA6D75" w:rsidP="002122E3">
            <w:pPr>
              <w:rPr>
                <w:rFonts w:ascii="Georgia" w:hAnsi="Georgia" w:cs="Calibri"/>
                <w:color w:val="404040" w:themeColor="text1" w:themeTint="BF"/>
                <w:sz w:val="20"/>
              </w:rPr>
            </w:pPr>
            <w:r w:rsidRPr="00130FA8">
              <w:rPr>
                <w:rFonts w:ascii="Georgia" w:hAnsi="Georgia" w:cs="Calibri"/>
                <w:color w:val="404040" w:themeColor="text1" w:themeTint="BF"/>
                <w:sz w:val="20"/>
              </w:rPr>
              <w:t>The Feedback given by the service providers is used to review the Company’s policies and procedures to ensure open lines of communicat</w:t>
            </w:r>
            <w:r>
              <w:rPr>
                <w:rFonts w:ascii="Georgia" w:hAnsi="Georgia" w:cs="Calibri"/>
                <w:color w:val="404040" w:themeColor="text1" w:themeTint="BF"/>
                <w:sz w:val="20"/>
              </w:rPr>
              <w:t>ion, and operational efficiency regarding its Portfolio Companies.</w:t>
            </w:r>
          </w:p>
          <w:p w14:paraId="5A795718" w14:textId="77777777" w:rsidR="002122E3" w:rsidRDefault="002122E3" w:rsidP="002122E3">
            <w:pPr>
              <w:rPr>
                <w:rFonts w:ascii="Georgia" w:hAnsi="Georgia" w:cs="Calibri"/>
                <w:color w:val="404040" w:themeColor="text1" w:themeTint="BF"/>
                <w:sz w:val="20"/>
              </w:rPr>
            </w:pPr>
          </w:p>
        </w:tc>
      </w:tr>
      <w:tr w:rsidR="002122E3" w14:paraId="2A96BD46" w14:textId="77777777" w:rsidTr="002122E3">
        <w:tc>
          <w:tcPr>
            <w:tcW w:w="3116" w:type="dxa"/>
          </w:tcPr>
          <w:p w14:paraId="48DDEAE9" w14:textId="77777777" w:rsidR="002122E3" w:rsidRPr="00130FA8" w:rsidRDefault="002122E3" w:rsidP="002122E3">
            <w:pPr>
              <w:rPr>
                <w:rFonts w:ascii="Georgia" w:hAnsi="Georgia" w:cs="Calibri"/>
                <w:color w:val="404040" w:themeColor="text1" w:themeTint="BF"/>
                <w:sz w:val="20"/>
              </w:rPr>
            </w:pPr>
            <w:r w:rsidRPr="00130FA8">
              <w:rPr>
                <w:rFonts w:ascii="Georgia" w:hAnsi="Georgia" w:cs="Calibri"/>
                <w:color w:val="404040" w:themeColor="text1" w:themeTint="BF"/>
                <w:sz w:val="20"/>
              </w:rPr>
              <w:t>Community &amp; Environment</w:t>
            </w:r>
          </w:p>
          <w:p w14:paraId="0489CE81" w14:textId="77777777" w:rsidR="002122E3" w:rsidRPr="00130FA8" w:rsidRDefault="002122E3" w:rsidP="002122E3">
            <w:pPr>
              <w:rPr>
                <w:rFonts w:ascii="Georgia" w:hAnsi="Georgia" w:cs="Calibri"/>
                <w:color w:val="404040" w:themeColor="text1" w:themeTint="BF"/>
                <w:sz w:val="20"/>
              </w:rPr>
            </w:pPr>
          </w:p>
          <w:p w14:paraId="6959CF2E" w14:textId="35C3E6E2" w:rsidR="002122E3" w:rsidRDefault="002122E3" w:rsidP="002122E3">
            <w:pPr>
              <w:rPr>
                <w:rFonts w:ascii="Georgia" w:hAnsi="Georgia" w:cs="Calibri"/>
                <w:color w:val="404040" w:themeColor="text1" w:themeTint="BF"/>
                <w:sz w:val="20"/>
              </w:rPr>
            </w:pPr>
            <w:r w:rsidRPr="00130FA8">
              <w:rPr>
                <w:rFonts w:ascii="Georgia" w:hAnsi="Georgia" w:cs="Calibri"/>
                <w:color w:val="404040" w:themeColor="text1" w:themeTint="BF"/>
                <w:sz w:val="20"/>
              </w:rPr>
              <w:t>The Company does not have any direct employees</w:t>
            </w:r>
          </w:p>
        </w:tc>
        <w:tc>
          <w:tcPr>
            <w:tcW w:w="3117" w:type="dxa"/>
          </w:tcPr>
          <w:p w14:paraId="377D3289" w14:textId="77777777" w:rsidR="002122E3" w:rsidRPr="00130FA8" w:rsidRDefault="002122E3" w:rsidP="002122E3">
            <w:pPr>
              <w:rPr>
                <w:rFonts w:ascii="Georgia" w:hAnsi="Georgia" w:cs="Calibri"/>
                <w:color w:val="404040" w:themeColor="text1" w:themeTint="BF"/>
                <w:sz w:val="20"/>
              </w:rPr>
            </w:pPr>
          </w:p>
          <w:p w14:paraId="590881B8" w14:textId="77777777" w:rsidR="002122E3" w:rsidRPr="00130FA8" w:rsidRDefault="002122E3" w:rsidP="002122E3">
            <w:pPr>
              <w:rPr>
                <w:rFonts w:ascii="Georgia" w:hAnsi="Georgia" w:cs="Calibri"/>
                <w:color w:val="404040" w:themeColor="text1" w:themeTint="BF"/>
                <w:sz w:val="20"/>
              </w:rPr>
            </w:pPr>
          </w:p>
          <w:p w14:paraId="3665426A" w14:textId="77777777" w:rsidR="002122E3" w:rsidRDefault="002122E3" w:rsidP="002122E3">
            <w:pPr>
              <w:rPr>
                <w:rFonts w:ascii="Georgia" w:hAnsi="Georgia" w:cs="Calibri"/>
                <w:color w:val="404040" w:themeColor="text1" w:themeTint="BF"/>
                <w:sz w:val="20"/>
              </w:rPr>
            </w:pPr>
            <w:r w:rsidRPr="00130FA8">
              <w:rPr>
                <w:rFonts w:ascii="Georgia" w:hAnsi="Georgia" w:cs="Calibri"/>
                <w:color w:val="404040" w:themeColor="text1" w:themeTint="BF"/>
                <w:sz w:val="20"/>
              </w:rPr>
              <w:t xml:space="preserve">The Company aims to </w:t>
            </w:r>
            <w:r>
              <w:rPr>
                <w:rFonts w:ascii="Georgia" w:hAnsi="Georgia" w:cs="Calibri"/>
                <w:color w:val="404040" w:themeColor="text1" w:themeTint="BF"/>
                <w:sz w:val="20"/>
              </w:rPr>
              <w:t>maximise</w:t>
            </w:r>
            <w:r w:rsidRPr="00130FA8">
              <w:rPr>
                <w:rFonts w:ascii="Georgia" w:hAnsi="Georgia" w:cs="Calibri"/>
                <w:color w:val="404040" w:themeColor="text1" w:themeTint="BF"/>
                <w:sz w:val="20"/>
              </w:rPr>
              <w:t xml:space="preserve"> its</w:t>
            </w:r>
            <w:r>
              <w:rPr>
                <w:rFonts w:ascii="Georgia" w:hAnsi="Georgia" w:cs="Calibri"/>
                <w:color w:val="404040" w:themeColor="text1" w:themeTint="BF"/>
                <w:sz w:val="20"/>
              </w:rPr>
              <w:t xml:space="preserve"> positive</w:t>
            </w:r>
            <w:r w:rsidRPr="00130FA8">
              <w:rPr>
                <w:rFonts w:ascii="Georgia" w:hAnsi="Georgia" w:cs="Calibri"/>
                <w:color w:val="404040" w:themeColor="text1" w:themeTint="BF"/>
                <w:sz w:val="20"/>
              </w:rPr>
              <w:t xml:space="preserve"> environmental </w:t>
            </w:r>
            <w:r>
              <w:rPr>
                <w:rFonts w:ascii="Georgia" w:hAnsi="Georgia" w:cs="Calibri"/>
                <w:color w:val="404040" w:themeColor="text1" w:themeTint="BF"/>
                <w:sz w:val="20"/>
              </w:rPr>
              <w:t>impact</w:t>
            </w:r>
            <w:r w:rsidRPr="00130FA8">
              <w:rPr>
                <w:rFonts w:ascii="Georgia" w:hAnsi="Georgia" w:cs="Calibri"/>
                <w:color w:val="404040" w:themeColor="text1" w:themeTint="BF"/>
                <w:sz w:val="20"/>
              </w:rPr>
              <w:t>.</w:t>
            </w:r>
          </w:p>
          <w:p w14:paraId="356DF73F" w14:textId="77777777" w:rsidR="002122E3" w:rsidRDefault="002122E3" w:rsidP="002122E3">
            <w:pPr>
              <w:rPr>
                <w:rFonts w:ascii="Georgia" w:hAnsi="Georgia" w:cs="Calibri"/>
                <w:color w:val="404040" w:themeColor="text1" w:themeTint="BF"/>
                <w:sz w:val="20"/>
              </w:rPr>
            </w:pPr>
          </w:p>
        </w:tc>
        <w:tc>
          <w:tcPr>
            <w:tcW w:w="3117" w:type="dxa"/>
          </w:tcPr>
          <w:p w14:paraId="56B2F611" w14:textId="688F66FB" w:rsidR="00A31C75" w:rsidRDefault="00FA6D75" w:rsidP="00FA6D75">
            <w:pPr>
              <w:rPr>
                <w:rFonts w:ascii="Georgia" w:hAnsi="Georgia" w:cs="Calibri"/>
                <w:color w:val="404040" w:themeColor="text1" w:themeTint="BF"/>
                <w:sz w:val="20"/>
              </w:rPr>
            </w:pPr>
            <w:r w:rsidRPr="00FA6D75">
              <w:rPr>
                <w:rFonts w:ascii="Georgia" w:hAnsi="Georgia" w:cs="Calibri"/>
                <w:color w:val="404040" w:themeColor="text1" w:themeTint="BF"/>
                <w:sz w:val="20"/>
              </w:rPr>
              <w:t xml:space="preserve">The Group and other clean energy providers are doing their part to reduce the </w:t>
            </w:r>
            <w:r>
              <w:rPr>
                <w:rFonts w:ascii="Georgia" w:hAnsi="Georgia" w:cs="Calibri"/>
                <w:color w:val="404040" w:themeColor="text1" w:themeTint="BF"/>
                <w:sz w:val="20"/>
              </w:rPr>
              <w:t>carbon emissions</w:t>
            </w:r>
            <w:r w:rsidRPr="00FA6D75">
              <w:rPr>
                <w:rFonts w:ascii="Georgia" w:hAnsi="Georgia" w:cs="Calibri"/>
                <w:color w:val="404040" w:themeColor="text1" w:themeTint="BF"/>
                <w:sz w:val="20"/>
              </w:rPr>
              <w:t xml:space="preserve">, however there are already damaging long term effects which may impact the Group during </w:t>
            </w:r>
            <w:r>
              <w:rPr>
                <w:rFonts w:ascii="Georgia" w:hAnsi="Georgia" w:cs="Calibri"/>
                <w:color w:val="404040" w:themeColor="text1" w:themeTint="BF"/>
                <w:sz w:val="20"/>
              </w:rPr>
              <w:t xml:space="preserve">its life. </w:t>
            </w:r>
            <w:r w:rsidRPr="00FA6D75">
              <w:rPr>
                <w:rFonts w:ascii="Georgia" w:hAnsi="Georgia" w:cs="Calibri"/>
                <w:color w:val="404040" w:themeColor="text1" w:themeTint="BF"/>
                <w:sz w:val="20"/>
              </w:rPr>
              <w:t>The control of such an outcome is largely out of the Group's control.</w:t>
            </w:r>
            <w:r w:rsidR="00712748">
              <w:rPr>
                <w:rFonts w:ascii="Georgia" w:hAnsi="Georgia" w:cs="Calibri"/>
                <w:color w:val="404040" w:themeColor="text1" w:themeTint="BF"/>
                <w:sz w:val="20"/>
              </w:rPr>
              <w:t xml:space="preserve"> </w:t>
            </w:r>
            <w:r w:rsidR="00A31C75" w:rsidRPr="00A31C75">
              <w:rPr>
                <w:rFonts w:ascii="Georgia" w:hAnsi="Georgia" w:cs="Calibri"/>
                <w:color w:val="404040" w:themeColor="text1" w:themeTint="BF"/>
                <w:sz w:val="20"/>
              </w:rPr>
              <w:t>The Company and the Directors are minimising air travel by making maximum use of video conferencing for Company related matters.</w:t>
            </w:r>
          </w:p>
        </w:tc>
      </w:tr>
    </w:tbl>
    <w:p w14:paraId="1FFACB63" w14:textId="77777777" w:rsidR="002122E3" w:rsidRDefault="002122E3">
      <w:pPr>
        <w:rPr>
          <w:rFonts w:ascii="Georgia" w:hAnsi="Georgia" w:cs="Calibri"/>
          <w:color w:val="404040" w:themeColor="text1" w:themeTint="BF"/>
          <w:sz w:val="20"/>
        </w:rPr>
      </w:pPr>
    </w:p>
    <w:p w14:paraId="41B23640" w14:textId="77777777" w:rsidR="002122E3" w:rsidRDefault="002122E3">
      <w:pPr>
        <w:rPr>
          <w:rFonts w:ascii="Georgia" w:hAnsi="Georgia" w:cs="Calibri"/>
          <w:color w:val="404040" w:themeColor="text1" w:themeTint="BF"/>
          <w:sz w:val="20"/>
        </w:rPr>
      </w:pPr>
    </w:p>
    <w:p w14:paraId="1079F935" w14:textId="1FB0812B" w:rsidR="002122E3" w:rsidRDefault="00DF64D0" w:rsidP="002122E3">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2122E3" w:rsidRPr="00FB7D45">
        <w:rPr>
          <w:rFonts w:ascii="Georgia" w:hAnsi="Georgia" w:cs="Calibri"/>
          <w:b/>
          <w:color w:val="404040" w:themeColor="text1" w:themeTint="BF"/>
          <w:sz w:val="20"/>
        </w:rPr>
        <w:t xml:space="preserve">. </w:t>
      </w:r>
      <w:r w:rsidR="002122E3" w:rsidRPr="00FB7D45">
        <w:rPr>
          <w:rFonts w:ascii="Georgia" w:hAnsi="Georgia" w:cs="Calibri"/>
          <w:b/>
          <w:color w:val="404040" w:themeColor="text1" w:themeTint="BF"/>
          <w:sz w:val="20"/>
        </w:rPr>
        <w:tab/>
      </w:r>
      <w:r w:rsidR="002122E3">
        <w:rPr>
          <w:rFonts w:ascii="Georgia" w:hAnsi="Georgia" w:cs="Calibri"/>
          <w:b/>
          <w:color w:val="404040" w:themeColor="text1" w:themeTint="BF"/>
          <w:sz w:val="20"/>
        </w:rPr>
        <w:t>Environmental, Social and Governance</w:t>
      </w:r>
    </w:p>
    <w:p w14:paraId="6C26B650" w14:textId="77777777" w:rsidR="00712748" w:rsidRDefault="00307DA8" w:rsidP="002122E3">
      <w:pPr>
        <w:pStyle w:val="paragraph"/>
        <w:spacing w:after="0"/>
        <w:jc w:val="both"/>
        <w:textAlignment w:val="baseline"/>
        <w:rPr>
          <w:rFonts w:ascii="Georgia" w:eastAsia="Calibri" w:hAnsi="Georgia"/>
          <w:color w:val="404040" w:themeColor="text1" w:themeTint="BF"/>
          <w:sz w:val="20"/>
          <w:szCs w:val="20"/>
        </w:rPr>
      </w:pPr>
      <w:r>
        <w:rPr>
          <w:rFonts w:ascii="Georgia" w:eastAsia="Calibri" w:hAnsi="Georgia"/>
          <w:color w:val="404040" w:themeColor="text1" w:themeTint="BF"/>
          <w:sz w:val="20"/>
          <w:szCs w:val="20"/>
        </w:rPr>
        <w:t>The Company</w:t>
      </w:r>
      <w:r w:rsidR="005C3886">
        <w:rPr>
          <w:rFonts w:ascii="Georgia" w:eastAsia="Calibri" w:hAnsi="Georgia"/>
          <w:color w:val="404040" w:themeColor="text1" w:themeTint="BF"/>
          <w:sz w:val="20"/>
          <w:szCs w:val="20"/>
        </w:rPr>
        <w:t xml:space="preserve"> </w:t>
      </w:r>
      <w:r w:rsidR="002122E3" w:rsidRPr="00180BE8">
        <w:rPr>
          <w:rFonts w:ascii="Georgia" w:eastAsia="Calibri" w:hAnsi="Georgia"/>
          <w:color w:val="404040" w:themeColor="text1" w:themeTint="BF"/>
          <w:sz w:val="20"/>
          <w:szCs w:val="20"/>
        </w:rPr>
        <w:t xml:space="preserve">was the first solar energy focused investment </w:t>
      </w:r>
      <w:r w:rsidR="005C3886">
        <w:rPr>
          <w:rFonts w:ascii="Georgia" w:eastAsia="Calibri" w:hAnsi="Georgia"/>
          <w:color w:val="404040" w:themeColor="text1" w:themeTint="BF"/>
          <w:sz w:val="20"/>
          <w:szCs w:val="20"/>
        </w:rPr>
        <w:t>c</w:t>
      </w:r>
      <w:r w:rsidR="001321DA">
        <w:rPr>
          <w:rFonts w:ascii="Georgia" w:eastAsia="Calibri" w:hAnsi="Georgia"/>
          <w:color w:val="404040" w:themeColor="text1" w:themeTint="BF"/>
          <w:sz w:val="20"/>
          <w:szCs w:val="20"/>
        </w:rPr>
        <w:t xml:space="preserve">ompany </w:t>
      </w:r>
      <w:r w:rsidR="002122E3" w:rsidRPr="00180BE8">
        <w:rPr>
          <w:rFonts w:ascii="Georgia" w:eastAsia="Calibri" w:hAnsi="Georgia"/>
          <w:color w:val="404040" w:themeColor="text1" w:themeTint="BF"/>
          <w:sz w:val="20"/>
          <w:szCs w:val="20"/>
        </w:rPr>
        <w:t>to launch on the London Stock Exchange in 2013. Since IPO, we have been part of a major investment theme that has seen numerous renewable energy funds list and build a multi-bi</w:t>
      </w:r>
      <w:r w:rsidR="00A31C75">
        <w:rPr>
          <w:rFonts w:ascii="Georgia" w:eastAsia="Calibri" w:hAnsi="Georgia"/>
          <w:color w:val="404040" w:themeColor="text1" w:themeTint="BF"/>
          <w:sz w:val="20"/>
          <w:szCs w:val="20"/>
        </w:rPr>
        <w:t xml:space="preserve">llion-pound investment sector. </w:t>
      </w:r>
    </w:p>
    <w:p w14:paraId="2104CBC8" w14:textId="52DFBB71" w:rsidR="002122E3" w:rsidRPr="00A31C75" w:rsidRDefault="002122E3" w:rsidP="002122E3">
      <w:pPr>
        <w:pStyle w:val="paragraph"/>
        <w:spacing w:after="0"/>
        <w:jc w:val="both"/>
        <w:textAlignment w:val="baseline"/>
        <w:rPr>
          <w:rStyle w:val="normaltextrun"/>
          <w:rFonts w:ascii="Georgia" w:eastAsia="Calibri" w:hAnsi="Georgia"/>
          <w:color w:val="404040" w:themeColor="text1" w:themeTint="BF"/>
          <w:sz w:val="20"/>
          <w:szCs w:val="20"/>
        </w:rPr>
      </w:pPr>
      <w:r w:rsidRPr="00180BE8">
        <w:rPr>
          <w:rFonts w:ascii="Georgia" w:eastAsia="Calibri" w:hAnsi="Georgia"/>
          <w:color w:val="404040" w:themeColor="text1" w:themeTint="BF"/>
          <w:sz w:val="20"/>
          <w:szCs w:val="20"/>
        </w:rPr>
        <w:t xml:space="preserve">Since listing, environmental considerations and concerns about climate change have grown. So too have </w:t>
      </w:r>
      <w:r w:rsidR="009E5BC5">
        <w:rPr>
          <w:rFonts w:ascii="Georgia" w:eastAsia="Calibri" w:hAnsi="Georgia"/>
          <w:color w:val="404040" w:themeColor="text1" w:themeTint="BF"/>
          <w:sz w:val="20"/>
          <w:szCs w:val="20"/>
        </w:rPr>
        <w:t>S</w:t>
      </w:r>
      <w:r w:rsidRPr="00180BE8">
        <w:rPr>
          <w:rFonts w:ascii="Georgia" w:eastAsia="Calibri" w:hAnsi="Georgia"/>
          <w:color w:val="404040" w:themeColor="text1" w:themeTint="BF"/>
          <w:sz w:val="20"/>
          <w:szCs w:val="20"/>
        </w:rPr>
        <w:t>hareholders’ evaluations of the social impact of their investments and of the appropriate levels of governance, wrapping together one of the most importance considerations</w:t>
      </w:r>
      <w:r w:rsidR="00712748">
        <w:rPr>
          <w:rFonts w:ascii="Georgia" w:eastAsia="Calibri" w:hAnsi="Georgia"/>
          <w:color w:val="404040" w:themeColor="text1" w:themeTint="BF"/>
          <w:sz w:val="20"/>
          <w:szCs w:val="20"/>
        </w:rPr>
        <w:t xml:space="preserve"> in investment today. Therefore</w:t>
      </w:r>
      <w:r w:rsidRPr="00180BE8">
        <w:rPr>
          <w:rFonts w:ascii="Georgia" w:eastAsia="Calibri" w:hAnsi="Georgia"/>
          <w:color w:val="404040" w:themeColor="text1" w:themeTint="BF"/>
          <w:sz w:val="20"/>
          <w:szCs w:val="20"/>
        </w:rPr>
        <w:t xml:space="preserve"> the </w:t>
      </w:r>
      <w:r w:rsidR="001321DA">
        <w:rPr>
          <w:rFonts w:ascii="Georgia" w:eastAsia="Calibri" w:hAnsi="Georgia"/>
          <w:color w:val="404040" w:themeColor="text1" w:themeTint="BF"/>
          <w:sz w:val="20"/>
          <w:szCs w:val="20"/>
        </w:rPr>
        <w:t>B</w:t>
      </w:r>
      <w:r w:rsidRPr="00180BE8">
        <w:rPr>
          <w:rFonts w:ascii="Georgia" w:eastAsia="Calibri" w:hAnsi="Georgia"/>
          <w:color w:val="404040" w:themeColor="text1" w:themeTint="BF"/>
          <w:sz w:val="20"/>
          <w:szCs w:val="20"/>
        </w:rPr>
        <w:t>oard, the Investment Adviser and service companies are delighted to present this detailed ESG report relating to the Company for the pe</w:t>
      </w:r>
      <w:r w:rsidR="001321DA">
        <w:rPr>
          <w:rFonts w:ascii="Georgia" w:eastAsia="Calibri" w:hAnsi="Georgia"/>
          <w:color w:val="404040" w:themeColor="text1" w:themeTint="BF"/>
          <w:sz w:val="20"/>
          <w:szCs w:val="20"/>
        </w:rPr>
        <w:t>riod ending June 2020, one that we hope</w:t>
      </w:r>
      <w:r w:rsidRPr="00180BE8">
        <w:rPr>
          <w:rFonts w:ascii="Georgia" w:eastAsia="Calibri" w:hAnsi="Georgia"/>
          <w:color w:val="404040" w:themeColor="text1" w:themeTint="BF"/>
          <w:sz w:val="20"/>
          <w:szCs w:val="20"/>
        </w:rPr>
        <w:t xml:space="preserve"> demonstrates the Company’s long held commitment to ESG</w:t>
      </w:r>
      <w:r w:rsidRPr="00180BE8">
        <w:rPr>
          <w:rFonts w:ascii="Georgia" w:eastAsia="Calibri" w:hAnsi="Georgia"/>
          <w:i/>
          <w:color w:val="404040" w:themeColor="text1" w:themeTint="BF"/>
          <w:sz w:val="20"/>
          <w:szCs w:val="20"/>
        </w:rPr>
        <w:t xml:space="preserve">.  </w:t>
      </w:r>
    </w:p>
    <w:p w14:paraId="500A709A" w14:textId="77777777" w:rsidR="002122E3" w:rsidRPr="00096B63" w:rsidRDefault="002122E3" w:rsidP="002122E3">
      <w:pPr>
        <w:spacing w:after="160" w:line="259" w:lineRule="auto"/>
        <w:jc w:val="both"/>
        <w:rPr>
          <w:rFonts w:eastAsia="Calibri"/>
          <w:b/>
          <w:i/>
          <w:color w:val="404040" w:themeColor="text1" w:themeTint="BF"/>
          <w:sz w:val="20"/>
          <w:szCs w:val="20"/>
        </w:rPr>
      </w:pPr>
      <w:r w:rsidRPr="00096B63">
        <w:rPr>
          <w:rFonts w:ascii="Georgia" w:eastAsia="Calibri" w:hAnsi="Georgia"/>
          <w:b/>
          <w:i/>
          <w:color w:val="404040" w:themeColor="text1" w:themeTint="BF"/>
          <w:sz w:val="20"/>
          <w:szCs w:val="20"/>
        </w:rPr>
        <w:t xml:space="preserve">Environmental Impact </w:t>
      </w:r>
    </w:p>
    <w:p w14:paraId="5BDB84DB" w14:textId="1CFA0592" w:rsidR="002122E3" w:rsidRDefault="002122E3" w:rsidP="00FA6D75">
      <w:pPr>
        <w:pStyle w:val="paragraph"/>
        <w:spacing w:before="0" w:beforeAutospacing="0" w:after="0" w:afterAutospacing="0"/>
        <w:jc w:val="both"/>
        <w:textAlignment w:val="baseline"/>
        <w:rPr>
          <w:rFonts w:ascii="Georgia" w:hAnsi="Georgia"/>
          <w:color w:val="404040" w:themeColor="text1" w:themeTint="BF"/>
          <w:sz w:val="20"/>
        </w:rPr>
      </w:pPr>
      <w:r w:rsidRPr="00180BE8">
        <w:rPr>
          <w:rStyle w:val="normaltextrun"/>
          <w:rFonts w:ascii="Georgia" w:hAnsi="Georgia"/>
          <w:color w:val="404040" w:themeColor="text1" w:themeTint="BF"/>
          <w:sz w:val="20"/>
          <w:szCs w:val="20"/>
        </w:rPr>
        <w:t xml:space="preserve">Decarbonisation of the power sector in the UK has made significant progress in the last ten years. The rise of renewable energy generation, like </w:t>
      </w:r>
      <w:r w:rsidRPr="005C3886">
        <w:rPr>
          <w:rStyle w:val="normaltextrun"/>
          <w:rFonts w:ascii="Georgia" w:hAnsi="Georgia"/>
          <w:color w:val="404040" w:themeColor="text1" w:themeTint="BF"/>
          <w:sz w:val="20"/>
          <w:szCs w:val="20"/>
        </w:rPr>
        <w:t>solar, has played</w:t>
      </w:r>
      <w:r w:rsidR="00307DA8">
        <w:rPr>
          <w:rStyle w:val="normaltextrun"/>
          <w:rFonts w:ascii="Georgia" w:hAnsi="Georgia"/>
          <w:color w:val="404040" w:themeColor="text1" w:themeTint="BF"/>
          <w:sz w:val="20"/>
          <w:szCs w:val="20"/>
        </w:rPr>
        <w:t xml:space="preserve"> a</w:t>
      </w:r>
      <w:r w:rsidRPr="005C3886">
        <w:rPr>
          <w:rStyle w:val="normaltextrun"/>
          <w:rFonts w:ascii="Georgia" w:hAnsi="Georgia"/>
          <w:color w:val="404040" w:themeColor="text1" w:themeTint="BF"/>
          <w:sz w:val="20"/>
          <w:szCs w:val="20"/>
        </w:rPr>
        <w:t xml:space="preserve"> major role in this process.  On a </w:t>
      </w:r>
      <w:r w:rsidR="00712748">
        <w:rPr>
          <w:rStyle w:val="normaltextrun"/>
          <w:rFonts w:ascii="Georgia" w:hAnsi="Georgia"/>
          <w:color w:val="404040" w:themeColor="text1" w:themeTint="BF"/>
          <w:sz w:val="20"/>
          <w:szCs w:val="20"/>
        </w:rPr>
        <w:t>summer</w:t>
      </w:r>
      <w:r w:rsidRPr="005C3886">
        <w:rPr>
          <w:rStyle w:val="normaltextrun"/>
          <w:rFonts w:ascii="Georgia" w:hAnsi="Georgia"/>
          <w:color w:val="404040" w:themeColor="text1" w:themeTint="BF"/>
          <w:sz w:val="20"/>
          <w:szCs w:val="20"/>
        </w:rPr>
        <w:t xml:space="preserve"> </w:t>
      </w:r>
      <w:r w:rsidR="001321DA" w:rsidRPr="005C3886">
        <w:rPr>
          <w:rStyle w:val="normaltextrun"/>
          <w:rFonts w:ascii="Georgia" w:hAnsi="Georgia"/>
          <w:color w:val="404040" w:themeColor="text1" w:themeTint="BF"/>
          <w:sz w:val="20"/>
          <w:szCs w:val="20"/>
        </w:rPr>
        <w:t>afternoon</w:t>
      </w:r>
      <w:r w:rsidRPr="005C3886">
        <w:rPr>
          <w:rStyle w:val="normaltextrun"/>
          <w:rFonts w:ascii="Georgia" w:hAnsi="Georgia"/>
          <w:color w:val="404040" w:themeColor="text1" w:themeTint="BF"/>
          <w:sz w:val="20"/>
          <w:szCs w:val="20"/>
        </w:rPr>
        <w:t xml:space="preserve">, the </w:t>
      </w:r>
      <w:r w:rsidR="005C3886" w:rsidRPr="005C3886">
        <w:rPr>
          <w:rStyle w:val="normaltextrun"/>
          <w:rFonts w:ascii="Georgia" w:hAnsi="Georgia"/>
          <w:color w:val="404040" w:themeColor="text1" w:themeTint="BF"/>
          <w:sz w:val="20"/>
          <w:szCs w:val="20"/>
        </w:rPr>
        <w:t>Company’s</w:t>
      </w:r>
      <w:r w:rsidRPr="005C3886">
        <w:rPr>
          <w:rStyle w:val="normaltextrun"/>
          <w:rFonts w:ascii="Georgia" w:hAnsi="Georgia"/>
          <w:color w:val="404040" w:themeColor="text1" w:themeTint="BF"/>
          <w:sz w:val="20"/>
          <w:szCs w:val="20"/>
        </w:rPr>
        <w:t xml:space="preserve"> portfolio is</w:t>
      </w:r>
      <w:r w:rsidR="001321DA" w:rsidRPr="005C3886">
        <w:rPr>
          <w:rStyle w:val="normaltextrun"/>
          <w:rFonts w:ascii="Georgia" w:hAnsi="Georgia"/>
          <w:color w:val="404040" w:themeColor="text1" w:themeTint="BF"/>
          <w:sz w:val="20"/>
          <w:szCs w:val="20"/>
        </w:rPr>
        <w:t xml:space="preserve"> typically</w:t>
      </w:r>
      <w:r w:rsidRPr="005C3886">
        <w:rPr>
          <w:rStyle w:val="normaltextrun"/>
          <w:rFonts w:ascii="Georgia" w:hAnsi="Georgia"/>
          <w:color w:val="404040" w:themeColor="text1" w:themeTint="BF"/>
          <w:sz w:val="20"/>
          <w:szCs w:val="20"/>
        </w:rPr>
        <w:t xml:space="preserve"> producing c.</w:t>
      </w:r>
      <w:r w:rsidRPr="00180BE8">
        <w:rPr>
          <w:rStyle w:val="normaltextrun"/>
          <w:rFonts w:ascii="Georgia" w:hAnsi="Georgia"/>
          <w:color w:val="404040" w:themeColor="text1" w:themeTint="BF"/>
          <w:sz w:val="20"/>
          <w:szCs w:val="20"/>
        </w:rPr>
        <w:t xml:space="preserve">2% of the total electricity in the UK. </w:t>
      </w:r>
      <w:r>
        <w:rPr>
          <w:rFonts w:ascii="Georgia" w:hAnsi="Georgia"/>
          <w:color w:val="404040" w:themeColor="text1" w:themeTint="BF"/>
          <w:sz w:val="20"/>
        </w:rPr>
        <w:br w:type="page"/>
      </w:r>
    </w:p>
    <w:p w14:paraId="6F6018D9" w14:textId="77777777" w:rsidR="002122E3" w:rsidRPr="00FB7D45" w:rsidRDefault="002122E3" w:rsidP="002122E3">
      <w:pPr>
        <w:pStyle w:val="Heading2"/>
        <w:spacing w:before="0"/>
      </w:pPr>
      <w:r w:rsidRPr="00FB7D45">
        <w:lastRenderedPageBreak/>
        <w:t>Strategic Report (continued)</w:t>
      </w:r>
    </w:p>
    <w:p w14:paraId="54A62EF2" w14:textId="77777777" w:rsidR="002122E3" w:rsidRPr="00FB7D45" w:rsidRDefault="002122E3" w:rsidP="002122E3">
      <w:pPr>
        <w:pStyle w:val="ListParagraph"/>
        <w:ind w:left="360"/>
        <w:rPr>
          <w:rFonts w:ascii="Georgia" w:hAnsi="Georgia" w:cs="Calibri"/>
          <w:b/>
          <w:color w:val="404040" w:themeColor="text1" w:themeTint="BF"/>
          <w:sz w:val="20"/>
        </w:rPr>
      </w:pPr>
    </w:p>
    <w:p w14:paraId="0663EC55" w14:textId="03458CD8" w:rsidR="002122E3" w:rsidRPr="00FB7D45" w:rsidRDefault="00DF64D0" w:rsidP="002122E3">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2122E3" w:rsidRPr="00FB7D45">
        <w:rPr>
          <w:rFonts w:ascii="Georgia" w:hAnsi="Georgia" w:cs="Calibri"/>
          <w:b/>
          <w:color w:val="404040" w:themeColor="text1" w:themeTint="BF"/>
          <w:sz w:val="20"/>
        </w:rPr>
        <w:t xml:space="preserve">. </w:t>
      </w:r>
      <w:r w:rsidR="002122E3" w:rsidRPr="00FB7D45">
        <w:rPr>
          <w:rFonts w:ascii="Georgia" w:hAnsi="Georgia" w:cs="Calibri"/>
          <w:b/>
          <w:color w:val="404040" w:themeColor="text1" w:themeTint="BF"/>
          <w:sz w:val="20"/>
        </w:rPr>
        <w:tab/>
      </w:r>
      <w:r w:rsidR="002122E3">
        <w:rPr>
          <w:rFonts w:ascii="Georgia" w:hAnsi="Georgia" w:cs="Calibri"/>
          <w:b/>
          <w:color w:val="404040" w:themeColor="text1" w:themeTint="BF"/>
          <w:sz w:val="20"/>
        </w:rPr>
        <w:t>Environmental, Social and Governance</w:t>
      </w:r>
      <w:r w:rsidR="002122E3" w:rsidRPr="00FB7D45">
        <w:rPr>
          <w:rFonts w:ascii="Georgia" w:hAnsi="Georgia" w:cs="Calibri"/>
          <w:b/>
          <w:color w:val="404040" w:themeColor="text1" w:themeTint="BF"/>
          <w:sz w:val="20"/>
        </w:rPr>
        <w:t xml:space="preserve"> (continued)</w:t>
      </w:r>
    </w:p>
    <w:tbl>
      <w:tblPr>
        <w:tblStyle w:val="TableGrid"/>
        <w:tblW w:w="0" w:type="auto"/>
        <w:tblLook w:val="04A0" w:firstRow="1" w:lastRow="0" w:firstColumn="1" w:lastColumn="0" w:noHBand="0" w:noVBand="1"/>
      </w:tblPr>
      <w:tblGrid>
        <w:gridCol w:w="1696"/>
        <w:gridCol w:w="2835"/>
      </w:tblGrid>
      <w:tr w:rsidR="002122E3" w14:paraId="2D48A519" w14:textId="77777777" w:rsidTr="00BD746A">
        <w:tc>
          <w:tcPr>
            <w:tcW w:w="1696" w:type="dxa"/>
          </w:tcPr>
          <w:p w14:paraId="7A1B876B"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Reporting Year (01 July – 30 June)</w:t>
            </w:r>
          </w:p>
        </w:tc>
        <w:tc>
          <w:tcPr>
            <w:tcW w:w="2835" w:type="dxa"/>
          </w:tcPr>
          <w:p w14:paraId="0D27071D"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Total CO</w:t>
            </w:r>
            <w:r w:rsidRPr="005C3886">
              <w:rPr>
                <w:rFonts w:ascii="Georgia" w:hAnsi="Georgia" w:cs="Calibri"/>
                <w:color w:val="404040" w:themeColor="text1" w:themeTint="BF"/>
                <w:sz w:val="20"/>
                <w:szCs w:val="20"/>
                <w:vertAlign w:val="subscript"/>
              </w:rPr>
              <w:t>2</w:t>
            </w:r>
            <w:r w:rsidRPr="005C3886">
              <w:rPr>
                <w:rFonts w:ascii="Georgia" w:hAnsi="Georgia" w:cs="Calibri"/>
                <w:color w:val="404040" w:themeColor="text1" w:themeTint="BF"/>
                <w:sz w:val="20"/>
                <w:szCs w:val="20"/>
              </w:rPr>
              <w:t xml:space="preserve"> Savings (tonnes)</w:t>
            </w:r>
          </w:p>
        </w:tc>
      </w:tr>
      <w:tr w:rsidR="002122E3" w14:paraId="76166CC7" w14:textId="77777777" w:rsidTr="00BD746A">
        <w:tc>
          <w:tcPr>
            <w:tcW w:w="1696" w:type="dxa"/>
          </w:tcPr>
          <w:p w14:paraId="56F28773"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13/14</w:t>
            </w:r>
          </w:p>
        </w:tc>
        <w:tc>
          <w:tcPr>
            <w:tcW w:w="2835" w:type="dxa"/>
          </w:tcPr>
          <w:p w14:paraId="314318AD"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12,516</w:t>
            </w:r>
          </w:p>
        </w:tc>
      </w:tr>
      <w:tr w:rsidR="002122E3" w14:paraId="4E6B3472" w14:textId="77777777" w:rsidTr="00BD746A">
        <w:tc>
          <w:tcPr>
            <w:tcW w:w="1696" w:type="dxa"/>
          </w:tcPr>
          <w:p w14:paraId="5557F684"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14/15</w:t>
            </w:r>
          </w:p>
        </w:tc>
        <w:tc>
          <w:tcPr>
            <w:tcW w:w="2835" w:type="dxa"/>
          </w:tcPr>
          <w:p w14:paraId="2A991945"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67,325</w:t>
            </w:r>
          </w:p>
        </w:tc>
      </w:tr>
      <w:tr w:rsidR="002122E3" w14:paraId="2AA5D9E4" w14:textId="77777777" w:rsidTr="00BD746A">
        <w:tc>
          <w:tcPr>
            <w:tcW w:w="1696" w:type="dxa"/>
          </w:tcPr>
          <w:p w14:paraId="01C7E517"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15/16</w:t>
            </w:r>
          </w:p>
        </w:tc>
        <w:tc>
          <w:tcPr>
            <w:tcW w:w="2835" w:type="dxa"/>
          </w:tcPr>
          <w:p w14:paraId="6CAC5781"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141,704</w:t>
            </w:r>
          </w:p>
        </w:tc>
      </w:tr>
      <w:tr w:rsidR="002122E3" w14:paraId="672F7458" w14:textId="77777777" w:rsidTr="00BD746A">
        <w:tc>
          <w:tcPr>
            <w:tcW w:w="1696" w:type="dxa"/>
          </w:tcPr>
          <w:p w14:paraId="37A4CB22"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16/17</w:t>
            </w:r>
          </w:p>
        </w:tc>
        <w:tc>
          <w:tcPr>
            <w:tcW w:w="2835" w:type="dxa"/>
          </w:tcPr>
          <w:p w14:paraId="48119FE2"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167,753</w:t>
            </w:r>
          </w:p>
        </w:tc>
      </w:tr>
      <w:tr w:rsidR="002122E3" w14:paraId="708E5876" w14:textId="77777777" w:rsidTr="00BD746A">
        <w:tc>
          <w:tcPr>
            <w:tcW w:w="1696" w:type="dxa"/>
          </w:tcPr>
          <w:p w14:paraId="228F4C9B"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17/18</w:t>
            </w:r>
          </w:p>
        </w:tc>
        <w:tc>
          <w:tcPr>
            <w:tcW w:w="2835" w:type="dxa"/>
          </w:tcPr>
          <w:p w14:paraId="6E7A9AB7"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153,723</w:t>
            </w:r>
          </w:p>
        </w:tc>
      </w:tr>
      <w:tr w:rsidR="002122E3" w14:paraId="6F6FAC0E" w14:textId="77777777" w:rsidTr="00BD746A">
        <w:tc>
          <w:tcPr>
            <w:tcW w:w="1696" w:type="dxa"/>
          </w:tcPr>
          <w:p w14:paraId="1FE49BFB"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18/19</w:t>
            </w:r>
          </w:p>
        </w:tc>
        <w:tc>
          <w:tcPr>
            <w:tcW w:w="2835" w:type="dxa"/>
          </w:tcPr>
          <w:p w14:paraId="2040C26E"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134,881</w:t>
            </w:r>
          </w:p>
        </w:tc>
      </w:tr>
      <w:tr w:rsidR="002122E3" w14:paraId="1A7CE1C2" w14:textId="77777777" w:rsidTr="00BD746A">
        <w:tc>
          <w:tcPr>
            <w:tcW w:w="1696" w:type="dxa"/>
          </w:tcPr>
          <w:p w14:paraId="2A289AD6"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19/20</w:t>
            </w:r>
          </w:p>
        </w:tc>
        <w:tc>
          <w:tcPr>
            <w:tcW w:w="2835" w:type="dxa"/>
          </w:tcPr>
          <w:p w14:paraId="72C8C00F" w14:textId="77777777" w:rsidR="002122E3" w:rsidRPr="005C3886" w:rsidRDefault="002122E3" w:rsidP="00BD746A">
            <w:pPr>
              <w:pStyle w:val="NormalWeb"/>
              <w:spacing w:before="0" w:beforeAutospacing="0" w:after="0" w:afterAutospacing="0"/>
              <w:rPr>
                <w:rFonts w:ascii="Georgia" w:hAnsi="Georgia" w:cs="Calibri"/>
                <w:color w:val="404040" w:themeColor="text1" w:themeTint="BF"/>
                <w:sz w:val="20"/>
                <w:szCs w:val="20"/>
              </w:rPr>
            </w:pPr>
            <w:r w:rsidRPr="005C3886">
              <w:rPr>
                <w:rFonts w:ascii="Georgia" w:hAnsi="Georgia" w:cs="Calibri"/>
                <w:color w:val="404040" w:themeColor="text1" w:themeTint="BF"/>
                <w:sz w:val="20"/>
                <w:szCs w:val="20"/>
              </w:rPr>
              <w:t xml:space="preserve">125,534 </w:t>
            </w:r>
          </w:p>
        </w:tc>
      </w:tr>
    </w:tbl>
    <w:p w14:paraId="51762A0F" w14:textId="77777777" w:rsidR="002122E3" w:rsidRDefault="002122E3" w:rsidP="002122E3">
      <w:pPr>
        <w:rPr>
          <w:rFonts w:ascii="Georgia" w:eastAsiaTheme="minorHAnsi" w:hAnsi="Georgia" w:cs="Calibri"/>
          <w:color w:val="404040" w:themeColor="text1" w:themeTint="BF"/>
          <w:sz w:val="20"/>
          <w:szCs w:val="20"/>
          <w:lang w:eastAsia="en-GB"/>
        </w:rPr>
      </w:pPr>
    </w:p>
    <w:p w14:paraId="5359E48A" w14:textId="014865CD" w:rsidR="002122E3" w:rsidRPr="00180BE8" w:rsidRDefault="002122E3" w:rsidP="005C3886">
      <w:pPr>
        <w:jc w:val="both"/>
        <w:rPr>
          <w:rFonts w:ascii="Georgia" w:eastAsiaTheme="minorHAnsi" w:hAnsi="Georgia" w:cs="Calibri"/>
          <w:color w:val="404040" w:themeColor="text1" w:themeTint="BF"/>
          <w:sz w:val="20"/>
          <w:szCs w:val="20"/>
          <w:lang w:eastAsia="en-GB"/>
        </w:rPr>
      </w:pPr>
      <w:r w:rsidRPr="00180BE8">
        <w:rPr>
          <w:rFonts w:ascii="Georgia" w:eastAsiaTheme="minorHAnsi" w:hAnsi="Georgia" w:cs="Calibri"/>
          <w:color w:val="404040" w:themeColor="text1" w:themeTint="BF"/>
          <w:sz w:val="20"/>
          <w:szCs w:val="20"/>
          <w:lang w:eastAsia="en-GB"/>
        </w:rPr>
        <w:t>To increase accuracy, a different methodology has been used to calculate CO</w:t>
      </w:r>
      <w:r w:rsidRPr="00180BE8">
        <w:rPr>
          <w:rFonts w:ascii="Georgia" w:eastAsiaTheme="minorHAnsi" w:hAnsi="Georgia" w:cs="Calibri"/>
          <w:color w:val="404040" w:themeColor="text1" w:themeTint="BF"/>
          <w:sz w:val="20"/>
          <w:szCs w:val="20"/>
          <w:vertAlign w:val="subscript"/>
          <w:lang w:eastAsia="en-GB"/>
        </w:rPr>
        <w:t>2</w:t>
      </w:r>
      <w:r w:rsidRPr="00180BE8">
        <w:rPr>
          <w:rFonts w:ascii="Georgia" w:eastAsiaTheme="minorHAnsi" w:hAnsi="Georgia" w:cs="Calibri"/>
          <w:color w:val="404040" w:themeColor="text1" w:themeTint="BF"/>
          <w:sz w:val="20"/>
          <w:szCs w:val="20"/>
          <w:lang w:eastAsia="en-GB"/>
        </w:rPr>
        <w:t xml:space="preserve"> savings, using actual generation data aligned with the appropriate Government CO</w:t>
      </w:r>
      <w:r w:rsidRPr="00180BE8">
        <w:rPr>
          <w:rFonts w:ascii="Georgia" w:eastAsiaTheme="minorHAnsi" w:hAnsi="Georgia" w:cs="Calibri"/>
          <w:color w:val="404040" w:themeColor="text1" w:themeTint="BF"/>
          <w:sz w:val="20"/>
          <w:szCs w:val="20"/>
          <w:vertAlign w:val="subscript"/>
          <w:lang w:eastAsia="en-GB"/>
        </w:rPr>
        <w:t>2</w:t>
      </w:r>
      <w:r w:rsidRPr="00180BE8">
        <w:rPr>
          <w:rFonts w:ascii="Georgia" w:eastAsiaTheme="minorHAnsi" w:hAnsi="Georgia" w:cs="Calibri"/>
          <w:color w:val="404040" w:themeColor="text1" w:themeTint="BF"/>
          <w:sz w:val="20"/>
          <w:szCs w:val="20"/>
          <w:lang w:eastAsia="en-GB"/>
        </w:rPr>
        <w:t xml:space="preserve"> conversion factor. Generation data has not been pro-rated in accordance with conversion factor expiry dates, but instead the conversion factor encompassing the largest proportion of the reporting year has been used. </w:t>
      </w:r>
    </w:p>
    <w:p w14:paraId="3AA152AE" w14:textId="77777777" w:rsidR="002122E3" w:rsidRPr="00180BE8" w:rsidRDefault="002122E3" w:rsidP="005C3886">
      <w:pPr>
        <w:jc w:val="both"/>
        <w:rPr>
          <w:rFonts w:ascii="Georgia" w:eastAsiaTheme="minorHAnsi" w:hAnsi="Georgia" w:cs="Calibri"/>
          <w:color w:val="404040" w:themeColor="text1" w:themeTint="BF"/>
          <w:sz w:val="20"/>
          <w:szCs w:val="20"/>
          <w:lang w:eastAsia="en-GB"/>
        </w:rPr>
      </w:pPr>
    </w:p>
    <w:p w14:paraId="139EB480" w14:textId="07F60529" w:rsidR="00B736AB" w:rsidRPr="00180BE8" w:rsidRDefault="00B736AB" w:rsidP="005C3886">
      <w:pPr>
        <w:jc w:val="both"/>
        <w:rPr>
          <w:rFonts w:ascii="Georgia" w:eastAsiaTheme="minorHAnsi" w:hAnsi="Georgia" w:cs="Calibri"/>
          <w:color w:val="404040" w:themeColor="text1" w:themeTint="BF"/>
          <w:sz w:val="20"/>
          <w:szCs w:val="20"/>
          <w:lang w:eastAsia="en-GB"/>
        </w:rPr>
      </w:pPr>
      <w:r w:rsidRPr="00180BE8">
        <w:rPr>
          <w:rFonts w:ascii="Georgia" w:eastAsiaTheme="minorHAnsi" w:hAnsi="Georgia" w:cs="Calibri"/>
          <w:color w:val="404040" w:themeColor="text1" w:themeTint="BF"/>
          <w:sz w:val="20"/>
          <w:szCs w:val="20"/>
          <w:lang w:eastAsia="en-GB"/>
        </w:rPr>
        <w:t xml:space="preserve">Since inception, the Company has saved over </w:t>
      </w:r>
      <w:r>
        <w:rPr>
          <w:rFonts w:ascii="Georgia" w:eastAsiaTheme="minorHAnsi" w:hAnsi="Georgia" w:cs="Calibri"/>
          <w:color w:val="404040" w:themeColor="text1" w:themeTint="BF"/>
          <w:sz w:val="20"/>
          <w:szCs w:val="20"/>
          <w:lang w:eastAsia="en-GB"/>
        </w:rPr>
        <w:t>800,000</w:t>
      </w:r>
      <w:r w:rsidRPr="00180BE8">
        <w:rPr>
          <w:rFonts w:ascii="Georgia" w:eastAsiaTheme="minorHAnsi" w:hAnsi="Georgia" w:cs="Calibri"/>
          <w:color w:val="404040" w:themeColor="text1" w:themeTint="BF"/>
          <w:sz w:val="20"/>
          <w:szCs w:val="20"/>
          <w:lang w:eastAsia="en-GB"/>
        </w:rPr>
        <w:t xml:space="preserve"> tonnes of CO</w:t>
      </w:r>
      <w:r w:rsidRPr="00180BE8">
        <w:rPr>
          <w:rFonts w:ascii="Georgia" w:eastAsiaTheme="minorHAnsi" w:hAnsi="Georgia" w:cs="Calibri"/>
          <w:color w:val="404040" w:themeColor="text1" w:themeTint="BF"/>
          <w:sz w:val="20"/>
          <w:szCs w:val="20"/>
          <w:vertAlign w:val="subscript"/>
          <w:lang w:eastAsia="en-GB"/>
        </w:rPr>
        <w:t>2</w:t>
      </w:r>
      <w:r w:rsidRPr="00180BE8">
        <w:rPr>
          <w:rFonts w:ascii="Georgia" w:eastAsiaTheme="minorHAnsi" w:hAnsi="Georgia" w:cs="Calibri"/>
          <w:color w:val="404040" w:themeColor="text1" w:themeTint="BF"/>
          <w:sz w:val="20"/>
          <w:szCs w:val="20"/>
          <w:lang w:eastAsia="en-GB"/>
        </w:rPr>
        <w:t xml:space="preserve"> from being released into the atmosphere. Despite the portfolio continually increasing in size, the Co</w:t>
      </w:r>
      <w:r w:rsidRPr="00180BE8">
        <w:rPr>
          <w:rFonts w:ascii="Georgia" w:eastAsiaTheme="minorHAnsi" w:hAnsi="Georgia" w:cs="Calibri"/>
          <w:color w:val="404040" w:themeColor="text1" w:themeTint="BF"/>
          <w:sz w:val="20"/>
          <w:szCs w:val="20"/>
          <w:vertAlign w:val="subscript"/>
          <w:lang w:eastAsia="en-GB"/>
        </w:rPr>
        <w:t>2</w:t>
      </w:r>
      <w:r w:rsidRPr="00180BE8">
        <w:rPr>
          <w:rFonts w:ascii="Georgia" w:eastAsiaTheme="minorHAnsi" w:hAnsi="Georgia" w:cs="Calibri"/>
          <w:color w:val="404040" w:themeColor="text1" w:themeTint="BF"/>
          <w:sz w:val="20"/>
          <w:szCs w:val="20"/>
          <w:lang w:eastAsia="en-GB"/>
        </w:rPr>
        <w:t xml:space="preserve"> savings start</w:t>
      </w:r>
      <w:r w:rsidR="00712748">
        <w:rPr>
          <w:rFonts w:ascii="Georgia" w:eastAsiaTheme="minorHAnsi" w:hAnsi="Georgia" w:cs="Calibri"/>
          <w:color w:val="404040" w:themeColor="text1" w:themeTint="BF"/>
          <w:sz w:val="20"/>
          <w:szCs w:val="20"/>
          <w:lang w:eastAsia="en-GB"/>
        </w:rPr>
        <w:t>ed</w:t>
      </w:r>
      <w:r w:rsidRPr="00180BE8">
        <w:rPr>
          <w:rFonts w:ascii="Georgia" w:eastAsiaTheme="minorHAnsi" w:hAnsi="Georgia" w:cs="Calibri"/>
          <w:color w:val="404040" w:themeColor="text1" w:themeTint="BF"/>
          <w:sz w:val="20"/>
          <w:szCs w:val="20"/>
          <w:lang w:eastAsia="en-GB"/>
        </w:rPr>
        <w:t xml:space="preserve"> to decrease after 2017 as the </w:t>
      </w:r>
      <w:r w:rsidR="00712748">
        <w:rPr>
          <w:rFonts w:ascii="Georgia" w:eastAsiaTheme="minorHAnsi" w:hAnsi="Georgia" w:cs="Calibri"/>
          <w:color w:val="404040" w:themeColor="text1" w:themeTint="BF"/>
          <w:sz w:val="20"/>
          <w:szCs w:val="20"/>
          <w:lang w:eastAsia="en-GB"/>
        </w:rPr>
        <w:t>mix</w:t>
      </w:r>
      <w:r w:rsidRPr="00180BE8">
        <w:rPr>
          <w:rFonts w:ascii="Georgia" w:eastAsiaTheme="minorHAnsi" w:hAnsi="Georgia" w:cs="Calibri"/>
          <w:color w:val="404040" w:themeColor="text1" w:themeTint="BF"/>
          <w:sz w:val="20"/>
          <w:szCs w:val="20"/>
          <w:lang w:eastAsia="en-GB"/>
        </w:rPr>
        <w:t xml:space="preserve"> of fossil fuels</w:t>
      </w:r>
      <w:r w:rsidR="00712748">
        <w:rPr>
          <w:rFonts w:ascii="Georgia" w:eastAsiaTheme="minorHAnsi" w:hAnsi="Georgia" w:cs="Calibri"/>
          <w:color w:val="404040" w:themeColor="text1" w:themeTint="BF"/>
          <w:sz w:val="20"/>
          <w:szCs w:val="20"/>
          <w:lang w:eastAsia="en-GB"/>
        </w:rPr>
        <w:t xml:space="preserve"> altered. The switch</w:t>
      </w:r>
      <w:r>
        <w:rPr>
          <w:rFonts w:ascii="Georgia" w:eastAsiaTheme="minorHAnsi" w:hAnsi="Georgia" w:cs="Calibri"/>
          <w:color w:val="404040" w:themeColor="text1" w:themeTint="BF"/>
          <w:sz w:val="20"/>
          <w:szCs w:val="20"/>
          <w:lang w:eastAsia="en-GB"/>
        </w:rPr>
        <w:t xml:space="preserve"> from coal to gas</w:t>
      </w:r>
      <w:r w:rsidR="00712748">
        <w:rPr>
          <w:rFonts w:ascii="Georgia" w:eastAsiaTheme="minorHAnsi" w:hAnsi="Georgia" w:cs="Calibri"/>
          <w:color w:val="404040" w:themeColor="text1" w:themeTint="BF"/>
          <w:sz w:val="20"/>
          <w:szCs w:val="20"/>
          <w:lang w:eastAsia="en-GB"/>
        </w:rPr>
        <w:t xml:space="preserve"> means that</w:t>
      </w:r>
      <w:r>
        <w:rPr>
          <w:rFonts w:ascii="Georgia" w:eastAsiaTheme="minorHAnsi" w:hAnsi="Georgia" w:cs="Calibri"/>
          <w:color w:val="404040" w:themeColor="text1" w:themeTint="BF"/>
          <w:sz w:val="20"/>
          <w:szCs w:val="20"/>
          <w:lang w:eastAsia="en-GB"/>
        </w:rPr>
        <w:t xml:space="preserve"> the amount of CO2 displaced by renewables diminishes</w:t>
      </w:r>
      <w:r w:rsidRPr="00180BE8">
        <w:rPr>
          <w:rFonts w:ascii="Georgia" w:eastAsiaTheme="minorHAnsi" w:hAnsi="Georgia" w:cs="Calibri"/>
          <w:color w:val="404040" w:themeColor="text1" w:themeTint="BF"/>
          <w:sz w:val="20"/>
          <w:szCs w:val="20"/>
          <w:lang w:eastAsia="en-GB"/>
        </w:rPr>
        <w:t>. It remains an objective of the Company to maintain and, where appropriate, expand the portfolio over the coming year, continuing to positively contribute towards the reduction of CO2 emissions.</w:t>
      </w:r>
    </w:p>
    <w:p w14:paraId="11184DF0" w14:textId="77777777" w:rsidR="002122E3" w:rsidRPr="00741296" w:rsidRDefault="002122E3" w:rsidP="005C3886">
      <w:pPr>
        <w:jc w:val="both"/>
        <w:rPr>
          <w:highlight w:val="yellow"/>
        </w:rPr>
      </w:pPr>
    </w:p>
    <w:p w14:paraId="6C72B651" w14:textId="5697AD6A" w:rsidR="002122E3" w:rsidRPr="00011763" w:rsidRDefault="002122E3" w:rsidP="005C3886">
      <w:pPr>
        <w:spacing w:after="160" w:line="259" w:lineRule="auto"/>
        <w:jc w:val="both"/>
        <w:rPr>
          <w:rFonts w:ascii="Georgia" w:eastAsia="Calibri" w:hAnsi="Georgia"/>
          <w:color w:val="404040" w:themeColor="text1" w:themeTint="BF"/>
          <w:sz w:val="20"/>
          <w:szCs w:val="20"/>
        </w:rPr>
      </w:pPr>
      <w:r w:rsidRPr="00DA0508">
        <w:rPr>
          <w:rFonts w:ascii="Georgia" w:eastAsia="Calibri" w:hAnsi="Georgia"/>
          <w:color w:val="404040" w:themeColor="text1" w:themeTint="BF"/>
          <w:sz w:val="20"/>
          <w:szCs w:val="20"/>
        </w:rPr>
        <w:t>Based on a medium</w:t>
      </w:r>
      <w:r w:rsidR="009E5BC5">
        <w:rPr>
          <w:rFonts w:ascii="Georgia" w:eastAsia="Calibri" w:hAnsi="Georgia"/>
          <w:color w:val="404040" w:themeColor="text1" w:themeTint="BF"/>
          <w:sz w:val="20"/>
          <w:szCs w:val="20"/>
        </w:rPr>
        <w:t xml:space="preserve"> </w:t>
      </w:r>
      <w:proofErr w:type="spellStart"/>
      <w:r w:rsidR="009E5BC5">
        <w:rPr>
          <w:rFonts w:ascii="Georgia" w:eastAsia="Calibri" w:hAnsi="Georgia"/>
          <w:color w:val="404040" w:themeColor="text1" w:themeTint="BF"/>
          <w:sz w:val="20"/>
          <w:szCs w:val="20"/>
        </w:rPr>
        <w:t>Ofgem’s</w:t>
      </w:r>
      <w:proofErr w:type="spellEnd"/>
      <w:r w:rsidRPr="00DA0508">
        <w:rPr>
          <w:rFonts w:ascii="Georgia" w:eastAsia="Calibri" w:hAnsi="Georgia"/>
          <w:color w:val="404040" w:themeColor="text1" w:themeTint="BF"/>
          <w:sz w:val="20"/>
          <w:szCs w:val="20"/>
        </w:rPr>
        <w:t xml:space="preserve"> Typical Domestic Consumption Value of 2,900 kWh of electricity per household, last year</w:t>
      </w:r>
      <w:r w:rsidR="001321DA">
        <w:rPr>
          <w:rFonts w:ascii="Georgia" w:eastAsia="Calibri" w:hAnsi="Georgia"/>
          <w:color w:val="404040" w:themeColor="text1" w:themeTint="BF"/>
          <w:sz w:val="20"/>
          <w:szCs w:val="20"/>
        </w:rPr>
        <w:t>,</w:t>
      </w:r>
      <w:r w:rsidRPr="00DA0508">
        <w:rPr>
          <w:rFonts w:ascii="Georgia" w:eastAsia="Calibri" w:hAnsi="Georgia"/>
          <w:color w:val="404040" w:themeColor="text1" w:themeTint="BF"/>
          <w:sz w:val="20"/>
          <w:szCs w:val="20"/>
        </w:rPr>
        <w:t xml:space="preserve"> </w:t>
      </w:r>
      <w:r w:rsidR="00712748">
        <w:rPr>
          <w:rFonts w:ascii="Georgia" w:eastAsia="Calibri" w:hAnsi="Georgia"/>
          <w:color w:val="404040" w:themeColor="text1" w:themeTint="BF"/>
          <w:sz w:val="20"/>
          <w:szCs w:val="20"/>
        </w:rPr>
        <w:t>our</w:t>
      </w:r>
      <w:r w:rsidRPr="00DA0508">
        <w:rPr>
          <w:rFonts w:ascii="Georgia" w:eastAsia="Calibri" w:hAnsi="Georgia"/>
          <w:color w:val="404040" w:themeColor="text1" w:themeTint="BF"/>
          <w:sz w:val="20"/>
          <w:szCs w:val="20"/>
        </w:rPr>
        <w:t xml:space="preserve"> portfolio p</w:t>
      </w:r>
      <w:r w:rsidR="00712748">
        <w:rPr>
          <w:rFonts w:ascii="Georgia" w:eastAsia="Calibri" w:hAnsi="Georgia"/>
          <w:color w:val="404040" w:themeColor="text1" w:themeTint="BF"/>
          <w:sz w:val="20"/>
          <w:szCs w:val="20"/>
        </w:rPr>
        <w:t>owered the equivalent of 170,700</w:t>
      </w:r>
      <w:r w:rsidRPr="00DA0508">
        <w:rPr>
          <w:rFonts w:ascii="Georgia" w:eastAsia="Calibri" w:hAnsi="Georgia"/>
          <w:color w:val="404040" w:themeColor="text1" w:themeTint="BF"/>
          <w:sz w:val="20"/>
          <w:szCs w:val="20"/>
        </w:rPr>
        <w:t xml:space="preserve"> homes, providing enough electricity to power a </w:t>
      </w:r>
      <w:r w:rsidR="00712748">
        <w:rPr>
          <w:rFonts w:ascii="Georgia" w:eastAsia="Calibri" w:hAnsi="Georgia"/>
          <w:color w:val="404040" w:themeColor="text1" w:themeTint="BF"/>
          <w:sz w:val="20"/>
          <w:szCs w:val="20"/>
        </w:rPr>
        <w:t>medium sized city.</w:t>
      </w:r>
      <w:r w:rsidRPr="00DA0508">
        <w:rPr>
          <w:rFonts w:ascii="Georgia" w:eastAsia="Calibri" w:hAnsi="Georgia"/>
          <w:color w:val="404040" w:themeColor="text1" w:themeTint="BF"/>
          <w:sz w:val="20"/>
          <w:szCs w:val="20"/>
        </w:rPr>
        <w:t xml:space="preserve"> </w:t>
      </w:r>
    </w:p>
    <w:p w14:paraId="07C9423B" w14:textId="77777777" w:rsidR="002122E3" w:rsidRPr="00096B63" w:rsidRDefault="002122E3" w:rsidP="005C3886">
      <w:pPr>
        <w:spacing w:after="160" w:line="259" w:lineRule="auto"/>
        <w:jc w:val="both"/>
        <w:rPr>
          <w:rFonts w:eastAsia="Calibri"/>
          <w:b/>
          <w:i/>
          <w:color w:val="404040" w:themeColor="text1" w:themeTint="BF"/>
          <w:sz w:val="20"/>
          <w:szCs w:val="20"/>
        </w:rPr>
      </w:pPr>
      <w:r w:rsidRPr="00096B63">
        <w:rPr>
          <w:rFonts w:ascii="Georgia" w:eastAsia="Calibri" w:hAnsi="Georgia"/>
          <w:b/>
          <w:i/>
          <w:color w:val="404040" w:themeColor="text1" w:themeTint="BF"/>
          <w:sz w:val="20"/>
          <w:szCs w:val="20"/>
        </w:rPr>
        <w:t xml:space="preserve">Community Benefits </w:t>
      </w:r>
    </w:p>
    <w:p w14:paraId="4EFE8E33" w14:textId="77777777" w:rsidR="002122E3" w:rsidRPr="006A565F" w:rsidRDefault="002122E3" w:rsidP="005C3886">
      <w:pPr>
        <w:jc w:val="both"/>
        <w:rPr>
          <w:rStyle w:val="normaltextrun"/>
          <w:rFonts w:ascii="Georgia" w:eastAsiaTheme="minorHAnsi" w:hAnsi="Georgia" w:cs="Calibri"/>
          <w:color w:val="404040" w:themeColor="text1" w:themeTint="BF"/>
          <w:sz w:val="20"/>
          <w:szCs w:val="20"/>
          <w:lang w:eastAsia="en-GB"/>
        </w:rPr>
      </w:pPr>
      <w:r w:rsidRPr="00FC1EDB">
        <w:rPr>
          <w:rFonts w:ascii="Georgia" w:eastAsiaTheme="minorHAnsi" w:hAnsi="Georgia" w:cs="Calibri"/>
          <w:color w:val="404040" w:themeColor="text1" w:themeTint="BF"/>
          <w:sz w:val="20"/>
          <w:szCs w:val="20"/>
          <w:lang w:eastAsia="en-GB"/>
        </w:rPr>
        <w:t>The Company is committed to building strong relationships with communities in close proximity to the solar assets. Community benefit schemes are supported across the portfolio, with significant donations made each yea</w:t>
      </w:r>
      <w:r>
        <w:rPr>
          <w:rFonts w:ascii="Georgia" w:eastAsiaTheme="minorHAnsi" w:hAnsi="Georgia" w:cs="Calibri"/>
          <w:color w:val="404040" w:themeColor="text1" w:themeTint="BF"/>
          <w:sz w:val="20"/>
          <w:szCs w:val="20"/>
          <w:lang w:eastAsia="en-GB"/>
        </w:rPr>
        <w:t>r:</w:t>
      </w:r>
    </w:p>
    <w:p w14:paraId="16A22048" w14:textId="63198AA8" w:rsidR="002122E3" w:rsidRPr="0014482E" w:rsidRDefault="001321DA" w:rsidP="005C3886">
      <w:pPr>
        <w:pStyle w:val="paragraph"/>
        <w:spacing w:after="0"/>
        <w:jc w:val="both"/>
        <w:textAlignment w:val="baseline"/>
        <w:rPr>
          <w:rFonts w:ascii="Georgia" w:eastAsia="Calibri" w:hAnsi="Georgia"/>
          <w:iCs/>
          <w:color w:val="404040" w:themeColor="text1" w:themeTint="BF"/>
          <w:sz w:val="20"/>
          <w:szCs w:val="20"/>
        </w:rPr>
      </w:pPr>
      <w:r>
        <w:rPr>
          <w:rFonts w:ascii="Georgia" w:eastAsia="Calibri" w:hAnsi="Georgia"/>
          <w:iCs/>
          <w:color w:val="404040" w:themeColor="text1" w:themeTint="BF"/>
          <w:sz w:val="20"/>
          <w:szCs w:val="20"/>
        </w:rPr>
        <w:t>The West Raynham 50MWp</w:t>
      </w:r>
      <w:r w:rsidR="002122E3" w:rsidRPr="0014482E">
        <w:rPr>
          <w:rFonts w:ascii="Georgia" w:eastAsia="Calibri" w:hAnsi="Georgia"/>
          <w:iCs/>
          <w:color w:val="404040" w:themeColor="text1" w:themeTint="BF"/>
          <w:sz w:val="20"/>
          <w:szCs w:val="20"/>
        </w:rPr>
        <w:t xml:space="preserve"> solar farm is on the site of an old</w:t>
      </w:r>
      <w:r w:rsidR="006717CA">
        <w:rPr>
          <w:rFonts w:ascii="Georgia" w:eastAsia="Calibri" w:hAnsi="Georgia"/>
          <w:iCs/>
          <w:color w:val="404040" w:themeColor="text1" w:themeTint="BF"/>
          <w:sz w:val="20"/>
          <w:szCs w:val="20"/>
        </w:rPr>
        <w:t xml:space="preserve"> RAF</w:t>
      </w:r>
      <w:r w:rsidR="002122E3" w:rsidRPr="0014482E">
        <w:rPr>
          <w:rFonts w:ascii="Georgia" w:eastAsia="Calibri" w:hAnsi="Georgia"/>
          <w:iCs/>
          <w:color w:val="404040" w:themeColor="text1" w:themeTint="BF"/>
          <w:sz w:val="20"/>
          <w:szCs w:val="20"/>
        </w:rPr>
        <w:t xml:space="preserve"> WWII airbase. When the site lease was extended last year, the Company donated £13K to the RAF West Raynham Heritage Fund in addition to the normal community benefits. This has been used to support various initiatives, including the inception of a visitor hub and preservation of derelict heritage assets.</w:t>
      </w:r>
    </w:p>
    <w:p w14:paraId="64BD3741" w14:textId="77777777" w:rsidR="002122E3" w:rsidRPr="00096B63" w:rsidRDefault="002122E3" w:rsidP="002122E3">
      <w:pPr>
        <w:pStyle w:val="Heading3"/>
        <w:rPr>
          <w:rFonts w:ascii="Georgia" w:eastAsia="Calibri" w:hAnsi="Georgia"/>
          <w:i/>
          <w:color w:val="404040" w:themeColor="text1" w:themeTint="BF"/>
          <w:sz w:val="20"/>
          <w:szCs w:val="20"/>
        </w:rPr>
      </w:pPr>
      <w:r w:rsidRPr="00096B63">
        <w:rPr>
          <w:rFonts w:ascii="Georgia" w:eastAsia="Calibri" w:hAnsi="Georgia"/>
          <w:i/>
          <w:color w:val="404040" w:themeColor="text1" w:themeTint="BF"/>
          <w:sz w:val="20"/>
          <w:szCs w:val="20"/>
        </w:rPr>
        <w:t>Environmental Accreditations</w:t>
      </w:r>
    </w:p>
    <w:p w14:paraId="49FDB54B" w14:textId="77777777" w:rsidR="002122E3" w:rsidRPr="0014482E" w:rsidRDefault="002122E3" w:rsidP="002122E3">
      <w:pPr>
        <w:rPr>
          <w:rFonts w:eastAsia="Calibri"/>
        </w:rPr>
      </w:pPr>
    </w:p>
    <w:p w14:paraId="2520E1AE" w14:textId="77777777" w:rsidR="002122E3" w:rsidRPr="0014482E" w:rsidRDefault="002122E3" w:rsidP="002122E3">
      <w:pPr>
        <w:rPr>
          <w:rFonts w:ascii="Georgia" w:eastAsiaTheme="minorHAnsi" w:hAnsi="Georgia" w:cs="Calibri"/>
          <w:color w:val="404040" w:themeColor="text1" w:themeTint="BF"/>
          <w:sz w:val="20"/>
          <w:szCs w:val="20"/>
          <w:lang w:eastAsia="en-GB"/>
        </w:rPr>
      </w:pPr>
      <w:r w:rsidRPr="0014482E">
        <w:rPr>
          <w:rFonts w:ascii="Georgia" w:eastAsiaTheme="minorHAnsi" w:hAnsi="Georgia" w:cs="Calibri"/>
          <w:color w:val="404040" w:themeColor="text1" w:themeTint="BF"/>
          <w:sz w:val="20"/>
          <w:szCs w:val="20"/>
          <w:lang w:eastAsia="en-GB"/>
        </w:rPr>
        <w:t>In 2019, the Company was awarded the LSE Green Economy Mark and achieved Guernsey Green Fund status.</w:t>
      </w:r>
    </w:p>
    <w:p w14:paraId="7AFFF7B8" w14:textId="77777777" w:rsidR="002122E3" w:rsidRPr="00090986" w:rsidRDefault="002122E3" w:rsidP="002122E3">
      <w:pPr>
        <w:pStyle w:val="paragraph"/>
        <w:spacing w:before="0"/>
        <w:jc w:val="both"/>
        <w:textAlignment w:val="baseline"/>
        <w:rPr>
          <w:rFonts w:ascii="Georgia" w:eastAsia="Calibri" w:hAnsi="Georgia"/>
          <w:b/>
          <w:color w:val="404040" w:themeColor="text1" w:themeTint="BF"/>
          <w:sz w:val="20"/>
          <w:szCs w:val="20"/>
        </w:rPr>
      </w:pPr>
    </w:p>
    <w:p w14:paraId="7CEC78C4" w14:textId="398B1FDF" w:rsidR="00776024" w:rsidRDefault="00776024" w:rsidP="00776024">
      <w:pPr>
        <w:pStyle w:val="ListParagraph"/>
        <w:autoSpaceDE w:val="0"/>
        <w:autoSpaceDN w:val="0"/>
        <w:adjustRightInd w:val="0"/>
        <w:jc w:val="both"/>
        <w:rPr>
          <w:rFonts w:ascii="Georgia" w:hAnsi="Georgia" w:cs="Calibri"/>
          <w:color w:val="404040" w:themeColor="text1" w:themeTint="BF"/>
          <w:sz w:val="20"/>
        </w:rPr>
      </w:pPr>
    </w:p>
    <w:p w14:paraId="29527678" w14:textId="77777777" w:rsidR="005C3886" w:rsidRDefault="005C3886" w:rsidP="00776024">
      <w:pPr>
        <w:pStyle w:val="ListParagraph"/>
        <w:autoSpaceDE w:val="0"/>
        <w:autoSpaceDN w:val="0"/>
        <w:adjustRightInd w:val="0"/>
        <w:jc w:val="both"/>
        <w:rPr>
          <w:rFonts w:ascii="Georgia" w:hAnsi="Georgia" w:cs="Calibri"/>
          <w:color w:val="404040" w:themeColor="text1" w:themeTint="BF"/>
          <w:sz w:val="20"/>
        </w:rPr>
      </w:pPr>
    </w:p>
    <w:p w14:paraId="5592C2EB" w14:textId="0C3E9672"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581E5A72" w14:textId="456F22A4"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5390D607" w14:textId="77777777" w:rsidR="00B736AB" w:rsidRDefault="00B736AB" w:rsidP="00776024">
      <w:pPr>
        <w:pStyle w:val="ListParagraph"/>
        <w:autoSpaceDE w:val="0"/>
        <w:autoSpaceDN w:val="0"/>
        <w:adjustRightInd w:val="0"/>
        <w:jc w:val="both"/>
        <w:rPr>
          <w:rFonts w:ascii="Georgia" w:hAnsi="Georgia" w:cs="Calibri"/>
          <w:color w:val="404040" w:themeColor="text1" w:themeTint="BF"/>
          <w:sz w:val="20"/>
        </w:rPr>
      </w:pPr>
    </w:p>
    <w:p w14:paraId="5BF45E84" w14:textId="5BB2A81D"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6FE84C94" w14:textId="4878A323"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5717455D" w14:textId="6DE9EEAF"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7E04A5D7" w14:textId="77777777" w:rsidR="002122E3" w:rsidRPr="00FB7D45" w:rsidRDefault="002122E3" w:rsidP="002122E3">
      <w:pPr>
        <w:pStyle w:val="Heading2"/>
        <w:spacing w:before="0"/>
      </w:pPr>
      <w:r w:rsidRPr="00FB7D45">
        <w:lastRenderedPageBreak/>
        <w:t>Strategic Report (continued)</w:t>
      </w:r>
    </w:p>
    <w:p w14:paraId="135B2796" w14:textId="77777777" w:rsidR="002122E3" w:rsidRPr="00FB7D45" w:rsidRDefault="002122E3" w:rsidP="002122E3">
      <w:pPr>
        <w:pStyle w:val="ListParagraph"/>
        <w:ind w:left="360"/>
        <w:rPr>
          <w:rFonts w:ascii="Georgia" w:hAnsi="Georgia" w:cs="Calibri"/>
          <w:b/>
          <w:color w:val="404040" w:themeColor="text1" w:themeTint="BF"/>
          <w:sz w:val="20"/>
        </w:rPr>
      </w:pPr>
    </w:p>
    <w:p w14:paraId="2B0A7059" w14:textId="1E04145B" w:rsidR="002122E3" w:rsidRPr="00FB7D45" w:rsidRDefault="00DF64D0" w:rsidP="002122E3">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2122E3" w:rsidRPr="00FB7D45">
        <w:rPr>
          <w:rFonts w:ascii="Georgia" w:hAnsi="Georgia" w:cs="Calibri"/>
          <w:b/>
          <w:color w:val="404040" w:themeColor="text1" w:themeTint="BF"/>
          <w:sz w:val="20"/>
        </w:rPr>
        <w:t xml:space="preserve">. </w:t>
      </w:r>
      <w:r w:rsidR="002122E3" w:rsidRPr="00FB7D45">
        <w:rPr>
          <w:rFonts w:ascii="Georgia" w:hAnsi="Georgia" w:cs="Calibri"/>
          <w:b/>
          <w:color w:val="404040" w:themeColor="text1" w:themeTint="BF"/>
          <w:sz w:val="20"/>
        </w:rPr>
        <w:tab/>
      </w:r>
      <w:r w:rsidR="002122E3">
        <w:rPr>
          <w:rFonts w:ascii="Georgia" w:hAnsi="Georgia" w:cs="Calibri"/>
          <w:b/>
          <w:color w:val="404040" w:themeColor="text1" w:themeTint="BF"/>
          <w:sz w:val="20"/>
        </w:rPr>
        <w:t>Environmental, Social and Governance</w:t>
      </w:r>
      <w:r w:rsidR="002122E3" w:rsidRPr="00FB7D45">
        <w:rPr>
          <w:rFonts w:ascii="Georgia" w:hAnsi="Georgia" w:cs="Calibri"/>
          <w:b/>
          <w:color w:val="404040" w:themeColor="text1" w:themeTint="BF"/>
          <w:sz w:val="20"/>
        </w:rPr>
        <w:t xml:space="preserve"> (continued)</w:t>
      </w:r>
    </w:p>
    <w:p w14:paraId="413BC511" w14:textId="4A6E0045" w:rsidR="002122E3" w:rsidRDefault="002122E3" w:rsidP="002122E3">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w:t>
      </w:r>
    </w:p>
    <w:p w14:paraId="435EA1AB" w14:textId="4FF18EB2" w:rsidR="002122E3" w:rsidRDefault="002122E3" w:rsidP="002122E3">
      <w:pPr>
        <w:autoSpaceDE w:val="0"/>
        <w:autoSpaceDN w:val="0"/>
        <w:adjustRightInd w:val="0"/>
        <w:jc w:val="both"/>
        <w:rPr>
          <w:rFonts w:ascii="Georgia" w:eastAsia="Calibri" w:hAnsi="Georgia"/>
          <w:color w:val="404040" w:themeColor="text1" w:themeTint="BF"/>
          <w:sz w:val="20"/>
          <w:szCs w:val="20"/>
        </w:rPr>
      </w:pPr>
    </w:p>
    <w:p w14:paraId="38772DEE" w14:textId="28FE147F" w:rsidR="00BE5ADF" w:rsidRDefault="00BE5ADF" w:rsidP="00BE5ADF">
      <w:pPr>
        <w:pStyle w:val="BluefieldBody"/>
      </w:pPr>
      <w:r w:rsidRPr="008A4930">
        <w:t xml:space="preserve">The </w:t>
      </w:r>
      <w:r>
        <w:t>Board</w:t>
      </w:r>
      <w:r w:rsidRPr="008A4930">
        <w:t xml:space="preserve"> recognise</w:t>
      </w:r>
      <w:r w:rsidR="00793E4F">
        <w:t>s</w:t>
      </w:r>
      <w:r w:rsidRPr="008A4930">
        <w:t xml:space="preserve"> the importance of sound corporate governance, particularly the requirements of the </w:t>
      </w:r>
      <w:r w:rsidRPr="00C03451">
        <w:t>AIC Code</w:t>
      </w:r>
      <w:r>
        <w:t xml:space="preserve">. The Company is currently complying with the new AIC code effective 1 January 2019. </w:t>
      </w:r>
    </w:p>
    <w:p w14:paraId="4F29D1C3" w14:textId="77777777" w:rsidR="00BE5ADF" w:rsidRDefault="00BE5ADF" w:rsidP="00BE5ADF">
      <w:pPr>
        <w:pStyle w:val="BluefieldBody"/>
      </w:pPr>
    </w:p>
    <w:p w14:paraId="1260F890" w14:textId="62F4AAE4" w:rsidR="00BE5ADF" w:rsidRDefault="00BE5ADF" w:rsidP="00BE5ADF">
      <w:pPr>
        <w:pStyle w:val="BluefieldBody"/>
      </w:pPr>
      <w:r w:rsidRPr="008A4930">
        <w:t xml:space="preserve">The Company </w:t>
      </w:r>
      <w:r>
        <w:t>has been</w:t>
      </w:r>
      <w:r w:rsidRPr="008A4930">
        <w:t xml:space="preserve"> a member of the </w:t>
      </w:r>
      <w:r w:rsidRPr="00C03451">
        <w:t>AIC</w:t>
      </w:r>
      <w:r w:rsidRPr="008A4930">
        <w:t xml:space="preserve"> </w:t>
      </w:r>
      <w:r>
        <w:t>since</w:t>
      </w:r>
      <w:r w:rsidRPr="008A4930">
        <w:t xml:space="preserve"> </w:t>
      </w:r>
      <w:r>
        <w:t>15</w:t>
      </w:r>
      <w:r w:rsidRPr="008A4930">
        <w:t xml:space="preserve"> </w:t>
      </w:r>
      <w:r>
        <w:t>July</w:t>
      </w:r>
      <w:r w:rsidRPr="008A4930">
        <w:t xml:space="preserve"> 2013. The </w:t>
      </w:r>
      <w:r>
        <w:t>Board has</w:t>
      </w:r>
      <w:r w:rsidRPr="008A4930">
        <w:t xml:space="preserve"> considered the principles and </w:t>
      </w:r>
      <w:r>
        <w:t>provisions</w:t>
      </w:r>
      <w:r w:rsidRPr="008A4930">
        <w:t xml:space="preserve"> of the AIC Code.</w:t>
      </w:r>
      <w:r>
        <w:t xml:space="preserve"> </w:t>
      </w:r>
      <w:r w:rsidRPr="008A4930">
        <w:t>The AIC Code</w:t>
      </w:r>
      <w:r>
        <w:t xml:space="preserve"> </w:t>
      </w:r>
      <w:r w:rsidRPr="008A4930">
        <w:t xml:space="preserve">provides a ‘comply or explain’ code of corporate governance and addresses all the principles set out in the </w:t>
      </w:r>
      <w:r w:rsidRPr="00C03451">
        <w:t>UK Code</w:t>
      </w:r>
      <w:r w:rsidRPr="008A4930">
        <w:t xml:space="preserve"> as well as setting out additional principles and recommendations on issues that are of specific relevance to </w:t>
      </w:r>
      <w:r>
        <w:t>investment</w:t>
      </w:r>
      <w:r w:rsidRPr="008A4930">
        <w:t xml:space="preserve"> companies such as the Company. The Board considers that reporting against the principles and recommendations of the AIC Code provides better information to </w:t>
      </w:r>
      <w:r w:rsidR="002F417D">
        <w:t>S</w:t>
      </w:r>
      <w:r w:rsidRPr="008A4930">
        <w:t>hareholders.</w:t>
      </w:r>
    </w:p>
    <w:p w14:paraId="2D2C742C" w14:textId="77777777" w:rsidR="00BE5ADF" w:rsidRDefault="00BE5ADF" w:rsidP="00BE5ADF">
      <w:pPr>
        <w:pStyle w:val="BluefieldBody"/>
      </w:pPr>
    </w:p>
    <w:p w14:paraId="1D7176E1" w14:textId="77777777" w:rsidR="00BE5ADF" w:rsidRDefault="00BE5ADF" w:rsidP="00BE5ADF">
      <w:pPr>
        <w:pStyle w:val="BluefieldBody"/>
      </w:pPr>
      <w:r w:rsidRPr="00562B2D">
        <w:t xml:space="preserve">The GFSC </w:t>
      </w:r>
      <w:r>
        <w:t xml:space="preserve">issued a </w:t>
      </w:r>
      <w:r w:rsidRPr="00C03451">
        <w:t>Guernsey Code</w:t>
      </w:r>
      <w:r w:rsidRPr="00562B2D">
        <w:t xml:space="preserve"> </w:t>
      </w:r>
      <w:r>
        <w:t>which came into effect on 1 January 2012</w:t>
      </w:r>
      <w:r w:rsidRPr="00562B2D">
        <w:t xml:space="preserve">. The introduction to the Guernsey Code states that “Companies which report against the UK Code or the </w:t>
      </w:r>
      <w:r>
        <w:t>AIC</w:t>
      </w:r>
      <w:r w:rsidRPr="00562B2D">
        <w:t xml:space="preserve"> Code of Corporate Governance are also deemed to meet this Code”. Therefore, AIC members which are Guernsey-domiciled and which report against the AIC Code are not required to report separately against the Guernsey Code.</w:t>
      </w:r>
    </w:p>
    <w:p w14:paraId="24EA66BD" w14:textId="77777777" w:rsidR="00BE5ADF" w:rsidRDefault="00BE5ADF" w:rsidP="00BE5ADF">
      <w:pPr>
        <w:pStyle w:val="BluefieldBody"/>
      </w:pPr>
    </w:p>
    <w:p w14:paraId="4F7421B3" w14:textId="77777777" w:rsidR="00BE5ADF" w:rsidRDefault="00BE5ADF" w:rsidP="00BE5ADF">
      <w:pPr>
        <w:pStyle w:val="BluefieldBody"/>
      </w:pPr>
      <w:r>
        <w:t>The AIC Code is available on the AIC’s website (</w:t>
      </w:r>
      <w:r w:rsidRPr="00E42A95">
        <w:t>www.theaic.co.uk</w:t>
      </w:r>
      <w:r>
        <w:t xml:space="preserve">). The UK Code is available from the FRC’s website </w:t>
      </w:r>
      <w:r w:rsidRPr="00843748">
        <w:t>(</w:t>
      </w:r>
      <w:hyperlink r:id="rId27" w:history="1">
        <w:r w:rsidRPr="00F6422A">
          <w:rPr>
            <w:u w:val="single"/>
          </w:rPr>
          <w:t>www.frc.org.uk</w:t>
        </w:r>
      </w:hyperlink>
      <w:r w:rsidRPr="00843748">
        <w:t xml:space="preserve">). </w:t>
      </w:r>
      <w:r>
        <w:t>The Guernsey code is available from the GFSC’s website (</w:t>
      </w:r>
      <w:r w:rsidRPr="00B5139C">
        <w:rPr>
          <w:u w:val="single"/>
        </w:rPr>
        <w:t>www.gfsc.gg</w:t>
      </w:r>
      <w:r>
        <w:t>).</w:t>
      </w:r>
    </w:p>
    <w:p w14:paraId="353D9CFB" w14:textId="77777777" w:rsidR="00BE5ADF" w:rsidRDefault="00BE5ADF" w:rsidP="00BE5ADF">
      <w:pPr>
        <w:pStyle w:val="BluefieldBody"/>
      </w:pPr>
    </w:p>
    <w:p w14:paraId="17BC1191" w14:textId="77777777" w:rsidR="00BE5ADF" w:rsidRDefault="00BE5ADF" w:rsidP="00BE5ADF">
      <w:pPr>
        <w:pStyle w:val="BluefieldBody"/>
      </w:pPr>
      <w:r>
        <w:t>Throughout the year ended 30 June 2020, the Company has complied with the provisions of the AIC Code and the provisions of the UK Code, except to the extent highlighted below.</w:t>
      </w:r>
    </w:p>
    <w:p w14:paraId="24FAACFD" w14:textId="77777777" w:rsidR="00BE5ADF" w:rsidRDefault="00BE5ADF" w:rsidP="00BE5ADF">
      <w:pPr>
        <w:pStyle w:val="BluefieldBody"/>
      </w:pPr>
    </w:p>
    <w:p w14:paraId="3FCB1A10" w14:textId="302CA15B" w:rsidR="00BE5ADF" w:rsidRDefault="00BE5ADF" w:rsidP="00BE5ADF">
      <w:pPr>
        <w:pStyle w:val="BluefieldBody"/>
        <w:rPr>
          <w:lang w:eastAsia="en-GB"/>
        </w:rPr>
      </w:pPr>
      <w:r>
        <w:rPr>
          <w:lang w:eastAsia="en-GB"/>
        </w:rPr>
        <w:t>Provision A.2.1 of the UK Code</w:t>
      </w:r>
      <w:r w:rsidRPr="00677A25">
        <w:rPr>
          <w:lang w:eastAsia="en-GB"/>
        </w:rPr>
        <w:t xml:space="preserve"> </w:t>
      </w:r>
      <w:r>
        <w:rPr>
          <w:lang w:eastAsia="en-GB"/>
        </w:rPr>
        <w:t>requires a chief executive to be appointed, however, a</w:t>
      </w:r>
      <w:r w:rsidRPr="00677A25">
        <w:rPr>
          <w:lang w:eastAsia="en-GB"/>
        </w:rPr>
        <w:t xml:space="preserve">s an investment company, the Company has no employees and therefore </w:t>
      </w:r>
      <w:r>
        <w:rPr>
          <w:lang w:eastAsia="en-GB"/>
        </w:rPr>
        <w:t xml:space="preserve">has </w:t>
      </w:r>
      <w:r w:rsidRPr="00677A25">
        <w:rPr>
          <w:lang w:eastAsia="en-GB"/>
        </w:rPr>
        <w:t xml:space="preserve">no requirement for a chief executive. </w:t>
      </w:r>
      <w:r>
        <w:rPr>
          <w:lang w:eastAsia="en-GB"/>
        </w:rPr>
        <w:t>As all the Directors</w:t>
      </w:r>
      <w:r w:rsidR="008D4EEF">
        <w:rPr>
          <w:lang w:eastAsia="en-GB"/>
        </w:rPr>
        <w:t>,</w:t>
      </w:r>
      <w:r>
        <w:rPr>
          <w:lang w:eastAsia="en-GB"/>
        </w:rPr>
        <w:t xml:space="preserve"> including the</w:t>
      </w:r>
      <w:r w:rsidRPr="00677A25">
        <w:rPr>
          <w:lang w:eastAsia="en-GB"/>
        </w:rPr>
        <w:t xml:space="preserve"> </w:t>
      </w:r>
      <w:r>
        <w:rPr>
          <w:lang w:eastAsia="en-GB"/>
        </w:rPr>
        <w:t>Chairman</w:t>
      </w:r>
      <w:r w:rsidR="008D4EEF">
        <w:rPr>
          <w:lang w:eastAsia="en-GB"/>
        </w:rPr>
        <w:t>,</w:t>
      </w:r>
      <w:r>
        <w:rPr>
          <w:lang w:eastAsia="en-GB"/>
        </w:rPr>
        <w:t xml:space="preserve"> are</w:t>
      </w:r>
      <w:r w:rsidRPr="00677A25">
        <w:rPr>
          <w:lang w:eastAsia="en-GB"/>
        </w:rPr>
        <w:t xml:space="preserve"> non-executive </w:t>
      </w:r>
      <w:r>
        <w:rPr>
          <w:lang w:eastAsia="en-GB"/>
        </w:rPr>
        <w:t>and</w:t>
      </w:r>
      <w:r w:rsidRPr="00677A25">
        <w:rPr>
          <w:lang w:eastAsia="en-GB"/>
        </w:rPr>
        <w:t xml:space="preserve"> independent </w:t>
      </w:r>
      <w:r>
        <w:rPr>
          <w:lang w:eastAsia="en-GB"/>
        </w:rPr>
        <w:t xml:space="preserve">of the Investment Adviser, the Company has not established a nomination committee, </w:t>
      </w:r>
      <w:r w:rsidRPr="00677A25">
        <w:rPr>
          <w:lang w:eastAsia="en-GB"/>
        </w:rPr>
        <w:t>remuneration committee</w:t>
      </w:r>
      <w:r>
        <w:rPr>
          <w:lang w:eastAsia="en-GB"/>
        </w:rPr>
        <w:t xml:space="preserve"> or a management engagement committee, which is not in accordance with provisions B.2.1 and D.2.1 of the UK Code, and Principle 7 of the AIC Code respectively</w:t>
      </w:r>
      <w:r w:rsidRPr="00677A25">
        <w:rPr>
          <w:lang w:eastAsia="en-GB"/>
        </w:rPr>
        <w:t xml:space="preserve">. </w:t>
      </w:r>
      <w:r>
        <w:rPr>
          <w:lang w:eastAsia="en-GB"/>
        </w:rPr>
        <w:t xml:space="preserve">The Board is satisfied that as a whole, any relevant issues can be properly considered by the Board. </w:t>
      </w:r>
      <w:r w:rsidRPr="00677A25">
        <w:rPr>
          <w:lang w:eastAsia="en-GB"/>
        </w:rPr>
        <w:t xml:space="preserve">The absence of an internal audit function is discussed in the Report of the Audit Committee </w:t>
      </w:r>
      <w:r w:rsidRPr="00B20DAA">
        <w:rPr>
          <w:lang w:eastAsia="en-GB"/>
        </w:rPr>
        <w:t xml:space="preserve">on page </w:t>
      </w:r>
      <w:r w:rsidR="001B3CD4">
        <w:rPr>
          <w:lang w:eastAsia="en-GB"/>
        </w:rPr>
        <w:t>93</w:t>
      </w:r>
      <w:r w:rsidRPr="003766E0">
        <w:rPr>
          <w:lang w:eastAsia="en-GB"/>
        </w:rPr>
        <w:t>.</w:t>
      </w:r>
    </w:p>
    <w:p w14:paraId="6DB39B78" w14:textId="77777777" w:rsidR="00BE5ADF" w:rsidRDefault="00BE5ADF" w:rsidP="00BE5ADF">
      <w:pPr>
        <w:pStyle w:val="BluefieldBody"/>
        <w:rPr>
          <w:lang w:eastAsia="en-GB"/>
        </w:rPr>
      </w:pPr>
    </w:p>
    <w:p w14:paraId="1E604B9F" w14:textId="3A7D069D" w:rsidR="00BE5ADF" w:rsidRPr="00E85EF6" w:rsidRDefault="00BE5ADF" w:rsidP="00BE5ADF">
      <w:pPr>
        <w:autoSpaceDE w:val="0"/>
        <w:autoSpaceDN w:val="0"/>
        <w:adjustRightInd w:val="0"/>
        <w:jc w:val="both"/>
        <w:rPr>
          <w:rFonts w:cs="Calibri"/>
        </w:rPr>
      </w:pPr>
      <w:r w:rsidRPr="00E85EF6">
        <w:rPr>
          <w:rFonts w:ascii="Georgia" w:hAnsi="Georgia" w:cs="Calibri"/>
          <w:color w:val="404040" w:themeColor="text1" w:themeTint="BF"/>
          <w:sz w:val="20"/>
        </w:rPr>
        <w:t xml:space="preserve">The Board monitors developments in corporate governance to ensure the Board remains aligned with best practice, especially with respect to the increased focus on diversity. The Board acknowledges the importance of diversity, including </w:t>
      </w:r>
      <w:r>
        <w:rPr>
          <w:rFonts w:ascii="Georgia" w:hAnsi="Georgia" w:cs="Calibri"/>
          <w:color w:val="404040" w:themeColor="text1" w:themeTint="BF"/>
          <w:sz w:val="20"/>
        </w:rPr>
        <w:t>gender (as stated in Principle 7</w:t>
      </w:r>
      <w:r w:rsidRPr="00E85EF6">
        <w:rPr>
          <w:rFonts w:ascii="Georgia" w:hAnsi="Georgia" w:cs="Calibri"/>
          <w:color w:val="404040" w:themeColor="text1" w:themeTint="BF"/>
          <w:sz w:val="20"/>
        </w:rPr>
        <w:t xml:space="preserve"> of the AIC Code), for the effective functioning of the Board and commits to supporting diversity in the </w:t>
      </w:r>
      <w:r>
        <w:rPr>
          <w:rFonts w:ascii="Georgia" w:hAnsi="Georgia" w:cs="Calibri"/>
          <w:color w:val="404040" w:themeColor="text1" w:themeTint="BF"/>
          <w:sz w:val="20"/>
        </w:rPr>
        <w:t>boardroom. It is the Board’s ongoing aspiration to have</w:t>
      </w:r>
      <w:r w:rsidRPr="00E85EF6">
        <w:rPr>
          <w:rFonts w:ascii="Georgia" w:hAnsi="Georgia" w:cs="Calibri"/>
          <w:color w:val="404040" w:themeColor="text1" w:themeTint="BF"/>
          <w:sz w:val="20"/>
        </w:rPr>
        <w:t xml:space="preserve"> well-diversified representation</w:t>
      </w:r>
      <w:r>
        <w:rPr>
          <w:rFonts w:ascii="Georgia" w:hAnsi="Georgia" w:cs="Calibri"/>
          <w:color w:val="404040" w:themeColor="text1" w:themeTint="BF"/>
          <w:sz w:val="20"/>
        </w:rPr>
        <w:t xml:space="preserve"> and it continues to value d</w:t>
      </w:r>
      <w:r w:rsidRPr="00E85EF6">
        <w:rPr>
          <w:rFonts w:ascii="Georgia" w:hAnsi="Georgia" w:cs="Calibri"/>
          <w:color w:val="404040" w:themeColor="text1" w:themeTint="BF"/>
          <w:sz w:val="20"/>
        </w:rPr>
        <w:t>irectors with diverse skill sets, capabilities and experience gained from different geographical and professional backgrounds</w:t>
      </w:r>
      <w:r w:rsidR="008B19DA">
        <w:rPr>
          <w:rFonts w:ascii="Georgia" w:hAnsi="Georgia" w:cs="Calibri"/>
          <w:color w:val="404040" w:themeColor="text1" w:themeTint="BF"/>
          <w:sz w:val="20"/>
        </w:rPr>
        <w:t xml:space="preserve"> that</w:t>
      </w:r>
      <w:r w:rsidRPr="00E85EF6">
        <w:rPr>
          <w:rFonts w:ascii="Georgia" w:hAnsi="Georgia" w:cs="Calibri"/>
          <w:color w:val="404040" w:themeColor="text1" w:themeTint="BF"/>
          <w:sz w:val="20"/>
        </w:rPr>
        <w:t xml:space="preserve"> enhance the Board by bringing a wide range of perspectives to the Company. The Board is satisfied with the current composition and functioning of its members. </w:t>
      </w:r>
    </w:p>
    <w:p w14:paraId="00FC164A" w14:textId="10C2B070" w:rsidR="002122E3" w:rsidRDefault="002122E3" w:rsidP="002122E3">
      <w:pPr>
        <w:autoSpaceDE w:val="0"/>
        <w:autoSpaceDN w:val="0"/>
        <w:adjustRightInd w:val="0"/>
        <w:jc w:val="both"/>
        <w:rPr>
          <w:rFonts w:ascii="Georgia" w:hAnsi="Georgia" w:cs="Calibri"/>
          <w:color w:val="404040" w:themeColor="text1" w:themeTint="BF"/>
          <w:sz w:val="20"/>
        </w:rPr>
      </w:pPr>
    </w:p>
    <w:p w14:paraId="54705C5D" w14:textId="77777777" w:rsidR="00BE5ADF" w:rsidRPr="0079653A" w:rsidRDefault="00BE5ADF" w:rsidP="00BE5ADF">
      <w:pPr>
        <w:rPr>
          <w:rFonts w:ascii="Georgia" w:hAnsi="Georgia" w:cs="Calibri"/>
          <w:b/>
          <w:color w:val="404040" w:themeColor="text1" w:themeTint="BF"/>
          <w:sz w:val="20"/>
        </w:rPr>
      </w:pPr>
      <w:r w:rsidRPr="0079653A">
        <w:rPr>
          <w:rFonts w:ascii="Georgia" w:hAnsi="Georgia" w:cs="Calibri"/>
          <w:b/>
          <w:color w:val="404040" w:themeColor="text1" w:themeTint="BF"/>
          <w:sz w:val="20"/>
        </w:rPr>
        <w:t>The Board</w:t>
      </w:r>
    </w:p>
    <w:p w14:paraId="75942C1B" w14:textId="77777777" w:rsidR="00BE5ADF" w:rsidRDefault="00BE5ADF" w:rsidP="00BE5ADF"/>
    <w:p w14:paraId="506CFD38" w14:textId="3CBD976C" w:rsidR="00BE5ADF" w:rsidRDefault="00BE5ADF" w:rsidP="00BE5ADF">
      <w:pPr>
        <w:pStyle w:val="BluefieldBody"/>
      </w:pPr>
      <w:r w:rsidRPr="00B075DD">
        <w:t xml:space="preserve">The Directors’ </w:t>
      </w:r>
      <w:r>
        <w:t>biographies are provided</w:t>
      </w:r>
      <w:r w:rsidRPr="00B075DD">
        <w:t xml:space="preserve"> on </w:t>
      </w:r>
      <w:r w:rsidRPr="00B20DAA">
        <w:t>page</w:t>
      </w:r>
      <w:r>
        <w:t>s</w:t>
      </w:r>
      <w:r w:rsidRPr="00B20DAA">
        <w:t xml:space="preserve"> </w:t>
      </w:r>
      <w:r w:rsidR="001B3CD4" w:rsidRPr="001B3CD4">
        <w:t>86 and 87</w:t>
      </w:r>
      <w:r w:rsidRPr="00B075DD">
        <w:t xml:space="preserve"> </w:t>
      </w:r>
      <w:r>
        <w:t xml:space="preserve">which </w:t>
      </w:r>
      <w:r w:rsidRPr="00B075DD">
        <w:t>set out the range of investment, financial and business skills and experience represented.</w:t>
      </w:r>
    </w:p>
    <w:p w14:paraId="003B3F77" w14:textId="77777777" w:rsidR="00BE5ADF" w:rsidRDefault="00BE5ADF" w:rsidP="00BE5ADF">
      <w:pPr>
        <w:pStyle w:val="BluefieldBody"/>
      </w:pPr>
    </w:p>
    <w:p w14:paraId="7BFE5DD7" w14:textId="77777777" w:rsidR="00BE5ADF" w:rsidRDefault="00BE5ADF" w:rsidP="00BE5ADF">
      <w:pPr>
        <w:pStyle w:val="BluefieldBody"/>
      </w:pPr>
      <w:r w:rsidRPr="00B075DD">
        <w:t>John Rennocks, John Scott and Paul Le Page</w:t>
      </w:r>
      <w:r>
        <w:t xml:space="preserve"> were appointed on 12 June 2013, </w:t>
      </w:r>
      <w:r w:rsidRPr="00B075DD">
        <w:t>Laurence Mc</w:t>
      </w:r>
      <w:r>
        <w:t xml:space="preserve">Nairn was appointed 1 July 2013 and </w:t>
      </w:r>
      <w:r w:rsidRPr="00D74E1C">
        <w:t xml:space="preserve">Meriel Lenfestey was appointed on 1 April </w:t>
      </w:r>
      <w:r>
        <w:t>2019</w:t>
      </w:r>
      <w:r w:rsidRPr="00D74E1C">
        <w:t>.</w:t>
      </w:r>
      <w:r w:rsidRPr="00B075DD">
        <w:t xml:space="preserve"> </w:t>
      </w:r>
      <w:r>
        <w:t>The Board appointed John Scott as S</w:t>
      </w:r>
      <w:r w:rsidRPr="00D74E1C">
        <w:t xml:space="preserve">enior Independent Director effective from 10 December 2013 to fulfil any function that is deemed inappropriate for the Chairman to perform. </w:t>
      </w:r>
    </w:p>
    <w:p w14:paraId="6863085A" w14:textId="77777777" w:rsidR="00BE5ADF" w:rsidRDefault="00BE5ADF" w:rsidP="00BE5ADF">
      <w:pPr>
        <w:pStyle w:val="BluefieldBody"/>
      </w:pPr>
    </w:p>
    <w:p w14:paraId="26CD79E0" w14:textId="77777777" w:rsidR="00BE5ADF" w:rsidRDefault="00BE5ADF" w:rsidP="00BE5ADF">
      <w:pPr>
        <w:pStyle w:val="BluefieldBody"/>
      </w:pPr>
    </w:p>
    <w:p w14:paraId="6CCC6FA1" w14:textId="77777777" w:rsidR="00BE5ADF" w:rsidRDefault="00BE5ADF" w:rsidP="00BE5ADF">
      <w:pPr>
        <w:pStyle w:val="BluefieldBody"/>
      </w:pPr>
    </w:p>
    <w:p w14:paraId="63540BFB" w14:textId="77777777" w:rsidR="00BE5ADF" w:rsidRPr="00FB7D45" w:rsidRDefault="00BE5ADF" w:rsidP="00BE5ADF">
      <w:pPr>
        <w:pStyle w:val="Heading2"/>
        <w:spacing w:before="0"/>
      </w:pPr>
      <w:r w:rsidRPr="00FB7D45">
        <w:lastRenderedPageBreak/>
        <w:t>Strategic Report (continued)</w:t>
      </w:r>
    </w:p>
    <w:p w14:paraId="2A5C9592" w14:textId="77777777" w:rsidR="00BE5ADF" w:rsidRPr="00FB7D45" w:rsidRDefault="00BE5ADF" w:rsidP="00BE5ADF">
      <w:pPr>
        <w:pStyle w:val="ListParagraph"/>
        <w:ind w:left="360"/>
        <w:rPr>
          <w:rFonts w:ascii="Georgia" w:hAnsi="Georgia" w:cs="Calibri"/>
          <w:b/>
          <w:color w:val="404040" w:themeColor="text1" w:themeTint="BF"/>
          <w:sz w:val="20"/>
        </w:rPr>
      </w:pPr>
    </w:p>
    <w:p w14:paraId="3CE2BF68" w14:textId="6C32E294" w:rsidR="00BE5ADF" w:rsidRPr="00FB7D45" w:rsidRDefault="00DF64D0" w:rsidP="00BE5ADF">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BE5ADF" w:rsidRPr="00FB7D45">
        <w:rPr>
          <w:rFonts w:ascii="Georgia" w:hAnsi="Georgia" w:cs="Calibri"/>
          <w:b/>
          <w:color w:val="404040" w:themeColor="text1" w:themeTint="BF"/>
          <w:sz w:val="20"/>
        </w:rPr>
        <w:t xml:space="preserve">. </w:t>
      </w:r>
      <w:r w:rsidR="00BE5ADF" w:rsidRPr="00FB7D45">
        <w:rPr>
          <w:rFonts w:ascii="Georgia" w:hAnsi="Georgia" w:cs="Calibri"/>
          <w:b/>
          <w:color w:val="404040" w:themeColor="text1" w:themeTint="BF"/>
          <w:sz w:val="20"/>
        </w:rPr>
        <w:tab/>
      </w:r>
      <w:r w:rsidR="00BE5ADF">
        <w:rPr>
          <w:rFonts w:ascii="Georgia" w:hAnsi="Georgia" w:cs="Calibri"/>
          <w:b/>
          <w:color w:val="404040" w:themeColor="text1" w:themeTint="BF"/>
          <w:sz w:val="20"/>
        </w:rPr>
        <w:t>Environmental, Social and Governance</w:t>
      </w:r>
      <w:r w:rsidR="00BE5ADF" w:rsidRPr="00FB7D45">
        <w:rPr>
          <w:rFonts w:ascii="Georgia" w:hAnsi="Georgia" w:cs="Calibri"/>
          <w:b/>
          <w:color w:val="404040" w:themeColor="text1" w:themeTint="BF"/>
          <w:sz w:val="20"/>
        </w:rPr>
        <w:t xml:space="preserve"> (continued)</w:t>
      </w:r>
    </w:p>
    <w:p w14:paraId="61A21F15" w14:textId="7BB9C462" w:rsidR="00BE5ADF" w:rsidRDefault="00BE5ADF" w:rsidP="00BE5ADF">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20AFDDBD" w14:textId="6772D81F" w:rsidR="00BE5ADF" w:rsidRDefault="00BE5ADF" w:rsidP="00BE5ADF">
      <w:pPr>
        <w:autoSpaceDE w:val="0"/>
        <w:autoSpaceDN w:val="0"/>
        <w:adjustRightInd w:val="0"/>
        <w:jc w:val="both"/>
        <w:rPr>
          <w:rFonts w:ascii="Georgia" w:eastAsia="Calibri" w:hAnsi="Georgia"/>
          <w:b/>
          <w:color w:val="404040" w:themeColor="text1" w:themeTint="BF"/>
          <w:sz w:val="20"/>
          <w:szCs w:val="20"/>
        </w:rPr>
      </w:pPr>
    </w:p>
    <w:p w14:paraId="3A4447AD" w14:textId="50BDD6DC" w:rsidR="00BE5ADF" w:rsidRDefault="00BE5ADF" w:rsidP="00BE5ADF">
      <w:pPr>
        <w:pStyle w:val="BluefieldBody"/>
      </w:pPr>
      <w:r w:rsidRPr="003033DD">
        <w:t>All Directors shall retire and submit</w:t>
      </w:r>
      <w:r>
        <w:t xml:space="preserve"> themselves for re-election at each AGM</w:t>
      </w:r>
      <w:r w:rsidRPr="003033DD">
        <w:t xml:space="preserve"> of the Company</w:t>
      </w:r>
      <w:r w:rsidR="00B92CA7">
        <w:t>;</w:t>
      </w:r>
      <w:r>
        <w:t xml:space="preserve"> the next AGM is due to take </w:t>
      </w:r>
      <w:r w:rsidRPr="002F26A8">
        <w:t>place on 26 November 2020.</w:t>
      </w:r>
      <w:r w:rsidRPr="00985962">
        <w:t xml:space="preserve"> </w:t>
      </w:r>
    </w:p>
    <w:p w14:paraId="17F77801" w14:textId="1E75A38D" w:rsidR="006B2B35" w:rsidRDefault="006B2B35" w:rsidP="002122E3">
      <w:pPr>
        <w:autoSpaceDE w:val="0"/>
        <w:autoSpaceDN w:val="0"/>
        <w:adjustRightInd w:val="0"/>
        <w:jc w:val="both"/>
        <w:rPr>
          <w:rFonts w:ascii="Georgia" w:hAnsi="Georgia" w:cs="Calibri"/>
          <w:color w:val="404040" w:themeColor="text1" w:themeTint="BF"/>
          <w:sz w:val="20"/>
        </w:rPr>
      </w:pPr>
    </w:p>
    <w:p w14:paraId="38CF7A95" w14:textId="77777777" w:rsidR="00BE5ADF" w:rsidRDefault="00BE5ADF" w:rsidP="00BE5ADF">
      <w:pPr>
        <w:pStyle w:val="BluefieldBody"/>
      </w:pPr>
      <w:r w:rsidRPr="00CE7D3F">
        <w:t>Any Director who is elected or re-elected at that meeting is treated as continuing in office throughout. If he is not elected or re-elected, he shall retain office until the end of the meeting or (if earlier) when a resolution is passed to appoint someone in his place or when a resolution to elect or re-elect the Director is put to the meeting and lost.</w:t>
      </w:r>
    </w:p>
    <w:p w14:paraId="0A9E65AC" w14:textId="77777777" w:rsidR="00BE5ADF" w:rsidRDefault="00BE5ADF" w:rsidP="00BE5ADF">
      <w:pPr>
        <w:pStyle w:val="BluefieldBody"/>
      </w:pPr>
    </w:p>
    <w:p w14:paraId="79AF2C28" w14:textId="2749DA49" w:rsidR="00BE5ADF" w:rsidRDefault="00BE5ADF" w:rsidP="00BE5ADF">
      <w:pPr>
        <w:pStyle w:val="BluefieldBody"/>
      </w:pPr>
      <w:r w:rsidRPr="00CE7D3F">
        <w:t xml:space="preserve">The Board </w:t>
      </w:r>
      <w:r>
        <w:t>is</w:t>
      </w:r>
      <w:r w:rsidRPr="00CE7D3F">
        <w:t xml:space="preserve"> of the opinion that members should be re-elected because they believe that they have the right skills and experience to continue to serve the Company.</w:t>
      </w:r>
      <w:r>
        <w:t xml:space="preserve"> As recommended in Principle 7 of the AIC Code, the Board has considered the need for a policy regarding tenure of service. As at 30 June 2020, </w:t>
      </w:r>
      <w:r>
        <w:rPr>
          <w:rFonts w:cs="Calibri"/>
          <w:kern w:val="28"/>
        </w:rPr>
        <w:t>each of the directors had been on the Board for almost seven years, with the exception of Ms Lenfestey who was appointed to</w:t>
      </w:r>
      <w:r w:rsidR="008D4EEF">
        <w:rPr>
          <w:rFonts w:cs="Calibri"/>
          <w:kern w:val="28"/>
        </w:rPr>
        <w:t xml:space="preserve"> the Board in 2019. With regard</w:t>
      </w:r>
      <w:r>
        <w:rPr>
          <w:rFonts w:cs="Calibri"/>
          <w:kern w:val="28"/>
        </w:rPr>
        <w:t xml:space="preserve"> to the nine year tenure limit in terms of independence, a </w:t>
      </w:r>
      <w:r w:rsidR="00717933">
        <w:rPr>
          <w:rFonts w:cs="Calibri"/>
          <w:kern w:val="28"/>
        </w:rPr>
        <w:t xml:space="preserve">partial </w:t>
      </w:r>
      <w:r>
        <w:rPr>
          <w:rFonts w:cs="Calibri"/>
          <w:kern w:val="28"/>
        </w:rPr>
        <w:t>refreshment of the Board is intended to take place at the 2021 AGM.</w:t>
      </w:r>
    </w:p>
    <w:p w14:paraId="503DEEF8" w14:textId="77777777" w:rsidR="00BE5ADF" w:rsidRDefault="00BE5ADF" w:rsidP="00BE5ADF">
      <w:pPr>
        <w:pStyle w:val="BluefieldBody"/>
        <w:rPr>
          <w:rFonts w:asciiTheme="minorHAnsi" w:hAnsiTheme="minorHAnsi"/>
        </w:rPr>
      </w:pPr>
    </w:p>
    <w:p w14:paraId="7305846C" w14:textId="18337637" w:rsidR="00BE5ADF" w:rsidRDefault="00BE5ADF" w:rsidP="00BE5ADF">
      <w:pPr>
        <w:pStyle w:val="BluefieldBody"/>
      </w:pPr>
      <w:r w:rsidRPr="00C55A8B">
        <w:t>The Board meet</w:t>
      </w:r>
      <w:r>
        <w:t>s</w:t>
      </w:r>
      <w:r w:rsidRPr="00C55A8B">
        <w:t xml:space="preserve"> at least four times a year </w:t>
      </w:r>
      <w:r>
        <w:t>in Guernsey</w:t>
      </w:r>
      <w:r w:rsidR="008D4EEF">
        <w:t>,</w:t>
      </w:r>
      <w:r>
        <w:t xml:space="preserve"> with unscheduled meetings held where required to consider investment related or other issues. </w:t>
      </w:r>
      <w:r w:rsidRPr="00C55A8B">
        <w:t xml:space="preserve"> </w:t>
      </w:r>
      <w:r>
        <w:t>I</w:t>
      </w:r>
      <w:r w:rsidRPr="00C55A8B">
        <w:t>n addition, there is regular contact between the Board, the Investment Adviser and the Administrator. Further</w:t>
      </w:r>
      <w:r>
        <w:t>more</w:t>
      </w:r>
      <w:r w:rsidRPr="00C55A8B">
        <w:t>, the Board requires to be supplied in a timely manner with information by the Investment Adviser, the Company Secretary and other advis</w:t>
      </w:r>
      <w:r>
        <w:t>e</w:t>
      </w:r>
      <w:r w:rsidRPr="00C55A8B">
        <w:t xml:space="preserve">rs in a form and of a quality appropriate to enable it to discharge its duties. </w:t>
      </w:r>
    </w:p>
    <w:p w14:paraId="35B60564" w14:textId="77777777" w:rsidR="00BE5ADF" w:rsidRDefault="00BE5ADF" w:rsidP="00BE5ADF">
      <w:pPr>
        <w:pStyle w:val="BluefieldBody"/>
        <w:rPr>
          <w:rFonts w:asciiTheme="minorHAnsi" w:hAnsiTheme="minorHAnsi"/>
        </w:rPr>
      </w:pPr>
    </w:p>
    <w:p w14:paraId="22F9A55F" w14:textId="77777777" w:rsidR="00BE5ADF" w:rsidRDefault="00BE5ADF" w:rsidP="00BE5ADF">
      <w:pPr>
        <w:pStyle w:val="BluefieldBody"/>
      </w:pPr>
      <w:r w:rsidRPr="00886768">
        <w:t xml:space="preserve">The Company has adopted a share dealing code </w:t>
      </w:r>
      <w:r>
        <w:t>which applies to</w:t>
      </w:r>
      <w:r w:rsidRPr="00886768">
        <w:t xml:space="preserve"> the Board and </w:t>
      </w:r>
      <w:r>
        <w:t>any persons discharging managerial responsibilities. This is</w:t>
      </w:r>
      <w:r w:rsidRPr="00886768">
        <w:t xml:space="preserve"> to ensure compliance by the Board</w:t>
      </w:r>
      <w:r>
        <w:t>,</w:t>
      </w:r>
      <w:r w:rsidRPr="00886768">
        <w:t xml:space="preserve"> and relevant personnel of the Investment Adviser</w:t>
      </w:r>
      <w:r>
        <w:t>,</w:t>
      </w:r>
      <w:r w:rsidRPr="00886768">
        <w:t xml:space="preserve"> </w:t>
      </w:r>
      <w:r>
        <w:t>with the requirements of the EU Market Abuse Regulations.</w:t>
      </w:r>
    </w:p>
    <w:p w14:paraId="22102494" w14:textId="00BBB2CB" w:rsidR="006B2B35" w:rsidRDefault="006B2B35" w:rsidP="002122E3">
      <w:pPr>
        <w:autoSpaceDE w:val="0"/>
        <w:autoSpaceDN w:val="0"/>
        <w:adjustRightInd w:val="0"/>
        <w:jc w:val="both"/>
        <w:rPr>
          <w:rFonts w:ascii="Georgia" w:hAnsi="Georgia" w:cs="Calibri"/>
          <w:color w:val="404040" w:themeColor="text1" w:themeTint="BF"/>
          <w:sz w:val="20"/>
        </w:rPr>
      </w:pPr>
    </w:p>
    <w:p w14:paraId="18EF73EE" w14:textId="77777777" w:rsidR="00BE5ADF" w:rsidRPr="007118C4" w:rsidRDefault="00BE5ADF" w:rsidP="00BE5ADF">
      <w:pPr>
        <w:jc w:val="both"/>
        <w:rPr>
          <w:rFonts w:ascii="Georgia" w:hAnsi="Georgia" w:cs="Calibri"/>
          <w:b/>
          <w:color w:val="404040" w:themeColor="text1" w:themeTint="BF"/>
          <w:sz w:val="20"/>
        </w:rPr>
      </w:pPr>
      <w:r w:rsidRPr="007118C4">
        <w:rPr>
          <w:rFonts w:ascii="Georgia" w:hAnsi="Georgia" w:cs="Calibri"/>
          <w:b/>
          <w:color w:val="404040" w:themeColor="text1" w:themeTint="BF"/>
          <w:sz w:val="20"/>
        </w:rPr>
        <w:t>Directors’ Remuneration</w:t>
      </w:r>
    </w:p>
    <w:p w14:paraId="353F2C48" w14:textId="77777777" w:rsidR="00BE5ADF" w:rsidRPr="007118C4" w:rsidRDefault="00BE5ADF" w:rsidP="00BE5ADF">
      <w:pPr>
        <w:jc w:val="both"/>
        <w:rPr>
          <w:rFonts w:ascii="Georgia" w:hAnsi="Georgia" w:cs="Calibri"/>
          <w:color w:val="404040" w:themeColor="text1" w:themeTint="BF"/>
          <w:sz w:val="20"/>
        </w:rPr>
      </w:pPr>
    </w:p>
    <w:p w14:paraId="5392902F" w14:textId="77777777" w:rsidR="00BE5ADF" w:rsidRPr="007118C4" w:rsidRDefault="00BE5ADF" w:rsidP="00BE5ADF">
      <w:pPr>
        <w:jc w:val="both"/>
        <w:rPr>
          <w:rFonts w:ascii="Georgia" w:hAnsi="Georgia" w:cs="Calibri"/>
          <w:color w:val="404040" w:themeColor="text1" w:themeTint="BF"/>
          <w:sz w:val="20"/>
        </w:rPr>
      </w:pPr>
      <w:r w:rsidRPr="006B46F8">
        <w:rPr>
          <w:rFonts w:ascii="Georgia" w:hAnsi="Georgia" w:cs="Calibri"/>
          <w:color w:val="404040" w:themeColor="text1" w:themeTint="BF"/>
          <w:sz w:val="20"/>
        </w:rPr>
        <w:t>The Chairman is entitled to an</w:t>
      </w:r>
      <w:r>
        <w:rPr>
          <w:rFonts w:ascii="Georgia" w:hAnsi="Georgia" w:cs="Calibri"/>
          <w:color w:val="404040" w:themeColor="text1" w:themeTint="BF"/>
          <w:sz w:val="20"/>
        </w:rPr>
        <w:t xml:space="preserve"> annual remuneration of £60,000</w:t>
      </w:r>
      <w:r w:rsidRPr="006B46F8">
        <w:rPr>
          <w:rFonts w:ascii="Georgia" w:hAnsi="Georgia" w:cs="Calibri"/>
          <w:color w:val="404040" w:themeColor="text1" w:themeTint="BF"/>
          <w:sz w:val="20"/>
        </w:rPr>
        <w:t xml:space="preserve"> (2019: £60,000). The other Directors are entitled to an annual remuneration of £37,500 (2019: £37,500).  Paul Le Page receives an additional annual fee of £7,500 (2019: £7,500) for acting as Chairman of the Audit Committee. The Board will review all Directors’ remuneration annually.</w:t>
      </w:r>
    </w:p>
    <w:p w14:paraId="38B24699" w14:textId="77777777" w:rsidR="00BE5ADF" w:rsidRPr="007118C4" w:rsidRDefault="00BE5ADF" w:rsidP="00BE5ADF">
      <w:pPr>
        <w:jc w:val="both"/>
        <w:rPr>
          <w:rFonts w:ascii="Georgia" w:hAnsi="Georgia" w:cs="Calibri"/>
          <w:color w:val="404040" w:themeColor="text1" w:themeTint="BF"/>
          <w:sz w:val="20"/>
        </w:rPr>
      </w:pPr>
    </w:p>
    <w:p w14:paraId="2A4B2829" w14:textId="77777777" w:rsidR="00BE5ADF" w:rsidRPr="007118C4" w:rsidRDefault="00BE5ADF" w:rsidP="00BE5ADF">
      <w:pPr>
        <w:jc w:val="both"/>
        <w:rPr>
          <w:rFonts w:ascii="Georgia" w:hAnsi="Georgia" w:cs="Calibri"/>
          <w:color w:val="404040" w:themeColor="text1" w:themeTint="BF"/>
          <w:sz w:val="20"/>
        </w:rPr>
      </w:pPr>
      <w:r>
        <w:rPr>
          <w:rFonts w:ascii="Georgia" w:hAnsi="Georgia" w:cs="Calibri"/>
          <w:color w:val="404040" w:themeColor="text1" w:themeTint="BF"/>
          <w:sz w:val="20"/>
        </w:rPr>
        <w:t>T</w:t>
      </w:r>
      <w:r w:rsidRPr="007118C4">
        <w:rPr>
          <w:rFonts w:ascii="Georgia" w:hAnsi="Georgia" w:cs="Calibri"/>
          <w:color w:val="404040" w:themeColor="text1" w:themeTint="BF"/>
          <w:sz w:val="20"/>
        </w:rPr>
        <w:t xml:space="preserve">he remuneration </w:t>
      </w:r>
      <w:r>
        <w:rPr>
          <w:rFonts w:ascii="Georgia" w:hAnsi="Georgia" w:cs="Calibri"/>
          <w:color w:val="404040" w:themeColor="text1" w:themeTint="BF"/>
          <w:sz w:val="20"/>
        </w:rPr>
        <w:t xml:space="preserve">earned by each Director in the past two financial years </w:t>
      </w:r>
      <w:r w:rsidRPr="007118C4">
        <w:rPr>
          <w:rFonts w:ascii="Georgia" w:hAnsi="Georgia" w:cs="Calibri"/>
          <w:color w:val="404040" w:themeColor="text1" w:themeTint="BF"/>
          <w:sz w:val="20"/>
        </w:rPr>
        <w:t>was as follows:</w:t>
      </w:r>
    </w:p>
    <w:p w14:paraId="205078CD" w14:textId="77777777" w:rsidR="00BE5ADF" w:rsidRPr="007118C4" w:rsidRDefault="00BE5ADF" w:rsidP="00BE5ADF">
      <w:pPr>
        <w:jc w:val="both"/>
        <w:rPr>
          <w:rFonts w:ascii="Georgia" w:hAnsi="Georgia" w:cs="Calibri"/>
          <w:color w:val="404040" w:themeColor="text1" w:themeTint="BF"/>
          <w:sz w:val="2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1559"/>
        <w:gridCol w:w="1701"/>
      </w:tblGrid>
      <w:tr w:rsidR="00BE5ADF" w:rsidRPr="0063593B" w14:paraId="23C153E1" w14:textId="77777777" w:rsidTr="00BD746A">
        <w:trPr>
          <w:trHeight w:val="305"/>
        </w:trPr>
        <w:tc>
          <w:tcPr>
            <w:tcW w:w="5920" w:type="dxa"/>
            <w:tcBorders>
              <w:bottom w:val="single" w:sz="4" w:space="0" w:color="auto"/>
            </w:tcBorders>
          </w:tcPr>
          <w:p w14:paraId="4A370406" w14:textId="77777777" w:rsidR="00BE5ADF" w:rsidRPr="00325ACE" w:rsidRDefault="00BE5ADF" w:rsidP="00BD746A">
            <w:pPr>
              <w:jc w:val="both"/>
              <w:rPr>
                <w:rFonts w:ascii="Georgia" w:hAnsi="Georgia" w:cs="Calibri"/>
                <w:b/>
                <w:color w:val="404040" w:themeColor="text1" w:themeTint="BF"/>
                <w:sz w:val="20"/>
              </w:rPr>
            </w:pPr>
            <w:r w:rsidRPr="00E42A95">
              <w:rPr>
                <w:rFonts w:ascii="Georgia" w:hAnsi="Georgia" w:cs="Calibri"/>
                <w:b/>
                <w:color w:val="404040" w:themeColor="text1" w:themeTint="BF"/>
                <w:sz w:val="20"/>
              </w:rPr>
              <w:t>Director</w:t>
            </w:r>
          </w:p>
        </w:tc>
        <w:tc>
          <w:tcPr>
            <w:tcW w:w="1559" w:type="dxa"/>
            <w:tcBorders>
              <w:bottom w:val="single" w:sz="4" w:space="0" w:color="auto"/>
            </w:tcBorders>
          </w:tcPr>
          <w:p w14:paraId="3BA232D2" w14:textId="77777777" w:rsidR="00BE5ADF" w:rsidRDefault="00BE5ADF" w:rsidP="00BD746A">
            <w:pPr>
              <w:jc w:val="right"/>
              <w:rPr>
                <w:rFonts w:ascii="Georgia" w:hAnsi="Georgia" w:cs="Calibri"/>
                <w:b/>
                <w:color w:val="404040" w:themeColor="text1" w:themeTint="BF"/>
                <w:sz w:val="20"/>
              </w:rPr>
            </w:pPr>
            <w:r>
              <w:rPr>
                <w:rFonts w:ascii="Georgia" w:hAnsi="Georgia" w:cs="Calibri"/>
                <w:b/>
                <w:color w:val="404040" w:themeColor="text1" w:themeTint="BF"/>
                <w:sz w:val="20"/>
              </w:rPr>
              <w:t>2020</w:t>
            </w:r>
          </w:p>
          <w:p w14:paraId="5884778E" w14:textId="77777777" w:rsidR="00BE5ADF" w:rsidRDefault="00BE5ADF" w:rsidP="00BD746A">
            <w:pPr>
              <w:jc w:val="right"/>
              <w:rPr>
                <w:rFonts w:ascii="Georgia" w:hAnsi="Georgia" w:cs="Calibri"/>
                <w:b/>
                <w:color w:val="404040" w:themeColor="text1" w:themeTint="BF"/>
                <w:sz w:val="20"/>
              </w:rPr>
            </w:pPr>
            <w:r>
              <w:rPr>
                <w:rFonts w:ascii="Georgia" w:hAnsi="Georgia" w:cs="Calibri"/>
                <w:b/>
                <w:color w:val="404040" w:themeColor="text1" w:themeTint="BF"/>
                <w:sz w:val="20"/>
              </w:rPr>
              <w:t>£</w:t>
            </w:r>
          </w:p>
        </w:tc>
        <w:tc>
          <w:tcPr>
            <w:tcW w:w="1701" w:type="dxa"/>
            <w:tcBorders>
              <w:bottom w:val="single" w:sz="4" w:space="0" w:color="auto"/>
            </w:tcBorders>
            <w:vAlign w:val="center"/>
          </w:tcPr>
          <w:p w14:paraId="6CEB778C" w14:textId="77777777" w:rsidR="00BE5ADF" w:rsidRDefault="00BE5ADF" w:rsidP="00BD746A">
            <w:pPr>
              <w:jc w:val="right"/>
              <w:rPr>
                <w:rFonts w:ascii="Georgia" w:hAnsi="Georgia" w:cs="Calibri"/>
                <w:b/>
                <w:color w:val="404040" w:themeColor="text1" w:themeTint="BF"/>
                <w:sz w:val="20"/>
              </w:rPr>
            </w:pPr>
            <w:r>
              <w:rPr>
                <w:rFonts w:ascii="Georgia" w:hAnsi="Georgia" w:cs="Calibri"/>
                <w:b/>
                <w:color w:val="404040" w:themeColor="text1" w:themeTint="BF"/>
                <w:sz w:val="20"/>
              </w:rPr>
              <w:t>2019</w:t>
            </w:r>
          </w:p>
          <w:p w14:paraId="20562475" w14:textId="77777777" w:rsidR="00BE5ADF" w:rsidRPr="00E42A95" w:rsidRDefault="00BE5ADF" w:rsidP="00BD746A">
            <w:pPr>
              <w:jc w:val="right"/>
              <w:rPr>
                <w:rFonts w:ascii="Georgia" w:hAnsi="Georgia" w:cs="Calibri"/>
                <w:b/>
                <w:color w:val="404040" w:themeColor="text1" w:themeTint="BF"/>
                <w:sz w:val="20"/>
              </w:rPr>
            </w:pPr>
            <w:r>
              <w:rPr>
                <w:rFonts w:ascii="Georgia" w:hAnsi="Georgia" w:cs="Calibri"/>
                <w:b/>
                <w:color w:val="404040" w:themeColor="text1" w:themeTint="BF"/>
                <w:sz w:val="20"/>
              </w:rPr>
              <w:t>£</w:t>
            </w:r>
          </w:p>
        </w:tc>
      </w:tr>
      <w:tr w:rsidR="00BE5ADF" w:rsidRPr="007118C4" w14:paraId="75E056CD" w14:textId="77777777" w:rsidTr="00BD746A">
        <w:trPr>
          <w:trHeight w:val="352"/>
        </w:trPr>
        <w:tc>
          <w:tcPr>
            <w:tcW w:w="5920" w:type="dxa"/>
            <w:tcBorders>
              <w:top w:val="single" w:sz="4" w:space="0" w:color="auto"/>
            </w:tcBorders>
            <w:vAlign w:val="center"/>
          </w:tcPr>
          <w:p w14:paraId="4ABB9B21"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John Rennocks</w:t>
            </w:r>
          </w:p>
        </w:tc>
        <w:tc>
          <w:tcPr>
            <w:tcW w:w="1559" w:type="dxa"/>
            <w:tcBorders>
              <w:top w:val="single" w:sz="4" w:space="0" w:color="auto"/>
            </w:tcBorders>
            <w:vAlign w:val="center"/>
          </w:tcPr>
          <w:p w14:paraId="1A3B2A44" w14:textId="77777777" w:rsidR="00BE5ADF" w:rsidRPr="00506A91"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60</w:t>
            </w:r>
            <w:r w:rsidRPr="00506A91">
              <w:rPr>
                <w:rFonts w:ascii="Georgia" w:hAnsi="Georgia" w:cs="Calibri"/>
                <w:color w:val="404040" w:themeColor="text1" w:themeTint="BF"/>
                <w:sz w:val="20"/>
              </w:rPr>
              <w:t>,000</w:t>
            </w:r>
          </w:p>
        </w:tc>
        <w:tc>
          <w:tcPr>
            <w:tcW w:w="1701" w:type="dxa"/>
            <w:tcBorders>
              <w:top w:val="single" w:sz="4" w:space="0" w:color="auto"/>
            </w:tcBorders>
            <w:vAlign w:val="center"/>
          </w:tcPr>
          <w:p w14:paraId="6AD12E0B" w14:textId="77777777" w:rsidR="00BE5ADF"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60</w:t>
            </w:r>
            <w:r w:rsidRPr="00506A91">
              <w:rPr>
                <w:rFonts w:ascii="Georgia" w:hAnsi="Georgia" w:cs="Calibri"/>
                <w:color w:val="404040" w:themeColor="text1" w:themeTint="BF"/>
                <w:sz w:val="20"/>
              </w:rPr>
              <w:t>,000</w:t>
            </w:r>
          </w:p>
        </w:tc>
      </w:tr>
      <w:tr w:rsidR="00BE5ADF" w:rsidRPr="007118C4" w14:paraId="1DCE40DD" w14:textId="77777777" w:rsidTr="00BD746A">
        <w:trPr>
          <w:trHeight w:val="352"/>
        </w:trPr>
        <w:tc>
          <w:tcPr>
            <w:tcW w:w="5920" w:type="dxa"/>
            <w:vAlign w:val="center"/>
          </w:tcPr>
          <w:p w14:paraId="3A6EEB96"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John Scott</w:t>
            </w:r>
          </w:p>
        </w:tc>
        <w:tc>
          <w:tcPr>
            <w:tcW w:w="1559" w:type="dxa"/>
            <w:vAlign w:val="center"/>
          </w:tcPr>
          <w:p w14:paraId="4C50AFBC" w14:textId="77777777" w:rsidR="00BE5ADF" w:rsidRPr="00506A91"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37</w:t>
            </w:r>
            <w:r w:rsidRPr="00506A91">
              <w:rPr>
                <w:rFonts w:ascii="Georgia" w:hAnsi="Georgia" w:cs="Calibri"/>
                <w:color w:val="404040" w:themeColor="text1" w:themeTint="BF"/>
                <w:sz w:val="20"/>
              </w:rPr>
              <w:t>,500</w:t>
            </w:r>
          </w:p>
        </w:tc>
        <w:tc>
          <w:tcPr>
            <w:tcW w:w="1701" w:type="dxa"/>
            <w:vAlign w:val="center"/>
          </w:tcPr>
          <w:p w14:paraId="4E729BC2" w14:textId="77777777" w:rsidR="00BE5ADF"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37</w:t>
            </w:r>
            <w:r w:rsidRPr="00506A91">
              <w:rPr>
                <w:rFonts w:ascii="Georgia" w:hAnsi="Georgia" w:cs="Calibri"/>
                <w:color w:val="404040" w:themeColor="text1" w:themeTint="BF"/>
                <w:sz w:val="20"/>
              </w:rPr>
              <w:t>,500</w:t>
            </w:r>
          </w:p>
        </w:tc>
      </w:tr>
      <w:tr w:rsidR="00BE5ADF" w:rsidRPr="007118C4" w14:paraId="04AE9423" w14:textId="77777777" w:rsidTr="00BD746A">
        <w:trPr>
          <w:trHeight w:val="352"/>
        </w:trPr>
        <w:tc>
          <w:tcPr>
            <w:tcW w:w="5920" w:type="dxa"/>
            <w:vAlign w:val="center"/>
          </w:tcPr>
          <w:p w14:paraId="0C9B1A88"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Laurence McNairn</w:t>
            </w:r>
          </w:p>
        </w:tc>
        <w:tc>
          <w:tcPr>
            <w:tcW w:w="1559" w:type="dxa"/>
            <w:vAlign w:val="center"/>
          </w:tcPr>
          <w:p w14:paraId="35558862" w14:textId="77777777" w:rsidR="00BE5ADF" w:rsidRPr="00506A91" w:rsidRDefault="00BE5ADF" w:rsidP="00BD746A">
            <w:pPr>
              <w:jc w:val="right"/>
              <w:rPr>
                <w:rFonts w:ascii="Georgia" w:hAnsi="Georgia" w:cs="Calibri"/>
                <w:color w:val="404040" w:themeColor="text1" w:themeTint="BF"/>
                <w:sz w:val="20"/>
              </w:rPr>
            </w:pPr>
            <w:r w:rsidRPr="00506A91">
              <w:rPr>
                <w:rFonts w:ascii="Georgia" w:hAnsi="Georgia" w:cs="Calibri"/>
                <w:color w:val="404040" w:themeColor="text1" w:themeTint="BF"/>
                <w:sz w:val="20"/>
              </w:rPr>
              <w:t>37,500</w:t>
            </w:r>
          </w:p>
        </w:tc>
        <w:tc>
          <w:tcPr>
            <w:tcW w:w="1701" w:type="dxa"/>
            <w:vAlign w:val="center"/>
          </w:tcPr>
          <w:p w14:paraId="2D5DDB30" w14:textId="77777777" w:rsidR="00BE5ADF" w:rsidRDefault="00BE5ADF" w:rsidP="00BD746A">
            <w:pPr>
              <w:jc w:val="right"/>
              <w:rPr>
                <w:rFonts w:ascii="Georgia" w:hAnsi="Georgia" w:cs="Calibri"/>
                <w:color w:val="404040" w:themeColor="text1" w:themeTint="BF"/>
                <w:sz w:val="20"/>
              </w:rPr>
            </w:pPr>
            <w:r w:rsidRPr="00506A91">
              <w:rPr>
                <w:rFonts w:ascii="Georgia" w:hAnsi="Georgia" w:cs="Calibri"/>
                <w:color w:val="404040" w:themeColor="text1" w:themeTint="BF"/>
                <w:sz w:val="20"/>
              </w:rPr>
              <w:t>37,500</w:t>
            </w:r>
          </w:p>
        </w:tc>
      </w:tr>
      <w:tr w:rsidR="00BE5ADF" w:rsidRPr="007118C4" w14:paraId="27CDD768" w14:textId="77777777" w:rsidTr="00BD746A">
        <w:trPr>
          <w:trHeight w:val="352"/>
        </w:trPr>
        <w:tc>
          <w:tcPr>
            <w:tcW w:w="5920" w:type="dxa"/>
            <w:vAlign w:val="center"/>
          </w:tcPr>
          <w:p w14:paraId="3875B212" w14:textId="77777777" w:rsidR="00BE5ADF" w:rsidRPr="00E42A95" w:rsidRDefault="00BE5ADF" w:rsidP="00BD746A">
            <w:pPr>
              <w:rPr>
                <w:rFonts w:ascii="Georgia" w:hAnsi="Georgia" w:cs="Calibri"/>
                <w:color w:val="404040" w:themeColor="text1" w:themeTint="BF"/>
                <w:sz w:val="20"/>
              </w:rPr>
            </w:pPr>
            <w:r>
              <w:rPr>
                <w:rFonts w:ascii="Georgia" w:hAnsi="Georgia" w:cs="Calibri"/>
                <w:color w:val="404040" w:themeColor="text1" w:themeTint="BF"/>
                <w:sz w:val="20"/>
              </w:rPr>
              <w:t>Meriel Lenfestey (appointed 1 April 2019)</w:t>
            </w:r>
          </w:p>
        </w:tc>
        <w:tc>
          <w:tcPr>
            <w:tcW w:w="1559" w:type="dxa"/>
            <w:vAlign w:val="center"/>
          </w:tcPr>
          <w:p w14:paraId="163D2E97" w14:textId="77777777" w:rsidR="00BE5ADF" w:rsidRPr="00506A91" w:rsidRDefault="00BE5ADF" w:rsidP="00BD746A">
            <w:pPr>
              <w:jc w:val="right"/>
              <w:rPr>
                <w:rFonts w:ascii="Georgia" w:hAnsi="Georgia" w:cs="Calibri"/>
                <w:color w:val="404040" w:themeColor="text1" w:themeTint="BF"/>
                <w:sz w:val="20"/>
              </w:rPr>
            </w:pPr>
            <w:r w:rsidRPr="00506A91">
              <w:rPr>
                <w:rFonts w:ascii="Georgia" w:hAnsi="Georgia" w:cs="Calibri"/>
                <w:color w:val="404040" w:themeColor="text1" w:themeTint="BF"/>
                <w:sz w:val="20"/>
              </w:rPr>
              <w:t>37,500</w:t>
            </w:r>
          </w:p>
        </w:tc>
        <w:tc>
          <w:tcPr>
            <w:tcW w:w="1701" w:type="dxa"/>
            <w:vAlign w:val="center"/>
          </w:tcPr>
          <w:p w14:paraId="4431065C" w14:textId="77777777" w:rsidR="00BE5ADF" w:rsidRDefault="00BE5ADF" w:rsidP="00BD746A">
            <w:pPr>
              <w:jc w:val="right"/>
              <w:rPr>
                <w:rFonts w:ascii="Georgia" w:hAnsi="Georgia" w:cs="Calibri"/>
                <w:color w:val="404040" w:themeColor="text1" w:themeTint="BF"/>
                <w:sz w:val="20"/>
              </w:rPr>
            </w:pPr>
            <w:r w:rsidRPr="00506A91">
              <w:rPr>
                <w:rFonts w:ascii="Georgia" w:hAnsi="Georgia" w:cs="Calibri"/>
                <w:color w:val="404040" w:themeColor="text1" w:themeTint="BF"/>
                <w:sz w:val="20"/>
              </w:rPr>
              <w:t>9,375</w:t>
            </w:r>
          </w:p>
        </w:tc>
      </w:tr>
      <w:tr w:rsidR="00BE5ADF" w:rsidRPr="007118C4" w14:paraId="1FF317A8" w14:textId="77777777" w:rsidTr="00BD746A">
        <w:trPr>
          <w:trHeight w:val="352"/>
        </w:trPr>
        <w:tc>
          <w:tcPr>
            <w:tcW w:w="5920" w:type="dxa"/>
            <w:tcBorders>
              <w:bottom w:val="single" w:sz="4" w:space="0" w:color="auto"/>
            </w:tcBorders>
            <w:vAlign w:val="center"/>
          </w:tcPr>
          <w:p w14:paraId="1ECD7E69"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Paul Le Page</w:t>
            </w:r>
          </w:p>
        </w:tc>
        <w:tc>
          <w:tcPr>
            <w:tcW w:w="1559" w:type="dxa"/>
            <w:tcBorders>
              <w:bottom w:val="single" w:sz="4" w:space="0" w:color="auto"/>
            </w:tcBorders>
            <w:vAlign w:val="center"/>
          </w:tcPr>
          <w:p w14:paraId="4C773C83" w14:textId="77777777" w:rsidR="00BE5ADF" w:rsidRPr="00506A91" w:rsidRDefault="00BE5ADF" w:rsidP="00BD746A">
            <w:pPr>
              <w:jc w:val="right"/>
              <w:rPr>
                <w:rFonts w:ascii="Georgia" w:hAnsi="Georgia" w:cs="Calibri"/>
                <w:color w:val="404040" w:themeColor="text1" w:themeTint="BF"/>
                <w:sz w:val="20"/>
              </w:rPr>
            </w:pPr>
            <w:r w:rsidRPr="00506A91">
              <w:rPr>
                <w:rFonts w:ascii="Georgia" w:hAnsi="Georgia" w:cs="Calibri"/>
                <w:color w:val="404040" w:themeColor="text1" w:themeTint="BF"/>
                <w:sz w:val="20"/>
              </w:rPr>
              <w:t>45,000</w:t>
            </w:r>
          </w:p>
        </w:tc>
        <w:tc>
          <w:tcPr>
            <w:tcW w:w="1701" w:type="dxa"/>
            <w:tcBorders>
              <w:bottom w:val="single" w:sz="4" w:space="0" w:color="auto"/>
            </w:tcBorders>
            <w:vAlign w:val="center"/>
          </w:tcPr>
          <w:p w14:paraId="15595A8A" w14:textId="77777777" w:rsidR="00BE5ADF" w:rsidRDefault="00BE5ADF" w:rsidP="00BD746A">
            <w:pPr>
              <w:jc w:val="right"/>
              <w:rPr>
                <w:rFonts w:ascii="Georgia" w:hAnsi="Georgia" w:cs="Calibri"/>
                <w:color w:val="404040" w:themeColor="text1" w:themeTint="BF"/>
                <w:sz w:val="20"/>
              </w:rPr>
            </w:pPr>
            <w:r w:rsidRPr="00506A91">
              <w:rPr>
                <w:rFonts w:ascii="Georgia" w:hAnsi="Georgia" w:cs="Calibri"/>
                <w:color w:val="404040" w:themeColor="text1" w:themeTint="BF"/>
                <w:sz w:val="20"/>
              </w:rPr>
              <w:t>45,000</w:t>
            </w:r>
          </w:p>
        </w:tc>
      </w:tr>
    </w:tbl>
    <w:p w14:paraId="3BC6B956" w14:textId="77777777" w:rsidR="00BE5ADF" w:rsidRDefault="00BE5ADF" w:rsidP="002122E3">
      <w:pPr>
        <w:autoSpaceDE w:val="0"/>
        <w:autoSpaceDN w:val="0"/>
        <w:adjustRightInd w:val="0"/>
        <w:jc w:val="both"/>
        <w:rPr>
          <w:rFonts w:ascii="Georgia" w:hAnsi="Georgia" w:cs="Calibri"/>
          <w:color w:val="404040" w:themeColor="text1" w:themeTint="BF"/>
          <w:sz w:val="20"/>
        </w:rPr>
      </w:pPr>
    </w:p>
    <w:p w14:paraId="0240F022" w14:textId="7BBFAF26" w:rsidR="006B2B35" w:rsidRDefault="006B2B35" w:rsidP="002122E3">
      <w:pPr>
        <w:autoSpaceDE w:val="0"/>
        <w:autoSpaceDN w:val="0"/>
        <w:adjustRightInd w:val="0"/>
        <w:jc w:val="both"/>
        <w:rPr>
          <w:rFonts w:ascii="Georgia" w:hAnsi="Georgia" w:cs="Calibri"/>
          <w:color w:val="404040" w:themeColor="text1" w:themeTint="BF"/>
          <w:sz w:val="20"/>
        </w:rPr>
      </w:pPr>
    </w:p>
    <w:p w14:paraId="03AF2F22" w14:textId="77777777" w:rsidR="006B2B35" w:rsidRPr="002122E3" w:rsidRDefault="006B2B35" w:rsidP="002122E3">
      <w:pPr>
        <w:autoSpaceDE w:val="0"/>
        <w:autoSpaceDN w:val="0"/>
        <w:adjustRightInd w:val="0"/>
        <w:jc w:val="both"/>
        <w:rPr>
          <w:rFonts w:ascii="Georgia" w:hAnsi="Georgia" w:cs="Calibri"/>
          <w:color w:val="404040" w:themeColor="text1" w:themeTint="BF"/>
          <w:sz w:val="20"/>
        </w:rPr>
      </w:pPr>
    </w:p>
    <w:p w14:paraId="25246021" w14:textId="658ED6F0" w:rsidR="002122E3" w:rsidRDefault="002122E3" w:rsidP="002122E3">
      <w:pPr>
        <w:autoSpaceDE w:val="0"/>
        <w:autoSpaceDN w:val="0"/>
        <w:adjustRightInd w:val="0"/>
        <w:jc w:val="both"/>
        <w:rPr>
          <w:rFonts w:ascii="Georgia" w:hAnsi="Georgia" w:cs="Calibri"/>
          <w:color w:val="404040" w:themeColor="text1" w:themeTint="BF"/>
          <w:sz w:val="20"/>
        </w:rPr>
      </w:pPr>
    </w:p>
    <w:p w14:paraId="33D890FA" w14:textId="2C07A807" w:rsidR="00DF64D0" w:rsidRDefault="00DF64D0" w:rsidP="002122E3">
      <w:pPr>
        <w:autoSpaceDE w:val="0"/>
        <w:autoSpaceDN w:val="0"/>
        <w:adjustRightInd w:val="0"/>
        <w:jc w:val="both"/>
        <w:rPr>
          <w:rFonts w:ascii="Georgia" w:hAnsi="Georgia" w:cs="Calibri"/>
          <w:color w:val="404040" w:themeColor="text1" w:themeTint="BF"/>
          <w:sz w:val="20"/>
        </w:rPr>
      </w:pPr>
    </w:p>
    <w:p w14:paraId="3CC5D069" w14:textId="77777777" w:rsidR="00DF64D0" w:rsidRDefault="00DF64D0" w:rsidP="002122E3">
      <w:pPr>
        <w:autoSpaceDE w:val="0"/>
        <w:autoSpaceDN w:val="0"/>
        <w:adjustRightInd w:val="0"/>
        <w:jc w:val="both"/>
        <w:rPr>
          <w:rFonts w:ascii="Georgia" w:hAnsi="Georgia" w:cs="Calibri"/>
          <w:color w:val="404040" w:themeColor="text1" w:themeTint="BF"/>
          <w:sz w:val="20"/>
        </w:rPr>
      </w:pPr>
    </w:p>
    <w:p w14:paraId="4C3BBA8A" w14:textId="4F3D2F60" w:rsidR="002122E3" w:rsidRDefault="002122E3" w:rsidP="002122E3">
      <w:pPr>
        <w:autoSpaceDE w:val="0"/>
        <w:autoSpaceDN w:val="0"/>
        <w:adjustRightInd w:val="0"/>
        <w:jc w:val="both"/>
        <w:rPr>
          <w:rFonts w:ascii="Georgia" w:hAnsi="Georgia" w:cs="Calibri"/>
          <w:color w:val="404040" w:themeColor="text1" w:themeTint="BF"/>
          <w:sz w:val="20"/>
        </w:rPr>
      </w:pPr>
    </w:p>
    <w:p w14:paraId="794F4CB7" w14:textId="1B7039A3" w:rsidR="00BE5ADF" w:rsidRDefault="00BE5ADF" w:rsidP="002122E3">
      <w:pPr>
        <w:autoSpaceDE w:val="0"/>
        <w:autoSpaceDN w:val="0"/>
        <w:adjustRightInd w:val="0"/>
        <w:jc w:val="both"/>
        <w:rPr>
          <w:rFonts w:ascii="Georgia" w:hAnsi="Georgia" w:cs="Calibri"/>
          <w:color w:val="404040" w:themeColor="text1" w:themeTint="BF"/>
          <w:sz w:val="20"/>
        </w:rPr>
      </w:pPr>
    </w:p>
    <w:p w14:paraId="1E0F19CF" w14:textId="77777777" w:rsidR="00BE5ADF" w:rsidRPr="00FB7D45" w:rsidRDefault="00BE5ADF" w:rsidP="00BE5ADF">
      <w:pPr>
        <w:pStyle w:val="Heading2"/>
        <w:spacing w:before="0"/>
      </w:pPr>
      <w:r w:rsidRPr="00FB7D45">
        <w:lastRenderedPageBreak/>
        <w:t>Strategic Report (continued)</w:t>
      </w:r>
    </w:p>
    <w:p w14:paraId="445DDE16" w14:textId="77777777" w:rsidR="00BE5ADF" w:rsidRPr="00FB7D45" w:rsidRDefault="00BE5ADF" w:rsidP="00BE5ADF">
      <w:pPr>
        <w:pStyle w:val="ListParagraph"/>
        <w:ind w:left="360"/>
        <w:rPr>
          <w:rFonts w:ascii="Georgia" w:hAnsi="Georgia" w:cs="Calibri"/>
          <w:b/>
          <w:color w:val="404040" w:themeColor="text1" w:themeTint="BF"/>
          <w:sz w:val="20"/>
        </w:rPr>
      </w:pPr>
    </w:p>
    <w:p w14:paraId="601DBB32" w14:textId="6C3AFAB6" w:rsidR="00BE5ADF" w:rsidRPr="00FB7D45" w:rsidRDefault="00DF64D0" w:rsidP="00BE5ADF">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BE5ADF" w:rsidRPr="00FB7D45">
        <w:rPr>
          <w:rFonts w:ascii="Georgia" w:hAnsi="Georgia" w:cs="Calibri"/>
          <w:b/>
          <w:color w:val="404040" w:themeColor="text1" w:themeTint="BF"/>
          <w:sz w:val="20"/>
        </w:rPr>
        <w:t xml:space="preserve">. </w:t>
      </w:r>
      <w:r w:rsidR="00BE5ADF" w:rsidRPr="00FB7D45">
        <w:rPr>
          <w:rFonts w:ascii="Georgia" w:hAnsi="Georgia" w:cs="Calibri"/>
          <w:b/>
          <w:color w:val="404040" w:themeColor="text1" w:themeTint="BF"/>
          <w:sz w:val="20"/>
        </w:rPr>
        <w:tab/>
      </w:r>
      <w:r w:rsidR="00BE5ADF">
        <w:rPr>
          <w:rFonts w:ascii="Georgia" w:hAnsi="Georgia" w:cs="Calibri"/>
          <w:b/>
          <w:color w:val="404040" w:themeColor="text1" w:themeTint="BF"/>
          <w:sz w:val="20"/>
        </w:rPr>
        <w:t>Environmental, Social and Governance</w:t>
      </w:r>
      <w:r w:rsidR="00BE5ADF" w:rsidRPr="00FB7D45">
        <w:rPr>
          <w:rFonts w:ascii="Georgia" w:hAnsi="Georgia" w:cs="Calibri"/>
          <w:b/>
          <w:color w:val="404040" w:themeColor="text1" w:themeTint="BF"/>
          <w:sz w:val="20"/>
        </w:rPr>
        <w:t xml:space="preserve"> (continued)</w:t>
      </w:r>
    </w:p>
    <w:p w14:paraId="68910462" w14:textId="77777777" w:rsidR="00BE5ADF" w:rsidRDefault="00BE5ADF" w:rsidP="00BE5ADF">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3B5FEE45" w14:textId="77777777" w:rsidR="00BE5ADF" w:rsidRDefault="00BE5ADF" w:rsidP="002122E3">
      <w:pPr>
        <w:autoSpaceDE w:val="0"/>
        <w:autoSpaceDN w:val="0"/>
        <w:adjustRightInd w:val="0"/>
        <w:jc w:val="both"/>
        <w:rPr>
          <w:rFonts w:ascii="Georgia" w:hAnsi="Georgia" w:cs="Calibri"/>
          <w:color w:val="404040" w:themeColor="text1" w:themeTint="BF"/>
          <w:sz w:val="20"/>
        </w:rPr>
      </w:pPr>
    </w:p>
    <w:p w14:paraId="7E8AF919" w14:textId="28AE1F15" w:rsidR="00BE5ADF" w:rsidRDefault="00BE5ADF" w:rsidP="00BE5ADF">
      <w:pPr>
        <w:pStyle w:val="BluefieldBody"/>
      </w:pPr>
      <w:r w:rsidRPr="006E203E">
        <w:rPr>
          <w:rFonts w:cs="Calibri"/>
        </w:rPr>
        <w:t xml:space="preserve">The total Directors’ fees expense for the year </w:t>
      </w:r>
      <w:r w:rsidRPr="002C123E">
        <w:rPr>
          <w:rFonts w:cs="Calibri"/>
        </w:rPr>
        <w:t xml:space="preserve">amounted </w:t>
      </w:r>
      <w:r w:rsidRPr="0093177B">
        <w:rPr>
          <w:rFonts w:cs="Calibri"/>
        </w:rPr>
        <w:t>to £217,500</w:t>
      </w:r>
      <w:r w:rsidRPr="002C123E">
        <w:rPr>
          <w:rFonts w:cs="Calibri"/>
        </w:rPr>
        <w:t xml:space="preserve"> (</w:t>
      </w:r>
      <w:r>
        <w:rPr>
          <w:rFonts w:cs="Calibri"/>
        </w:rPr>
        <w:t>2019</w:t>
      </w:r>
      <w:r w:rsidRPr="002C123E">
        <w:rPr>
          <w:rFonts w:cs="Calibri"/>
        </w:rPr>
        <w:t>: £</w:t>
      </w:r>
      <w:r>
        <w:rPr>
          <w:rFonts w:cs="Calibri"/>
        </w:rPr>
        <w:t>189,375</w:t>
      </w:r>
      <w:r w:rsidRPr="006E203E">
        <w:rPr>
          <w:rFonts w:cs="Calibri"/>
        </w:rPr>
        <w:t>).</w:t>
      </w:r>
      <w:r w:rsidRPr="00017BFA">
        <w:rPr>
          <w:rFonts w:cs="Calibri"/>
        </w:rPr>
        <w:t xml:space="preserve"> </w:t>
      </w:r>
      <w:r>
        <w:rPr>
          <w:rFonts w:cs="Calibri"/>
        </w:rPr>
        <w:t xml:space="preserve"> </w:t>
      </w:r>
      <w:r w:rsidRPr="00AB1FB1">
        <w:rPr>
          <w:rFonts w:cs="Calibri"/>
        </w:rPr>
        <w:t xml:space="preserve">As disclosed in Note </w:t>
      </w:r>
      <w:r w:rsidRPr="00676A7F">
        <w:rPr>
          <w:rFonts w:cs="Calibri"/>
        </w:rPr>
        <w:t>16,</w:t>
      </w:r>
      <w:r w:rsidRPr="00AB1FB1">
        <w:t xml:space="preserve"> John </w:t>
      </w:r>
      <w:r>
        <w:t>Rennocks</w:t>
      </w:r>
      <w:r w:rsidRPr="00AB1FB1">
        <w:t xml:space="preserve"> and John </w:t>
      </w:r>
      <w:r w:rsidR="003538A3">
        <w:t>Scott are d</w:t>
      </w:r>
      <w:r>
        <w:t>irectors of BSIFIL, and have received remuneration in respect of BSIFIL.</w:t>
      </w:r>
    </w:p>
    <w:p w14:paraId="3483200E" w14:textId="77777777" w:rsidR="00BE5ADF" w:rsidRDefault="00BE5ADF" w:rsidP="00BE5ADF">
      <w:pPr>
        <w:pStyle w:val="BluefieldBody"/>
      </w:pPr>
    </w:p>
    <w:p w14:paraId="25718930" w14:textId="77777777" w:rsidR="00BE5ADF" w:rsidRDefault="00BE5ADF" w:rsidP="00BE5ADF">
      <w:pPr>
        <w:jc w:val="both"/>
        <w:rPr>
          <w:rFonts w:ascii="Georgia" w:hAnsi="Georgia" w:cs="Calibri"/>
          <w:color w:val="404040" w:themeColor="text1" w:themeTint="BF"/>
          <w:sz w:val="20"/>
          <w:szCs w:val="20"/>
        </w:rPr>
      </w:pPr>
      <w:r w:rsidRPr="00C26E88">
        <w:rPr>
          <w:rFonts w:ascii="Georgia" w:hAnsi="Georgia" w:cs="Calibri"/>
          <w:color w:val="404040" w:themeColor="text1" w:themeTint="BF"/>
          <w:sz w:val="20"/>
          <w:szCs w:val="20"/>
        </w:rPr>
        <w:t xml:space="preserve">All of the Directors are non-executive and each is considered independent for the purposes of Chapter 15 of the Listing Rules. </w:t>
      </w:r>
    </w:p>
    <w:p w14:paraId="0FA8B096" w14:textId="77777777" w:rsidR="00BE5ADF" w:rsidRDefault="00BE5ADF" w:rsidP="00BE5ADF">
      <w:pPr>
        <w:jc w:val="both"/>
        <w:rPr>
          <w:rFonts w:ascii="Georgia" w:hAnsi="Georgia" w:cs="Calibri"/>
          <w:color w:val="404040" w:themeColor="text1" w:themeTint="BF"/>
          <w:sz w:val="20"/>
          <w:szCs w:val="20"/>
        </w:rPr>
      </w:pPr>
    </w:p>
    <w:p w14:paraId="558B1C2B" w14:textId="77777777" w:rsidR="00BE5ADF" w:rsidRPr="00C26E88" w:rsidRDefault="00BE5ADF" w:rsidP="00BE5ADF">
      <w:pPr>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 xml:space="preserve">In accordance with Article 22 of AIFMD, the Company shall disclose </w:t>
      </w:r>
      <w:r w:rsidRPr="003F67FA">
        <w:rPr>
          <w:rFonts w:ascii="Georgia" w:hAnsi="Georgia" w:cs="Calibri"/>
          <w:color w:val="404040" w:themeColor="text1" w:themeTint="BF"/>
          <w:sz w:val="20"/>
          <w:szCs w:val="20"/>
        </w:rPr>
        <w:t xml:space="preserve">the total amount of remuneration for the financial year, split into fixed and variable remuneration, paid by the </w:t>
      </w:r>
      <w:r>
        <w:rPr>
          <w:rFonts w:ascii="Georgia" w:hAnsi="Georgia" w:cs="Calibri"/>
          <w:color w:val="404040" w:themeColor="text1" w:themeTint="BF"/>
          <w:sz w:val="20"/>
          <w:szCs w:val="20"/>
        </w:rPr>
        <w:t xml:space="preserve">AIFM </w:t>
      </w:r>
      <w:r w:rsidRPr="003F67FA">
        <w:rPr>
          <w:rFonts w:ascii="Georgia" w:hAnsi="Georgia" w:cs="Calibri"/>
          <w:color w:val="404040" w:themeColor="text1" w:themeTint="BF"/>
          <w:sz w:val="20"/>
          <w:szCs w:val="20"/>
        </w:rPr>
        <w:t>to its staff, and number of beneficiaries, and, where relevant, carried interest paid by the</w:t>
      </w:r>
      <w:r>
        <w:rPr>
          <w:rFonts w:ascii="Georgia" w:hAnsi="Georgia" w:cs="Calibri"/>
          <w:color w:val="404040" w:themeColor="text1" w:themeTint="BF"/>
          <w:sz w:val="20"/>
          <w:szCs w:val="20"/>
        </w:rPr>
        <w:t xml:space="preserve"> AIF. As the Company is categorised as an internally managed Non-EU AIFM for the purposes of AIFMD, Directors’ remuneration reflects this amount.</w:t>
      </w:r>
    </w:p>
    <w:p w14:paraId="54C487DE" w14:textId="77777777" w:rsidR="00BE5ADF" w:rsidRDefault="00BE5ADF" w:rsidP="00BE5ADF">
      <w:pPr>
        <w:rPr>
          <w:rFonts w:ascii="Georgia" w:hAnsi="Georgia" w:cs="Calibri"/>
          <w:b/>
          <w:color w:val="404040" w:themeColor="text1" w:themeTint="BF"/>
          <w:sz w:val="20"/>
        </w:rPr>
      </w:pPr>
    </w:p>
    <w:p w14:paraId="129D3F38" w14:textId="77777777" w:rsidR="00BE5ADF" w:rsidRPr="0040191B" w:rsidRDefault="00BE5ADF" w:rsidP="00BE5ADF">
      <w:pPr>
        <w:jc w:val="both"/>
        <w:rPr>
          <w:rFonts w:ascii="Georgia" w:hAnsi="Georgia" w:cs="Calibri"/>
          <w:b/>
          <w:color w:val="404040" w:themeColor="text1" w:themeTint="BF"/>
          <w:sz w:val="20"/>
        </w:rPr>
      </w:pPr>
      <w:r w:rsidRPr="0040191B">
        <w:rPr>
          <w:rFonts w:ascii="Georgia" w:hAnsi="Georgia" w:cs="Calibri"/>
          <w:b/>
          <w:color w:val="404040" w:themeColor="text1" w:themeTint="BF"/>
          <w:sz w:val="20"/>
        </w:rPr>
        <w:t>Duties and Responsibilities</w:t>
      </w:r>
    </w:p>
    <w:p w14:paraId="358F0C94" w14:textId="77777777" w:rsidR="00BE5ADF" w:rsidRPr="0040191B" w:rsidRDefault="00BE5ADF" w:rsidP="00BE5ADF">
      <w:pPr>
        <w:jc w:val="both"/>
        <w:rPr>
          <w:rFonts w:ascii="Georgia" w:hAnsi="Georgia" w:cs="Calibri"/>
          <w:color w:val="404040" w:themeColor="text1" w:themeTint="BF"/>
          <w:sz w:val="20"/>
        </w:rPr>
      </w:pPr>
    </w:p>
    <w:p w14:paraId="4BE25D4F" w14:textId="452107FB" w:rsidR="00BE5ADF" w:rsidRPr="0040191B" w:rsidRDefault="00BE5ADF" w:rsidP="00BE5ADF">
      <w:pPr>
        <w:jc w:val="both"/>
        <w:rPr>
          <w:rFonts w:ascii="Georgia" w:hAnsi="Georgia" w:cs="Calibri"/>
          <w:color w:val="404040" w:themeColor="text1" w:themeTint="BF"/>
          <w:sz w:val="20"/>
        </w:rPr>
      </w:pPr>
      <w:r w:rsidRPr="0040191B">
        <w:rPr>
          <w:rFonts w:ascii="Georgia" w:hAnsi="Georgia" w:cs="Calibri"/>
          <w:color w:val="404040" w:themeColor="text1" w:themeTint="BF"/>
          <w:sz w:val="20"/>
        </w:rPr>
        <w:t xml:space="preserve">The Board has overall responsibility for </w:t>
      </w:r>
      <w:r>
        <w:rPr>
          <w:rFonts w:ascii="Georgia" w:hAnsi="Georgia" w:cs="Calibri"/>
          <w:color w:val="404040" w:themeColor="text1" w:themeTint="BF"/>
          <w:sz w:val="20"/>
        </w:rPr>
        <w:t>optimising</w:t>
      </w:r>
      <w:r w:rsidRPr="0040191B">
        <w:rPr>
          <w:rFonts w:ascii="Georgia" w:hAnsi="Georgia" w:cs="Calibri"/>
          <w:color w:val="404040" w:themeColor="text1" w:themeTint="BF"/>
          <w:sz w:val="20"/>
        </w:rPr>
        <w:t xml:space="preserve"> the Company’s success by directing and supervising the affairs of the business and meeting the appropriate interests of </w:t>
      </w:r>
      <w:r w:rsidR="002F417D">
        <w:rPr>
          <w:rFonts w:ascii="Georgia" w:hAnsi="Georgia" w:cs="Calibri"/>
          <w:color w:val="404040" w:themeColor="text1" w:themeTint="BF"/>
          <w:sz w:val="20"/>
        </w:rPr>
        <w:t>S</w:t>
      </w:r>
      <w:r w:rsidRPr="0040191B">
        <w:rPr>
          <w:rFonts w:ascii="Georgia" w:hAnsi="Georgia" w:cs="Calibri"/>
          <w:color w:val="404040" w:themeColor="text1" w:themeTint="BF"/>
          <w:sz w:val="20"/>
        </w:rPr>
        <w:t>hareholders and relevant stakeholders, while enhancing the value of the Company and also ensuring the protection of investors. A summary of the Board’s responsibilities is as follows:</w:t>
      </w:r>
    </w:p>
    <w:p w14:paraId="46228DD8" w14:textId="77777777" w:rsidR="00BE5ADF" w:rsidRPr="0040191B" w:rsidRDefault="00BE5ADF" w:rsidP="00BE5ADF">
      <w:pPr>
        <w:jc w:val="both"/>
        <w:rPr>
          <w:rFonts w:ascii="Georgia" w:hAnsi="Georgia" w:cs="Calibri"/>
          <w:color w:val="404040" w:themeColor="text1" w:themeTint="BF"/>
          <w:sz w:val="20"/>
        </w:rPr>
      </w:pPr>
    </w:p>
    <w:p w14:paraId="36A871C2" w14:textId="77777777" w:rsidR="00BE5ADF" w:rsidRDefault="00BE5ADF" w:rsidP="00BE5ADF">
      <w:pPr>
        <w:pStyle w:val="Bluefieldbullets10pt"/>
      </w:pPr>
      <w:r w:rsidRPr="007053BB">
        <w:t>statutory obligations and public disclosure;</w:t>
      </w:r>
    </w:p>
    <w:p w14:paraId="7720F498" w14:textId="77777777" w:rsidR="00BE5ADF" w:rsidRDefault="00BE5ADF" w:rsidP="00BE5ADF">
      <w:pPr>
        <w:pStyle w:val="Bluefieldbullets10pt"/>
      </w:pPr>
      <w:r w:rsidRPr="007053BB">
        <w:t>strategic matters and financial reporting;</w:t>
      </w:r>
    </w:p>
    <w:p w14:paraId="4654523F" w14:textId="77777777" w:rsidR="00BE5ADF" w:rsidRDefault="00BE5ADF" w:rsidP="00BE5ADF">
      <w:pPr>
        <w:pStyle w:val="Bluefieldbullets10pt"/>
      </w:pPr>
      <w:r>
        <w:t>investment strategy and management;</w:t>
      </w:r>
    </w:p>
    <w:p w14:paraId="0B483EDF" w14:textId="77777777" w:rsidR="00BE5ADF" w:rsidRDefault="00BE5ADF" w:rsidP="00BE5ADF">
      <w:pPr>
        <w:pStyle w:val="Bluefieldbullets10pt"/>
      </w:pPr>
      <w:r w:rsidRPr="007053BB">
        <w:t>risk assessment and management including reporting, compliance, governance, monitoring and       control; and</w:t>
      </w:r>
    </w:p>
    <w:p w14:paraId="6DA09799" w14:textId="77777777" w:rsidR="00BE5ADF" w:rsidRPr="003E5422" w:rsidRDefault="00BE5ADF" w:rsidP="00BE5ADF">
      <w:pPr>
        <w:pStyle w:val="Bluefieldbullets10pt"/>
      </w:pPr>
      <w:r w:rsidRPr="007053BB">
        <w:t>other matters having a material effect on the Company.</w:t>
      </w:r>
    </w:p>
    <w:p w14:paraId="44E4B753" w14:textId="77777777" w:rsidR="00BE5ADF" w:rsidRDefault="00BE5ADF" w:rsidP="00BE5ADF">
      <w:pPr>
        <w:jc w:val="both"/>
        <w:rPr>
          <w:rFonts w:ascii="Georgia" w:hAnsi="Georgia" w:cs="Calibri"/>
          <w:color w:val="404040" w:themeColor="text1" w:themeTint="BF"/>
          <w:sz w:val="20"/>
        </w:rPr>
      </w:pPr>
      <w:r w:rsidRPr="0040191B">
        <w:rPr>
          <w:rFonts w:ascii="Georgia" w:hAnsi="Georgia" w:cs="Calibri"/>
          <w:color w:val="404040" w:themeColor="text1" w:themeTint="BF"/>
          <w:sz w:val="20"/>
        </w:rPr>
        <w:t xml:space="preserve">The Directors have access to the advice and services of the Administrator, who is responsible to the Board for ensuring that Board procedures are followed and that it complies with </w:t>
      </w:r>
      <w:r>
        <w:rPr>
          <w:rFonts w:ascii="Georgia" w:hAnsi="Georgia" w:cs="Calibri"/>
          <w:color w:val="404040" w:themeColor="text1" w:themeTint="BF"/>
          <w:sz w:val="20"/>
        </w:rPr>
        <w:t>the</w:t>
      </w:r>
      <w:r w:rsidRPr="0040191B">
        <w:rPr>
          <w:rFonts w:ascii="Georgia" w:hAnsi="Georgia" w:cs="Calibri"/>
          <w:color w:val="404040" w:themeColor="text1" w:themeTint="BF"/>
          <w:sz w:val="20"/>
        </w:rPr>
        <w:t xml:space="preserve"> Law and applicable rules and regulations of the </w:t>
      </w:r>
      <w:r>
        <w:rPr>
          <w:rFonts w:ascii="Georgia" w:hAnsi="Georgia" w:cs="Calibri"/>
          <w:color w:val="404040" w:themeColor="text1" w:themeTint="BF"/>
          <w:sz w:val="20"/>
        </w:rPr>
        <w:t>GFSC</w:t>
      </w:r>
      <w:r w:rsidRPr="0040191B">
        <w:rPr>
          <w:rFonts w:ascii="Georgia" w:hAnsi="Georgia" w:cs="Calibri"/>
          <w:color w:val="404040" w:themeColor="text1" w:themeTint="BF"/>
          <w:sz w:val="20"/>
        </w:rPr>
        <w:t xml:space="preserve"> and the </w:t>
      </w:r>
      <w:r>
        <w:rPr>
          <w:rFonts w:ascii="Georgia" w:hAnsi="Georgia" w:cs="Calibri"/>
          <w:color w:val="404040" w:themeColor="text1" w:themeTint="BF"/>
          <w:sz w:val="20"/>
        </w:rPr>
        <w:t>LSE</w:t>
      </w:r>
      <w:r w:rsidRPr="0040191B">
        <w:rPr>
          <w:rFonts w:ascii="Georgia" w:hAnsi="Georgia" w:cs="Calibri"/>
          <w:color w:val="404040" w:themeColor="text1" w:themeTint="BF"/>
          <w:sz w:val="20"/>
        </w:rPr>
        <w:t>. Where necessary, in carrying out their duties, the Directors may seek independent professional advice and</w:t>
      </w:r>
      <w:r>
        <w:rPr>
          <w:rFonts w:ascii="Georgia" w:hAnsi="Georgia" w:cs="Calibri"/>
          <w:color w:val="404040" w:themeColor="text1" w:themeTint="BF"/>
          <w:sz w:val="20"/>
        </w:rPr>
        <w:t xml:space="preserve"> services at the expense of the </w:t>
      </w:r>
      <w:r w:rsidRPr="0040191B">
        <w:rPr>
          <w:rFonts w:ascii="Georgia" w:hAnsi="Georgia" w:cs="Calibri"/>
          <w:color w:val="404040" w:themeColor="text1" w:themeTint="BF"/>
          <w:sz w:val="20"/>
        </w:rPr>
        <w:t>Company.</w:t>
      </w:r>
    </w:p>
    <w:p w14:paraId="1559D6FA" w14:textId="77777777" w:rsidR="00BE5ADF" w:rsidRPr="0040191B" w:rsidRDefault="00BE5ADF" w:rsidP="00BE5ADF">
      <w:pPr>
        <w:jc w:val="both"/>
        <w:rPr>
          <w:rFonts w:ascii="Georgia" w:hAnsi="Georgia" w:cs="Calibri"/>
          <w:color w:val="404040" w:themeColor="text1" w:themeTint="BF"/>
          <w:sz w:val="20"/>
        </w:rPr>
      </w:pPr>
    </w:p>
    <w:p w14:paraId="3298F6E9" w14:textId="77777777" w:rsidR="00BE5ADF" w:rsidRDefault="00BE5ADF" w:rsidP="00BE5ADF">
      <w:pPr>
        <w:jc w:val="both"/>
        <w:rPr>
          <w:rFonts w:ascii="Georgia" w:hAnsi="Georgia" w:cs="Calibri"/>
          <w:color w:val="404040" w:themeColor="text1" w:themeTint="BF"/>
          <w:sz w:val="20"/>
        </w:rPr>
      </w:pPr>
      <w:r w:rsidRPr="0040191B">
        <w:rPr>
          <w:rFonts w:ascii="Georgia" w:hAnsi="Georgia" w:cs="Calibri"/>
          <w:color w:val="404040" w:themeColor="text1" w:themeTint="BF"/>
          <w:sz w:val="20"/>
        </w:rPr>
        <w:t xml:space="preserve">The Company maintains appropriate </w:t>
      </w:r>
      <w:r>
        <w:rPr>
          <w:rFonts w:ascii="Georgia" w:hAnsi="Georgia" w:cs="Calibri"/>
          <w:color w:val="404040" w:themeColor="text1" w:themeTint="BF"/>
          <w:sz w:val="20"/>
        </w:rPr>
        <w:t>d</w:t>
      </w:r>
      <w:r w:rsidRPr="0040191B">
        <w:rPr>
          <w:rFonts w:ascii="Georgia" w:hAnsi="Georgia" w:cs="Calibri"/>
          <w:color w:val="404040" w:themeColor="text1" w:themeTint="BF"/>
          <w:sz w:val="20"/>
        </w:rPr>
        <w:t xml:space="preserve">irectors’ and </w:t>
      </w:r>
      <w:r>
        <w:rPr>
          <w:rFonts w:ascii="Georgia" w:hAnsi="Georgia" w:cs="Calibri"/>
          <w:color w:val="404040" w:themeColor="text1" w:themeTint="BF"/>
          <w:sz w:val="20"/>
        </w:rPr>
        <w:t>o</w:t>
      </w:r>
      <w:r w:rsidRPr="0040191B">
        <w:rPr>
          <w:rFonts w:ascii="Georgia" w:hAnsi="Georgia" w:cs="Calibri"/>
          <w:color w:val="404040" w:themeColor="text1" w:themeTint="BF"/>
          <w:sz w:val="20"/>
        </w:rPr>
        <w:t>fficers’ liability insurance in respect of legal action</w:t>
      </w:r>
      <w:r>
        <w:rPr>
          <w:rFonts w:ascii="Georgia" w:hAnsi="Georgia" w:cs="Calibri"/>
          <w:color w:val="404040" w:themeColor="text1" w:themeTint="BF"/>
          <w:sz w:val="20"/>
        </w:rPr>
        <w:t xml:space="preserve"> against its Directors on an on</w:t>
      </w:r>
      <w:r w:rsidRPr="0040191B">
        <w:rPr>
          <w:rFonts w:ascii="Georgia" w:hAnsi="Georgia" w:cs="Calibri"/>
          <w:color w:val="404040" w:themeColor="text1" w:themeTint="BF"/>
          <w:sz w:val="20"/>
        </w:rPr>
        <w:t>going basis.</w:t>
      </w:r>
    </w:p>
    <w:p w14:paraId="31450410" w14:textId="77777777" w:rsidR="00BE5ADF" w:rsidRPr="0040191B" w:rsidRDefault="00BE5ADF" w:rsidP="00BE5ADF">
      <w:pPr>
        <w:jc w:val="both"/>
        <w:rPr>
          <w:rFonts w:ascii="Georgia" w:hAnsi="Georgia" w:cs="Calibri"/>
          <w:color w:val="404040" w:themeColor="text1" w:themeTint="BF"/>
          <w:sz w:val="20"/>
        </w:rPr>
      </w:pPr>
    </w:p>
    <w:p w14:paraId="3FB9B53A" w14:textId="688705F1" w:rsidR="00BE5ADF" w:rsidRPr="0040191B" w:rsidRDefault="00BE5ADF" w:rsidP="00BE5ADF">
      <w:pPr>
        <w:jc w:val="both"/>
        <w:rPr>
          <w:rFonts w:ascii="Georgia" w:hAnsi="Georgia" w:cs="Calibri"/>
          <w:color w:val="404040" w:themeColor="text1" w:themeTint="BF"/>
          <w:sz w:val="20"/>
        </w:rPr>
      </w:pPr>
      <w:r w:rsidRPr="0040191B">
        <w:rPr>
          <w:rFonts w:ascii="Georgia" w:hAnsi="Georgia" w:cs="Calibri"/>
          <w:color w:val="404040" w:themeColor="text1" w:themeTint="BF"/>
          <w:sz w:val="20"/>
        </w:rPr>
        <w:t>The Bo</w:t>
      </w:r>
      <w:r>
        <w:rPr>
          <w:rFonts w:ascii="Georgia" w:hAnsi="Georgia" w:cs="Calibri"/>
          <w:color w:val="404040" w:themeColor="text1" w:themeTint="BF"/>
          <w:sz w:val="20"/>
        </w:rPr>
        <w:t>ard’s responsibilities for the a</w:t>
      </w:r>
      <w:r w:rsidRPr="0040191B">
        <w:rPr>
          <w:rFonts w:ascii="Georgia" w:hAnsi="Georgia" w:cs="Calibri"/>
          <w:color w:val="404040" w:themeColor="text1" w:themeTint="BF"/>
          <w:sz w:val="20"/>
        </w:rPr>
        <w:t xml:space="preserve">nnual </w:t>
      </w:r>
      <w:r>
        <w:rPr>
          <w:rFonts w:ascii="Georgia" w:hAnsi="Georgia" w:cs="Calibri"/>
          <w:color w:val="404040" w:themeColor="text1" w:themeTint="BF"/>
          <w:sz w:val="20"/>
        </w:rPr>
        <w:t>r</w:t>
      </w:r>
      <w:r w:rsidRPr="0040191B">
        <w:rPr>
          <w:rFonts w:ascii="Georgia" w:hAnsi="Georgia" w:cs="Calibri"/>
          <w:color w:val="404040" w:themeColor="text1" w:themeTint="BF"/>
          <w:sz w:val="20"/>
        </w:rPr>
        <w:t xml:space="preserve">eport are set out in the Directors’ Responsibilities Statement on page </w:t>
      </w:r>
      <w:r w:rsidR="0057385A">
        <w:rPr>
          <w:rFonts w:ascii="Georgia" w:hAnsi="Georgia" w:cs="Calibri"/>
          <w:color w:val="404040" w:themeColor="text1" w:themeTint="BF"/>
          <w:sz w:val="20"/>
        </w:rPr>
        <w:t>88</w:t>
      </w:r>
      <w:r w:rsidRPr="0040191B">
        <w:rPr>
          <w:rFonts w:ascii="Georgia" w:hAnsi="Georgia" w:cs="Calibri"/>
          <w:color w:val="404040" w:themeColor="text1" w:themeTint="BF"/>
          <w:sz w:val="20"/>
        </w:rPr>
        <w:t>. The Board is also responsible for issuing appropriate half-yearly financial reports and other price-sensitive public reports.</w:t>
      </w:r>
    </w:p>
    <w:p w14:paraId="526A3CA0" w14:textId="77777777" w:rsidR="00BE5ADF" w:rsidRDefault="00BE5ADF" w:rsidP="00BE5ADF">
      <w:pPr>
        <w:jc w:val="both"/>
        <w:rPr>
          <w:rFonts w:ascii="Georgia" w:hAnsi="Georgia" w:cs="Calibri"/>
          <w:color w:val="404040" w:themeColor="text1" w:themeTint="BF"/>
          <w:sz w:val="20"/>
        </w:rPr>
      </w:pPr>
    </w:p>
    <w:p w14:paraId="32188B00" w14:textId="77777777" w:rsidR="00BE5ADF" w:rsidRDefault="00BE5ADF" w:rsidP="00BE5ADF">
      <w:pPr>
        <w:jc w:val="both"/>
        <w:rPr>
          <w:rFonts w:ascii="Georgia" w:hAnsi="Georgia" w:cs="Calibri"/>
          <w:color w:val="404040" w:themeColor="text1" w:themeTint="BF"/>
          <w:sz w:val="20"/>
        </w:rPr>
      </w:pPr>
    </w:p>
    <w:p w14:paraId="145E4A21" w14:textId="77777777" w:rsidR="00BE5ADF" w:rsidRDefault="00BE5ADF" w:rsidP="00BE5ADF">
      <w:pPr>
        <w:jc w:val="both"/>
        <w:rPr>
          <w:rFonts w:ascii="Georgia" w:hAnsi="Georgia" w:cs="Calibri"/>
          <w:color w:val="404040" w:themeColor="text1" w:themeTint="BF"/>
          <w:sz w:val="20"/>
        </w:rPr>
      </w:pPr>
    </w:p>
    <w:p w14:paraId="530A57B5" w14:textId="77777777" w:rsidR="00BE5ADF" w:rsidRDefault="00BE5ADF" w:rsidP="00BE5ADF">
      <w:pPr>
        <w:jc w:val="both"/>
        <w:rPr>
          <w:rFonts w:ascii="Georgia" w:hAnsi="Georgia" w:cs="Calibri"/>
          <w:color w:val="404040" w:themeColor="text1" w:themeTint="BF"/>
          <w:sz w:val="20"/>
        </w:rPr>
      </w:pPr>
    </w:p>
    <w:p w14:paraId="497C97CD" w14:textId="77777777" w:rsidR="00BE5ADF" w:rsidRDefault="00BE5ADF" w:rsidP="00BE5ADF">
      <w:pPr>
        <w:jc w:val="both"/>
        <w:rPr>
          <w:rFonts w:ascii="Georgia" w:hAnsi="Georgia" w:cs="Calibri"/>
          <w:color w:val="404040" w:themeColor="text1" w:themeTint="BF"/>
          <w:sz w:val="20"/>
        </w:rPr>
      </w:pPr>
    </w:p>
    <w:p w14:paraId="5EA3D99D" w14:textId="77777777" w:rsidR="00BE5ADF" w:rsidRDefault="00BE5ADF" w:rsidP="00BE5ADF">
      <w:pPr>
        <w:jc w:val="both"/>
        <w:rPr>
          <w:rFonts w:ascii="Georgia" w:hAnsi="Georgia" w:cs="Calibri"/>
          <w:color w:val="404040" w:themeColor="text1" w:themeTint="BF"/>
          <w:sz w:val="20"/>
        </w:rPr>
      </w:pPr>
    </w:p>
    <w:p w14:paraId="4F69643B" w14:textId="77777777" w:rsidR="00BE5ADF" w:rsidRDefault="00BE5ADF" w:rsidP="00BE5ADF">
      <w:pPr>
        <w:jc w:val="both"/>
        <w:rPr>
          <w:rFonts w:ascii="Georgia" w:hAnsi="Georgia" w:cs="Calibri"/>
          <w:color w:val="404040" w:themeColor="text1" w:themeTint="BF"/>
          <w:sz w:val="20"/>
        </w:rPr>
      </w:pPr>
    </w:p>
    <w:p w14:paraId="0A16A641" w14:textId="77777777" w:rsidR="00BE5ADF" w:rsidRDefault="00BE5ADF" w:rsidP="00BE5ADF">
      <w:pPr>
        <w:jc w:val="both"/>
        <w:rPr>
          <w:rFonts w:ascii="Georgia" w:hAnsi="Georgia" w:cs="Calibri"/>
          <w:color w:val="404040" w:themeColor="text1" w:themeTint="BF"/>
          <w:sz w:val="20"/>
        </w:rPr>
      </w:pPr>
    </w:p>
    <w:p w14:paraId="665D564B" w14:textId="77777777" w:rsidR="00BE5ADF" w:rsidRDefault="00BE5ADF" w:rsidP="00BE5ADF">
      <w:pPr>
        <w:jc w:val="both"/>
        <w:rPr>
          <w:rFonts w:ascii="Georgia" w:hAnsi="Georgia" w:cs="Calibri"/>
          <w:color w:val="404040" w:themeColor="text1" w:themeTint="BF"/>
          <w:sz w:val="20"/>
        </w:rPr>
      </w:pPr>
    </w:p>
    <w:p w14:paraId="7DFF3FEA" w14:textId="77777777" w:rsidR="00BE5ADF" w:rsidRDefault="00BE5ADF" w:rsidP="00BE5ADF">
      <w:pPr>
        <w:jc w:val="both"/>
        <w:rPr>
          <w:rFonts w:ascii="Georgia" w:hAnsi="Georgia" w:cs="Calibri"/>
          <w:color w:val="404040" w:themeColor="text1" w:themeTint="BF"/>
          <w:sz w:val="20"/>
        </w:rPr>
      </w:pPr>
    </w:p>
    <w:p w14:paraId="54B486FB" w14:textId="77777777" w:rsidR="00BE5ADF" w:rsidRDefault="00BE5ADF" w:rsidP="00BE5ADF">
      <w:pPr>
        <w:jc w:val="both"/>
        <w:rPr>
          <w:rFonts w:ascii="Georgia" w:hAnsi="Georgia" w:cs="Calibri"/>
          <w:color w:val="404040" w:themeColor="text1" w:themeTint="BF"/>
          <w:sz w:val="20"/>
        </w:rPr>
      </w:pPr>
    </w:p>
    <w:p w14:paraId="468E9812" w14:textId="77777777" w:rsidR="00BE5ADF" w:rsidRPr="00FB7D45" w:rsidRDefault="00BE5ADF" w:rsidP="00BE5ADF">
      <w:pPr>
        <w:pStyle w:val="Heading2"/>
        <w:spacing w:before="0"/>
      </w:pPr>
      <w:r w:rsidRPr="00FB7D45">
        <w:lastRenderedPageBreak/>
        <w:t>Strategic Report (continued)</w:t>
      </w:r>
    </w:p>
    <w:p w14:paraId="676CC760" w14:textId="77777777" w:rsidR="00BE5ADF" w:rsidRPr="00FB7D45" w:rsidRDefault="00BE5ADF" w:rsidP="00BE5ADF">
      <w:pPr>
        <w:pStyle w:val="ListParagraph"/>
        <w:ind w:left="360"/>
        <w:rPr>
          <w:rFonts w:ascii="Georgia" w:hAnsi="Georgia" w:cs="Calibri"/>
          <w:b/>
          <w:color w:val="404040" w:themeColor="text1" w:themeTint="BF"/>
          <w:sz w:val="20"/>
        </w:rPr>
      </w:pPr>
    </w:p>
    <w:p w14:paraId="532989BC" w14:textId="5C4C0DAC" w:rsidR="00BE5ADF" w:rsidRPr="00FB7D45" w:rsidRDefault="00DF64D0" w:rsidP="00BE5ADF">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BE5ADF" w:rsidRPr="00FB7D45">
        <w:rPr>
          <w:rFonts w:ascii="Georgia" w:hAnsi="Georgia" w:cs="Calibri"/>
          <w:b/>
          <w:color w:val="404040" w:themeColor="text1" w:themeTint="BF"/>
          <w:sz w:val="20"/>
        </w:rPr>
        <w:t xml:space="preserve">. </w:t>
      </w:r>
      <w:r w:rsidR="00BE5ADF" w:rsidRPr="00FB7D45">
        <w:rPr>
          <w:rFonts w:ascii="Georgia" w:hAnsi="Georgia" w:cs="Calibri"/>
          <w:b/>
          <w:color w:val="404040" w:themeColor="text1" w:themeTint="BF"/>
          <w:sz w:val="20"/>
        </w:rPr>
        <w:tab/>
      </w:r>
      <w:r w:rsidR="00BE5ADF">
        <w:rPr>
          <w:rFonts w:ascii="Georgia" w:hAnsi="Georgia" w:cs="Calibri"/>
          <w:b/>
          <w:color w:val="404040" w:themeColor="text1" w:themeTint="BF"/>
          <w:sz w:val="20"/>
        </w:rPr>
        <w:t>Environmental, Social and Governance</w:t>
      </w:r>
      <w:r w:rsidR="00BE5ADF" w:rsidRPr="00FB7D45">
        <w:rPr>
          <w:rFonts w:ascii="Georgia" w:hAnsi="Georgia" w:cs="Calibri"/>
          <w:b/>
          <w:color w:val="404040" w:themeColor="text1" w:themeTint="BF"/>
          <w:sz w:val="20"/>
        </w:rPr>
        <w:t xml:space="preserve"> (continued)</w:t>
      </w:r>
    </w:p>
    <w:p w14:paraId="4098619B" w14:textId="77777777" w:rsidR="00BE5ADF" w:rsidRDefault="00BE5ADF" w:rsidP="00BE5ADF">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3BBD9A95" w14:textId="77777777" w:rsidR="00BE5ADF" w:rsidRDefault="00BE5ADF" w:rsidP="00BE5ADF">
      <w:pPr>
        <w:jc w:val="both"/>
        <w:rPr>
          <w:rFonts w:ascii="Georgia" w:hAnsi="Georgia" w:cs="Calibri"/>
          <w:color w:val="404040" w:themeColor="text1" w:themeTint="BF"/>
          <w:sz w:val="20"/>
        </w:rPr>
      </w:pPr>
    </w:p>
    <w:p w14:paraId="50A495B3" w14:textId="59DB9A13" w:rsidR="00BE5ADF" w:rsidRDefault="00BE5ADF" w:rsidP="00BE5ADF">
      <w:pPr>
        <w:jc w:val="both"/>
        <w:rPr>
          <w:rFonts w:ascii="Georgia" w:hAnsi="Georgia" w:cs="Calibri"/>
          <w:color w:val="404040" w:themeColor="text1" w:themeTint="BF"/>
          <w:sz w:val="20"/>
        </w:rPr>
      </w:pPr>
      <w:r w:rsidRPr="0040191B">
        <w:rPr>
          <w:rFonts w:ascii="Georgia" w:hAnsi="Georgia" w:cs="Calibri"/>
          <w:color w:val="404040" w:themeColor="text1" w:themeTint="BF"/>
          <w:sz w:val="20"/>
        </w:rPr>
        <w:t xml:space="preserve">The attendance record of the Directors for the </w:t>
      </w:r>
      <w:r>
        <w:rPr>
          <w:rFonts w:ascii="Georgia" w:hAnsi="Georgia" w:cs="Calibri"/>
          <w:color w:val="404040" w:themeColor="text1" w:themeTint="BF"/>
          <w:sz w:val="20"/>
        </w:rPr>
        <w:t>year</w:t>
      </w:r>
      <w:r w:rsidRPr="0040191B">
        <w:rPr>
          <w:rFonts w:ascii="Georgia" w:hAnsi="Georgia" w:cs="Calibri"/>
          <w:color w:val="404040" w:themeColor="text1" w:themeTint="BF"/>
          <w:sz w:val="20"/>
        </w:rPr>
        <w:t xml:space="preserve"> to </w:t>
      </w:r>
      <w:r>
        <w:rPr>
          <w:rFonts w:ascii="Georgia" w:hAnsi="Georgia" w:cs="Calibri"/>
          <w:color w:val="404040" w:themeColor="text1" w:themeTint="BF"/>
          <w:sz w:val="20"/>
        </w:rPr>
        <w:t>30 June 2020</w:t>
      </w:r>
      <w:r w:rsidRPr="0040191B">
        <w:rPr>
          <w:rFonts w:ascii="Georgia" w:hAnsi="Georgia" w:cs="Calibri"/>
          <w:color w:val="404040" w:themeColor="text1" w:themeTint="BF"/>
          <w:sz w:val="20"/>
        </w:rPr>
        <w:t xml:space="preserve"> is set out below:</w:t>
      </w:r>
    </w:p>
    <w:p w14:paraId="58B2C243" w14:textId="169BED73" w:rsidR="00BE5ADF" w:rsidRDefault="00BE5ADF" w:rsidP="00BE5ADF">
      <w:pPr>
        <w:jc w:val="both"/>
        <w:rPr>
          <w:rFonts w:ascii="Georgia" w:hAnsi="Georgia" w:cs="Calibri"/>
          <w:color w:val="404040" w:themeColor="text1" w:themeTint="BF"/>
          <w:sz w:val="20"/>
        </w:r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409"/>
        <w:gridCol w:w="2410"/>
        <w:gridCol w:w="2410"/>
      </w:tblGrid>
      <w:tr w:rsidR="00BE5ADF" w:rsidRPr="006E37B3" w14:paraId="6B04FF1D" w14:textId="77777777" w:rsidTr="00BD746A">
        <w:trPr>
          <w:trHeight w:val="934"/>
        </w:trPr>
        <w:tc>
          <w:tcPr>
            <w:tcW w:w="2127" w:type="dxa"/>
            <w:tcBorders>
              <w:bottom w:val="single" w:sz="4" w:space="0" w:color="auto"/>
            </w:tcBorders>
            <w:vAlign w:val="bottom"/>
          </w:tcPr>
          <w:p w14:paraId="2B2A2A06" w14:textId="77777777" w:rsidR="00BE5ADF" w:rsidRPr="00E42A95" w:rsidRDefault="00BE5ADF" w:rsidP="00BD746A">
            <w:pPr>
              <w:spacing w:after="40"/>
              <w:rPr>
                <w:rFonts w:ascii="Georgia" w:hAnsi="Georgia" w:cs="Calibri"/>
                <w:b/>
                <w:color w:val="404040" w:themeColor="text1" w:themeTint="BF"/>
                <w:sz w:val="20"/>
              </w:rPr>
            </w:pPr>
          </w:p>
          <w:p w14:paraId="0B9AEC4B" w14:textId="77777777" w:rsidR="00BE5ADF" w:rsidRPr="00E42A95" w:rsidRDefault="00BE5ADF" w:rsidP="00BD746A">
            <w:pPr>
              <w:spacing w:after="40"/>
              <w:rPr>
                <w:rFonts w:ascii="Georgia" w:hAnsi="Georgia" w:cs="Calibri"/>
                <w:b/>
                <w:color w:val="404040" w:themeColor="text1" w:themeTint="BF"/>
                <w:sz w:val="20"/>
              </w:rPr>
            </w:pPr>
            <w:r w:rsidRPr="00E42A95">
              <w:rPr>
                <w:rFonts w:ascii="Georgia" w:hAnsi="Georgia" w:cs="Calibri"/>
                <w:b/>
                <w:color w:val="404040" w:themeColor="text1" w:themeTint="BF"/>
                <w:sz w:val="20"/>
              </w:rPr>
              <w:t>Director</w:t>
            </w:r>
          </w:p>
        </w:tc>
        <w:tc>
          <w:tcPr>
            <w:tcW w:w="2409" w:type="dxa"/>
            <w:tcBorders>
              <w:bottom w:val="single" w:sz="4" w:space="0" w:color="auto"/>
            </w:tcBorders>
            <w:vAlign w:val="bottom"/>
          </w:tcPr>
          <w:p w14:paraId="5167B0FE" w14:textId="77777777" w:rsidR="00BE5ADF" w:rsidRPr="002A358A" w:rsidRDefault="00BE5ADF" w:rsidP="00BD746A">
            <w:pPr>
              <w:spacing w:after="40"/>
              <w:jc w:val="right"/>
              <w:rPr>
                <w:rFonts w:ascii="Georgia" w:hAnsi="Georgia" w:cs="Calibri"/>
                <w:b/>
                <w:color w:val="404040" w:themeColor="text1" w:themeTint="BF"/>
                <w:sz w:val="20"/>
              </w:rPr>
            </w:pPr>
            <w:r w:rsidRPr="002A358A">
              <w:rPr>
                <w:rFonts w:ascii="Georgia" w:hAnsi="Georgia" w:cs="Calibri"/>
                <w:b/>
                <w:color w:val="404040" w:themeColor="text1" w:themeTint="BF"/>
                <w:sz w:val="20"/>
              </w:rPr>
              <w:t xml:space="preserve">Scheduled </w:t>
            </w:r>
            <w:r w:rsidRPr="002A358A">
              <w:rPr>
                <w:rFonts w:ascii="Georgia" w:hAnsi="Georgia" w:cs="Calibri"/>
                <w:b/>
                <w:color w:val="404040" w:themeColor="text1" w:themeTint="BF"/>
                <w:sz w:val="20"/>
              </w:rPr>
              <w:br/>
              <w:t xml:space="preserve">Board Meetings </w:t>
            </w:r>
          </w:p>
          <w:p w14:paraId="11FDDF83" w14:textId="77777777" w:rsidR="00BE5ADF" w:rsidRPr="002A358A" w:rsidRDefault="00BE5ADF" w:rsidP="00BD746A">
            <w:pPr>
              <w:spacing w:after="40"/>
              <w:jc w:val="right"/>
              <w:rPr>
                <w:rFonts w:ascii="Georgia" w:hAnsi="Georgia" w:cs="Calibri"/>
                <w:b/>
                <w:color w:val="404040" w:themeColor="text1" w:themeTint="BF"/>
                <w:sz w:val="20"/>
              </w:rPr>
            </w:pPr>
            <w:r w:rsidRPr="002A358A">
              <w:rPr>
                <w:rFonts w:ascii="Georgia" w:hAnsi="Georgia" w:cs="Calibri"/>
                <w:b/>
                <w:color w:val="404040" w:themeColor="text1" w:themeTint="BF"/>
                <w:sz w:val="20"/>
              </w:rPr>
              <w:t>(max 4)</w:t>
            </w:r>
          </w:p>
        </w:tc>
        <w:tc>
          <w:tcPr>
            <w:tcW w:w="2410" w:type="dxa"/>
            <w:tcBorders>
              <w:bottom w:val="single" w:sz="4" w:space="0" w:color="auto"/>
            </w:tcBorders>
            <w:vAlign w:val="bottom"/>
          </w:tcPr>
          <w:p w14:paraId="537452E5" w14:textId="77777777" w:rsidR="00BE5ADF" w:rsidRPr="002A358A" w:rsidRDefault="00BE5ADF" w:rsidP="00BD746A">
            <w:pPr>
              <w:spacing w:after="40"/>
              <w:jc w:val="right"/>
              <w:rPr>
                <w:rFonts w:ascii="Georgia" w:hAnsi="Georgia" w:cs="Calibri"/>
                <w:b/>
                <w:color w:val="404040" w:themeColor="text1" w:themeTint="BF"/>
                <w:sz w:val="20"/>
              </w:rPr>
            </w:pPr>
            <w:r w:rsidRPr="002A358A">
              <w:rPr>
                <w:rFonts w:ascii="Georgia" w:hAnsi="Georgia" w:cs="Calibri"/>
                <w:b/>
                <w:color w:val="404040" w:themeColor="text1" w:themeTint="BF"/>
                <w:sz w:val="20"/>
              </w:rPr>
              <w:t xml:space="preserve">Ad-hoc </w:t>
            </w:r>
            <w:r w:rsidRPr="002A358A">
              <w:rPr>
                <w:rFonts w:ascii="Georgia" w:hAnsi="Georgia" w:cs="Calibri"/>
                <w:b/>
                <w:color w:val="404040" w:themeColor="text1" w:themeTint="BF"/>
                <w:sz w:val="20"/>
              </w:rPr>
              <w:br/>
              <w:t xml:space="preserve">Board Meetings </w:t>
            </w:r>
          </w:p>
          <w:p w14:paraId="309CFEC6" w14:textId="77777777" w:rsidR="00BE5ADF" w:rsidRPr="002A358A" w:rsidRDefault="00BE5ADF" w:rsidP="00BD746A">
            <w:pPr>
              <w:spacing w:after="40"/>
              <w:jc w:val="right"/>
              <w:rPr>
                <w:rFonts w:ascii="Georgia" w:hAnsi="Georgia" w:cs="Calibri"/>
                <w:b/>
                <w:color w:val="404040" w:themeColor="text1" w:themeTint="BF"/>
                <w:sz w:val="20"/>
              </w:rPr>
            </w:pPr>
            <w:r w:rsidRPr="002A358A">
              <w:rPr>
                <w:rFonts w:ascii="Georgia" w:hAnsi="Georgia" w:cs="Calibri"/>
                <w:b/>
                <w:color w:val="404040" w:themeColor="text1" w:themeTint="BF"/>
                <w:sz w:val="20"/>
              </w:rPr>
              <w:t>(max 10)</w:t>
            </w:r>
          </w:p>
        </w:tc>
        <w:tc>
          <w:tcPr>
            <w:tcW w:w="2410" w:type="dxa"/>
            <w:tcBorders>
              <w:bottom w:val="single" w:sz="4" w:space="0" w:color="auto"/>
            </w:tcBorders>
            <w:vAlign w:val="bottom"/>
          </w:tcPr>
          <w:p w14:paraId="11E6B4C5" w14:textId="77777777" w:rsidR="00BE5ADF" w:rsidRPr="002A358A" w:rsidRDefault="00BE5ADF" w:rsidP="00BD746A">
            <w:pPr>
              <w:spacing w:after="40"/>
              <w:jc w:val="right"/>
              <w:rPr>
                <w:rFonts w:ascii="Georgia" w:hAnsi="Georgia" w:cs="Calibri"/>
                <w:b/>
                <w:color w:val="404040" w:themeColor="text1" w:themeTint="BF"/>
                <w:sz w:val="20"/>
              </w:rPr>
            </w:pPr>
            <w:r w:rsidRPr="002A358A">
              <w:rPr>
                <w:rFonts w:ascii="Georgia" w:hAnsi="Georgia" w:cs="Calibri"/>
                <w:b/>
                <w:color w:val="404040" w:themeColor="text1" w:themeTint="BF"/>
                <w:sz w:val="20"/>
              </w:rPr>
              <w:t>Audit Committee Meetings</w:t>
            </w:r>
          </w:p>
          <w:p w14:paraId="5AB19DF1" w14:textId="77777777" w:rsidR="00BE5ADF" w:rsidRPr="002A358A" w:rsidRDefault="00BE5ADF" w:rsidP="00BD746A">
            <w:pPr>
              <w:spacing w:after="40"/>
              <w:jc w:val="right"/>
              <w:rPr>
                <w:rFonts w:ascii="Georgia" w:hAnsi="Georgia" w:cs="Calibri"/>
                <w:b/>
                <w:color w:val="404040" w:themeColor="text1" w:themeTint="BF"/>
                <w:sz w:val="20"/>
              </w:rPr>
            </w:pPr>
            <w:r w:rsidRPr="002A358A">
              <w:rPr>
                <w:rFonts w:ascii="Georgia" w:hAnsi="Georgia" w:cs="Calibri"/>
                <w:b/>
                <w:color w:val="404040" w:themeColor="text1" w:themeTint="BF"/>
                <w:sz w:val="20"/>
              </w:rPr>
              <w:t>(max 6)</w:t>
            </w:r>
          </w:p>
        </w:tc>
      </w:tr>
      <w:tr w:rsidR="00BE5ADF" w:rsidRPr="006E37B3" w14:paraId="79C0A05F" w14:textId="77777777" w:rsidTr="00BD746A">
        <w:trPr>
          <w:trHeight w:val="368"/>
        </w:trPr>
        <w:tc>
          <w:tcPr>
            <w:tcW w:w="2127" w:type="dxa"/>
            <w:vAlign w:val="center"/>
          </w:tcPr>
          <w:p w14:paraId="39BBF033"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John Rennocks</w:t>
            </w:r>
          </w:p>
        </w:tc>
        <w:tc>
          <w:tcPr>
            <w:tcW w:w="2409" w:type="dxa"/>
            <w:vAlign w:val="center"/>
          </w:tcPr>
          <w:p w14:paraId="79FAA752" w14:textId="306283C3" w:rsidR="00BE5ADF" w:rsidRPr="002A358A"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3</w:t>
            </w:r>
            <w:r w:rsidR="008D4EEF">
              <w:rPr>
                <w:rFonts w:ascii="Georgia" w:hAnsi="Georgia" w:cs="Calibri"/>
                <w:color w:val="404040" w:themeColor="text1" w:themeTint="BF"/>
                <w:sz w:val="20"/>
              </w:rPr>
              <w:t>*</w:t>
            </w:r>
          </w:p>
        </w:tc>
        <w:tc>
          <w:tcPr>
            <w:tcW w:w="2410" w:type="dxa"/>
            <w:vAlign w:val="center"/>
          </w:tcPr>
          <w:p w14:paraId="1FF1E9FB" w14:textId="77777777" w:rsidR="00BE5ADF" w:rsidRPr="002A358A"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1</w:t>
            </w:r>
          </w:p>
        </w:tc>
        <w:tc>
          <w:tcPr>
            <w:tcW w:w="2410" w:type="dxa"/>
            <w:vAlign w:val="center"/>
          </w:tcPr>
          <w:p w14:paraId="1EA9F8F5" w14:textId="77777777" w:rsidR="00BE5ADF" w:rsidRPr="006232D1" w:rsidRDefault="00BE5ADF" w:rsidP="00BD746A">
            <w:pPr>
              <w:jc w:val="right"/>
              <w:rPr>
                <w:rFonts w:ascii="Georgia" w:hAnsi="Georgia" w:cs="Calibri"/>
                <w:color w:val="404040" w:themeColor="text1" w:themeTint="BF"/>
                <w:sz w:val="20"/>
                <w:highlight w:val="yellow"/>
              </w:rPr>
            </w:pPr>
            <w:r w:rsidRPr="00CD1D71">
              <w:rPr>
                <w:rFonts w:ascii="Georgia" w:hAnsi="Georgia" w:cs="Calibri"/>
                <w:color w:val="404040" w:themeColor="text1" w:themeTint="BF"/>
                <w:sz w:val="20"/>
              </w:rPr>
              <w:t>4</w:t>
            </w:r>
          </w:p>
        </w:tc>
      </w:tr>
      <w:tr w:rsidR="00BE5ADF" w:rsidRPr="006E37B3" w14:paraId="27F616A4" w14:textId="77777777" w:rsidTr="00BD746A">
        <w:trPr>
          <w:trHeight w:val="368"/>
        </w:trPr>
        <w:tc>
          <w:tcPr>
            <w:tcW w:w="2127" w:type="dxa"/>
            <w:vAlign w:val="center"/>
          </w:tcPr>
          <w:p w14:paraId="6DD566C0"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John Scott</w:t>
            </w:r>
          </w:p>
        </w:tc>
        <w:tc>
          <w:tcPr>
            <w:tcW w:w="2409" w:type="dxa"/>
            <w:vAlign w:val="center"/>
          </w:tcPr>
          <w:p w14:paraId="2ED3D8E6" w14:textId="6863A2F6" w:rsidR="00BE5ADF" w:rsidRPr="002A358A"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3</w:t>
            </w:r>
            <w:r w:rsidR="008D4EEF">
              <w:rPr>
                <w:rFonts w:ascii="Georgia" w:hAnsi="Georgia" w:cs="Calibri"/>
                <w:color w:val="404040" w:themeColor="text1" w:themeTint="BF"/>
                <w:sz w:val="20"/>
              </w:rPr>
              <w:t>*</w:t>
            </w:r>
          </w:p>
        </w:tc>
        <w:tc>
          <w:tcPr>
            <w:tcW w:w="2410" w:type="dxa"/>
            <w:vAlign w:val="center"/>
          </w:tcPr>
          <w:p w14:paraId="1034C0DB" w14:textId="77777777" w:rsidR="00BE5ADF" w:rsidRPr="002A358A" w:rsidRDefault="00BE5ADF" w:rsidP="00BD746A">
            <w:pPr>
              <w:jc w:val="right"/>
              <w:rPr>
                <w:rFonts w:ascii="Georgia" w:hAnsi="Georgia" w:cs="Calibri"/>
                <w:color w:val="404040" w:themeColor="text1" w:themeTint="BF"/>
                <w:sz w:val="20"/>
              </w:rPr>
            </w:pPr>
            <w:r>
              <w:rPr>
                <w:rFonts w:ascii="Georgia" w:hAnsi="Georgia" w:cs="Calibri"/>
                <w:color w:val="404040" w:themeColor="text1" w:themeTint="BF"/>
                <w:sz w:val="20"/>
              </w:rPr>
              <w:t>1</w:t>
            </w:r>
          </w:p>
        </w:tc>
        <w:tc>
          <w:tcPr>
            <w:tcW w:w="2410" w:type="dxa"/>
            <w:vAlign w:val="center"/>
          </w:tcPr>
          <w:p w14:paraId="52D7481B" w14:textId="77777777" w:rsidR="00BE5ADF" w:rsidRPr="006232D1" w:rsidRDefault="00BE5ADF" w:rsidP="00BD746A">
            <w:pPr>
              <w:jc w:val="right"/>
              <w:rPr>
                <w:rFonts w:ascii="Georgia" w:hAnsi="Georgia" w:cs="Calibri"/>
                <w:color w:val="404040" w:themeColor="text1" w:themeTint="BF"/>
                <w:sz w:val="20"/>
                <w:highlight w:val="yellow"/>
              </w:rPr>
            </w:pPr>
            <w:r w:rsidRPr="00CD1D71">
              <w:rPr>
                <w:rFonts w:ascii="Georgia" w:hAnsi="Georgia" w:cs="Calibri"/>
                <w:color w:val="404040" w:themeColor="text1" w:themeTint="BF"/>
                <w:sz w:val="20"/>
              </w:rPr>
              <w:t>4</w:t>
            </w:r>
          </w:p>
        </w:tc>
      </w:tr>
      <w:tr w:rsidR="00BE5ADF" w:rsidRPr="006E37B3" w14:paraId="6AEFDC88" w14:textId="77777777" w:rsidTr="00BD746A">
        <w:trPr>
          <w:trHeight w:val="368"/>
        </w:trPr>
        <w:tc>
          <w:tcPr>
            <w:tcW w:w="2127" w:type="dxa"/>
            <w:vAlign w:val="center"/>
          </w:tcPr>
          <w:p w14:paraId="26CF5B76"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Laurence McNairn</w:t>
            </w:r>
          </w:p>
        </w:tc>
        <w:tc>
          <w:tcPr>
            <w:tcW w:w="2409" w:type="dxa"/>
            <w:vAlign w:val="center"/>
          </w:tcPr>
          <w:p w14:paraId="7BF47516" w14:textId="77777777" w:rsidR="00BE5ADF" w:rsidRPr="002A358A" w:rsidRDefault="00BE5ADF" w:rsidP="00BD746A">
            <w:pPr>
              <w:jc w:val="right"/>
              <w:rPr>
                <w:rFonts w:ascii="Georgia" w:hAnsi="Georgia" w:cs="Calibri"/>
                <w:color w:val="404040" w:themeColor="text1" w:themeTint="BF"/>
                <w:sz w:val="20"/>
              </w:rPr>
            </w:pPr>
            <w:r w:rsidRPr="002A358A">
              <w:rPr>
                <w:rFonts w:ascii="Georgia" w:hAnsi="Georgia" w:cs="Calibri"/>
                <w:color w:val="404040" w:themeColor="text1" w:themeTint="BF"/>
                <w:sz w:val="20"/>
              </w:rPr>
              <w:t>4</w:t>
            </w:r>
          </w:p>
        </w:tc>
        <w:tc>
          <w:tcPr>
            <w:tcW w:w="2410" w:type="dxa"/>
            <w:vAlign w:val="center"/>
          </w:tcPr>
          <w:p w14:paraId="6C3CC82C" w14:textId="3DC4549E" w:rsidR="00BE5ADF" w:rsidRPr="006232D1" w:rsidRDefault="00601BA5" w:rsidP="00BD746A">
            <w:pPr>
              <w:jc w:val="right"/>
              <w:rPr>
                <w:rFonts w:ascii="Georgia" w:hAnsi="Georgia" w:cs="Calibri"/>
                <w:color w:val="404040" w:themeColor="text1" w:themeTint="BF"/>
                <w:sz w:val="20"/>
                <w:highlight w:val="yellow"/>
              </w:rPr>
            </w:pPr>
            <w:r w:rsidRPr="00601BA5">
              <w:rPr>
                <w:rFonts w:ascii="Georgia" w:hAnsi="Georgia" w:cs="Calibri"/>
                <w:color w:val="404040" w:themeColor="text1" w:themeTint="BF"/>
                <w:sz w:val="20"/>
              </w:rPr>
              <w:t>9</w:t>
            </w:r>
          </w:p>
        </w:tc>
        <w:tc>
          <w:tcPr>
            <w:tcW w:w="2410" w:type="dxa"/>
            <w:vAlign w:val="center"/>
          </w:tcPr>
          <w:p w14:paraId="72D8317F" w14:textId="77777777" w:rsidR="00BE5ADF" w:rsidRPr="006232D1" w:rsidRDefault="00BE5ADF" w:rsidP="00BD746A">
            <w:pPr>
              <w:jc w:val="right"/>
              <w:rPr>
                <w:rFonts w:ascii="Georgia" w:hAnsi="Georgia" w:cs="Calibri"/>
                <w:color w:val="404040" w:themeColor="text1" w:themeTint="BF"/>
                <w:sz w:val="20"/>
                <w:highlight w:val="yellow"/>
              </w:rPr>
            </w:pPr>
            <w:r w:rsidRPr="00CD1D71">
              <w:rPr>
                <w:rFonts w:ascii="Georgia" w:hAnsi="Georgia" w:cs="Calibri"/>
                <w:color w:val="404040" w:themeColor="text1" w:themeTint="BF"/>
                <w:sz w:val="20"/>
              </w:rPr>
              <w:t>6</w:t>
            </w:r>
          </w:p>
        </w:tc>
      </w:tr>
      <w:tr w:rsidR="00BE5ADF" w:rsidRPr="006E37B3" w14:paraId="46789923" w14:textId="77777777" w:rsidTr="00BD746A">
        <w:trPr>
          <w:trHeight w:val="368"/>
        </w:trPr>
        <w:tc>
          <w:tcPr>
            <w:tcW w:w="2127" w:type="dxa"/>
            <w:vAlign w:val="center"/>
          </w:tcPr>
          <w:p w14:paraId="0EEC2FF1" w14:textId="77777777" w:rsidR="00BE5ADF" w:rsidRPr="00E42A95" w:rsidRDefault="00BE5ADF" w:rsidP="00BD746A">
            <w:pPr>
              <w:rPr>
                <w:rFonts w:ascii="Georgia" w:hAnsi="Georgia" w:cs="Calibri"/>
                <w:color w:val="404040" w:themeColor="text1" w:themeTint="BF"/>
                <w:sz w:val="20"/>
              </w:rPr>
            </w:pPr>
            <w:r>
              <w:rPr>
                <w:rFonts w:ascii="Georgia" w:hAnsi="Georgia" w:cs="Calibri"/>
                <w:color w:val="404040" w:themeColor="text1" w:themeTint="BF"/>
                <w:sz w:val="20"/>
              </w:rPr>
              <w:t xml:space="preserve">Meriel Lenfestey </w:t>
            </w:r>
          </w:p>
        </w:tc>
        <w:tc>
          <w:tcPr>
            <w:tcW w:w="2409" w:type="dxa"/>
            <w:vAlign w:val="center"/>
          </w:tcPr>
          <w:p w14:paraId="15F7DEA2" w14:textId="77777777" w:rsidR="00BE5ADF" w:rsidRPr="002A358A" w:rsidRDefault="00BE5ADF" w:rsidP="00BD746A">
            <w:pPr>
              <w:jc w:val="right"/>
              <w:rPr>
                <w:rFonts w:ascii="Georgia" w:hAnsi="Georgia" w:cs="Calibri"/>
                <w:color w:val="404040" w:themeColor="text1" w:themeTint="BF"/>
                <w:sz w:val="20"/>
              </w:rPr>
            </w:pPr>
            <w:r w:rsidRPr="002A358A">
              <w:rPr>
                <w:rFonts w:ascii="Georgia" w:hAnsi="Georgia" w:cs="Calibri"/>
                <w:color w:val="404040" w:themeColor="text1" w:themeTint="BF"/>
                <w:sz w:val="20"/>
              </w:rPr>
              <w:t>4</w:t>
            </w:r>
          </w:p>
        </w:tc>
        <w:tc>
          <w:tcPr>
            <w:tcW w:w="2410" w:type="dxa"/>
            <w:vAlign w:val="center"/>
          </w:tcPr>
          <w:p w14:paraId="6124BB86" w14:textId="77777777" w:rsidR="00BE5ADF" w:rsidRPr="002A358A" w:rsidRDefault="00BE5ADF" w:rsidP="00BD746A">
            <w:pPr>
              <w:jc w:val="right"/>
              <w:rPr>
                <w:rFonts w:ascii="Georgia" w:hAnsi="Georgia" w:cs="Calibri"/>
                <w:color w:val="404040" w:themeColor="text1" w:themeTint="BF"/>
                <w:sz w:val="20"/>
              </w:rPr>
            </w:pPr>
            <w:r w:rsidRPr="002A358A">
              <w:rPr>
                <w:rFonts w:ascii="Georgia" w:hAnsi="Georgia" w:cs="Calibri"/>
                <w:color w:val="404040" w:themeColor="text1" w:themeTint="BF"/>
                <w:sz w:val="20"/>
              </w:rPr>
              <w:t>8</w:t>
            </w:r>
          </w:p>
        </w:tc>
        <w:tc>
          <w:tcPr>
            <w:tcW w:w="2410" w:type="dxa"/>
            <w:vAlign w:val="center"/>
          </w:tcPr>
          <w:p w14:paraId="593AF93E" w14:textId="77777777" w:rsidR="00BE5ADF" w:rsidRPr="002A358A" w:rsidRDefault="00BE5ADF" w:rsidP="00BD746A">
            <w:pPr>
              <w:jc w:val="right"/>
              <w:rPr>
                <w:rFonts w:ascii="Georgia" w:hAnsi="Georgia" w:cs="Calibri"/>
                <w:color w:val="404040" w:themeColor="text1" w:themeTint="BF"/>
                <w:sz w:val="20"/>
              </w:rPr>
            </w:pPr>
            <w:r w:rsidRPr="002A358A">
              <w:rPr>
                <w:rFonts w:ascii="Georgia" w:hAnsi="Georgia" w:cs="Calibri"/>
                <w:color w:val="404040" w:themeColor="text1" w:themeTint="BF"/>
                <w:sz w:val="20"/>
              </w:rPr>
              <w:t>5</w:t>
            </w:r>
          </w:p>
        </w:tc>
      </w:tr>
      <w:tr w:rsidR="00BE5ADF" w:rsidRPr="006E37B3" w14:paraId="2CA57362" w14:textId="77777777" w:rsidTr="00BD746A">
        <w:trPr>
          <w:trHeight w:val="368"/>
        </w:trPr>
        <w:tc>
          <w:tcPr>
            <w:tcW w:w="2127" w:type="dxa"/>
            <w:tcBorders>
              <w:bottom w:val="single" w:sz="4" w:space="0" w:color="auto"/>
            </w:tcBorders>
            <w:vAlign w:val="center"/>
          </w:tcPr>
          <w:p w14:paraId="1B97B6D9" w14:textId="77777777" w:rsidR="00BE5ADF" w:rsidRDefault="00BE5ADF" w:rsidP="00BD746A">
            <w:pPr>
              <w:rPr>
                <w:rFonts w:ascii="Georgia" w:hAnsi="Georgia" w:cs="Calibri"/>
                <w:color w:val="404040" w:themeColor="text1" w:themeTint="BF"/>
                <w:sz w:val="20"/>
              </w:rPr>
            </w:pPr>
            <w:r w:rsidRPr="00E42A95">
              <w:rPr>
                <w:rFonts w:ascii="Georgia" w:hAnsi="Georgia" w:cs="Calibri"/>
                <w:color w:val="404040" w:themeColor="text1" w:themeTint="BF"/>
                <w:sz w:val="20"/>
              </w:rPr>
              <w:t>Paul Le Page</w:t>
            </w:r>
          </w:p>
        </w:tc>
        <w:tc>
          <w:tcPr>
            <w:tcW w:w="2409" w:type="dxa"/>
            <w:tcBorders>
              <w:bottom w:val="single" w:sz="4" w:space="0" w:color="auto"/>
            </w:tcBorders>
            <w:vAlign w:val="center"/>
          </w:tcPr>
          <w:p w14:paraId="264E6239" w14:textId="77777777" w:rsidR="00BE5ADF" w:rsidRPr="002A358A" w:rsidRDefault="00BE5ADF" w:rsidP="00BD746A">
            <w:pPr>
              <w:jc w:val="right"/>
              <w:rPr>
                <w:rFonts w:ascii="Georgia" w:hAnsi="Georgia" w:cs="Calibri"/>
                <w:color w:val="404040" w:themeColor="text1" w:themeTint="BF"/>
                <w:sz w:val="20"/>
              </w:rPr>
            </w:pPr>
            <w:r w:rsidRPr="002A358A">
              <w:rPr>
                <w:rFonts w:ascii="Georgia" w:hAnsi="Georgia" w:cs="Calibri"/>
                <w:color w:val="404040" w:themeColor="text1" w:themeTint="BF"/>
                <w:sz w:val="20"/>
              </w:rPr>
              <w:t>4</w:t>
            </w:r>
          </w:p>
        </w:tc>
        <w:tc>
          <w:tcPr>
            <w:tcW w:w="2410" w:type="dxa"/>
            <w:tcBorders>
              <w:bottom w:val="single" w:sz="4" w:space="0" w:color="auto"/>
            </w:tcBorders>
            <w:vAlign w:val="center"/>
          </w:tcPr>
          <w:p w14:paraId="281AF1CF" w14:textId="77777777" w:rsidR="00BE5ADF" w:rsidRPr="006232D1" w:rsidRDefault="00BE5ADF" w:rsidP="00BD746A">
            <w:pPr>
              <w:jc w:val="right"/>
              <w:rPr>
                <w:rFonts w:ascii="Georgia" w:hAnsi="Georgia" w:cs="Calibri"/>
                <w:color w:val="404040" w:themeColor="text1" w:themeTint="BF"/>
                <w:sz w:val="20"/>
                <w:highlight w:val="yellow"/>
              </w:rPr>
            </w:pPr>
            <w:r w:rsidRPr="002A358A">
              <w:rPr>
                <w:rFonts w:ascii="Georgia" w:hAnsi="Georgia" w:cs="Calibri"/>
                <w:color w:val="404040" w:themeColor="text1" w:themeTint="BF"/>
                <w:sz w:val="20"/>
              </w:rPr>
              <w:t>10</w:t>
            </w:r>
          </w:p>
        </w:tc>
        <w:tc>
          <w:tcPr>
            <w:tcW w:w="2410" w:type="dxa"/>
            <w:tcBorders>
              <w:bottom w:val="single" w:sz="4" w:space="0" w:color="auto"/>
            </w:tcBorders>
            <w:vAlign w:val="center"/>
          </w:tcPr>
          <w:p w14:paraId="2CBB6885" w14:textId="77777777" w:rsidR="00BE5ADF" w:rsidRPr="006232D1" w:rsidRDefault="00BE5ADF" w:rsidP="00BD746A">
            <w:pPr>
              <w:jc w:val="right"/>
              <w:rPr>
                <w:rFonts w:ascii="Georgia" w:hAnsi="Georgia" w:cs="Calibri"/>
                <w:color w:val="404040" w:themeColor="text1" w:themeTint="BF"/>
                <w:sz w:val="20"/>
                <w:highlight w:val="yellow"/>
              </w:rPr>
            </w:pPr>
            <w:r w:rsidRPr="00CD1D71">
              <w:rPr>
                <w:rFonts w:ascii="Georgia" w:hAnsi="Georgia" w:cs="Calibri"/>
                <w:color w:val="404040" w:themeColor="text1" w:themeTint="BF"/>
                <w:sz w:val="20"/>
              </w:rPr>
              <w:t>6</w:t>
            </w:r>
          </w:p>
        </w:tc>
      </w:tr>
    </w:tbl>
    <w:p w14:paraId="01B1315D" w14:textId="77777777" w:rsidR="00BE5ADF" w:rsidRDefault="00BE5ADF" w:rsidP="00BE5ADF">
      <w:pPr>
        <w:jc w:val="both"/>
        <w:rPr>
          <w:rFonts w:ascii="Georgia" w:hAnsi="Georgia" w:cs="Calibri"/>
          <w:color w:val="404040" w:themeColor="text1" w:themeTint="BF"/>
          <w:sz w:val="20"/>
        </w:rPr>
      </w:pPr>
    </w:p>
    <w:p w14:paraId="05BF664D" w14:textId="22D50EE8" w:rsidR="00BE5ADF" w:rsidRPr="00875947" w:rsidRDefault="008D4EEF" w:rsidP="00BE5ADF">
      <w:pPr>
        <w:jc w:val="both"/>
        <w:rPr>
          <w:rFonts w:ascii="Georgia" w:hAnsi="Georgia" w:cs="Calibri"/>
          <w:color w:val="404040" w:themeColor="text1" w:themeTint="BF"/>
          <w:sz w:val="20"/>
        </w:rPr>
      </w:pPr>
      <w:r>
        <w:rPr>
          <w:rFonts w:ascii="Georgia" w:hAnsi="Georgia" w:cs="Calibri"/>
          <w:color w:val="404040" w:themeColor="text1" w:themeTint="BF"/>
          <w:sz w:val="20"/>
        </w:rPr>
        <w:t>*</w:t>
      </w:r>
      <w:r w:rsidR="00BE5ADF" w:rsidRPr="00875947">
        <w:rPr>
          <w:rFonts w:ascii="Georgia" w:hAnsi="Georgia" w:cs="Calibri"/>
          <w:color w:val="404040" w:themeColor="text1" w:themeTint="BF"/>
          <w:sz w:val="20"/>
        </w:rPr>
        <w:t>It should be noted that Mr Rennocks and Mr Scott are ordinarily resident in the United Kingdom and as a result are not permitted to participate in Board Meetings from the United Kingdom in accordance with the Article 29.2 of the Company’s Articles of Incorporation.  Mr Rennocks and Mr Scott have participated in all, or the majority of</w:t>
      </w:r>
      <w:r w:rsidR="00BE5ADF">
        <w:rPr>
          <w:rFonts w:ascii="Georgia" w:hAnsi="Georgia" w:cs="Calibri"/>
          <w:color w:val="404040" w:themeColor="text1" w:themeTint="BF"/>
          <w:sz w:val="20"/>
        </w:rPr>
        <w:t>,</w:t>
      </w:r>
      <w:r w:rsidR="00BE5ADF" w:rsidRPr="00875947">
        <w:rPr>
          <w:rFonts w:ascii="Georgia" w:hAnsi="Georgia" w:cs="Calibri"/>
          <w:color w:val="404040" w:themeColor="text1" w:themeTint="BF"/>
          <w:sz w:val="20"/>
        </w:rPr>
        <w:t xml:space="preserve"> </w:t>
      </w:r>
      <w:r w:rsidR="00BE5ADF">
        <w:rPr>
          <w:rFonts w:ascii="Georgia" w:hAnsi="Georgia" w:cs="Calibri"/>
          <w:color w:val="404040" w:themeColor="text1" w:themeTint="BF"/>
          <w:sz w:val="20"/>
        </w:rPr>
        <w:t>formally scheduled m</w:t>
      </w:r>
      <w:r w:rsidR="00BE5ADF" w:rsidRPr="00875947">
        <w:rPr>
          <w:rFonts w:ascii="Georgia" w:hAnsi="Georgia" w:cs="Calibri"/>
          <w:color w:val="404040" w:themeColor="text1" w:themeTint="BF"/>
          <w:sz w:val="20"/>
        </w:rPr>
        <w:t>eetings</w:t>
      </w:r>
      <w:r w:rsidR="00BE5ADF">
        <w:rPr>
          <w:rFonts w:ascii="Georgia" w:hAnsi="Georgia" w:cs="Calibri"/>
          <w:color w:val="404040" w:themeColor="text1" w:themeTint="BF"/>
          <w:sz w:val="20"/>
        </w:rPr>
        <w:t xml:space="preserve"> in Guernsey, however they </w:t>
      </w:r>
      <w:r w:rsidR="00BE5ADF" w:rsidRPr="00FC3D30">
        <w:rPr>
          <w:rFonts w:ascii="Georgia" w:hAnsi="Georgia" w:cs="Calibri"/>
          <w:color w:val="404040" w:themeColor="text1" w:themeTint="BF"/>
          <w:sz w:val="20"/>
        </w:rPr>
        <w:t xml:space="preserve">were unable to attend </w:t>
      </w:r>
      <w:r w:rsidR="003538A3">
        <w:rPr>
          <w:rFonts w:ascii="Georgia" w:hAnsi="Georgia" w:cs="Calibri"/>
          <w:color w:val="404040" w:themeColor="text1" w:themeTint="BF"/>
          <w:sz w:val="20"/>
        </w:rPr>
        <w:t>one Board</w:t>
      </w:r>
      <w:r w:rsidR="00BE5ADF" w:rsidRPr="00FC3D30">
        <w:rPr>
          <w:rFonts w:ascii="Georgia" w:hAnsi="Georgia" w:cs="Calibri"/>
          <w:color w:val="404040" w:themeColor="text1" w:themeTint="BF"/>
          <w:sz w:val="20"/>
        </w:rPr>
        <w:t xml:space="preserve"> meet</w:t>
      </w:r>
      <w:r w:rsidR="003538A3">
        <w:rPr>
          <w:rFonts w:ascii="Georgia" w:hAnsi="Georgia" w:cs="Calibri"/>
          <w:color w:val="404040" w:themeColor="text1" w:themeTint="BF"/>
          <w:sz w:val="20"/>
        </w:rPr>
        <w:t>ing, in May 2020,</w:t>
      </w:r>
      <w:r w:rsidR="00BE5ADF" w:rsidRPr="00FC3D30">
        <w:rPr>
          <w:rFonts w:ascii="Georgia" w:hAnsi="Georgia" w:cs="Calibri"/>
          <w:color w:val="404040" w:themeColor="text1" w:themeTint="BF"/>
          <w:sz w:val="20"/>
        </w:rPr>
        <w:t xml:space="preserve"> as a result of travel </w:t>
      </w:r>
      <w:r w:rsidR="00BE5ADF">
        <w:rPr>
          <w:rFonts w:ascii="Georgia" w:hAnsi="Georgia" w:cs="Calibri"/>
          <w:color w:val="404040" w:themeColor="text1" w:themeTint="BF"/>
          <w:sz w:val="20"/>
        </w:rPr>
        <w:t>restrictions caused by</w:t>
      </w:r>
      <w:r w:rsidR="00ED689B">
        <w:rPr>
          <w:rFonts w:ascii="Georgia" w:hAnsi="Georgia" w:cs="Calibri"/>
          <w:color w:val="404040" w:themeColor="text1" w:themeTint="BF"/>
          <w:sz w:val="20"/>
        </w:rPr>
        <w:t xml:space="preserve"> Covid</w:t>
      </w:r>
      <w:r w:rsidR="00BE5ADF">
        <w:rPr>
          <w:rFonts w:ascii="Georgia" w:hAnsi="Georgia" w:cs="Calibri"/>
          <w:color w:val="404040" w:themeColor="text1" w:themeTint="BF"/>
          <w:sz w:val="20"/>
        </w:rPr>
        <w:t>-19.  </w:t>
      </w:r>
      <w:r w:rsidR="00BE5ADF" w:rsidRPr="00875947">
        <w:rPr>
          <w:rFonts w:ascii="Georgia" w:hAnsi="Georgia" w:cs="Calibri"/>
          <w:color w:val="404040" w:themeColor="text1" w:themeTint="BF"/>
          <w:sz w:val="20"/>
        </w:rPr>
        <w:t xml:space="preserve">It should be noted that Mr Rennocks and Mr Scott actively communicate their views on </w:t>
      </w:r>
      <w:r w:rsidR="00BE5ADF">
        <w:rPr>
          <w:rFonts w:ascii="Georgia" w:hAnsi="Georgia" w:cs="Calibri"/>
          <w:color w:val="404040" w:themeColor="text1" w:themeTint="BF"/>
          <w:sz w:val="20"/>
        </w:rPr>
        <w:t>any matters to be discussed at a</w:t>
      </w:r>
      <w:r w:rsidR="00BE5ADF" w:rsidRPr="00875947">
        <w:rPr>
          <w:rFonts w:ascii="Georgia" w:hAnsi="Georgia" w:cs="Calibri"/>
          <w:color w:val="404040" w:themeColor="text1" w:themeTint="BF"/>
          <w:sz w:val="20"/>
        </w:rPr>
        <w:t>d</w:t>
      </w:r>
      <w:r w:rsidR="00BE5ADF">
        <w:rPr>
          <w:rFonts w:ascii="Georgia" w:hAnsi="Georgia" w:cs="Calibri"/>
          <w:color w:val="404040" w:themeColor="text1" w:themeTint="BF"/>
          <w:sz w:val="20"/>
        </w:rPr>
        <w:t>-h</w:t>
      </w:r>
      <w:r w:rsidR="00BE5ADF" w:rsidRPr="00875947">
        <w:rPr>
          <w:rFonts w:ascii="Georgia" w:hAnsi="Georgia" w:cs="Calibri"/>
          <w:color w:val="404040" w:themeColor="text1" w:themeTint="BF"/>
          <w:sz w:val="20"/>
        </w:rPr>
        <w:t>oc Board Meetings to their f</w:t>
      </w:r>
      <w:r w:rsidR="00BE5ADF">
        <w:rPr>
          <w:rFonts w:ascii="Georgia" w:hAnsi="Georgia" w:cs="Calibri"/>
          <w:color w:val="404040" w:themeColor="text1" w:themeTint="BF"/>
          <w:sz w:val="20"/>
        </w:rPr>
        <w:t xml:space="preserve">ellow Directors, Mr Le Page, </w:t>
      </w:r>
      <w:r w:rsidR="00BE5ADF" w:rsidRPr="00875947">
        <w:rPr>
          <w:rFonts w:ascii="Georgia" w:hAnsi="Georgia" w:cs="Calibri"/>
          <w:color w:val="404040" w:themeColor="text1" w:themeTint="BF"/>
          <w:sz w:val="20"/>
        </w:rPr>
        <w:t>Mr McNairn</w:t>
      </w:r>
      <w:r w:rsidR="00BE5ADF">
        <w:rPr>
          <w:rFonts w:ascii="Georgia" w:hAnsi="Georgia" w:cs="Calibri"/>
          <w:color w:val="404040" w:themeColor="text1" w:themeTint="BF"/>
          <w:sz w:val="20"/>
        </w:rPr>
        <w:t xml:space="preserve"> and Ms Lenfestey</w:t>
      </w:r>
      <w:r w:rsidR="00BE5ADF" w:rsidRPr="00875947">
        <w:rPr>
          <w:rFonts w:ascii="Georgia" w:hAnsi="Georgia" w:cs="Calibri"/>
          <w:color w:val="404040" w:themeColor="text1" w:themeTint="BF"/>
          <w:sz w:val="20"/>
        </w:rPr>
        <w:t>, ahead of such meetings.</w:t>
      </w:r>
      <w:r w:rsidR="00BE5ADF">
        <w:rPr>
          <w:rFonts w:ascii="Georgia" w:hAnsi="Georgia" w:cs="Calibri"/>
          <w:color w:val="404040" w:themeColor="text1" w:themeTint="BF"/>
          <w:sz w:val="20"/>
        </w:rPr>
        <w:t xml:space="preserve"> </w:t>
      </w:r>
    </w:p>
    <w:p w14:paraId="19C06262" w14:textId="77777777" w:rsidR="008D4EEF" w:rsidRDefault="008D4EEF" w:rsidP="008D4EEF">
      <w:pPr>
        <w:jc w:val="both"/>
        <w:rPr>
          <w:rFonts w:ascii="Georgia" w:hAnsi="Georgia" w:cs="Calibri"/>
          <w:color w:val="404040" w:themeColor="text1" w:themeTint="BF"/>
          <w:sz w:val="20"/>
        </w:rPr>
      </w:pPr>
    </w:p>
    <w:p w14:paraId="0597EB4C" w14:textId="298CCDD0" w:rsidR="008D4EEF" w:rsidRPr="006E37B3" w:rsidRDefault="008D4EEF" w:rsidP="008D4EEF">
      <w:pPr>
        <w:jc w:val="both"/>
        <w:rPr>
          <w:rFonts w:ascii="Georgia" w:hAnsi="Georgia" w:cs="Calibri"/>
          <w:color w:val="404040" w:themeColor="text1" w:themeTint="BF"/>
          <w:sz w:val="20"/>
        </w:rPr>
      </w:pPr>
      <w:r>
        <w:rPr>
          <w:rFonts w:ascii="Georgia" w:hAnsi="Georgia" w:cs="Calibri"/>
          <w:color w:val="404040" w:themeColor="text1" w:themeTint="BF"/>
          <w:sz w:val="20"/>
        </w:rPr>
        <w:t>Ten</w:t>
      </w:r>
      <w:r w:rsidRPr="004A4063">
        <w:rPr>
          <w:rFonts w:ascii="Georgia" w:hAnsi="Georgia" w:cs="Calibri"/>
          <w:color w:val="404040" w:themeColor="text1" w:themeTint="BF"/>
          <w:sz w:val="20"/>
        </w:rPr>
        <w:t xml:space="preserve"> ad-hoc Board Meetings were held during the period to formally review and authorise each investment made by the Company, to discuss </w:t>
      </w:r>
      <w:r>
        <w:rPr>
          <w:rFonts w:ascii="Georgia" w:hAnsi="Georgia" w:cs="Calibri"/>
          <w:color w:val="404040" w:themeColor="text1" w:themeTint="BF"/>
          <w:sz w:val="20"/>
        </w:rPr>
        <w:t xml:space="preserve">the </w:t>
      </w:r>
      <w:r w:rsidRPr="004A4063">
        <w:rPr>
          <w:rFonts w:ascii="Georgia" w:hAnsi="Georgia" w:cs="Calibri"/>
          <w:color w:val="404040" w:themeColor="text1" w:themeTint="BF"/>
          <w:sz w:val="20"/>
        </w:rPr>
        <w:t>placing of Ordinary Shares and to consider interim dividends, amongst other items.</w:t>
      </w:r>
    </w:p>
    <w:p w14:paraId="1AC43D38" w14:textId="77777777" w:rsidR="00BE5ADF" w:rsidRDefault="00BE5ADF" w:rsidP="00BE5ADF">
      <w:pPr>
        <w:jc w:val="both"/>
        <w:rPr>
          <w:rFonts w:ascii="Georgia" w:hAnsi="Georgia" w:cs="Calibri"/>
          <w:color w:val="404040" w:themeColor="text1" w:themeTint="BF"/>
          <w:sz w:val="20"/>
        </w:rPr>
      </w:pPr>
    </w:p>
    <w:p w14:paraId="756D3C03" w14:textId="77777777" w:rsidR="00BE5ADF" w:rsidRDefault="00BE5ADF" w:rsidP="00BE5ADF">
      <w:pPr>
        <w:jc w:val="both"/>
        <w:rPr>
          <w:rFonts w:ascii="Georgia" w:hAnsi="Georgia" w:cs="Calibri"/>
          <w:color w:val="404040" w:themeColor="text1" w:themeTint="BF"/>
          <w:sz w:val="20"/>
        </w:rPr>
      </w:pPr>
      <w:r w:rsidRPr="005B3AC9">
        <w:rPr>
          <w:rFonts w:ascii="Georgia" w:hAnsi="Georgia" w:cs="Calibri"/>
          <w:color w:val="404040" w:themeColor="text1" w:themeTint="BF"/>
          <w:sz w:val="20"/>
        </w:rPr>
        <w:t>The Board believes that, as a whole, it comprises an appropriate balance of skills, experience</w:t>
      </w:r>
      <w:r>
        <w:rPr>
          <w:rFonts w:ascii="Georgia" w:hAnsi="Georgia" w:cs="Calibri"/>
          <w:color w:val="404040" w:themeColor="text1" w:themeTint="BF"/>
          <w:sz w:val="20"/>
        </w:rPr>
        <w:t>, age,</w:t>
      </w:r>
      <w:r w:rsidRPr="005B3AC9">
        <w:rPr>
          <w:rFonts w:ascii="Georgia" w:hAnsi="Georgia" w:cs="Calibri"/>
          <w:color w:val="404040" w:themeColor="text1" w:themeTint="BF"/>
          <w:sz w:val="20"/>
        </w:rPr>
        <w:t xml:space="preserve"> knowledge</w:t>
      </w:r>
      <w:r>
        <w:rPr>
          <w:rFonts w:ascii="Georgia" w:hAnsi="Georgia" w:cs="Calibri"/>
          <w:color w:val="404040" w:themeColor="text1" w:themeTint="BF"/>
          <w:sz w:val="20"/>
        </w:rPr>
        <w:t xml:space="preserve"> and length of service</w:t>
      </w:r>
      <w:r w:rsidRPr="005B3AC9">
        <w:rPr>
          <w:rFonts w:ascii="Georgia" w:hAnsi="Georgia" w:cs="Calibri"/>
          <w:color w:val="404040" w:themeColor="text1" w:themeTint="BF"/>
          <w:sz w:val="20"/>
        </w:rPr>
        <w:t xml:space="preserve">. The Board also believes that diversity of experience and approach, including gender diversity, amongst </w:t>
      </w:r>
      <w:r>
        <w:rPr>
          <w:rFonts w:ascii="Georgia" w:hAnsi="Georgia" w:cs="Calibri"/>
          <w:color w:val="404040" w:themeColor="text1" w:themeTint="BF"/>
          <w:sz w:val="20"/>
        </w:rPr>
        <w:t>B</w:t>
      </w:r>
      <w:r w:rsidRPr="005B3AC9">
        <w:rPr>
          <w:rFonts w:ascii="Georgia" w:hAnsi="Georgia" w:cs="Calibri"/>
          <w:color w:val="404040" w:themeColor="text1" w:themeTint="BF"/>
          <w:sz w:val="20"/>
        </w:rPr>
        <w:t xml:space="preserve">oard members is of great importance and it is the Company’s policy to give careful consideration to issues of </w:t>
      </w:r>
      <w:r>
        <w:rPr>
          <w:rFonts w:ascii="Georgia" w:hAnsi="Georgia" w:cs="Calibri"/>
          <w:color w:val="404040" w:themeColor="text1" w:themeTint="BF"/>
          <w:sz w:val="20"/>
        </w:rPr>
        <w:t>B</w:t>
      </w:r>
      <w:r w:rsidRPr="005B3AC9">
        <w:rPr>
          <w:rFonts w:ascii="Georgia" w:hAnsi="Georgia" w:cs="Calibri"/>
          <w:color w:val="404040" w:themeColor="text1" w:themeTint="BF"/>
          <w:sz w:val="20"/>
        </w:rPr>
        <w:t>oard balance when making new appointments. With any new Director appointment to the Board, induction training will be provided</w:t>
      </w:r>
      <w:r>
        <w:rPr>
          <w:rFonts w:ascii="Georgia" w:hAnsi="Georgia" w:cs="Calibri"/>
          <w:color w:val="404040" w:themeColor="text1" w:themeTint="BF"/>
          <w:sz w:val="20"/>
        </w:rPr>
        <w:t xml:space="preserve"> by an independent service provider at the expense of the Company</w:t>
      </w:r>
      <w:r w:rsidRPr="005B3AC9">
        <w:rPr>
          <w:rFonts w:ascii="Georgia" w:hAnsi="Georgia" w:cs="Calibri"/>
          <w:color w:val="404040" w:themeColor="text1" w:themeTint="BF"/>
          <w:sz w:val="20"/>
        </w:rPr>
        <w:t>.</w:t>
      </w:r>
    </w:p>
    <w:p w14:paraId="12B8C707" w14:textId="77777777" w:rsidR="00BE5ADF" w:rsidRPr="0040191B" w:rsidRDefault="00BE5ADF" w:rsidP="00BE5ADF">
      <w:pPr>
        <w:jc w:val="both"/>
        <w:rPr>
          <w:rFonts w:ascii="Georgia" w:hAnsi="Georgia" w:cs="Calibri"/>
          <w:color w:val="404040" w:themeColor="text1" w:themeTint="BF"/>
          <w:sz w:val="20"/>
        </w:rPr>
      </w:pPr>
    </w:p>
    <w:p w14:paraId="7F96D874" w14:textId="77777777" w:rsidR="00BE5ADF" w:rsidRDefault="00BE5ADF" w:rsidP="00BE5ADF">
      <w:pPr>
        <w:jc w:val="both"/>
        <w:rPr>
          <w:rFonts w:ascii="Georgia" w:hAnsi="Georgia" w:cs="Calibri"/>
          <w:i/>
          <w:color w:val="404040" w:themeColor="text1" w:themeTint="BF"/>
          <w:sz w:val="20"/>
        </w:rPr>
      </w:pPr>
      <w:r w:rsidRPr="007C7FC7">
        <w:rPr>
          <w:rFonts w:ascii="Georgia" w:hAnsi="Georgia" w:cs="Calibri"/>
          <w:i/>
          <w:color w:val="404040" w:themeColor="text1" w:themeTint="BF"/>
          <w:sz w:val="20"/>
        </w:rPr>
        <w:t>Performance Evaluation</w:t>
      </w:r>
    </w:p>
    <w:p w14:paraId="58FAD3D3" w14:textId="77777777" w:rsidR="00BE5ADF" w:rsidRDefault="00BE5ADF" w:rsidP="00BE5ADF">
      <w:pPr>
        <w:jc w:val="both"/>
        <w:rPr>
          <w:rFonts w:ascii="Georgia" w:hAnsi="Georgia" w:cs="Calibri"/>
          <w:color w:val="404040" w:themeColor="text1" w:themeTint="BF"/>
          <w:sz w:val="20"/>
        </w:rPr>
      </w:pPr>
      <w:r w:rsidRPr="005B3AC9">
        <w:rPr>
          <w:rFonts w:ascii="Georgia" w:hAnsi="Georgia" w:cs="Calibri"/>
          <w:color w:val="404040" w:themeColor="text1" w:themeTint="BF"/>
          <w:sz w:val="20"/>
        </w:rPr>
        <w:t>In accordance with Principle 7 of the AIC Code, the Board is required to undertake a formal and rigorous evaluation of its performance on an annual basis</w:t>
      </w:r>
      <w:r w:rsidRPr="00E12FD5">
        <w:rPr>
          <w:rFonts w:ascii="Georgia" w:hAnsi="Georgia"/>
          <w:color w:val="404040"/>
          <w:sz w:val="20"/>
          <w:szCs w:val="20"/>
        </w:rPr>
        <w:t xml:space="preserve">. </w:t>
      </w:r>
      <w:r>
        <w:rPr>
          <w:rFonts w:ascii="Georgia" w:hAnsi="Georgia"/>
          <w:color w:val="404040"/>
          <w:sz w:val="20"/>
          <w:szCs w:val="20"/>
        </w:rPr>
        <w:t>A formal evaluation of the performance of the Board as a whole, and the Chairman</w:t>
      </w:r>
      <w:r w:rsidRPr="00E12FD5">
        <w:rPr>
          <w:rFonts w:ascii="Georgia" w:hAnsi="Georgia"/>
          <w:color w:val="404040"/>
          <w:sz w:val="20"/>
          <w:szCs w:val="20"/>
        </w:rPr>
        <w:t xml:space="preserve">, </w:t>
      </w:r>
      <w:r>
        <w:rPr>
          <w:rFonts w:ascii="Georgia" w:hAnsi="Georgia"/>
          <w:color w:val="404040"/>
          <w:sz w:val="20"/>
          <w:szCs w:val="20"/>
        </w:rPr>
        <w:t xml:space="preserve">is in progress as at the date of this report.  The evaluation is </w:t>
      </w:r>
      <w:r w:rsidRPr="00080BDB">
        <w:rPr>
          <w:rFonts w:ascii="Georgia" w:hAnsi="Georgia" w:cs="Calibri"/>
          <w:color w:val="404040" w:themeColor="text1" w:themeTint="BF"/>
          <w:sz w:val="20"/>
        </w:rPr>
        <w:t xml:space="preserve">undertaken utilising self-appraisal questionnaires and </w:t>
      </w:r>
      <w:r>
        <w:rPr>
          <w:rFonts w:ascii="Georgia" w:hAnsi="Georgia" w:cs="Calibri"/>
          <w:color w:val="404040" w:themeColor="text1" w:themeTint="BF"/>
          <w:sz w:val="20"/>
        </w:rPr>
        <w:t>is</w:t>
      </w:r>
      <w:r w:rsidRPr="00080BDB">
        <w:rPr>
          <w:rFonts w:ascii="Georgia" w:hAnsi="Georgia" w:cs="Calibri"/>
          <w:color w:val="404040" w:themeColor="text1" w:themeTint="BF"/>
          <w:sz w:val="20"/>
        </w:rPr>
        <w:t xml:space="preserve"> followed by a detailed discussion of the outcomes which include</w:t>
      </w:r>
      <w:r>
        <w:rPr>
          <w:rFonts w:ascii="Georgia" w:hAnsi="Georgia" w:cs="Calibri"/>
          <w:color w:val="404040" w:themeColor="text1" w:themeTint="BF"/>
          <w:sz w:val="20"/>
        </w:rPr>
        <w:t>s an</w:t>
      </w:r>
      <w:r w:rsidRPr="00080BDB">
        <w:rPr>
          <w:rFonts w:ascii="Georgia" w:hAnsi="Georgia" w:cs="Calibri"/>
          <w:color w:val="404040" w:themeColor="text1" w:themeTint="BF"/>
          <w:sz w:val="20"/>
        </w:rPr>
        <w:t xml:space="preserve"> assessment of the Directors’ continued independence.</w:t>
      </w:r>
    </w:p>
    <w:p w14:paraId="77428DBC" w14:textId="77777777" w:rsidR="002122E3" w:rsidRPr="002122E3" w:rsidRDefault="002122E3" w:rsidP="002122E3">
      <w:pPr>
        <w:autoSpaceDE w:val="0"/>
        <w:autoSpaceDN w:val="0"/>
        <w:adjustRightInd w:val="0"/>
        <w:jc w:val="both"/>
        <w:rPr>
          <w:rFonts w:ascii="Georgia" w:hAnsi="Georgia" w:cs="Calibri"/>
          <w:color w:val="404040" w:themeColor="text1" w:themeTint="BF"/>
          <w:sz w:val="20"/>
        </w:rPr>
      </w:pPr>
    </w:p>
    <w:p w14:paraId="05F281C5" w14:textId="492B251D"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173BB429" w14:textId="553FCCE4"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0BA4308E" w14:textId="443D3E06"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7C81354E" w14:textId="2A6517DF"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035198D0" w14:textId="6CBF60F0"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04F6BB25" w14:textId="54F82FF6"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5054DFDC" w14:textId="27EAAB2D"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70B59252" w14:textId="4D85BDA3"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1EC8EA70" w14:textId="3B3503FB"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7BE6790A" w14:textId="1FF6AE02"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700F4B11" w14:textId="77777777" w:rsidR="00BE5ADF" w:rsidRPr="00FB7D45" w:rsidRDefault="00BE5ADF" w:rsidP="00BE5ADF">
      <w:pPr>
        <w:pStyle w:val="Heading2"/>
        <w:spacing w:before="0"/>
      </w:pPr>
      <w:r w:rsidRPr="00FB7D45">
        <w:lastRenderedPageBreak/>
        <w:t>Strategic Report (continued)</w:t>
      </w:r>
    </w:p>
    <w:p w14:paraId="15BFCD67" w14:textId="77777777" w:rsidR="00BE5ADF" w:rsidRPr="00FB7D45" w:rsidRDefault="00BE5ADF" w:rsidP="00BE5ADF">
      <w:pPr>
        <w:pStyle w:val="ListParagraph"/>
        <w:ind w:left="360"/>
        <w:rPr>
          <w:rFonts w:ascii="Georgia" w:hAnsi="Georgia" w:cs="Calibri"/>
          <w:b/>
          <w:color w:val="404040" w:themeColor="text1" w:themeTint="BF"/>
          <w:sz w:val="20"/>
        </w:rPr>
      </w:pPr>
    </w:p>
    <w:p w14:paraId="7A37B691" w14:textId="47876379" w:rsidR="00BE5ADF" w:rsidRPr="00FB7D45" w:rsidRDefault="00DF64D0" w:rsidP="00BE5ADF">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BE5ADF" w:rsidRPr="00FB7D45">
        <w:rPr>
          <w:rFonts w:ascii="Georgia" w:hAnsi="Georgia" w:cs="Calibri"/>
          <w:b/>
          <w:color w:val="404040" w:themeColor="text1" w:themeTint="BF"/>
          <w:sz w:val="20"/>
        </w:rPr>
        <w:t xml:space="preserve">. </w:t>
      </w:r>
      <w:r w:rsidR="00BE5ADF" w:rsidRPr="00FB7D45">
        <w:rPr>
          <w:rFonts w:ascii="Georgia" w:hAnsi="Georgia" w:cs="Calibri"/>
          <w:b/>
          <w:color w:val="404040" w:themeColor="text1" w:themeTint="BF"/>
          <w:sz w:val="20"/>
        </w:rPr>
        <w:tab/>
      </w:r>
      <w:r w:rsidR="00BE5ADF">
        <w:rPr>
          <w:rFonts w:ascii="Georgia" w:hAnsi="Georgia" w:cs="Calibri"/>
          <w:b/>
          <w:color w:val="404040" w:themeColor="text1" w:themeTint="BF"/>
          <w:sz w:val="20"/>
        </w:rPr>
        <w:t>Environmental, Social and Governance</w:t>
      </w:r>
      <w:r w:rsidR="00BE5ADF" w:rsidRPr="00FB7D45">
        <w:rPr>
          <w:rFonts w:ascii="Georgia" w:hAnsi="Georgia" w:cs="Calibri"/>
          <w:b/>
          <w:color w:val="404040" w:themeColor="text1" w:themeTint="BF"/>
          <w:sz w:val="20"/>
        </w:rPr>
        <w:t xml:space="preserve"> (continued)</w:t>
      </w:r>
    </w:p>
    <w:p w14:paraId="7C5C45E6" w14:textId="77777777" w:rsidR="00BE5ADF" w:rsidRDefault="00BE5ADF" w:rsidP="00BE5ADF">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557E4603" w14:textId="3FCCA115"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7A36106B" w14:textId="77777777" w:rsidR="00A70BC9" w:rsidRPr="00E1307A" w:rsidRDefault="00A70BC9" w:rsidP="00A70BC9">
      <w:pPr>
        <w:jc w:val="both"/>
        <w:rPr>
          <w:rFonts w:ascii="Georgia" w:hAnsi="Georgia" w:cs="Calibri"/>
          <w:b/>
          <w:color w:val="404040" w:themeColor="text1" w:themeTint="BF"/>
          <w:sz w:val="20"/>
        </w:rPr>
      </w:pPr>
      <w:r w:rsidRPr="00E1307A">
        <w:rPr>
          <w:rFonts w:ascii="Georgia" w:hAnsi="Georgia" w:cs="Calibri"/>
          <w:b/>
          <w:color w:val="404040" w:themeColor="text1" w:themeTint="BF"/>
          <w:sz w:val="20"/>
        </w:rPr>
        <w:t>Committees of the Board</w:t>
      </w:r>
    </w:p>
    <w:p w14:paraId="0720DE66" w14:textId="77777777" w:rsidR="00A70BC9" w:rsidRPr="005B3AC9" w:rsidRDefault="00A70BC9" w:rsidP="00A70BC9">
      <w:pPr>
        <w:jc w:val="both"/>
        <w:rPr>
          <w:rFonts w:ascii="Georgia" w:hAnsi="Georgia" w:cs="Calibri"/>
          <w:color w:val="404040" w:themeColor="text1" w:themeTint="BF"/>
          <w:sz w:val="20"/>
        </w:rPr>
      </w:pPr>
    </w:p>
    <w:p w14:paraId="1300968C" w14:textId="77777777" w:rsidR="00A70BC9" w:rsidRDefault="00A70BC9" w:rsidP="00A70BC9">
      <w:pPr>
        <w:jc w:val="both"/>
        <w:rPr>
          <w:rFonts w:ascii="Georgia" w:hAnsi="Georgia" w:cs="Calibri"/>
          <w:b/>
          <w:color w:val="404040" w:themeColor="text1" w:themeTint="BF"/>
          <w:sz w:val="20"/>
        </w:rPr>
      </w:pPr>
      <w:r w:rsidRPr="00E1307A">
        <w:rPr>
          <w:rFonts w:ascii="Georgia" w:hAnsi="Georgia" w:cs="Calibri"/>
          <w:b/>
          <w:color w:val="404040" w:themeColor="text1" w:themeTint="BF"/>
          <w:sz w:val="20"/>
        </w:rPr>
        <w:t>Audit Committee</w:t>
      </w:r>
    </w:p>
    <w:p w14:paraId="189C21C6" w14:textId="77777777" w:rsidR="00A70BC9" w:rsidRPr="00E1307A" w:rsidRDefault="00A70BC9" w:rsidP="00A70BC9">
      <w:pPr>
        <w:jc w:val="both"/>
        <w:rPr>
          <w:rFonts w:ascii="Georgia" w:hAnsi="Georgia" w:cs="Calibri"/>
          <w:b/>
          <w:color w:val="404040" w:themeColor="text1" w:themeTint="BF"/>
          <w:sz w:val="20"/>
        </w:rPr>
      </w:pPr>
    </w:p>
    <w:p w14:paraId="49357E83" w14:textId="0D6421FD" w:rsidR="00A70BC9" w:rsidRPr="00A70BC9" w:rsidRDefault="00A70BC9" w:rsidP="00A70BC9">
      <w:pPr>
        <w:pStyle w:val="BluefieldBody"/>
        <w:rPr>
          <w:rFonts w:asciiTheme="minorHAnsi" w:hAnsiTheme="minorHAnsi"/>
          <w:highlight w:val="yellow"/>
        </w:rPr>
      </w:pPr>
      <w:r>
        <w:rPr>
          <w:rFonts w:cs="Calibri"/>
        </w:rPr>
        <w:t>T</w:t>
      </w:r>
      <w:r w:rsidRPr="005B3AC9">
        <w:rPr>
          <w:rFonts w:cs="Calibri"/>
        </w:rPr>
        <w:t xml:space="preserve">he Board established an Audit Committee </w:t>
      </w:r>
      <w:r>
        <w:rPr>
          <w:rFonts w:cs="Calibri"/>
        </w:rPr>
        <w:t xml:space="preserve">in </w:t>
      </w:r>
      <w:r w:rsidRPr="005B3AC9">
        <w:rPr>
          <w:rFonts w:cs="Calibri"/>
        </w:rPr>
        <w:t xml:space="preserve">2013. </w:t>
      </w:r>
      <w:r>
        <w:rPr>
          <w:rFonts w:cs="Calibri"/>
        </w:rPr>
        <w:t>It</w:t>
      </w:r>
      <w:r w:rsidRPr="005B3AC9">
        <w:rPr>
          <w:rFonts w:cs="Calibri"/>
        </w:rPr>
        <w:t xml:space="preserve"> is </w:t>
      </w:r>
      <w:r w:rsidRPr="00895146">
        <w:rPr>
          <w:rFonts w:cs="Calibri"/>
        </w:rPr>
        <w:t xml:space="preserve">chaired by Paul Le Page and at the date of this report comprised all of the Directors set out on page </w:t>
      </w:r>
      <w:r w:rsidRPr="005A73F1">
        <w:rPr>
          <w:rFonts w:cs="Calibri"/>
        </w:rPr>
        <w:t>3.</w:t>
      </w:r>
      <w:r w:rsidRPr="00895146">
        <w:rPr>
          <w:rFonts w:cs="Calibri"/>
        </w:rPr>
        <w:t xml:space="preserve"> The report of the role and activities of this committee and its relationship with the Auditor is contained in the Report of the Audit Committee on pages </w:t>
      </w:r>
      <w:r w:rsidR="005A73F1" w:rsidRPr="005A73F1">
        <w:rPr>
          <w:rFonts w:cs="Calibri"/>
        </w:rPr>
        <w:t>90</w:t>
      </w:r>
      <w:r w:rsidRPr="005A73F1">
        <w:rPr>
          <w:rFonts w:cs="Calibri"/>
        </w:rPr>
        <w:t xml:space="preserve"> to </w:t>
      </w:r>
      <w:r w:rsidR="005A73F1" w:rsidRPr="005A73F1">
        <w:rPr>
          <w:rFonts w:cs="Calibri"/>
        </w:rPr>
        <w:t>94</w:t>
      </w:r>
      <w:r w:rsidRPr="005A73F1">
        <w:rPr>
          <w:rFonts w:cs="Calibri"/>
        </w:rPr>
        <w:t>.</w:t>
      </w:r>
      <w:r w:rsidRPr="00895146">
        <w:rPr>
          <w:rFonts w:cs="Calibri"/>
        </w:rPr>
        <w:t xml:space="preserve"> The</w:t>
      </w:r>
      <w:r>
        <w:rPr>
          <w:rFonts w:cs="Calibri"/>
        </w:rPr>
        <w:t xml:space="preserve"> Committee operates within clearly defined terms of reference which are available on the Company’s </w:t>
      </w:r>
      <w:r w:rsidRPr="009A750A">
        <w:rPr>
          <w:rFonts w:cs="Calibri"/>
        </w:rPr>
        <w:t>website (</w:t>
      </w:r>
      <w:r w:rsidRPr="009A750A">
        <w:t>www.bluefieldsif.com</w:t>
      </w:r>
      <w:r w:rsidRPr="009A750A">
        <w:rPr>
          <w:rFonts w:cs="Calibri"/>
        </w:rPr>
        <w:t xml:space="preserve">). </w:t>
      </w:r>
    </w:p>
    <w:p w14:paraId="3058FA1B" w14:textId="5041016D" w:rsidR="00A70BC9" w:rsidRDefault="00A70BC9" w:rsidP="00A70BC9">
      <w:pPr>
        <w:autoSpaceDE w:val="0"/>
        <w:autoSpaceDN w:val="0"/>
        <w:adjustRightInd w:val="0"/>
        <w:jc w:val="both"/>
        <w:rPr>
          <w:rFonts w:ascii="Georgia" w:hAnsi="Georgia" w:cs="Calibri"/>
          <w:color w:val="404040" w:themeColor="text1" w:themeTint="BF"/>
          <w:sz w:val="20"/>
        </w:rPr>
      </w:pPr>
    </w:p>
    <w:p w14:paraId="7A10026D" w14:textId="77777777" w:rsidR="00A70BC9" w:rsidRPr="00E74003" w:rsidRDefault="00A70BC9" w:rsidP="00A70BC9">
      <w:pPr>
        <w:jc w:val="both"/>
        <w:rPr>
          <w:rFonts w:ascii="Georgia" w:hAnsi="Georgia" w:cs="Calibri"/>
          <w:b/>
          <w:color w:val="404040" w:themeColor="text1" w:themeTint="BF"/>
          <w:sz w:val="20"/>
        </w:rPr>
      </w:pPr>
      <w:r w:rsidRPr="00E74003">
        <w:rPr>
          <w:rFonts w:ascii="Georgia" w:hAnsi="Georgia" w:cs="Calibri"/>
          <w:b/>
          <w:color w:val="404040" w:themeColor="text1" w:themeTint="BF"/>
          <w:sz w:val="20"/>
        </w:rPr>
        <w:t>Internal Control and Financial Reporting</w:t>
      </w:r>
    </w:p>
    <w:p w14:paraId="5339FC65" w14:textId="77777777" w:rsidR="00A70BC9" w:rsidRPr="00C75C59" w:rsidRDefault="00A70BC9" w:rsidP="00A70BC9">
      <w:pPr>
        <w:jc w:val="both"/>
        <w:rPr>
          <w:rFonts w:ascii="Georgia" w:hAnsi="Georgia" w:cs="Calibri"/>
          <w:color w:val="404040" w:themeColor="text1" w:themeTint="BF"/>
          <w:sz w:val="20"/>
        </w:rPr>
      </w:pPr>
    </w:p>
    <w:p w14:paraId="72947EA3" w14:textId="77777777" w:rsidR="00A70BC9" w:rsidRDefault="00A70BC9" w:rsidP="00A70BC9">
      <w:pPr>
        <w:pStyle w:val="BluefieldBody"/>
      </w:pPr>
      <w:r w:rsidRPr="00C75C59">
        <w:t xml:space="preserve">The </w:t>
      </w:r>
      <w:r>
        <w:t>Board</w:t>
      </w:r>
      <w:r w:rsidRPr="00C75C59">
        <w:t xml:space="preserve"> acknowledge that </w:t>
      </w:r>
      <w:r>
        <w:t>it is</w:t>
      </w:r>
      <w:r w:rsidRPr="00C75C59">
        <w:t xml:space="preserve"> responsible for establishing and maintaining the Company’s system of internal control and reviewing its effectiveness. Internal control systems are designed to manage rather than eliminate the failure to achieve business objectives and can only provide reasonable but not absolute assurance against material misstatements or loss. The </w:t>
      </w:r>
      <w:r>
        <w:t>Board</w:t>
      </w:r>
      <w:r w:rsidRPr="00C75C59">
        <w:t xml:space="preserve"> review</w:t>
      </w:r>
      <w:r>
        <w:t>s</w:t>
      </w:r>
      <w:r w:rsidRPr="00C75C59">
        <w:t xml:space="preserve"> all controls including operations, compliance and risk management. The key procedures which have been established to provide internal control are:</w:t>
      </w:r>
    </w:p>
    <w:p w14:paraId="68E08996" w14:textId="77777777" w:rsidR="00A70BC9" w:rsidRPr="00A70BC9" w:rsidRDefault="00A70BC9" w:rsidP="00A70BC9">
      <w:pPr>
        <w:autoSpaceDE w:val="0"/>
        <w:autoSpaceDN w:val="0"/>
        <w:adjustRightInd w:val="0"/>
        <w:jc w:val="both"/>
        <w:rPr>
          <w:rFonts w:ascii="Georgia" w:hAnsi="Georgia" w:cs="Calibri"/>
          <w:color w:val="404040" w:themeColor="text1" w:themeTint="BF"/>
          <w:sz w:val="20"/>
        </w:rPr>
      </w:pPr>
    </w:p>
    <w:p w14:paraId="4259AB6E" w14:textId="73BF1EEE" w:rsidR="00A70BC9" w:rsidRDefault="00A70BC9" w:rsidP="00A70BC9">
      <w:pPr>
        <w:pStyle w:val="Bluefieldbullets10pt"/>
      </w:pPr>
      <w:r w:rsidRPr="00C75C59">
        <w:t>the Board has delegated the day</w:t>
      </w:r>
      <w:r w:rsidR="008D4EEF">
        <w:t>-</w:t>
      </w:r>
      <w:r w:rsidRPr="00C75C59">
        <w:t>to</w:t>
      </w:r>
      <w:r>
        <w:t>-</w:t>
      </w:r>
      <w:r w:rsidRPr="00C75C59">
        <w:t xml:space="preserve">day operations of the Company to the Administrator and Investment </w:t>
      </w:r>
      <w:r>
        <w:t>Adviser</w:t>
      </w:r>
      <w:r w:rsidRPr="00C75C59">
        <w:t xml:space="preserve">; however, it remains accountable for all </w:t>
      </w:r>
      <w:r>
        <w:t xml:space="preserve">of the </w:t>
      </w:r>
      <w:r w:rsidRPr="00C75C59">
        <w:t>functions it delegates;</w:t>
      </w:r>
    </w:p>
    <w:p w14:paraId="05127DF2" w14:textId="77777777" w:rsidR="00A70BC9" w:rsidRDefault="00A70BC9" w:rsidP="00A70BC9">
      <w:pPr>
        <w:pStyle w:val="Bluefieldbullets10pt"/>
      </w:pPr>
      <w:r w:rsidRPr="00C75C59">
        <w:tab/>
        <w:t>the Board clearly defines the duties and responsibilities of the Company’s agents and advis</w:t>
      </w:r>
      <w:r>
        <w:t>e</w:t>
      </w:r>
      <w:r w:rsidRPr="00C75C59">
        <w:t>rs and appointments are made by the Board after due and careful considerati</w:t>
      </w:r>
      <w:r>
        <w:t>on. The Board monitors the on</w:t>
      </w:r>
      <w:r w:rsidRPr="00C75C59">
        <w:t>going performance of such agents and advis</w:t>
      </w:r>
      <w:r>
        <w:t>e</w:t>
      </w:r>
      <w:r w:rsidRPr="00C75C59">
        <w:t>rs;</w:t>
      </w:r>
    </w:p>
    <w:p w14:paraId="31765E5E" w14:textId="77777777" w:rsidR="00A70BC9" w:rsidRDefault="00A70BC9" w:rsidP="00A70BC9">
      <w:pPr>
        <w:pStyle w:val="Bluefieldbullets10pt"/>
      </w:pPr>
      <w:r w:rsidRPr="00C75C59">
        <w:tab/>
        <w:t xml:space="preserve">the Board monitors the actions of the Investment </w:t>
      </w:r>
      <w:r>
        <w:t>Adviser</w:t>
      </w:r>
      <w:r w:rsidRPr="00C75C59">
        <w:t xml:space="preserve"> at regular Board meetings and is also given frequent updates on developments arising from the operations and strategic direction of the underlying </w:t>
      </w:r>
      <w:r>
        <w:t>investee companies</w:t>
      </w:r>
      <w:r w:rsidRPr="00C75C59">
        <w:t>; and</w:t>
      </w:r>
    </w:p>
    <w:p w14:paraId="250F117E" w14:textId="77777777" w:rsidR="00A70BC9" w:rsidRDefault="00A70BC9" w:rsidP="00A70BC9">
      <w:pPr>
        <w:pStyle w:val="Bluefieldbullets10pt"/>
      </w:pPr>
      <w:r w:rsidRPr="00C75C59">
        <w:tab/>
        <w:t xml:space="preserve">the Administrator provides administration and company secretarial services to the Company. </w:t>
      </w:r>
      <w:r>
        <w:br/>
      </w:r>
      <w:r w:rsidRPr="00C75C59">
        <w:t>The Administrator maintains a system of internal control on which it reports to the Board.</w:t>
      </w:r>
    </w:p>
    <w:p w14:paraId="4E1EE457" w14:textId="77777777" w:rsidR="00A70BC9" w:rsidRPr="00C75C59" w:rsidRDefault="00A70BC9" w:rsidP="00A70BC9">
      <w:pPr>
        <w:jc w:val="both"/>
        <w:rPr>
          <w:rFonts w:ascii="Georgia" w:hAnsi="Georgia" w:cs="Calibri"/>
          <w:color w:val="404040" w:themeColor="text1" w:themeTint="BF"/>
          <w:sz w:val="20"/>
        </w:rPr>
      </w:pPr>
    </w:p>
    <w:p w14:paraId="122AC815" w14:textId="6E35986C" w:rsidR="00A70BC9" w:rsidRDefault="00A70BC9" w:rsidP="00A70BC9">
      <w:pPr>
        <w:pStyle w:val="BluefieldBody"/>
      </w:pPr>
      <w:r w:rsidRPr="00C75C59">
        <w:t xml:space="preserve">The Board has reviewed the need for an internal audit function and has decided that the systems and procedures employed by the Administrator and Investment </w:t>
      </w:r>
      <w:r>
        <w:t>Adviser</w:t>
      </w:r>
      <w:r w:rsidRPr="00C75C59">
        <w:t xml:space="preserve">, including their own internal controls and procedures, provide sufficient assurance that a sound system of risk management and internal control, which safeguards </w:t>
      </w:r>
      <w:r w:rsidR="002F417D">
        <w:t>S</w:t>
      </w:r>
      <w:r w:rsidRPr="00C75C59">
        <w:t xml:space="preserve">hareholders’ investment and the Company’s assets, is maintained. An internal audit function specific to the </w:t>
      </w:r>
      <w:r>
        <w:t>Company</w:t>
      </w:r>
      <w:r w:rsidRPr="00C75C59">
        <w:t xml:space="preserve"> is therefore considered unnecessary, as explained on </w:t>
      </w:r>
      <w:r w:rsidRPr="00A80E31">
        <w:t xml:space="preserve">page </w:t>
      </w:r>
      <w:r w:rsidR="00A80E31" w:rsidRPr="00A80E31">
        <w:t>93</w:t>
      </w:r>
      <w:r w:rsidRPr="00A80E31">
        <w:t>.</w:t>
      </w:r>
    </w:p>
    <w:p w14:paraId="2D5755BF" w14:textId="23062AEC"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3CA28DF4" w14:textId="77777777" w:rsidR="00A70BC9" w:rsidRDefault="00A70BC9" w:rsidP="00A70BC9">
      <w:pPr>
        <w:pStyle w:val="BluefieldBody"/>
      </w:pPr>
      <w:r w:rsidRPr="00C75C59">
        <w:t>The systems of control referred to above are designed to ensure effectiveness and efficient operation, internal control and compliance with laws and regulations. In establishing the systems of internal control, regard is paid to the materiality of relevant risks, the likelihood of costs being incurred and costs of control. It follows therefore that the systems of internal control can only provide reasonable but not absolute assurance against the risk of material misstatement or loss.</w:t>
      </w:r>
    </w:p>
    <w:p w14:paraId="432CA919" w14:textId="77777777" w:rsidR="00A70BC9" w:rsidRDefault="00A70BC9" w:rsidP="00A70BC9">
      <w:pPr>
        <w:pStyle w:val="BluefieldBody"/>
      </w:pPr>
    </w:p>
    <w:p w14:paraId="23600DA8" w14:textId="77777777" w:rsidR="00A70BC9" w:rsidRPr="00C75C59" w:rsidRDefault="00A70BC9" w:rsidP="00A70BC9">
      <w:pPr>
        <w:pStyle w:val="BluefieldBody"/>
        <w:rPr>
          <w:rFonts w:cs="Calibri"/>
        </w:rPr>
      </w:pPr>
      <w:r w:rsidRPr="00C75C59">
        <w:t xml:space="preserve">The Company has delegated the provision of all services to external service providers whose work is overseen by </w:t>
      </w:r>
      <w:r>
        <w:t>the Board</w:t>
      </w:r>
      <w:r w:rsidRPr="00C75C59">
        <w:t xml:space="preserve"> at its </w:t>
      </w:r>
      <w:r>
        <w:t>quarterly</w:t>
      </w:r>
      <w:r w:rsidRPr="00C75C59">
        <w:t xml:space="preserve"> meetings. Each year a detailed review of performance pursuant to their terms of engagement will be undertaken by the </w:t>
      </w:r>
      <w:r>
        <w:t>Board</w:t>
      </w:r>
      <w:r w:rsidRPr="00C75C59">
        <w:t>.</w:t>
      </w:r>
    </w:p>
    <w:p w14:paraId="3EA971DB" w14:textId="167941AF"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44D98BB3" w14:textId="621A3518"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2273D654" w14:textId="0B205D1F"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73A13358" w14:textId="3FD41CB3"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0102D560" w14:textId="77777777" w:rsidR="00A70BC9" w:rsidRPr="00FB7D45" w:rsidRDefault="00A70BC9" w:rsidP="00A70BC9">
      <w:pPr>
        <w:pStyle w:val="Heading2"/>
        <w:spacing w:before="0"/>
      </w:pPr>
      <w:r w:rsidRPr="00FB7D45">
        <w:lastRenderedPageBreak/>
        <w:t>Strategic Report (continued)</w:t>
      </w:r>
    </w:p>
    <w:p w14:paraId="64C07600" w14:textId="77777777" w:rsidR="00A70BC9" w:rsidRPr="00FB7D45" w:rsidRDefault="00A70BC9" w:rsidP="00A70BC9">
      <w:pPr>
        <w:pStyle w:val="ListParagraph"/>
        <w:ind w:left="360"/>
        <w:rPr>
          <w:rFonts w:ascii="Georgia" w:hAnsi="Georgia" w:cs="Calibri"/>
          <w:b/>
          <w:color w:val="404040" w:themeColor="text1" w:themeTint="BF"/>
          <w:sz w:val="20"/>
        </w:rPr>
      </w:pPr>
    </w:p>
    <w:p w14:paraId="467BCBB2" w14:textId="1D6876FD" w:rsidR="00A70BC9" w:rsidRPr="00FB7D45" w:rsidRDefault="00DF64D0" w:rsidP="00A70BC9">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A70BC9" w:rsidRPr="00FB7D45">
        <w:rPr>
          <w:rFonts w:ascii="Georgia" w:hAnsi="Georgia" w:cs="Calibri"/>
          <w:b/>
          <w:color w:val="404040" w:themeColor="text1" w:themeTint="BF"/>
          <w:sz w:val="20"/>
        </w:rPr>
        <w:t xml:space="preserve">. </w:t>
      </w:r>
      <w:r w:rsidR="00A70BC9" w:rsidRPr="00FB7D45">
        <w:rPr>
          <w:rFonts w:ascii="Georgia" w:hAnsi="Georgia" w:cs="Calibri"/>
          <w:b/>
          <w:color w:val="404040" w:themeColor="text1" w:themeTint="BF"/>
          <w:sz w:val="20"/>
        </w:rPr>
        <w:tab/>
      </w:r>
      <w:r w:rsidR="00A70BC9">
        <w:rPr>
          <w:rFonts w:ascii="Georgia" w:hAnsi="Georgia" w:cs="Calibri"/>
          <w:b/>
          <w:color w:val="404040" w:themeColor="text1" w:themeTint="BF"/>
          <w:sz w:val="20"/>
        </w:rPr>
        <w:t>Environmental, Social and Governance</w:t>
      </w:r>
      <w:r w:rsidR="00A70BC9" w:rsidRPr="00FB7D45">
        <w:rPr>
          <w:rFonts w:ascii="Georgia" w:hAnsi="Georgia" w:cs="Calibri"/>
          <w:b/>
          <w:color w:val="404040" w:themeColor="text1" w:themeTint="BF"/>
          <w:sz w:val="20"/>
        </w:rPr>
        <w:t xml:space="preserve"> (continued)</w:t>
      </w:r>
    </w:p>
    <w:p w14:paraId="08B608ED" w14:textId="77777777" w:rsidR="00A70BC9" w:rsidRDefault="00A70BC9" w:rsidP="00A70BC9">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277B398B" w14:textId="17D6CC0C" w:rsidR="00A70BC9" w:rsidRDefault="00A70BC9" w:rsidP="00A70BC9">
      <w:pPr>
        <w:autoSpaceDE w:val="0"/>
        <w:autoSpaceDN w:val="0"/>
        <w:adjustRightInd w:val="0"/>
        <w:jc w:val="both"/>
        <w:rPr>
          <w:rFonts w:ascii="Georgia" w:hAnsi="Georgia" w:cs="Calibri"/>
          <w:color w:val="404040" w:themeColor="text1" w:themeTint="BF"/>
          <w:sz w:val="20"/>
        </w:rPr>
      </w:pPr>
    </w:p>
    <w:p w14:paraId="22EC52F6" w14:textId="77777777" w:rsidR="00A70BC9" w:rsidRPr="00331B93" w:rsidRDefault="00A70BC9" w:rsidP="00A70BC9">
      <w:pPr>
        <w:jc w:val="both"/>
        <w:rPr>
          <w:rFonts w:ascii="Georgia" w:hAnsi="Georgia" w:cs="Calibri"/>
          <w:b/>
          <w:color w:val="404040" w:themeColor="text1" w:themeTint="BF"/>
          <w:sz w:val="20"/>
        </w:rPr>
      </w:pPr>
      <w:r>
        <w:rPr>
          <w:rFonts w:ascii="Georgia" w:hAnsi="Georgia" w:cs="Calibri"/>
          <w:b/>
          <w:color w:val="404040" w:themeColor="text1" w:themeTint="BF"/>
          <w:sz w:val="20"/>
        </w:rPr>
        <w:t xml:space="preserve">Investment Advisory </w:t>
      </w:r>
      <w:r w:rsidRPr="00331B93">
        <w:rPr>
          <w:rFonts w:ascii="Georgia" w:hAnsi="Georgia" w:cs="Calibri"/>
          <w:b/>
          <w:color w:val="404040" w:themeColor="text1" w:themeTint="BF"/>
          <w:sz w:val="20"/>
        </w:rPr>
        <w:t>Agreement</w:t>
      </w:r>
    </w:p>
    <w:p w14:paraId="5F376E3F" w14:textId="77777777" w:rsidR="00A70BC9" w:rsidRPr="00C75C59" w:rsidRDefault="00A70BC9" w:rsidP="00A70BC9">
      <w:pPr>
        <w:jc w:val="both"/>
        <w:rPr>
          <w:rFonts w:ascii="Georgia" w:hAnsi="Georgia" w:cs="Calibri"/>
          <w:color w:val="404040" w:themeColor="text1" w:themeTint="BF"/>
          <w:sz w:val="20"/>
        </w:rPr>
      </w:pPr>
    </w:p>
    <w:p w14:paraId="6C8D60A5" w14:textId="77777777" w:rsidR="00A70BC9" w:rsidRDefault="00A70BC9" w:rsidP="00A70BC9">
      <w:pPr>
        <w:pStyle w:val="BluefieldBody"/>
      </w:pPr>
      <w:r w:rsidRPr="00C75C59">
        <w:t>In accordance with Listing Rule 15.6.2(2)R</w:t>
      </w:r>
      <w:r>
        <w:t xml:space="preserve">, the Directors </w:t>
      </w:r>
      <w:r w:rsidRPr="00C75C59">
        <w:t xml:space="preserve">formally appraise the performance and resources of the Investment </w:t>
      </w:r>
      <w:r>
        <w:t xml:space="preserve">Adviser. </w:t>
      </w:r>
    </w:p>
    <w:p w14:paraId="06C17A27" w14:textId="77777777" w:rsidR="00A70BC9" w:rsidRDefault="00A70BC9" w:rsidP="00A70BC9">
      <w:pPr>
        <w:pStyle w:val="BluefieldBody"/>
      </w:pPr>
    </w:p>
    <w:p w14:paraId="0914688D" w14:textId="5EE2CB65" w:rsidR="00A31C75" w:rsidRPr="00A31C75" w:rsidRDefault="00A31C75" w:rsidP="00A31C75">
      <w:pPr>
        <w:jc w:val="both"/>
        <w:rPr>
          <w:rFonts w:ascii="Georgia" w:hAnsi="Georgia"/>
          <w:color w:val="404040" w:themeColor="text1" w:themeTint="BF"/>
          <w:sz w:val="20"/>
          <w:szCs w:val="20"/>
        </w:rPr>
      </w:pPr>
      <w:r w:rsidRPr="00A31C75">
        <w:rPr>
          <w:rFonts w:ascii="Georgia" w:hAnsi="Georgia"/>
          <w:color w:val="404040" w:themeColor="text1" w:themeTint="BF"/>
          <w:sz w:val="20"/>
          <w:szCs w:val="20"/>
        </w:rPr>
        <w:t xml:space="preserve">The Investment Adviser is led by its managing partners, James Armstrong and Giovanni </w:t>
      </w:r>
      <w:proofErr w:type="spellStart"/>
      <w:r w:rsidRPr="00A31C75">
        <w:rPr>
          <w:rFonts w:ascii="Georgia" w:hAnsi="Georgia"/>
          <w:color w:val="404040" w:themeColor="text1" w:themeTint="BF"/>
          <w:sz w:val="20"/>
          <w:szCs w:val="20"/>
        </w:rPr>
        <w:t>Terranova</w:t>
      </w:r>
      <w:proofErr w:type="spellEnd"/>
      <w:r w:rsidRPr="00A31C75">
        <w:rPr>
          <w:rFonts w:ascii="Georgia" w:hAnsi="Georgia"/>
          <w:color w:val="404040" w:themeColor="text1" w:themeTint="BF"/>
          <w:sz w:val="20"/>
          <w:szCs w:val="20"/>
        </w:rPr>
        <w:t>, who founded the Bluefield business in 2009 following their prior work together in European solar energy. Neil Wood, who joined in 2013 was appointed partner in 2020 and runs the Investment Adviser alongside the two founders. The Investment Adviser’s te</w:t>
      </w:r>
      <w:r w:rsidR="008D4EEF">
        <w:rPr>
          <w:rFonts w:ascii="Georgia" w:hAnsi="Georgia"/>
          <w:color w:val="404040" w:themeColor="text1" w:themeTint="BF"/>
          <w:sz w:val="20"/>
          <w:szCs w:val="20"/>
        </w:rPr>
        <w:t>am has</w:t>
      </w:r>
      <w:r w:rsidRPr="00A31C75">
        <w:rPr>
          <w:rFonts w:ascii="Georgia" w:hAnsi="Georgia"/>
          <w:color w:val="404040" w:themeColor="text1" w:themeTint="BF"/>
          <w:sz w:val="20"/>
          <w:szCs w:val="20"/>
        </w:rPr>
        <w:t xml:space="preserve"> a combined record, prior to and including Bluefield Partners LLP, of investing more than £1 billion in solar PV projects. The Management team have been involved in over £1.5 billion of solar PV transactions in the UK and Europe since 2008. The Investment Adviser’s non-executive team includes Mike Rand, Bluefield Partners founder and former Managing Partner, William Doughty, the founding CEO of </w:t>
      </w:r>
      <w:proofErr w:type="spellStart"/>
      <w:r w:rsidRPr="00A31C75">
        <w:rPr>
          <w:rFonts w:ascii="Georgia" w:hAnsi="Georgia"/>
          <w:color w:val="404040" w:themeColor="text1" w:themeTint="BF"/>
          <w:sz w:val="20"/>
          <w:szCs w:val="20"/>
        </w:rPr>
        <w:t>Semperian</w:t>
      </w:r>
      <w:proofErr w:type="spellEnd"/>
      <w:r w:rsidRPr="00A31C75">
        <w:rPr>
          <w:rFonts w:ascii="Georgia" w:hAnsi="Georgia"/>
          <w:color w:val="404040" w:themeColor="text1" w:themeTint="BF"/>
          <w:sz w:val="20"/>
          <w:szCs w:val="20"/>
        </w:rPr>
        <w:t xml:space="preserve">; </w:t>
      </w:r>
      <w:proofErr w:type="spellStart"/>
      <w:r w:rsidRPr="00A31C75">
        <w:rPr>
          <w:rFonts w:ascii="Georgia" w:hAnsi="Georgia"/>
          <w:color w:val="404040" w:themeColor="text1" w:themeTint="BF"/>
          <w:sz w:val="20"/>
          <w:szCs w:val="20"/>
        </w:rPr>
        <w:t>Dr.</w:t>
      </w:r>
      <w:proofErr w:type="spellEnd"/>
      <w:r w:rsidRPr="00A31C75">
        <w:rPr>
          <w:rFonts w:ascii="Georgia" w:hAnsi="Georgia"/>
          <w:color w:val="404040" w:themeColor="text1" w:themeTint="BF"/>
          <w:sz w:val="20"/>
          <w:szCs w:val="20"/>
        </w:rPr>
        <w:t xml:space="preserve"> Anthony Williams, the former chair of the Risk Committee for the Fixed Income, Currencies &amp; Commodities Division, and Partner at Goldman Sachs &amp; Co; and Jon Moulton, the current chairman of Better Capital and former managing partner and founder of Alchemy Partners. </w:t>
      </w:r>
    </w:p>
    <w:p w14:paraId="5DCC459C" w14:textId="77777777" w:rsidR="00A70BC9" w:rsidRDefault="00A70BC9" w:rsidP="00A70BC9">
      <w:pPr>
        <w:jc w:val="both"/>
        <w:rPr>
          <w:rFonts w:ascii="Georgia" w:hAnsi="Georgia" w:cs="Calibri"/>
          <w:color w:val="404040" w:themeColor="text1" w:themeTint="BF"/>
          <w:sz w:val="20"/>
        </w:rPr>
      </w:pPr>
    </w:p>
    <w:p w14:paraId="00975FBF" w14:textId="5ED83C5E" w:rsidR="00A70BC9" w:rsidRDefault="00A70BC9" w:rsidP="00A70BC9">
      <w:pPr>
        <w:jc w:val="both"/>
        <w:rPr>
          <w:rFonts w:ascii="Georgia" w:hAnsi="Georgia" w:cs="Calibri"/>
          <w:color w:val="404040" w:themeColor="text1" w:themeTint="BF"/>
          <w:sz w:val="20"/>
        </w:rPr>
      </w:pPr>
      <w:r>
        <w:rPr>
          <w:rFonts w:ascii="Georgia" w:hAnsi="Georgia" w:cs="Calibri"/>
          <w:color w:val="404040" w:themeColor="text1" w:themeTint="BF"/>
          <w:sz w:val="20"/>
        </w:rPr>
        <w:t>I</w:t>
      </w:r>
      <w:r w:rsidRPr="00C75C59">
        <w:rPr>
          <w:rFonts w:ascii="Georgia" w:hAnsi="Georgia" w:cs="Calibri"/>
          <w:color w:val="404040" w:themeColor="text1" w:themeTint="BF"/>
          <w:sz w:val="20"/>
        </w:rPr>
        <w:t xml:space="preserve">n </w:t>
      </w:r>
      <w:r>
        <w:rPr>
          <w:rFonts w:ascii="Georgia" w:hAnsi="Georgia" w:cs="Calibri"/>
          <w:color w:val="404040" w:themeColor="text1" w:themeTint="BF"/>
          <w:sz w:val="20"/>
        </w:rPr>
        <w:t xml:space="preserve">view of the resources of the Investment Adviser and the Company’s investment and operational performance for the period, in </w:t>
      </w:r>
      <w:r w:rsidRPr="00C75C59">
        <w:rPr>
          <w:rFonts w:ascii="Georgia" w:hAnsi="Georgia" w:cs="Calibri"/>
          <w:color w:val="404040" w:themeColor="text1" w:themeTint="BF"/>
          <w:sz w:val="20"/>
        </w:rPr>
        <w:t xml:space="preserve">the opinion of the Directors the continuing appointment of the Investment </w:t>
      </w:r>
      <w:r>
        <w:rPr>
          <w:rFonts w:ascii="Georgia" w:hAnsi="Georgia" w:cs="Calibri"/>
          <w:color w:val="404040" w:themeColor="text1" w:themeTint="BF"/>
          <w:sz w:val="20"/>
        </w:rPr>
        <w:t>Adviser</w:t>
      </w:r>
      <w:r w:rsidR="002F417D">
        <w:rPr>
          <w:rFonts w:ascii="Georgia" w:hAnsi="Georgia" w:cs="Calibri"/>
          <w:color w:val="404040" w:themeColor="text1" w:themeTint="BF"/>
          <w:sz w:val="20"/>
        </w:rPr>
        <w:t xml:space="preserve"> is in the interests of the S</w:t>
      </w:r>
      <w:r w:rsidRPr="00C75C59">
        <w:rPr>
          <w:rFonts w:ascii="Georgia" w:hAnsi="Georgia" w:cs="Calibri"/>
          <w:color w:val="404040" w:themeColor="text1" w:themeTint="BF"/>
          <w:sz w:val="20"/>
        </w:rPr>
        <w:t>hareholders as a whole.</w:t>
      </w:r>
    </w:p>
    <w:p w14:paraId="4A40CF58" w14:textId="77777777" w:rsidR="00A70BC9" w:rsidRDefault="00A70BC9" w:rsidP="00A70BC9">
      <w:pPr>
        <w:jc w:val="both"/>
        <w:rPr>
          <w:rFonts w:ascii="Georgia" w:hAnsi="Georgia" w:cs="Calibri"/>
          <w:b/>
          <w:color w:val="404040" w:themeColor="text1" w:themeTint="BF"/>
          <w:sz w:val="20"/>
        </w:rPr>
      </w:pPr>
    </w:p>
    <w:p w14:paraId="335F3C36" w14:textId="77777777" w:rsidR="00A70BC9" w:rsidRPr="00E74003" w:rsidRDefault="00A70BC9" w:rsidP="00A70BC9">
      <w:pPr>
        <w:jc w:val="both"/>
        <w:rPr>
          <w:rFonts w:ascii="Georgia" w:hAnsi="Georgia" w:cs="Calibri"/>
          <w:b/>
          <w:color w:val="404040" w:themeColor="text1" w:themeTint="BF"/>
          <w:sz w:val="20"/>
        </w:rPr>
      </w:pPr>
      <w:r w:rsidRPr="00E74003">
        <w:rPr>
          <w:rFonts w:ascii="Georgia" w:hAnsi="Georgia" w:cs="Calibri"/>
          <w:b/>
          <w:color w:val="404040" w:themeColor="text1" w:themeTint="BF"/>
          <w:sz w:val="20"/>
        </w:rPr>
        <w:t xml:space="preserve">Dealings with </w:t>
      </w:r>
      <w:r>
        <w:rPr>
          <w:rFonts w:ascii="Georgia" w:hAnsi="Georgia" w:cs="Calibri"/>
          <w:b/>
          <w:color w:val="404040" w:themeColor="text1" w:themeTint="BF"/>
          <w:sz w:val="20"/>
        </w:rPr>
        <w:t>S</w:t>
      </w:r>
      <w:r w:rsidRPr="00E74003">
        <w:rPr>
          <w:rFonts w:ascii="Georgia" w:hAnsi="Georgia" w:cs="Calibri"/>
          <w:b/>
          <w:color w:val="404040" w:themeColor="text1" w:themeTint="BF"/>
          <w:sz w:val="20"/>
        </w:rPr>
        <w:t>hareholders</w:t>
      </w:r>
    </w:p>
    <w:p w14:paraId="6795AF5E" w14:textId="77777777" w:rsidR="00A70BC9" w:rsidRPr="00C75C59" w:rsidRDefault="00A70BC9" w:rsidP="00A70BC9">
      <w:pPr>
        <w:jc w:val="both"/>
        <w:rPr>
          <w:rFonts w:ascii="Georgia" w:hAnsi="Georgia" w:cs="Calibri"/>
          <w:color w:val="404040" w:themeColor="text1" w:themeTint="BF"/>
          <w:sz w:val="20"/>
        </w:rPr>
      </w:pPr>
    </w:p>
    <w:p w14:paraId="74759B7C" w14:textId="4FAB98DD" w:rsidR="00A70BC9" w:rsidRPr="00C75C59" w:rsidRDefault="00A70BC9" w:rsidP="00A70BC9">
      <w:pPr>
        <w:jc w:val="both"/>
        <w:rPr>
          <w:rFonts w:ascii="Georgia" w:hAnsi="Georgia" w:cs="Calibri"/>
          <w:color w:val="404040" w:themeColor="text1" w:themeTint="BF"/>
          <w:sz w:val="20"/>
        </w:rPr>
      </w:pPr>
      <w:r w:rsidRPr="00C75C59">
        <w:rPr>
          <w:rFonts w:ascii="Georgia" w:hAnsi="Georgia" w:cs="Calibri"/>
          <w:color w:val="404040" w:themeColor="text1" w:themeTint="BF"/>
          <w:sz w:val="20"/>
        </w:rPr>
        <w:t>T</w:t>
      </w:r>
      <w:r w:rsidR="00930028">
        <w:rPr>
          <w:rFonts w:ascii="Georgia" w:hAnsi="Georgia" w:cs="Calibri"/>
          <w:color w:val="404040" w:themeColor="text1" w:themeTint="BF"/>
          <w:sz w:val="20"/>
        </w:rPr>
        <w:t>he Board welcomes S</w:t>
      </w:r>
      <w:r w:rsidRPr="00C75C59">
        <w:rPr>
          <w:rFonts w:ascii="Georgia" w:hAnsi="Georgia" w:cs="Calibri"/>
          <w:color w:val="404040" w:themeColor="text1" w:themeTint="BF"/>
          <w:sz w:val="20"/>
        </w:rPr>
        <w:t>hareholders’ views and places great import</w:t>
      </w:r>
      <w:r w:rsidR="00930028">
        <w:rPr>
          <w:rFonts w:ascii="Georgia" w:hAnsi="Georgia" w:cs="Calibri"/>
          <w:color w:val="404040" w:themeColor="text1" w:themeTint="BF"/>
          <w:sz w:val="20"/>
        </w:rPr>
        <w:t>ance on communication with its S</w:t>
      </w:r>
      <w:r w:rsidRPr="00C75C59">
        <w:rPr>
          <w:rFonts w:ascii="Georgia" w:hAnsi="Georgia" w:cs="Calibri"/>
          <w:color w:val="404040" w:themeColor="text1" w:themeTint="BF"/>
          <w:sz w:val="20"/>
        </w:rPr>
        <w:t xml:space="preserve">hareholders. The Company’s </w:t>
      </w:r>
      <w:r>
        <w:rPr>
          <w:rFonts w:ascii="Georgia" w:hAnsi="Georgia" w:cs="Calibri"/>
          <w:color w:val="404040" w:themeColor="text1" w:themeTint="BF"/>
          <w:sz w:val="20"/>
        </w:rPr>
        <w:t>AGM</w:t>
      </w:r>
      <w:r w:rsidR="00930028">
        <w:rPr>
          <w:rFonts w:ascii="Georgia" w:hAnsi="Georgia" w:cs="Calibri"/>
          <w:color w:val="404040" w:themeColor="text1" w:themeTint="BF"/>
          <w:sz w:val="20"/>
        </w:rPr>
        <w:t xml:space="preserve"> will provide a forum for S</w:t>
      </w:r>
      <w:r w:rsidRPr="00C75C59">
        <w:rPr>
          <w:rFonts w:ascii="Georgia" w:hAnsi="Georgia" w:cs="Calibri"/>
          <w:color w:val="404040" w:themeColor="text1" w:themeTint="BF"/>
          <w:sz w:val="20"/>
        </w:rPr>
        <w:t xml:space="preserve">hareholders to meet and discuss issues with the Directors </w:t>
      </w:r>
      <w:r>
        <w:rPr>
          <w:rFonts w:ascii="Georgia" w:hAnsi="Georgia" w:cs="Calibri"/>
          <w:color w:val="404040" w:themeColor="text1" w:themeTint="BF"/>
          <w:sz w:val="20"/>
        </w:rPr>
        <w:t>of the Company. Members of the B</w:t>
      </w:r>
      <w:r w:rsidRPr="00C75C59">
        <w:rPr>
          <w:rFonts w:ascii="Georgia" w:hAnsi="Georgia" w:cs="Calibri"/>
          <w:color w:val="404040" w:themeColor="text1" w:themeTint="BF"/>
          <w:sz w:val="20"/>
        </w:rPr>
        <w:t>oard will also b</w:t>
      </w:r>
      <w:r w:rsidR="00930028">
        <w:rPr>
          <w:rFonts w:ascii="Georgia" w:hAnsi="Georgia" w:cs="Calibri"/>
          <w:color w:val="404040" w:themeColor="text1" w:themeTint="BF"/>
          <w:sz w:val="20"/>
        </w:rPr>
        <w:t>e available to meet with S</w:t>
      </w:r>
      <w:r w:rsidRPr="00C75C59">
        <w:rPr>
          <w:rFonts w:ascii="Georgia" w:hAnsi="Georgia" w:cs="Calibri"/>
          <w:color w:val="404040" w:themeColor="text1" w:themeTint="BF"/>
          <w:sz w:val="20"/>
        </w:rPr>
        <w:t>hareholders at other times, if required. In addition, the Company maintains a website which contains comprehensive information, including regulatory announcements, share price information, financial reports, investment objectives and strategy and information on the Board.</w:t>
      </w:r>
      <w:r>
        <w:rPr>
          <w:rFonts w:ascii="Georgia" w:hAnsi="Georgia" w:cs="Calibri"/>
          <w:color w:val="404040" w:themeColor="text1" w:themeTint="BF"/>
          <w:sz w:val="20"/>
        </w:rPr>
        <w:t xml:space="preserve"> </w:t>
      </w:r>
    </w:p>
    <w:p w14:paraId="5EDAEB4A" w14:textId="77777777" w:rsidR="00A70BC9" w:rsidRPr="00C75C59" w:rsidRDefault="00A70BC9" w:rsidP="00A70BC9">
      <w:pPr>
        <w:jc w:val="both"/>
        <w:rPr>
          <w:rFonts w:ascii="Georgia" w:hAnsi="Georgia" w:cs="Calibri"/>
          <w:color w:val="404040" w:themeColor="text1" w:themeTint="BF"/>
          <w:sz w:val="20"/>
        </w:rPr>
      </w:pPr>
    </w:p>
    <w:p w14:paraId="0F8170D8" w14:textId="77777777" w:rsidR="00A70BC9" w:rsidRPr="004E5546" w:rsidRDefault="00A70BC9" w:rsidP="00A70BC9">
      <w:pPr>
        <w:jc w:val="both"/>
        <w:rPr>
          <w:rFonts w:ascii="Georgia" w:hAnsi="Georgia" w:cs="Calibri"/>
          <w:b/>
          <w:color w:val="404040" w:themeColor="text1" w:themeTint="BF"/>
          <w:sz w:val="20"/>
        </w:rPr>
      </w:pPr>
      <w:r w:rsidRPr="004E5546">
        <w:rPr>
          <w:rFonts w:ascii="Georgia" w:hAnsi="Georgia" w:cs="Calibri"/>
          <w:b/>
          <w:color w:val="404040" w:themeColor="text1" w:themeTint="BF"/>
          <w:sz w:val="20"/>
        </w:rPr>
        <w:t xml:space="preserve">Principal </w:t>
      </w:r>
      <w:r>
        <w:rPr>
          <w:rFonts w:ascii="Georgia" w:hAnsi="Georgia" w:cs="Calibri"/>
          <w:b/>
          <w:color w:val="404040" w:themeColor="text1" w:themeTint="BF"/>
          <w:sz w:val="20"/>
        </w:rPr>
        <w:t>R</w:t>
      </w:r>
      <w:r w:rsidRPr="004E5546">
        <w:rPr>
          <w:rFonts w:ascii="Georgia" w:hAnsi="Georgia" w:cs="Calibri"/>
          <w:b/>
          <w:color w:val="404040" w:themeColor="text1" w:themeTint="BF"/>
          <w:sz w:val="20"/>
        </w:rPr>
        <w:t xml:space="preserve">isks and </w:t>
      </w:r>
      <w:r>
        <w:rPr>
          <w:rFonts w:ascii="Georgia" w:hAnsi="Georgia" w:cs="Calibri"/>
          <w:b/>
          <w:color w:val="404040" w:themeColor="text1" w:themeTint="BF"/>
          <w:sz w:val="20"/>
        </w:rPr>
        <w:t>U</w:t>
      </w:r>
      <w:r w:rsidRPr="004E5546">
        <w:rPr>
          <w:rFonts w:ascii="Georgia" w:hAnsi="Georgia" w:cs="Calibri"/>
          <w:b/>
          <w:color w:val="404040" w:themeColor="text1" w:themeTint="BF"/>
          <w:sz w:val="20"/>
        </w:rPr>
        <w:t>ncertainties</w:t>
      </w:r>
    </w:p>
    <w:p w14:paraId="73D2C4B7" w14:textId="77777777" w:rsidR="00A70BC9" w:rsidRPr="004E5546" w:rsidRDefault="00A70BC9" w:rsidP="00A70BC9">
      <w:pPr>
        <w:jc w:val="both"/>
        <w:rPr>
          <w:rFonts w:ascii="Georgia" w:hAnsi="Georgia" w:cs="Calibri"/>
          <w:color w:val="404040" w:themeColor="text1" w:themeTint="BF"/>
          <w:sz w:val="20"/>
        </w:rPr>
      </w:pPr>
    </w:p>
    <w:p w14:paraId="77D18DCC" w14:textId="77777777" w:rsidR="00A70BC9" w:rsidRPr="004E5546" w:rsidRDefault="00A70BC9" w:rsidP="00A70BC9">
      <w:pPr>
        <w:jc w:val="both"/>
        <w:rPr>
          <w:rFonts w:ascii="Georgia" w:hAnsi="Georgia" w:cs="Calibri"/>
          <w:color w:val="404040" w:themeColor="text1" w:themeTint="BF"/>
          <w:sz w:val="20"/>
        </w:rPr>
      </w:pPr>
      <w:r w:rsidRPr="004E5546">
        <w:rPr>
          <w:rFonts w:ascii="Georgia" w:hAnsi="Georgia" w:cs="Calibri"/>
          <w:color w:val="404040" w:themeColor="text1" w:themeTint="BF"/>
          <w:sz w:val="20"/>
        </w:rPr>
        <w:t>Each Director is aware of the risks inherent in the Company’s business and understands the importance of identifying, evaluating and monitoring these risks. The Board has adopted procedures and controls that enable it to manage these risks within acceptable limits and to meet all of its legal and regulatory obligations.</w:t>
      </w:r>
    </w:p>
    <w:p w14:paraId="3D39CBE9" w14:textId="77777777" w:rsidR="00A70BC9" w:rsidRPr="004E5546" w:rsidRDefault="00A70BC9" w:rsidP="00A70BC9">
      <w:pPr>
        <w:jc w:val="both"/>
        <w:rPr>
          <w:rFonts w:ascii="Georgia" w:hAnsi="Georgia" w:cs="Calibri"/>
          <w:color w:val="404040" w:themeColor="text1" w:themeTint="BF"/>
          <w:sz w:val="20"/>
        </w:rPr>
      </w:pPr>
    </w:p>
    <w:p w14:paraId="6D508CC6" w14:textId="77777777" w:rsidR="00A70BC9" w:rsidRPr="004E5546" w:rsidRDefault="00A70BC9" w:rsidP="00A70BC9">
      <w:pPr>
        <w:jc w:val="both"/>
        <w:rPr>
          <w:rFonts w:ascii="Georgia" w:hAnsi="Georgia" w:cs="Calibri"/>
          <w:color w:val="404040" w:themeColor="text1" w:themeTint="BF"/>
          <w:sz w:val="20"/>
        </w:rPr>
      </w:pPr>
      <w:r w:rsidRPr="004E5546">
        <w:rPr>
          <w:rFonts w:ascii="Georgia" w:hAnsi="Georgia" w:cs="Calibri"/>
          <w:color w:val="404040" w:themeColor="text1" w:themeTint="BF"/>
          <w:sz w:val="20"/>
        </w:rPr>
        <w:t>The Board considers the process for identifying, evaluating and managing any significant risk</w:t>
      </w:r>
      <w:r>
        <w:rPr>
          <w:rFonts w:ascii="Georgia" w:hAnsi="Georgia" w:cs="Calibri"/>
          <w:color w:val="404040" w:themeColor="text1" w:themeTint="BF"/>
          <w:sz w:val="20"/>
        </w:rPr>
        <w:t>s faced by the Company on an on</w:t>
      </w:r>
      <w:r w:rsidRPr="004E5546">
        <w:rPr>
          <w:rFonts w:ascii="Georgia" w:hAnsi="Georgia" w:cs="Calibri"/>
          <w:color w:val="404040" w:themeColor="text1" w:themeTint="BF"/>
          <w:sz w:val="20"/>
        </w:rPr>
        <w:t>going basis and these risks are reported and discussed at Board meetings. It ensures that effective controls are in place to mitigate these risks and that a satisfactory compliance regime exists to ensure all applicable local and international laws and regulations are upheld.</w:t>
      </w:r>
    </w:p>
    <w:p w14:paraId="46356DAF" w14:textId="77777777" w:rsidR="00A70BC9" w:rsidRPr="004E5546" w:rsidRDefault="00A70BC9" w:rsidP="00A70BC9">
      <w:pPr>
        <w:jc w:val="both"/>
        <w:rPr>
          <w:rFonts w:ascii="Georgia" w:hAnsi="Georgia" w:cs="Calibri"/>
          <w:color w:val="404040" w:themeColor="text1" w:themeTint="BF"/>
          <w:sz w:val="20"/>
        </w:rPr>
      </w:pPr>
    </w:p>
    <w:p w14:paraId="0ABD9FD4" w14:textId="6DC42CB2" w:rsidR="00A70BC9" w:rsidRPr="004E5546" w:rsidRDefault="00A70BC9" w:rsidP="00A70BC9">
      <w:pPr>
        <w:jc w:val="both"/>
        <w:rPr>
          <w:rFonts w:ascii="Georgia" w:hAnsi="Georgia" w:cs="Calibri"/>
          <w:color w:val="404040" w:themeColor="text1" w:themeTint="BF"/>
          <w:sz w:val="20"/>
        </w:rPr>
      </w:pPr>
      <w:r>
        <w:rPr>
          <w:rFonts w:ascii="Georgia" w:hAnsi="Georgia" w:cs="Calibri"/>
          <w:color w:val="404040" w:themeColor="text1" w:themeTint="BF"/>
          <w:sz w:val="20"/>
        </w:rPr>
        <w:t xml:space="preserve">The Company’s principal risks and uncertainties are discussed in detail on </w:t>
      </w:r>
      <w:r w:rsidRPr="00427DC3">
        <w:rPr>
          <w:rFonts w:ascii="Georgia" w:hAnsi="Georgia" w:cs="Calibri"/>
          <w:color w:val="404040" w:themeColor="text1" w:themeTint="BF"/>
          <w:sz w:val="20"/>
        </w:rPr>
        <w:t xml:space="preserve">pages </w:t>
      </w:r>
      <w:r w:rsidR="00427DC3" w:rsidRPr="00427DC3">
        <w:rPr>
          <w:rFonts w:ascii="Georgia" w:hAnsi="Georgia" w:cs="Calibri"/>
          <w:color w:val="404040" w:themeColor="text1" w:themeTint="BF"/>
          <w:sz w:val="20"/>
        </w:rPr>
        <w:t>23</w:t>
      </w:r>
      <w:r w:rsidRPr="00427DC3">
        <w:rPr>
          <w:rFonts w:ascii="Georgia" w:hAnsi="Georgia" w:cs="Calibri"/>
          <w:color w:val="404040" w:themeColor="text1" w:themeTint="BF"/>
          <w:sz w:val="20"/>
        </w:rPr>
        <w:t xml:space="preserve"> to </w:t>
      </w:r>
      <w:r w:rsidR="00427DC3">
        <w:rPr>
          <w:rFonts w:ascii="Georgia" w:hAnsi="Georgia" w:cs="Calibri"/>
          <w:color w:val="404040" w:themeColor="text1" w:themeTint="BF"/>
          <w:sz w:val="20"/>
        </w:rPr>
        <w:t>33</w:t>
      </w:r>
      <w:r>
        <w:rPr>
          <w:rFonts w:ascii="Georgia" w:hAnsi="Georgia" w:cs="Calibri"/>
          <w:color w:val="404040" w:themeColor="text1" w:themeTint="BF"/>
          <w:sz w:val="20"/>
        </w:rPr>
        <w:t xml:space="preserve"> </w:t>
      </w:r>
      <w:r w:rsidRPr="006166C5">
        <w:rPr>
          <w:rFonts w:ascii="Georgia" w:hAnsi="Georgia" w:cs="Calibri"/>
          <w:color w:val="404040" w:themeColor="text1" w:themeTint="BF"/>
          <w:sz w:val="20"/>
        </w:rPr>
        <w:t xml:space="preserve">of the Strategic Report. The Company’s financial instrument risks are discussed in Note </w:t>
      </w:r>
      <w:r w:rsidRPr="00CD7D0F">
        <w:rPr>
          <w:rFonts w:ascii="Georgia" w:hAnsi="Georgia" w:cs="Calibri"/>
          <w:color w:val="404040" w:themeColor="text1" w:themeTint="BF"/>
          <w:sz w:val="20"/>
        </w:rPr>
        <w:t>15</w:t>
      </w:r>
      <w:r w:rsidRPr="006166C5">
        <w:rPr>
          <w:rFonts w:ascii="Georgia" w:hAnsi="Georgia" w:cs="Calibri"/>
          <w:color w:val="404040" w:themeColor="text1" w:themeTint="BF"/>
          <w:sz w:val="20"/>
        </w:rPr>
        <w:t xml:space="preserve"> to the</w:t>
      </w:r>
      <w:r w:rsidRPr="004E5546">
        <w:rPr>
          <w:rFonts w:ascii="Georgia" w:hAnsi="Georgia" w:cs="Calibri"/>
          <w:color w:val="404040" w:themeColor="text1" w:themeTint="BF"/>
          <w:sz w:val="20"/>
        </w:rPr>
        <w:t xml:space="preserve"> </w:t>
      </w:r>
      <w:r>
        <w:rPr>
          <w:rFonts w:ascii="Georgia" w:hAnsi="Georgia" w:cs="Calibri"/>
          <w:color w:val="404040" w:themeColor="text1" w:themeTint="BF"/>
          <w:sz w:val="20"/>
        </w:rPr>
        <w:t>f</w:t>
      </w:r>
      <w:r w:rsidRPr="004E5546">
        <w:rPr>
          <w:rFonts w:ascii="Georgia" w:hAnsi="Georgia" w:cs="Calibri"/>
          <w:color w:val="404040" w:themeColor="text1" w:themeTint="BF"/>
          <w:sz w:val="20"/>
        </w:rPr>
        <w:t xml:space="preserve">inancial </w:t>
      </w:r>
      <w:r>
        <w:rPr>
          <w:rFonts w:ascii="Georgia" w:hAnsi="Georgia" w:cs="Calibri"/>
          <w:color w:val="404040" w:themeColor="text1" w:themeTint="BF"/>
          <w:sz w:val="20"/>
        </w:rPr>
        <w:t>s</w:t>
      </w:r>
      <w:r w:rsidRPr="004E5546">
        <w:rPr>
          <w:rFonts w:ascii="Georgia" w:hAnsi="Georgia" w:cs="Calibri"/>
          <w:color w:val="404040" w:themeColor="text1" w:themeTint="BF"/>
          <w:sz w:val="20"/>
        </w:rPr>
        <w:t>tatements.</w:t>
      </w:r>
    </w:p>
    <w:p w14:paraId="27A945E9" w14:textId="77777777" w:rsidR="00A70BC9" w:rsidRPr="004E5546" w:rsidRDefault="00A70BC9" w:rsidP="00A70BC9">
      <w:pPr>
        <w:jc w:val="both"/>
        <w:rPr>
          <w:rFonts w:ascii="Georgia" w:hAnsi="Georgia" w:cs="Calibri"/>
          <w:color w:val="404040" w:themeColor="text1" w:themeTint="BF"/>
          <w:sz w:val="20"/>
        </w:rPr>
      </w:pPr>
    </w:p>
    <w:p w14:paraId="23EBB079" w14:textId="3C318B6A" w:rsidR="00A70BC9" w:rsidRDefault="00A70BC9" w:rsidP="00A70BC9">
      <w:pPr>
        <w:jc w:val="both"/>
        <w:rPr>
          <w:rFonts w:ascii="Georgia" w:hAnsi="Georgia" w:cs="Calibri"/>
          <w:color w:val="404040" w:themeColor="text1" w:themeTint="BF"/>
          <w:sz w:val="20"/>
        </w:rPr>
      </w:pPr>
      <w:r w:rsidRPr="00E85EF6">
        <w:rPr>
          <w:rFonts w:ascii="Georgia" w:hAnsi="Georgia" w:cs="Calibri"/>
          <w:color w:val="404040" w:themeColor="text1" w:themeTint="BF"/>
          <w:sz w:val="20"/>
        </w:rPr>
        <w:t xml:space="preserve">The Company’s principal risk factors are fully </w:t>
      </w:r>
      <w:r>
        <w:rPr>
          <w:rFonts w:ascii="Georgia" w:hAnsi="Georgia" w:cs="Calibri"/>
          <w:color w:val="404040" w:themeColor="text1" w:themeTint="BF"/>
          <w:sz w:val="20"/>
        </w:rPr>
        <w:t>disclosed</w:t>
      </w:r>
      <w:r w:rsidRPr="00E85EF6">
        <w:rPr>
          <w:rFonts w:ascii="Georgia" w:hAnsi="Georgia" w:cs="Calibri"/>
          <w:color w:val="404040" w:themeColor="text1" w:themeTint="BF"/>
          <w:sz w:val="20"/>
        </w:rPr>
        <w:t xml:space="preserve"> in the Company’s Prospectus, available on the Company’s website (www.bluefieldsif.com) and should be reviewed by </w:t>
      </w:r>
      <w:r w:rsidR="002F417D">
        <w:rPr>
          <w:rFonts w:ascii="Georgia" w:hAnsi="Georgia" w:cs="Calibri"/>
          <w:color w:val="404040" w:themeColor="text1" w:themeTint="BF"/>
          <w:sz w:val="20"/>
        </w:rPr>
        <w:t>S</w:t>
      </w:r>
      <w:r w:rsidRPr="00E85EF6">
        <w:rPr>
          <w:rFonts w:ascii="Georgia" w:hAnsi="Georgia" w:cs="Calibri"/>
          <w:color w:val="404040" w:themeColor="text1" w:themeTint="BF"/>
          <w:sz w:val="20"/>
        </w:rPr>
        <w:t>hareholders.</w:t>
      </w:r>
    </w:p>
    <w:p w14:paraId="7AD453D5" w14:textId="20172022" w:rsidR="00A70BC9" w:rsidRDefault="00A70BC9" w:rsidP="00A70BC9">
      <w:pPr>
        <w:jc w:val="both"/>
        <w:rPr>
          <w:rFonts w:ascii="Georgia" w:hAnsi="Georgia" w:cs="Calibri"/>
          <w:color w:val="404040" w:themeColor="text1" w:themeTint="BF"/>
          <w:sz w:val="20"/>
        </w:rPr>
      </w:pPr>
    </w:p>
    <w:p w14:paraId="79E12948" w14:textId="77777777" w:rsidR="00A70BC9" w:rsidRDefault="00A70BC9" w:rsidP="00A70BC9">
      <w:pPr>
        <w:pStyle w:val="ListParagraph"/>
        <w:tabs>
          <w:tab w:val="left" w:pos="540"/>
        </w:tabs>
        <w:spacing w:after="200" w:line="276" w:lineRule="auto"/>
        <w:ind w:left="567" w:hanging="567"/>
        <w:jc w:val="both"/>
        <w:rPr>
          <w:rFonts w:ascii="Georgia" w:hAnsi="Georgia" w:cs="Calibri"/>
          <w:color w:val="404040" w:themeColor="text1" w:themeTint="BF"/>
          <w:sz w:val="20"/>
        </w:rPr>
      </w:pPr>
      <w:r w:rsidRPr="00854DBB">
        <w:rPr>
          <w:rFonts w:ascii="Georgia" w:hAnsi="Georgia" w:cs="Calibri"/>
          <w:b/>
          <w:color w:val="404040" w:themeColor="text1" w:themeTint="BF"/>
          <w:sz w:val="20"/>
        </w:rPr>
        <w:t>Changes in Regulation</w:t>
      </w:r>
    </w:p>
    <w:p w14:paraId="4DF99F2C" w14:textId="77777777" w:rsidR="00A70BC9" w:rsidRPr="008617BA" w:rsidRDefault="00A70BC9" w:rsidP="00A70BC9">
      <w:pPr>
        <w:jc w:val="both"/>
        <w:rPr>
          <w:rFonts w:ascii="Georgia" w:hAnsi="Georgia" w:cs="Calibri"/>
          <w:color w:val="404040" w:themeColor="text1" w:themeTint="BF"/>
          <w:sz w:val="20"/>
        </w:rPr>
      </w:pPr>
      <w:r w:rsidRPr="008617BA">
        <w:rPr>
          <w:rFonts w:ascii="Georgia" w:hAnsi="Georgia" w:cs="Calibri"/>
          <w:color w:val="404040" w:themeColor="text1" w:themeTint="BF"/>
          <w:sz w:val="20"/>
        </w:rPr>
        <w:t xml:space="preserve">The Board monitors and responds to changes in regulation as </w:t>
      </w:r>
      <w:r>
        <w:rPr>
          <w:rFonts w:ascii="Georgia" w:hAnsi="Georgia" w:cs="Calibri"/>
          <w:color w:val="404040" w:themeColor="text1" w:themeTint="BF"/>
          <w:sz w:val="20"/>
        </w:rPr>
        <w:t>they</w:t>
      </w:r>
      <w:r w:rsidRPr="008617BA">
        <w:rPr>
          <w:rFonts w:ascii="Georgia" w:hAnsi="Georgia" w:cs="Calibri"/>
          <w:color w:val="404040" w:themeColor="text1" w:themeTint="BF"/>
          <w:sz w:val="20"/>
        </w:rPr>
        <w:t xml:space="preserve"> </w:t>
      </w:r>
      <w:r>
        <w:rPr>
          <w:rFonts w:ascii="Georgia" w:hAnsi="Georgia" w:cs="Calibri"/>
          <w:color w:val="404040" w:themeColor="text1" w:themeTint="BF"/>
          <w:sz w:val="20"/>
        </w:rPr>
        <w:t>affec</w:t>
      </w:r>
      <w:r w:rsidRPr="008617BA">
        <w:rPr>
          <w:rFonts w:ascii="Georgia" w:hAnsi="Georgia" w:cs="Calibri"/>
          <w:color w:val="404040" w:themeColor="text1" w:themeTint="BF"/>
          <w:sz w:val="20"/>
        </w:rPr>
        <w:t xml:space="preserve">t the </w:t>
      </w:r>
      <w:r>
        <w:rPr>
          <w:rFonts w:ascii="Georgia" w:hAnsi="Georgia" w:cs="Calibri"/>
          <w:color w:val="404040" w:themeColor="text1" w:themeTint="BF"/>
          <w:sz w:val="20"/>
        </w:rPr>
        <w:t>Company</w:t>
      </w:r>
      <w:r w:rsidRPr="008617BA">
        <w:rPr>
          <w:rFonts w:ascii="Georgia" w:hAnsi="Georgia" w:cs="Calibri"/>
          <w:color w:val="404040" w:themeColor="text1" w:themeTint="BF"/>
          <w:sz w:val="20"/>
        </w:rPr>
        <w:t xml:space="preserve"> and its policies. </w:t>
      </w:r>
      <w:r>
        <w:rPr>
          <w:rFonts w:ascii="Georgia" w:hAnsi="Georgia" w:cs="Calibri"/>
          <w:color w:val="404040" w:themeColor="text1" w:themeTint="BF"/>
          <w:sz w:val="20"/>
        </w:rPr>
        <w:t>The key regulatory change for the Company in the accounting period was the adoption of the new AIC code effective 1 January 2019.</w:t>
      </w:r>
    </w:p>
    <w:p w14:paraId="209A5AD0" w14:textId="77777777" w:rsidR="00A70BC9" w:rsidRPr="00FB7D45" w:rsidRDefault="00A70BC9" w:rsidP="00A70BC9">
      <w:pPr>
        <w:pStyle w:val="Heading2"/>
        <w:spacing w:before="0"/>
      </w:pPr>
      <w:r w:rsidRPr="00FB7D45">
        <w:lastRenderedPageBreak/>
        <w:t>Strategic Report (continued)</w:t>
      </w:r>
    </w:p>
    <w:p w14:paraId="5C9A9A67" w14:textId="77777777" w:rsidR="00A70BC9" w:rsidRPr="00FB7D45" w:rsidRDefault="00A70BC9" w:rsidP="00A70BC9">
      <w:pPr>
        <w:pStyle w:val="ListParagraph"/>
        <w:ind w:left="360"/>
        <w:rPr>
          <w:rFonts w:ascii="Georgia" w:hAnsi="Georgia" w:cs="Calibri"/>
          <w:b/>
          <w:color w:val="404040" w:themeColor="text1" w:themeTint="BF"/>
          <w:sz w:val="20"/>
        </w:rPr>
      </w:pPr>
    </w:p>
    <w:p w14:paraId="32224E24" w14:textId="05EFD2F9" w:rsidR="00A70BC9" w:rsidRPr="00FB7D45" w:rsidRDefault="00DF64D0" w:rsidP="00A70BC9">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A70BC9" w:rsidRPr="00FB7D45">
        <w:rPr>
          <w:rFonts w:ascii="Georgia" w:hAnsi="Georgia" w:cs="Calibri"/>
          <w:b/>
          <w:color w:val="404040" w:themeColor="text1" w:themeTint="BF"/>
          <w:sz w:val="20"/>
        </w:rPr>
        <w:t xml:space="preserve">. </w:t>
      </w:r>
      <w:r w:rsidR="00A70BC9" w:rsidRPr="00FB7D45">
        <w:rPr>
          <w:rFonts w:ascii="Georgia" w:hAnsi="Georgia" w:cs="Calibri"/>
          <w:b/>
          <w:color w:val="404040" w:themeColor="text1" w:themeTint="BF"/>
          <w:sz w:val="20"/>
        </w:rPr>
        <w:tab/>
      </w:r>
      <w:r w:rsidR="00A70BC9">
        <w:rPr>
          <w:rFonts w:ascii="Georgia" w:hAnsi="Georgia" w:cs="Calibri"/>
          <w:b/>
          <w:color w:val="404040" w:themeColor="text1" w:themeTint="BF"/>
          <w:sz w:val="20"/>
        </w:rPr>
        <w:t>Environmental, Social and Governance</w:t>
      </w:r>
      <w:r w:rsidR="00A70BC9" w:rsidRPr="00FB7D45">
        <w:rPr>
          <w:rFonts w:ascii="Georgia" w:hAnsi="Georgia" w:cs="Calibri"/>
          <w:b/>
          <w:color w:val="404040" w:themeColor="text1" w:themeTint="BF"/>
          <w:sz w:val="20"/>
        </w:rPr>
        <w:t xml:space="preserve"> (continued)</w:t>
      </w:r>
    </w:p>
    <w:p w14:paraId="06030A25" w14:textId="77777777" w:rsidR="00A70BC9" w:rsidRDefault="00A70BC9" w:rsidP="00A70BC9">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32388827" w14:textId="7DB381CC" w:rsidR="00A70BC9" w:rsidRDefault="00A70BC9" w:rsidP="00A70BC9">
      <w:pPr>
        <w:jc w:val="both"/>
        <w:rPr>
          <w:rFonts w:cs="Calibri"/>
        </w:rPr>
      </w:pPr>
    </w:p>
    <w:p w14:paraId="7F5AE353" w14:textId="77777777" w:rsidR="00A70BC9" w:rsidRDefault="00A70BC9" w:rsidP="00A70BC9">
      <w:pPr>
        <w:pStyle w:val="ListParagraph"/>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 xml:space="preserve">AIFMD </w:t>
      </w:r>
    </w:p>
    <w:p w14:paraId="5CCFED1F" w14:textId="77777777" w:rsidR="00A70BC9" w:rsidRDefault="00A70BC9" w:rsidP="00A70BC9">
      <w:pPr>
        <w:jc w:val="both"/>
        <w:rPr>
          <w:rFonts w:ascii="Georgia" w:hAnsi="Georgia" w:cs="Calibri"/>
          <w:color w:val="404040" w:themeColor="text1" w:themeTint="BF"/>
          <w:sz w:val="20"/>
        </w:rPr>
      </w:pPr>
      <w:r>
        <w:rPr>
          <w:rFonts w:ascii="Georgia" w:hAnsi="Georgia" w:cs="Calibri"/>
          <w:color w:val="404040" w:themeColor="text1" w:themeTint="BF"/>
          <w:sz w:val="20"/>
        </w:rPr>
        <w:t>AIFMD</w:t>
      </w:r>
      <w:r w:rsidRPr="00605F68">
        <w:rPr>
          <w:rFonts w:ascii="Georgia" w:hAnsi="Georgia" w:cs="Calibri"/>
          <w:color w:val="404040" w:themeColor="text1" w:themeTint="BF"/>
          <w:sz w:val="20"/>
        </w:rPr>
        <w:t xml:space="preserve"> </w:t>
      </w:r>
      <w:r>
        <w:rPr>
          <w:rFonts w:ascii="Georgia" w:hAnsi="Georgia" w:cs="Calibri"/>
          <w:color w:val="404040" w:themeColor="text1" w:themeTint="BF"/>
          <w:sz w:val="20"/>
        </w:rPr>
        <w:t>was introduced on</w:t>
      </w:r>
      <w:r w:rsidRPr="00605F68">
        <w:rPr>
          <w:rFonts w:ascii="Georgia" w:hAnsi="Georgia" w:cs="Calibri"/>
          <w:color w:val="404040" w:themeColor="text1" w:themeTint="BF"/>
          <w:sz w:val="20"/>
        </w:rPr>
        <w:t xml:space="preserve"> 22 July 2014 </w:t>
      </w:r>
      <w:r>
        <w:rPr>
          <w:rFonts w:ascii="Georgia" w:hAnsi="Georgia" w:cs="Calibri"/>
          <w:color w:val="404040" w:themeColor="text1" w:themeTint="BF"/>
          <w:sz w:val="20"/>
        </w:rPr>
        <w:t xml:space="preserve">in order to </w:t>
      </w:r>
      <w:r w:rsidRPr="00605F68">
        <w:rPr>
          <w:rFonts w:ascii="Georgia" w:hAnsi="Georgia" w:cs="Calibri"/>
          <w:color w:val="404040" w:themeColor="text1" w:themeTint="BF"/>
          <w:sz w:val="20"/>
        </w:rPr>
        <w:t>harmonise the regulation of AIFMs and imposes obligations on managers who manage or distribute AIFs in the EU or who market shares in such funds to EU investors. After seeking professional regulatory and legal advice, the Company was established in Guernsey as a self-managed Non-EU AIF. Additionally, the Company has taken advice on and implemented sufficient and appropriate policies and procedures that enable the Board to fulfil its role in relation to portfolio management and the management of risk.</w:t>
      </w:r>
      <w:r>
        <w:rPr>
          <w:rFonts w:ascii="Georgia" w:hAnsi="Georgia" w:cs="Calibri"/>
          <w:color w:val="404040" w:themeColor="text1" w:themeTint="BF"/>
          <w:sz w:val="20"/>
        </w:rPr>
        <w:t xml:space="preserve"> </w:t>
      </w:r>
      <w:r w:rsidRPr="00605F68">
        <w:rPr>
          <w:rFonts w:ascii="Georgia" w:hAnsi="Georgia" w:cs="Calibri"/>
          <w:color w:val="404040" w:themeColor="text1" w:themeTint="BF"/>
          <w:sz w:val="20"/>
        </w:rPr>
        <w:t>The Company is therefore categorised as an internally managed Non-EU AI</w:t>
      </w:r>
      <w:r>
        <w:rPr>
          <w:rFonts w:ascii="Georgia" w:hAnsi="Georgia" w:cs="Calibri"/>
          <w:color w:val="404040" w:themeColor="text1" w:themeTint="BF"/>
          <w:sz w:val="20"/>
        </w:rPr>
        <w:t>FM for the purposes of AIFM</w:t>
      </w:r>
      <w:r w:rsidRPr="00605F68">
        <w:rPr>
          <w:rFonts w:ascii="Georgia" w:hAnsi="Georgia" w:cs="Calibri"/>
          <w:color w:val="404040" w:themeColor="text1" w:themeTint="BF"/>
          <w:sz w:val="20"/>
        </w:rPr>
        <w:t>D and as such neither it nor the Investment Adviser is required to se</w:t>
      </w:r>
      <w:r>
        <w:rPr>
          <w:rFonts w:ascii="Georgia" w:hAnsi="Georgia" w:cs="Calibri"/>
          <w:color w:val="404040" w:themeColor="text1" w:themeTint="BF"/>
          <w:sz w:val="20"/>
        </w:rPr>
        <w:t>ek authorisation under AIFM</w:t>
      </w:r>
      <w:r w:rsidRPr="00605F68">
        <w:rPr>
          <w:rFonts w:ascii="Georgia" w:hAnsi="Georgia" w:cs="Calibri"/>
          <w:color w:val="404040" w:themeColor="text1" w:themeTint="BF"/>
          <w:sz w:val="20"/>
        </w:rPr>
        <w:t>D.</w:t>
      </w:r>
    </w:p>
    <w:p w14:paraId="2FC8B5C6" w14:textId="77777777" w:rsidR="00A70BC9" w:rsidRDefault="00A70BC9" w:rsidP="00A70BC9">
      <w:pPr>
        <w:jc w:val="both"/>
        <w:rPr>
          <w:lang w:eastAsia="en-GB"/>
        </w:rPr>
      </w:pPr>
    </w:p>
    <w:p w14:paraId="41F23BE8" w14:textId="77777777" w:rsidR="00A70BC9" w:rsidRPr="00F11307" w:rsidRDefault="00A70BC9" w:rsidP="00A70BC9">
      <w:pPr>
        <w:jc w:val="both"/>
        <w:rPr>
          <w:rFonts w:ascii="Georgia" w:hAnsi="Georgia" w:cs="Calibri"/>
          <w:color w:val="404040" w:themeColor="text1" w:themeTint="BF"/>
          <w:sz w:val="20"/>
        </w:rPr>
      </w:pPr>
      <w:r w:rsidRPr="00F11307">
        <w:rPr>
          <w:rFonts w:ascii="Georgia" w:hAnsi="Georgia" w:cs="Calibri"/>
          <w:color w:val="404040" w:themeColor="text1" w:themeTint="BF"/>
          <w:sz w:val="20"/>
        </w:rPr>
        <w:t xml:space="preserve">The marketing of shares in AIFs that are established outside the EU (such as the Company) to investors in </w:t>
      </w:r>
      <w:r>
        <w:rPr>
          <w:rFonts w:ascii="Georgia" w:hAnsi="Georgia" w:cs="Calibri"/>
          <w:color w:val="404040" w:themeColor="text1" w:themeTint="BF"/>
          <w:sz w:val="20"/>
        </w:rPr>
        <w:t>an</w:t>
      </w:r>
      <w:r w:rsidRPr="00F11307">
        <w:rPr>
          <w:rFonts w:ascii="Georgia" w:hAnsi="Georgia" w:cs="Calibri"/>
          <w:color w:val="404040" w:themeColor="text1" w:themeTint="BF"/>
          <w:sz w:val="20"/>
        </w:rPr>
        <w:t xml:space="preserve"> EU member state is prohibited unless certain conditions are met. Certain of these conditions are outside the Company’s control as they are depend</w:t>
      </w:r>
      <w:r w:rsidRPr="001D2401">
        <w:rPr>
          <w:rFonts w:ascii="Georgia" w:hAnsi="Georgia" w:cs="Calibri"/>
          <w:color w:val="404040" w:themeColor="text1" w:themeTint="BF"/>
          <w:sz w:val="20"/>
        </w:rPr>
        <w:t xml:space="preserve">ent on the regulators of the relevant third country (in this case Guernsey) and the relevant EU member state entering into regulatory co-operation agreements with one another.  </w:t>
      </w:r>
    </w:p>
    <w:p w14:paraId="04F0F7FF" w14:textId="77777777" w:rsidR="00A70BC9" w:rsidRPr="00F613B3" w:rsidRDefault="00A70BC9" w:rsidP="00A70BC9">
      <w:pPr>
        <w:jc w:val="both"/>
      </w:pPr>
    </w:p>
    <w:p w14:paraId="2B669468" w14:textId="77777777" w:rsidR="00A70BC9" w:rsidRPr="00F11307" w:rsidRDefault="00A70BC9" w:rsidP="00A70BC9">
      <w:pPr>
        <w:jc w:val="both"/>
        <w:rPr>
          <w:rFonts w:ascii="Georgia" w:hAnsi="Georgia" w:cs="Calibri"/>
          <w:color w:val="404040" w:themeColor="text1" w:themeTint="BF"/>
          <w:sz w:val="20"/>
        </w:rPr>
      </w:pPr>
      <w:r w:rsidRPr="001356C5">
        <w:rPr>
          <w:rFonts w:ascii="Georgia" w:hAnsi="Georgia" w:cs="Calibri"/>
          <w:color w:val="404040" w:themeColor="text1" w:themeTint="BF"/>
          <w:sz w:val="20"/>
        </w:rPr>
        <w:t xml:space="preserve">Currently, the NPPR provides a mechanism to market Non-EU AIFs that are not allowed to be marketed under AIFMD domestic marketing regimes. The Board is utilising NPPR in order to market the Company, specifically in the UK pursuant to </w:t>
      </w:r>
      <w:r>
        <w:rPr>
          <w:rFonts w:ascii="Georgia" w:hAnsi="Georgia" w:cs="Calibri"/>
          <w:color w:val="404040" w:themeColor="text1" w:themeTint="BF"/>
          <w:sz w:val="20"/>
        </w:rPr>
        <w:t>R</w:t>
      </w:r>
      <w:r w:rsidRPr="001356C5">
        <w:rPr>
          <w:rFonts w:ascii="Georgia" w:hAnsi="Georgia" w:cs="Calibri"/>
          <w:color w:val="404040" w:themeColor="text1" w:themeTint="BF"/>
          <w:sz w:val="20"/>
        </w:rPr>
        <w:t>egulations 57, 58 and 59 of the </w:t>
      </w:r>
      <w:hyperlink r:id="rId28" w:tgtFrame="_blank" w:history="1">
        <w:r w:rsidRPr="001356C5">
          <w:rPr>
            <w:rFonts w:ascii="Georgia" w:hAnsi="Georgia" w:cs="Calibri"/>
            <w:color w:val="404040" w:themeColor="text1" w:themeTint="BF"/>
            <w:sz w:val="20"/>
          </w:rPr>
          <w:t>UK Alternative Investment Fund Managers Regulations 2013</w:t>
        </w:r>
      </w:hyperlink>
      <w:r w:rsidRPr="001356C5">
        <w:rPr>
          <w:rFonts w:ascii="Georgia" w:hAnsi="Georgia" w:cs="Calibri"/>
          <w:color w:val="404040" w:themeColor="text1" w:themeTint="BF"/>
          <w:sz w:val="20"/>
        </w:rPr>
        <w:t xml:space="preserve">.  The Board is working with the Company’s advisers to ensure the necessary conditions are met, and all required notices and disclosures are made under NPPR.  Eligible AIFMs will be able to continue to use NPPR </w:t>
      </w:r>
      <w:r>
        <w:rPr>
          <w:rFonts w:ascii="Georgia" w:hAnsi="Georgia" w:cs="Calibri"/>
          <w:color w:val="404040" w:themeColor="text1" w:themeTint="BF"/>
          <w:sz w:val="20"/>
        </w:rPr>
        <w:t>for the time being.</w:t>
      </w:r>
      <w:r w:rsidRPr="00E85EF6">
        <w:rPr>
          <w:rFonts w:ascii="Georgia" w:hAnsi="Georgia" w:cs="Calibri"/>
          <w:color w:val="404040" w:themeColor="text1" w:themeTint="BF"/>
          <w:sz w:val="20"/>
        </w:rPr>
        <w:t xml:space="preserve">  </w:t>
      </w:r>
    </w:p>
    <w:p w14:paraId="1958180D" w14:textId="77777777" w:rsidR="00A70BC9" w:rsidRPr="00F613B3" w:rsidRDefault="00A70BC9" w:rsidP="00A70BC9">
      <w:pPr>
        <w:jc w:val="both"/>
      </w:pPr>
    </w:p>
    <w:p w14:paraId="639F5C06" w14:textId="77777777" w:rsidR="00A70BC9" w:rsidRPr="00F11307" w:rsidRDefault="00A70BC9" w:rsidP="00A70BC9">
      <w:pPr>
        <w:jc w:val="both"/>
        <w:rPr>
          <w:rFonts w:ascii="Georgia" w:hAnsi="Georgia" w:cs="Calibri"/>
          <w:color w:val="404040" w:themeColor="text1" w:themeTint="BF"/>
          <w:sz w:val="20"/>
        </w:rPr>
      </w:pPr>
      <w:r w:rsidRPr="00F11307">
        <w:rPr>
          <w:rFonts w:ascii="Georgia" w:hAnsi="Georgia" w:cs="Calibri"/>
          <w:color w:val="404040" w:themeColor="text1" w:themeTint="BF"/>
          <w:sz w:val="20"/>
        </w:rPr>
        <w:t>Any regulatory changes arising from implementation of AIFMD (or otherwise) that limit the Company’s ability to market fut</w:t>
      </w:r>
      <w:r w:rsidRPr="001D2401">
        <w:rPr>
          <w:rFonts w:ascii="Georgia" w:hAnsi="Georgia" w:cs="Calibri"/>
          <w:color w:val="404040" w:themeColor="text1" w:themeTint="BF"/>
          <w:sz w:val="20"/>
        </w:rPr>
        <w:t>ure issues of its shares may materially adversely affect the Company’s ability to carry out its investment policy successfully and to achieve its investment objective</w:t>
      </w:r>
      <w:r>
        <w:rPr>
          <w:rFonts w:ascii="Georgia" w:hAnsi="Georgia" w:cs="Calibri"/>
          <w:color w:val="404040" w:themeColor="text1" w:themeTint="BF"/>
          <w:sz w:val="20"/>
        </w:rPr>
        <w:t>s</w:t>
      </w:r>
      <w:r w:rsidRPr="001D2401">
        <w:rPr>
          <w:rFonts w:ascii="Georgia" w:hAnsi="Georgia" w:cs="Calibri"/>
          <w:color w:val="404040" w:themeColor="text1" w:themeTint="BF"/>
          <w:sz w:val="20"/>
        </w:rPr>
        <w:t xml:space="preserve">, which in turn may adversely affect the Company’s business, financial condition, results </w:t>
      </w:r>
      <w:r w:rsidRPr="002423E4">
        <w:rPr>
          <w:rFonts w:ascii="Georgia" w:hAnsi="Georgia" w:cs="Calibri"/>
          <w:color w:val="404040" w:themeColor="text1" w:themeTint="BF"/>
          <w:sz w:val="20"/>
        </w:rPr>
        <w:t>of operations, NAV and/or the market price of the Ordinary Shares.</w:t>
      </w:r>
    </w:p>
    <w:p w14:paraId="739A3FF2" w14:textId="77777777" w:rsidR="00A70BC9" w:rsidRPr="00605F68" w:rsidRDefault="00A70BC9" w:rsidP="00A70BC9">
      <w:pPr>
        <w:jc w:val="both"/>
      </w:pPr>
    </w:p>
    <w:p w14:paraId="7F942B16" w14:textId="77777777" w:rsidR="00A70BC9" w:rsidRPr="00605F68" w:rsidRDefault="00A70BC9" w:rsidP="00A70BC9">
      <w:pPr>
        <w:jc w:val="both"/>
        <w:rPr>
          <w:rFonts w:ascii="Georgia" w:hAnsi="Georgia" w:cs="Calibri"/>
          <w:color w:val="404040" w:themeColor="text1" w:themeTint="BF"/>
          <w:sz w:val="20"/>
        </w:rPr>
      </w:pPr>
      <w:r w:rsidRPr="00605F68">
        <w:rPr>
          <w:rFonts w:ascii="Georgia" w:hAnsi="Georgia" w:cs="Calibri"/>
          <w:color w:val="404040" w:themeColor="text1" w:themeTint="BF"/>
          <w:sz w:val="20"/>
        </w:rPr>
        <w:t>The Board, in conjunction with the Company’s advisers, will continue to monitor the development of AIFMD and its impact on the Company.</w:t>
      </w:r>
    </w:p>
    <w:p w14:paraId="6A877B13" w14:textId="6B1CEED6" w:rsidR="00A70BC9" w:rsidRDefault="00A70BC9" w:rsidP="00A70BC9">
      <w:pPr>
        <w:jc w:val="both"/>
        <w:rPr>
          <w:rFonts w:cs="Calibri"/>
        </w:rPr>
      </w:pPr>
    </w:p>
    <w:p w14:paraId="60158160" w14:textId="77777777" w:rsidR="00A70BC9" w:rsidRPr="00DD37AD" w:rsidRDefault="00A70BC9" w:rsidP="00A70BC9">
      <w:pPr>
        <w:pStyle w:val="ListParagraph"/>
        <w:tabs>
          <w:tab w:val="left" w:pos="540"/>
        </w:tabs>
        <w:spacing w:after="200" w:line="276" w:lineRule="auto"/>
        <w:ind w:left="567" w:hanging="567"/>
        <w:jc w:val="both"/>
      </w:pPr>
      <w:r>
        <w:rPr>
          <w:rFonts w:ascii="Georgia" w:hAnsi="Georgia" w:cs="Calibri"/>
          <w:b/>
          <w:color w:val="404040" w:themeColor="text1" w:themeTint="BF"/>
          <w:sz w:val="20"/>
        </w:rPr>
        <w:t xml:space="preserve">FATCA and CRS </w:t>
      </w:r>
    </w:p>
    <w:p w14:paraId="341135E3" w14:textId="77777777" w:rsidR="00A70BC9" w:rsidRPr="008617BA" w:rsidRDefault="00A70BC9" w:rsidP="00A70BC9">
      <w:pPr>
        <w:jc w:val="both"/>
        <w:rPr>
          <w:rFonts w:ascii="Georgia" w:hAnsi="Georgia" w:cs="Calibri"/>
          <w:color w:val="404040" w:themeColor="text1" w:themeTint="BF"/>
          <w:sz w:val="20"/>
        </w:rPr>
      </w:pPr>
      <w:r>
        <w:rPr>
          <w:rFonts w:ascii="Georgia" w:hAnsi="Georgia" w:cs="Calibri"/>
          <w:color w:val="404040" w:themeColor="text1" w:themeTint="BF"/>
          <w:sz w:val="20"/>
        </w:rPr>
        <w:t>The Company is registered under FATCA and continues to comply with FATCA and the Common Reporting Standard’s requirements to the extent relevant to the Company.</w:t>
      </w:r>
    </w:p>
    <w:p w14:paraId="134D2287" w14:textId="77777777" w:rsidR="00A70BC9" w:rsidRDefault="00A70BC9" w:rsidP="00A70BC9">
      <w:pPr>
        <w:pStyle w:val="ListParagraph"/>
        <w:tabs>
          <w:tab w:val="left" w:pos="540"/>
        </w:tabs>
        <w:spacing w:after="200" w:line="276" w:lineRule="auto"/>
        <w:ind w:left="567" w:hanging="567"/>
        <w:jc w:val="both"/>
        <w:rPr>
          <w:rFonts w:ascii="Georgia" w:hAnsi="Georgia" w:cs="Calibri"/>
          <w:b/>
          <w:color w:val="404040" w:themeColor="text1" w:themeTint="BF"/>
          <w:sz w:val="20"/>
        </w:rPr>
      </w:pPr>
    </w:p>
    <w:p w14:paraId="11325F73" w14:textId="77777777" w:rsidR="00A70BC9" w:rsidRDefault="00A70BC9" w:rsidP="00A70BC9">
      <w:pPr>
        <w:pStyle w:val="ListParagraph"/>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PRIIPs</w:t>
      </w:r>
    </w:p>
    <w:p w14:paraId="5484806A" w14:textId="77777777" w:rsidR="00A70BC9" w:rsidRDefault="00A70BC9" w:rsidP="00A70BC9">
      <w:pPr>
        <w:pStyle w:val="ListParagraph"/>
        <w:tabs>
          <w:tab w:val="left" w:pos="540"/>
        </w:tabs>
        <w:spacing w:after="200" w:line="276" w:lineRule="auto"/>
        <w:ind w:left="0"/>
        <w:jc w:val="both"/>
        <w:rPr>
          <w:rFonts w:ascii="Georgia" w:hAnsi="Georgia" w:cs="Calibri"/>
          <w:color w:val="404040" w:themeColor="text1" w:themeTint="BF"/>
          <w:sz w:val="20"/>
        </w:rPr>
      </w:pPr>
      <w:r w:rsidRPr="00CC7C6E">
        <w:rPr>
          <w:rFonts w:ascii="Georgia" w:hAnsi="Georgia" w:cs="Calibri"/>
          <w:color w:val="404040" w:themeColor="text1" w:themeTint="BF"/>
          <w:sz w:val="20"/>
        </w:rPr>
        <w:t>The Company is in compliance with the requirements under PRIIPs to publish a KID. The KID is available on the Company’s website.</w:t>
      </w:r>
    </w:p>
    <w:p w14:paraId="7A3F40D7" w14:textId="77777777" w:rsidR="00A70BC9" w:rsidRDefault="00A70BC9" w:rsidP="00A70BC9">
      <w:pPr>
        <w:jc w:val="both"/>
        <w:rPr>
          <w:rFonts w:ascii="Georgia" w:hAnsi="Georgia" w:cs="Calibri"/>
          <w:b/>
          <w:color w:val="404040" w:themeColor="text1" w:themeTint="BF"/>
          <w:sz w:val="20"/>
        </w:rPr>
      </w:pPr>
      <w:r>
        <w:rPr>
          <w:rFonts w:ascii="Georgia" w:hAnsi="Georgia" w:cs="Calibri"/>
          <w:b/>
          <w:color w:val="404040" w:themeColor="text1" w:themeTint="BF"/>
          <w:sz w:val="20"/>
        </w:rPr>
        <w:t>NMPI</w:t>
      </w:r>
    </w:p>
    <w:p w14:paraId="67A76C3E" w14:textId="77777777" w:rsidR="00A70BC9" w:rsidRPr="00567FC5" w:rsidRDefault="00A70BC9" w:rsidP="00A70BC9">
      <w:pPr>
        <w:jc w:val="both"/>
        <w:rPr>
          <w:rFonts w:ascii="Georgia" w:hAnsi="Georgia" w:cs="Calibri"/>
          <w:b/>
          <w:color w:val="404040" w:themeColor="text1" w:themeTint="BF"/>
          <w:sz w:val="20"/>
        </w:rPr>
      </w:pPr>
    </w:p>
    <w:p w14:paraId="1CF07558" w14:textId="77777777" w:rsidR="00A70BC9" w:rsidRPr="00567FC5" w:rsidRDefault="00A70BC9" w:rsidP="00A70BC9">
      <w:pPr>
        <w:jc w:val="both"/>
        <w:rPr>
          <w:rFonts w:ascii="Georgia" w:hAnsi="Georgia" w:cs="Calibri"/>
          <w:color w:val="404040" w:themeColor="text1" w:themeTint="BF"/>
          <w:sz w:val="20"/>
        </w:rPr>
      </w:pPr>
      <w:r w:rsidRPr="00567FC5">
        <w:rPr>
          <w:rFonts w:ascii="Georgia" w:hAnsi="Georgia" w:cs="Calibri"/>
          <w:color w:val="404040" w:themeColor="text1" w:themeTint="BF"/>
          <w:sz w:val="20"/>
        </w:rPr>
        <w:t xml:space="preserve">On 1 January 2014 FCA rules relating to the restrictions on the retail distribution of unregulated collective investment schemes and close substitutes came into effect. </w:t>
      </w:r>
    </w:p>
    <w:p w14:paraId="4FD27D3F" w14:textId="0D6FF81B" w:rsidR="00A70BC9" w:rsidRDefault="00A70BC9" w:rsidP="00A70BC9">
      <w:pPr>
        <w:jc w:val="both"/>
        <w:rPr>
          <w:rFonts w:ascii="Georgia" w:hAnsi="Georgia" w:cs="Calibri"/>
          <w:color w:val="404040" w:themeColor="text1" w:themeTint="BF"/>
          <w:sz w:val="20"/>
        </w:rPr>
      </w:pPr>
    </w:p>
    <w:p w14:paraId="1B8DDC9B" w14:textId="77777777" w:rsidR="00DF64D0" w:rsidRPr="00567FC5" w:rsidRDefault="00DF64D0" w:rsidP="00A70BC9">
      <w:pPr>
        <w:jc w:val="both"/>
        <w:rPr>
          <w:rFonts w:ascii="Georgia" w:hAnsi="Georgia" w:cs="Calibri"/>
          <w:color w:val="404040" w:themeColor="text1" w:themeTint="BF"/>
          <w:sz w:val="20"/>
        </w:rPr>
      </w:pPr>
    </w:p>
    <w:p w14:paraId="52B27408" w14:textId="77777777" w:rsidR="00A70BC9" w:rsidRDefault="00A70BC9" w:rsidP="00A70BC9">
      <w:pPr>
        <w:jc w:val="both"/>
        <w:rPr>
          <w:rFonts w:ascii="Georgia" w:hAnsi="Georgia" w:cs="Calibri"/>
          <w:color w:val="404040" w:themeColor="text1" w:themeTint="BF"/>
          <w:sz w:val="20"/>
        </w:rPr>
      </w:pPr>
    </w:p>
    <w:p w14:paraId="268315D8" w14:textId="77777777" w:rsidR="00A70BC9" w:rsidRDefault="00A70BC9" w:rsidP="00A70BC9">
      <w:pPr>
        <w:jc w:val="both"/>
        <w:rPr>
          <w:rFonts w:ascii="Georgia" w:hAnsi="Georgia" w:cs="Calibri"/>
          <w:color w:val="404040" w:themeColor="text1" w:themeTint="BF"/>
          <w:sz w:val="20"/>
        </w:rPr>
      </w:pPr>
    </w:p>
    <w:p w14:paraId="4AB92FAB" w14:textId="77777777" w:rsidR="00A70BC9" w:rsidRPr="00FB7D45" w:rsidRDefault="00A70BC9" w:rsidP="00A70BC9">
      <w:pPr>
        <w:pStyle w:val="Heading2"/>
        <w:spacing w:before="0"/>
      </w:pPr>
      <w:r w:rsidRPr="00FB7D45">
        <w:lastRenderedPageBreak/>
        <w:t>Strategic Report (continued)</w:t>
      </w:r>
    </w:p>
    <w:p w14:paraId="3D667D27" w14:textId="77777777" w:rsidR="00A70BC9" w:rsidRPr="00FB7D45" w:rsidRDefault="00A70BC9" w:rsidP="00A70BC9">
      <w:pPr>
        <w:pStyle w:val="ListParagraph"/>
        <w:ind w:left="360"/>
        <w:rPr>
          <w:rFonts w:ascii="Georgia" w:hAnsi="Georgia" w:cs="Calibri"/>
          <w:b/>
          <w:color w:val="404040" w:themeColor="text1" w:themeTint="BF"/>
          <w:sz w:val="20"/>
        </w:rPr>
      </w:pPr>
    </w:p>
    <w:p w14:paraId="1FDC0654" w14:textId="1B3C6D6E" w:rsidR="00A70BC9" w:rsidRPr="00FB7D45" w:rsidRDefault="00DF64D0" w:rsidP="00A70BC9">
      <w:pPr>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8</w:t>
      </w:r>
      <w:r w:rsidR="00A70BC9" w:rsidRPr="00FB7D45">
        <w:rPr>
          <w:rFonts w:ascii="Georgia" w:hAnsi="Georgia" w:cs="Calibri"/>
          <w:b/>
          <w:color w:val="404040" w:themeColor="text1" w:themeTint="BF"/>
          <w:sz w:val="20"/>
        </w:rPr>
        <w:t xml:space="preserve">. </w:t>
      </w:r>
      <w:r w:rsidR="00A70BC9" w:rsidRPr="00FB7D45">
        <w:rPr>
          <w:rFonts w:ascii="Georgia" w:hAnsi="Georgia" w:cs="Calibri"/>
          <w:b/>
          <w:color w:val="404040" w:themeColor="text1" w:themeTint="BF"/>
          <w:sz w:val="20"/>
        </w:rPr>
        <w:tab/>
      </w:r>
      <w:r w:rsidR="00A70BC9">
        <w:rPr>
          <w:rFonts w:ascii="Georgia" w:hAnsi="Georgia" w:cs="Calibri"/>
          <w:b/>
          <w:color w:val="404040" w:themeColor="text1" w:themeTint="BF"/>
          <w:sz w:val="20"/>
        </w:rPr>
        <w:t>Environmental, Social and Governance</w:t>
      </w:r>
      <w:r w:rsidR="00A70BC9" w:rsidRPr="00FB7D45">
        <w:rPr>
          <w:rFonts w:ascii="Georgia" w:hAnsi="Georgia" w:cs="Calibri"/>
          <w:b/>
          <w:color w:val="404040" w:themeColor="text1" w:themeTint="BF"/>
          <w:sz w:val="20"/>
        </w:rPr>
        <w:t xml:space="preserve"> (continued)</w:t>
      </w:r>
    </w:p>
    <w:p w14:paraId="262A119F" w14:textId="77777777" w:rsidR="00A70BC9" w:rsidRDefault="00A70BC9" w:rsidP="00A70BC9">
      <w:pPr>
        <w:autoSpaceDE w:val="0"/>
        <w:autoSpaceDN w:val="0"/>
        <w:adjustRightInd w:val="0"/>
        <w:jc w:val="both"/>
        <w:rPr>
          <w:rFonts w:ascii="Georgia" w:eastAsia="Calibri" w:hAnsi="Georgia"/>
          <w:b/>
          <w:color w:val="404040" w:themeColor="text1" w:themeTint="BF"/>
          <w:sz w:val="20"/>
          <w:szCs w:val="20"/>
        </w:rPr>
      </w:pPr>
      <w:r>
        <w:rPr>
          <w:rFonts w:ascii="Georgia" w:eastAsia="Calibri" w:hAnsi="Georgia"/>
          <w:b/>
          <w:color w:val="404040" w:themeColor="text1" w:themeTint="BF"/>
          <w:sz w:val="20"/>
          <w:szCs w:val="20"/>
        </w:rPr>
        <w:t>Corporate Governance (continued)</w:t>
      </w:r>
    </w:p>
    <w:p w14:paraId="36F2DAAD" w14:textId="77777777" w:rsidR="00A70BC9" w:rsidRDefault="00A70BC9" w:rsidP="00A70BC9">
      <w:pPr>
        <w:jc w:val="both"/>
        <w:rPr>
          <w:rFonts w:cs="Calibri"/>
        </w:rPr>
      </w:pPr>
    </w:p>
    <w:p w14:paraId="1DBBF77E" w14:textId="328F1F49" w:rsidR="00A70BC9" w:rsidRDefault="00A70BC9" w:rsidP="00A70BC9">
      <w:pPr>
        <w:pStyle w:val="ListParagraph"/>
        <w:tabs>
          <w:tab w:val="left" w:pos="540"/>
        </w:tabs>
        <w:spacing w:after="200" w:line="276" w:lineRule="auto"/>
        <w:ind w:left="567" w:hanging="567"/>
        <w:jc w:val="both"/>
        <w:rPr>
          <w:rFonts w:ascii="Georgia" w:hAnsi="Georgia" w:cs="Calibri"/>
          <w:b/>
          <w:color w:val="404040" w:themeColor="text1" w:themeTint="BF"/>
          <w:sz w:val="20"/>
        </w:rPr>
      </w:pPr>
      <w:r>
        <w:rPr>
          <w:rFonts w:ascii="Georgia" w:hAnsi="Georgia" w:cs="Calibri"/>
          <w:b/>
          <w:color w:val="404040" w:themeColor="text1" w:themeTint="BF"/>
          <w:sz w:val="20"/>
        </w:rPr>
        <w:t>NMPI (continued)</w:t>
      </w:r>
    </w:p>
    <w:p w14:paraId="591BB047" w14:textId="37C304C8" w:rsidR="00A70BC9" w:rsidRDefault="00A70BC9" w:rsidP="00A70BC9">
      <w:pPr>
        <w:jc w:val="both"/>
        <w:rPr>
          <w:rFonts w:ascii="Georgia" w:hAnsi="Georgia" w:cs="Calibri"/>
          <w:color w:val="404040" w:themeColor="text1" w:themeTint="BF"/>
          <w:sz w:val="20"/>
        </w:rPr>
      </w:pPr>
      <w:r w:rsidRPr="00567FC5">
        <w:rPr>
          <w:rFonts w:ascii="Georgia" w:hAnsi="Georgia" w:cs="Calibri"/>
          <w:color w:val="404040" w:themeColor="text1" w:themeTint="BF"/>
          <w:sz w:val="20"/>
        </w:rPr>
        <w:t>The Board has been advised that the Company would qualify as an investment trust if it was resident in the UK, and therefore the Board believes that the retail distribution of its shares should</w:t>
      </w:r>
      <w:r w:rsidR="004F1F48">
        <w:rPr>
          <w:rFonts w:ascii="Georgia" w:hAnsi="Georgia" w:cs="Calibri"/>
          <w:color w:val="404040" w:themeColor="text1" w:themeTint="BF"/>
          <w:sz w:val="20"/>
        </w:rPr>
        <w:t xml:space="preserve"> continue to</w:t>
      </w:r>
      <w:r w:rsidRPr="00567FC5">
        <w:rPr>
          <w:rFonts w:ascii="Georgia" w:hAnsi="Georgia" w:cs="Calibri"/>
          <w:color w:val="404040" w:themeColor="text1" w:themeTint="BF"/>
          <w:sz w:val="20"/>
        </w:rPr>
        <w:t xml:space="preserve"> be unaffected by the changes. It is the Board's intention that the Company will make all reasonable efforts to conduct its affairs in such a manner that it</w:t>
      </w:r>
      <w:r>
        <w:rPr>
          <w:rFonts w:ascii="Georgia" w:hAnsi="Georgia" w:cs="Calibri"/>
          <w:color w:val="404040" w:themeColor="text1" w:themeTint="BF"/>
          <w:sz w:val="20"/>
        </w:rPr>
        <w:t>s shares can be recommended by independent financial adviser</w:t>
      </w:r>
      <w:r w:rsidRPr="00567FC5">
        <w:rPr>
          <w:rFonts w:ascii="Georgia" w:hAnsi="Georgia" w:cs="Calibri"/>
          <w:color w:val="404040" w:themeColor="text1" w:themeTint="BF"/>
          <w:sz w:val="20"/>
        </w:rPr>
        <w:t xml:space="preserve">s to </w:t>
      </w:r>
      <w:r>
        <w:rPr>
          <w:rFonts w:ascii="Georgia" w:hAnsi="Georgia" w:cs="Calibri"/>
          <w:color w:val="404040" w:themeColor="text1" w:themeTint="BF"/>
          <w:sz w:val="20"/>
        </w:rPr>
        <w:t>UK</w:t>
      </w:r>
      <w:r w:rsidRPr="00567FC5">
        <w:rPr>
          <w:rFonts w:ascii="Georgia" w:hAnsi="Georgia" w:cs="Calibri"/>
          <w:color w:val="404040" w:themeColor="text1" w:themeTint="BF"/>
          <w:sz w:val="20"/>
        </w:rPr>
        <w:t xml:space="preserve"> retail investors in accordance with the FCA's rules relating to non-mainstream investment products.</w:t>
      </w:r>
    </w:p>
    <w:p w14:paraId="50038565" w14:textId="77777777" w:rsidR="00A70BC9" w:rsidRPr="00F11307" w:rsidRDefault="00A70BC9" w:rsidP="00A70BC9">
      <w:pPr>
        <w:jc w:val="both"/>
        <w:rPr>
          <w:rFonts w:cs="Calibri"/>
        </w:rPr>
      </w:pPr>
    </w:p>
    <w:p w14:paraId="79610D43" w14:textId="77777777" w:rsidR="00A70BC9" w:rsidRDefault="00A70BC9" w:rsidP="00A70BC9">
      <w:pPr>
        <w:jc w:val="both"/>
        <w:rPr>
          <w:rFonts w:ascii="Georgia" w:hAnsi="Georgia" w:cs="Calibri"/>
          <w:b/>
          <w:color w:val="404040" w:themeColor="text1" w:themeTint="BF"/>
          <w:sz w:val="20"/>
        </w:rPr>
      </w:pPr>
      <w:r>
        <w:rPr>
          <w:rFonts w:ascii="Georgia" w:hAnsi="Georgia" w:cs="Calibri"/>
          <w:b/>
          <w:color w:val="404040" w:themeColor="text1" w:themeTint="BF"/>
          <w:sz w:val="20"/>
        </w:rPr>
        <w:t>Guernsey Green Fund Status</w:t>
      </w:r>
    </w:p>
    <w:p w14:paraId="1B46B921" w14:textId="77777777" w:rsidR="00A70BC9" w:rsidRDefault="00A70BC9" w:rsidP="00A70BC9">
      <w:pPr>
        <w:jc w:val="both"/>
        <w:rPr>
          <w:rFonts w:ascii="Georgia" w:hAnsi="Georgia" w:cs="Calibri"/>
          <w:b/>
          <w:color w:val="404040" w:themeColor="text1" w:themeTint="BF"/>
          <w:sz w:val="20"/>
        </w:rPr>
      </w:pPr>
    </w:p>
    <w:p w14:paraId="0338EF26" w14:textId="1D15CDE5" w:rsidR="00A70BC9" w:rsidRPr="00862F3F" w:rsidRDefault="00A70BC9" w:rsidP="00A70BC9">
      <w:pPr>
        <w:jc w:val="both"/>
        <w:rPr>
          <w:rFonts w:ascii="Georgia" w:hAnsi="Georgia" w:cs="Calibri"/>
          <w:color w:val="404040" w:themeColor="text1" w:themeTint="BF"/>
          <w:sz w:val="20"/>
        </w:rPr>
      </w:pPr>
      <w:r w:rsidRPr="00862F3F">
        <w:rPr>
          <w:rFonts w:ascii="Georgia" w:hAnsi="Georgia" w:cs="Calibri"/>
          <w:color w:val="404040" w:themeColor="text1" w:themeTint="BF"/>
          <w:sz w:val="20"/>
        </w:rPr>
        <w:t>The Guernsey Green Fund provide</w:t>
      </w:r>
      <w:r w:rsidR="004F1F48">
        <w:rPr>
          <w:rFonts w:ascii="Georgia" w:hAnsi="Georgia" w:cs="Calibri"/>
          <w:color w:val="404040" w:themeColor="text1" w:themeTint="BF"/>
          <w:sz w:val="20"/>
        </w:rPr>
        <w:t>s</w:t>
      </w:r>
      <w:r w:rsidRPr="00862F3F">
        <w:rPr>
          <w:rFonts w:ascii="Georgia" w:hAnsi="Georgia" w:cs="Calibri"/>
          <w:color w:val="404040" w:themeColor="text1" w:themeTint="BF"/>
          <w:sz w:val="20"/>
        </w:rPr>
        <w:t xml:space="preserve"> a platform </w:t>
      </w:r>
      <w:r>
        <w:rPr>
          <w:rFonts w:ascii="Georgia" w:hAnsi="Georgia" w:cs="Calibri"/>
          <w:color w:val="404040" w:themeColor="text1" w:themeTint="BF"/>
          <w:sz w:val="20"/>
        </w:rPr>
        <w:t>for</w:t>
      </w:r>
      <w:r w:rsidRPr="00862F3F">
        <w:rPr>
          <w:rFonts w:ascii="Georgia" w:hAnsi="Georgia" w:cs="Calibri"/>
          <w:color w:val="404040" w:themeColor="text1" w:themeTint="BF"/>
          <w:sz w:val="20"/>
        </w:rPr>
        <w:t xml:space="preserve"> investments into various green initiatives and gives investors a trusted and transparent product that contributes to the internationally agreed objectives of mitigating environmental damage and climate change.</w:t>
      </w:r>
      <w:r>
        <w:rPr>
          <w:rFonts w:ascii="Georgia" w:hAnsi="Georgia" w:cs="Calibri"/>
          <w:color w:val="404040" w:themeColor="text1" w:themeTint="BF"/>
          <w:sz w:val="20"/>
        </w:rPr>
        <w:t xml:space="preserve"> The Company successfully obtained Guernsey Green Fund Status on 16 April 2019.</w:t>
      </w:r>
    </w:p>
    <w:p w14:paraId="3A3B3536" w14:textId="77777777" w:rsidR="00A70BC9" w:rsidRDefault="00A70BC9" w:rsidP="00A70BC9">
      <w:pPr>
        <w:pStyle w:val="ListParagraph"/>
        <w:tabs>
          <w:tab w:val="left" w:pos="540"/>
        </w:tabs>
        <w:spacing w:after="200" w:line="276" w:lineRule="auto"/>
        <w:ind w:left="567" w:hanging="567"/>
        <w:jc w:val="both"/>
        <w:rPr>
          <w:rFonts w:ascii="Georgia" w:hAnsi="Georgia" w:cs="Calibri"/>
          <w:color w:val="404040" w:themeColor="text1" w:themeTint="BF"/>
          <w:sz w:val="20"/>
        </w:rPr>
      </w:pPr>
    </w:p>
    <w:p w14:paraId="0C751923" w14:textId="77777777" w:rsidR="00A70BC9" w:rsidRDefault="00A70BC9" w:rsidP="00A70BC9">
      <w:pPr>
        <w:pStyle w:val="ListParagraph"/>
        <w:tabs>
          <w:tab w:val="left" w:pos="540"/>
        </w:tabs>
        <w:spacing w:after="200" w:line="276" w:lineRule="auto"/>
        <w:ind w:left="0"/>
        <w:jc w:val="both"/>
        <w:rPr>
          <w:rFonts w:ascii="Georgia" w:hAnsi="Georgia" w:cs="Calibri"/>
          <w:color w:val="404040" w:themeColor="text1" w:themeTint="BF"/>
          <w:sz w:val="20"/>
        </w:rPr>
      </w:pPr>
      <w:r w:rsidRPr="00862F3F">
        <w:rPr>
          <w:rFonts w:ascii="Georgia" w:hAnsi="Georgia" w:cs="Calibri"/>
          <w:color w:val="404040" w:themeColor="text1" w:themeTint="BF"/>
          <w:sz w:val="20"/>
        </w:rPr>
        <w:t xml:space="preserve">Following an application to the </w:t>
      </w:r>
      <w:r>
        <w:rPr>
          <w:rFonts w:ascii="Georgia" w:hAnsi="Georgia" w:cs="Calibri"/>
          <w:color w:val="404040" w:themeColor="text1" w:themeTint="BF"/>
          <w:sz w:val="20"/>
        </w:rPr>
        <w:t>GFSC</w:t>
      </w:r>
      <w:r w:rsidRPr="00862F3F">
        <w:rPr>
          <w:rFonts w:ascii="Georgia" w:hAnsi="Georgia" w:cs="Calibri"/>
          <w:color w:val="404040" w:themeColor="text1" w:themeTint="BF"/>
          <w:sz w:val="20"/>
        </w:rPr>
        <w:t xml:space="preserve">, </w:t>
      </w:r>
      <w:r>
        <w:rPr>
          <w:rFonts w:ascii="Georgia" w:hAnsi="Georgia" w:cs="Calibri"/>
          <w:color w:val="404040" w:themeColor="text1" w:themeTint="BF"/>
          <w:sz w:val="20"/>
        </w:rPr>
        <w:t>the Company wa</w:t>
      </w:r>
      <w:r w:rsidRPr="00862F3F">
        <w:rPr>
          <w:rFonts w:ascii="Georgia" w:hAnsi="Georgia" w:cs="Calibri"/>
          <w:color w:val="404040" w:themeColor="text1" w:themeTint="BF"/>
          <w:sz w:val="20"/>
        </w:rPr>
        <w:t xml:space="preserve">s deemed to have met the </w:t>
      </w:r>
      <w:r>
        <w:rPr>
          <w:rFonts w:ascii="Georgia" w:hAnsi="Georgia" w:cs="Calibri"/>
          <w:color w:val="404040" w:themeColor="text1" w:themeTint="BF"/>
          <w:sz w:val="20"/>
        </w:rPr>
        <w:t>following investment criteria</w:t>
      </w:r>
      <w:r w:rsidRPr="00862F3F">
        <w:rPr>
          <w:rFonts w:ascii="Georgia" w:hAnsi="Georgia" w:cs="Calibri"/>
          <w:color w:val="404040" w:themeColor="text1" w:themeTint="BF"/>
          <w:sz w:val="20"/>
        </w:rPr>
        <w:t xml:space="preserve"> outlined in the Guernsey Green Fund Rules, </w:t>
      </w:r>
      <w:r>
        <w:rPr>
          <w:rFonts w:ascii="Georgia" w:hAnsi="Georgia" w:cs="Calibri"/>
          <w:color w:val="404040" w:themeColor="text1" w:themeTint="BF"/>
          <w:sz w:val="20"/>
        </w:rPr>
        <w:t>2019</w:t>
      </w:r>
      <w:r w:rsidRPr="00862F3F">
        <w:rPr>
          <w:rFonts w:ascii="Georgia" w:hAnsi="Georgia" w:cs="Calibri"/>
          <w:color w:val="404040" w:themeColor="text1" w:themeTint="BF"/>
          <w:sz w:val="20"/>
        </w:rPr>
        <w:t xml:space="preserve"> ('The Rules'):</w:t>
      </w:r>
    </w:p>
    <w:p w14:paraId="035206E5" w14:textId="77777777" w:rsidR="00A70BC9" w:rsidRDefault="00A70BC9" w:rsidP="00A70BC9">
      <w:pPr>
        <w:pStyle w:val="ListParagraph"/>
        <w:tabs>
          <w:tab w:val="left" w:pos="540"/>
        </w:tabs>
        <w:spacing w:after="200" w:line="276" w:lineRule="auto"/>
        <w:ind w:left="0"/>
        <w:jc w:val="both"/>
        <w:rPr>
          <w:rFonts w:ascii="Georgia" w:hAnsi="Georgia" w:cs="Calibri"/>
          <w:color w:val="404040" w:themeColor="text1" w:themeTint="BF"/>
          <w:sz w:val="20"/>
        </w:rPr>
      </w:pPr>
    </w:p>
    <w:p w14:paraId="7CDF34FD" w14:textId="77777777" w:rsidR="00A70BC9" w:rsidRPr="00A809CB" w:rsidRDefault="00A70BC9" w:rsidP="000916C2">
      <w:pPr>
        <w:pStyle w:val="ListParagraph"/>
        <w:numPr>
          <w:ilvl w:val="0"/>
          <w:numId w:val="16"/>
        </w:numPr>
        <w:tabs>
          <w:tab w:val="left" w:pos="540"/>
        </w:tabs>
        <w:spacing w:after="120"/>
        <w:ind w:left="340" w:hanging="340"/>
        <w:contextualSpacing w:val="0"/>
        <w:jc w:val="both"/>
        <w:rPr>
          <w:rFonts w:ascii="Georgia" w:hAnsi="Georgia" w:cs="Calibri"/>
          <w:color w:val="404040" w:themeColor="text1" w:themeTint="BF"/>
          <w:sz w:val="20"/>
        </w:rPr>
      </w:pPr>
      <w:r w:rsidRPr="00A809CB">
        <w:rPr>
          <w:rFonts w:ascii="Georgia" w:hAnsi="Georgia" w:cs="Calibri"/>
          <w:color w:val="404040" w:themeColor="text1" w:themeTint="BF"/>
          <w:sz w:val="20"/>
        </w:rPr>
        <w:t>The Property of a Guernsey Green Fund shall be invested with the aim of spreading risk and with the ultimate objective of mitigating environmental damage resulting in a net positive outcome for the environment;</w:t>
      </w:r>
    </w:p>
    <w:p w14:paraId="1A00B7CA" w14:textId="77777777" w:rsidR="00A70BC9" w:rsidRPr="00A809CB" w:rsidRDefault="00A70BC9" w:rsidP="000916C2">
      <w:pPr>
        <w:pStyle w:val="ListParagraph"/>
        <w:numPr>
          <w:ilvl w:val="0"/>
          <w:numId w:val="16"/>
        </w:numPr>
        <w:tabs>
          <w:tab w:val="left" w:pos="540"/>
        </w:tabs>
        <w:spacing w:after="120"/>
        <w:ind w:left="340" w:hanging="340"/>
        <w:contextualSpacing w:val="0"/>
        <w:jc w:val="both"/>
        <w:rPr>
          <w:rFonts w:ascii="Georgia" w:hAnsi="Georgia" w:cs="Calibri"/>
          <w:color w:val="404040" w:themeColor="text1" w:themeTint="BF"/>
          <w:sz w:val="20"/>
        </w:rPr>
      </w:pPr>
      <w:r w:rsidRPr="00A809CB">
        <w:rPr>
          <w:rFonts w:ascii="Georgia" w:hAnsi="Georgia" w:cs="Calibri"/>
          <w:color w:val="404040" w:themeColor="text1" w:themeTint="BF"/>
          <w:sz w:val="20"/>
        </w:rPr>
        <w:t xml:space="preserve">A Guernsey Green Fund shall comprise 75% assets by value that meet the Guernsey Green Fund Rules criteria.  The remaining 25% must not lessen or reduce  the Guernsey Green Fund's overall objective of mitigating environmental damage nor comprise an investment of a type specified within schedule 3 of </w:t>
      </w:r>
      <w:r>
        <w:rPr>
          <w:rFonts w:ascii="Georgia" w:hAnsi="Georgia" w:cs="Calibri"/>
          <w:color w:val="404040" w:themeColor="text1" w:themeTint="BF"/>
          <w:sz w:val="20"/>
        </w:rPr>
        <w:t>the Guernsey Green Fund Rules, 2019;</w:t>
      </w:r>
    </w:p>
    <w:p w14:paraId="28977DC0" w14:textId="77777777" w:rsidR="00A70BC9" w:rsidRPr="00A809CB" w:rsidRDefault="00A70BC9" w:rsidP="000916C2">
      <w:pPr>
        <w:pStyle w:val="ListParagraph"/>
        <w:numPr>
          <w:ilvl w:val="0"/>
          <w:numId w:val="16"/>
        </w:numPr>
        <w:tabs>
          <w:tab w:val="left" w:pos="540"/>
        </w:tabs>
        <w:spacing w:after="120"/>
        <w:ind w:left="340" w:hanging="340"/>
        <w:contextualSpacing w:val="0"/>
        <w:jc w:val="both"/>
        <w:rPr>
          <w:rFonts w:ascii="Georgia" w:hAnsi="Georgia" w:cs="Calibri"/>
          <w:color w:val="404040" w:themeColor="text1" w:themeTint="BF"/>
          <w:sz w:val="20"/>
        </w:rPr>
      </w:pPr>
      <w:r w:rsidRPr="00A809CB">
        <w:rPr>
          <w:rFonts w:ascii="Georgia" w:hAnsi="Georgia" w:cs="Calibri"/>
          <w:color w:val="404040" w:themeColor="text1" w:themeTint="BF"/>
          <w:sz w:val="20"/>
        </w:rPr>
        <w:t>A Guernsey Green Fund shall only comprise assets permitted to be held under its principal documents or prospectus and of a nature described in its prospectus; and</w:t>
      </w:r>
    </w:p>
    <w:p w14:paraId="56BFFF86" w14:textId="77777777" w:rsidR="00A70BC9" w:rsidRDefault="00A70BC9" w:rsidP="000916C2">
      <w:pPr>
        <w:pStyle w:val="ListParagraph"/>
        <w:numPr>
          <w:ilvl w:val="0"/>
          <w:numId w:val="16"/>
        </w:numPr>
        <w:tabs>
          <w:tab w:val="left" w:pos="540"/>
        </w:tabs>
        <w:spacing w:after="120"/>
        <w:ind w:left="340" w:hanging="340"/>
        <w:contextualSpacing w:val="0"/>
        <w:jc w:val="both"/>
        <w:rPr>
          <w:rFonts w:ascii="Georgia" w:hAnsi="Georgia" w:cs="Calibri"/>
          <w:color w:val="404040" w:themeColor="text1" w:themeTint="BF"/>
          <w:sz w:val="20"/>
        </w:rPr>
      </w:pPr>
      <w:r w:rsidRPr="00A809CB">
        <w:rPr>
          <w:rFonts w:ascii="Georgia" w:hAnsi="Georgia" w:cs="Calibri"/>
          <w:color w:val="404040" w:themeColor="text1" w:themeTint="BF"/>
          <w:sz w:val="20"/>
        </w:rPr>
        <w:t>A Guernsey Green Fund shall not be invested in contravention of limits or restrictions imposed under its principal documents or prospectus.</w:t>
      </w:r>
    </w:p>
    <w:p w14:paraId="36A55CD0" w14:textId="77777777" w:rsidR="00BD746A" w:rsidRDefault="00BD746A" w:rsidP="00A70BC9">
      <w:pPr>
        <w:jc w:val="both"/>
        <w:rPr>
          <w:rFonts w:ascii="Georgia" w:hAnsi="Georgia" w:cs="Calibri"/>
          <w:color w:val="404040" w:themeColor="text1" w:themeTint="BF"/>
          <w:sz w:val="20"/>
        </w:rPr>
      </w:pPr>
    </w:p>
    <w:p w14:paraId="7553B9A9" w14:textId="1559F1FE" w:rsidR="00A70BC9" w:rsidRPr="00862F3F" w:rsidRDefault="00A70BC9" w:rsidP="00A70BC9">
      <w:pPr>
        <w:jc w:val="both"/>
        <w:rPr>
          <w:rFonts w:ascii="Georgia" w:hAnsi="Georgia" w:cs="Calibri"/>
          <w:color w:val="404040" w:themeColor="text1" w:themeTint="BF"/>
          <w:sz w:val="20"/>
        </w:rPr>
      </w:pPr>
      <w:r>
        <w:rPr>
          <w:rFonts w:ascii="Georgia" w:hAnsi="Georgia" w:cs="Calibri"/>
          <w:color w:val="404040" w:themeColor="text1" w:themeTint="BF"/>
          <w:sz w:val="20"/>
        </w:rPr>
        <w:t>The Company fulfils</w:t>
      </w:r>
      <w:r w:rsidRPr="00862F3F">
        <w:rPr>
          <w:rFonts w:ascii="Georgia" w:hAnsi="Georgia" w:cs="Calibri"/>
          <w:color w:val="404040" w:themeColor="text1" w:themeTint="BF"/>
          <w:sz w:val="20"/>
        </w:rPr>
        <w:t xml:space="preserve"> the above investment criteria</w:t>
      </w:r>
      <w:r>
        <w:rPr>
          <w:rFonts w:ascii="Georgia" w:hAnsi="Georgia" w:cs="Calibri"/>
          <w:color w:val="404040" w:themeColor="text1" w:themeTint="BF"/>
          <w:sz w:val="20"/>
        </w:rPr>
        <w:t xml:space="preserve"> by investing</w:t>
      </w:r>
      <w:r w:rsidRPr="00862F3F">
        <w:rPr>
          <w:rFonts w:ascii="Georgia" w:hAnsi="Georgia" w:cs="Calibri"/>
          <w:color w:val="404040" w:themeColor="text1" w:themeTint="BF"/>
          <w:sz w:val="20"/>
        </w:rPr>
        <w:t xml:space="preserve"> in a diversified portfolio of solar energy assets, each located within the UK, with a focus on utility scale assets and portfolios on </w:t>
      </w:r>
      <w:r>
        <w:rPr>
          <w:rFonts w:ascii="Georgia" w:hAnsi="Georgia" w:cs="Calibri"/>
          <w:color w:val="404040" w:themeColor="text1" w:themeTint="BF"/>
          <w:sz w:val="20"/>
        </w:rPr>
        <w:t>g</w:t>
      </w:r>
      <w:r w:rsidRPr="00862F3F">
        <w:rPr>
          <w:rFonts w:ascii="Georgia" w:hAnsi="Georgia" w:cs="Calibri"/>
          <w:color w:val="404040" w:themeColor="text1" w:themeTint="BF"/>
          <w:sz w:val="20"/>
        </w:rPr>
        <w:t>reenfield sites. The Group targets long life solar energy infrastructure, expected to generate stable renewable energy output over a 25</w:t>
      </w:r>
      <w:r>
        <w:rPr>
          <w:rFonts w:ascii="Georgia" w:hAnsi="Georgia" w:cs="Calibri"/>
          <w:color w:val="404040" w:themeColor="text1" w:themeTint="BF"/>
          <w:sz w:val="20"/>
        </w:rPr>
        <w:t xml:space="preserve"> </w:t>
      </w:r>
      <w:r w:rsidRPr="00862F3F">
        <w:rPr>
          <w:rFonts w:ascii="Georgia" w:hAnsi="Georgia" w:cs="Calibri"/>
          <w:color w:val="404040" w:themeColor="text1" w:themeTint="BF"/>
          <w:sz w:val="20"/>
        </w:rPr>
        <w:t xml:space="preserve">year asset life.  </w:t>
      </w:r>
      <w:r>
        <w:rPr>
          <w:rFonts w:ascii="Georgia" w:hAnsi="Georgia" w:cs="Calibri"/>
          <w:color w:val="404040" w:themeColor="text1" w:themeTint="BF"/>
          <w:sz w:val="20"/>
        </w:rPr>
        <w:t>The Company</w:t>
      </w:r>
      <w:r w:rsidRPr="00862F3F">
        <w:rPr>
          <w:rFonts w:ascii="Georgia" w:hAnsi="Georgia" w:cs="Calibri"/>
          <w:color w:val="404040" w:themeColor="text1" w:themeTint="BF"/>
          <w:sz w:val="20"/>
        </w:rPr>
        <w:t xml:space="preserve"> incorporates Environmental Social &amp; Governance policies into its investment processes and is conscious of its environmental and social impact. The production of renewable energy equates to a significant amount of CO2 emissions saved, representing a sustainable and ethical investment.</w:t>
      </w:r>
    </w:p>
    <w:p w14:paraId="288ABA30" w14:textId="043A1060" w:rsidR="00BE5ADF" w:rsidRDefault="00BE5ADF" w:rsidP="00776024">
      <w:pPr>
        <w:pStyle w:val="ListParagraph"/>
        <w:autoSpaceDE w:val="0"/>
        <w:autoSpaceDN w:val="0"/>
        <w:adjustRightInd w:val="0"/>
        <w:jc w:val="both"/>
        <w:rPr>
          <w:rFonts w:ascii="Georgia" w:hAnsi="Georgia" w:cs="Calibri"/>
          <w:color w:val="404040" w:themeColor="text1" w:themeTint="BF"/>
          <w:sz w:val="20"/>
        </w:rPr>
      </w:pPr>
    </w:p>
    <w:p w14:paraId="6DAFA322" w14:textId="2FAB9999" w:rsidR="002122E3" w:rsidRDefault="002122E3" w:rsidP="00776024">
      <w:pPr>
        <w:pStyle w:val="ListParagraph"/>
        <w:autoSpaceDE w:val="0"/>
        <w:autoSpaceDN w:val="0"/>
        <w:adjustRightInd w:val="0"/>
        <w:jc w:val="both"/>
        <w:rPr>
          <w:rFonts w:ascii="Georgia" w:hAnsi="Georgia" w:cs="Calibri"/>
          <w:color w:val="404040" w:themeColor="text1" w:themeTint="BF"/>
          <w:sz w:val="20"/>
        </w:rPr>
      </w:pPr>
    </w:p>
    <w:p w14:paraId="6530456B" w14:textId="77777777" w:rsidR="00DF64D0" w:rsidRPr="001B56EC" w:rsidRDefault="00DF64D0" w:rsidP="00776024">
      <w:pPr>
        <w:pStyle w:val="ListParagraph"/>
        <w:autoSpaceDE w:val="0"/>
        <w:autoSpaceDN w:val="0"/>
        <w:adjustRightInd w:val="0"/>
        <w:jc w:val="both"/>
        <w:rPr>
          <w:rFonts w:ascii="Georgia" w:hAnsi="Georgia" w:cs="Calibri"/>
          <w:color w:val="404040" w:themeColor="text1" w:themeTint="B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0"/>
        <w:gridCol w:w="3170"/>
      </w:tblGrid>
      <w:tr w:rsidR="00B56E61" w:rsidRPr="00E619BC" w14:paraId="7EDD0147" w14:textId="77777777">
        <w:tc>
          <w:tcPr>
            <w:tcW w:w="6345" w:type="dxa"/>
          </w:tcPr>
          <w:p w14:paraId="16E1EF64" w14:textId="77777777" w:rsidR="00B56E61" w:rsidRPr="001B56EC" w:rsidRDefault="00B56E61" w:rsidP="00B56E61">
            <w:pPr>
              <w:jc w:val="both"/>
              <w:rPr>
                <w:rFonts w:ascii="Georgia" w:hAnsi="Georgia" w:cs="Calibri"/>
                <w:b/>
                <w:color w:val="404040" w:themeColor="text1" w:themeTint="BF"/>
                <w:sz w:val="20"/>
              </w:rPr>
            </w:pPr>
          </w:p>
          <w:p w14:paraId="74A9904A" w14:textId="77777777" w:rsidR="00B56E61" w:rsidRPr="001B56EC" w:rsidRDefault="00B56E61" w:rsidP="00B56E61">
            <w:pPr>
              <w:jc w:val="both"/>
              <w:rPr>
                <w:rFonts w:ascii="Georgia" w:hAnsi="Georgia" w:cs="Calibri"/>
                <w:b/>
                <w:color w:val="404040" w:themeColor="text1" w:themeTint="BF"/>
                <w:sz w:val="20"/>
              </w:rPr>
            </w:pPr>
          </w:p>
          <w:p w14:paraId="2811533B" w14:textId="77777777" w:rsidR="00B56E61" w:rsidRPr="001B56EC" w:rsidRDefault="007C04F4" w:rsidP="00B56E61">
            <w:pPr>
              <w:jc w:val="both"/>
              <w:rPr>
                <w:rFonts w:ascii="Georgia" w:hAnsi="Georgia" w:cs="Calibri"/>
                <w:b/>
                <w:color w:val="404040" w:themeColor="text1" w:themeTint="BF"/>
                <w:sz w:val="20"/>
              </w:rPr>
            </w:pPr>
            <w:r w:rsidRPr="001B56EC">
              <w:rPr>
                <w:rFonts w:ascii="Georgia" w:hAnsi="Georgia" w:cs="Calibri"/>
                <w:b/>
                <w:color w:val="404040" w:themeColor="text1" w:themeTint="BF"/>
                <w:sz w:val="20"/>
              </w:rPr>
              <w:t>Paul Le Page</w:t>
            </w:r>
          </w:p>
        </w:tc>
        <w:tc>
          <w:tcPr>
            <w:tcW w:w="3231" w:type="dxa"/>
          </w:tcPr>
          <w:p w14:paraId="3BB2CB16" w14:textId="77777777" w:rsidR="00B56E61" w:rsidRPr="001B56EC" w:rsidRDefault="00B56E61" w:rsidP="00B56E61">
            <w:pPr>
              <w:jc w:val="both"/>
              <w:rPr>
                <w:rFonts w:ascii="Georgia" w:hAnsi="Georgia" w:cs="Calibri"/>
                <w:b/>
                <w:color w:val="404040" w:themeColor="text1" w:themeTint="BF"/>
                <w:sz w:val="20"/>
              </w:rPr>
            </w:pPr>
          </w:p>
          <w:p w14:paraId="5525DDDD" w14:textId="77777777" w:rsidR="00B56E61" w:rsidRPr="001B56EC" w:rsidRDefault="00B56E61" w:rsidP="00B56E61">
            <w:pPr>
              <w:jc w:val="both"/>
              <w:rPr>
                <w:rFonts w:ascii="Georgia" w:hAnsi="Georgia" w:cs="Calibri"/>
                <w:b/>
                <w:color w:val="404040" w:themeColor="text1" w:themeTint="BF"/>
                <w:sz w:val="20"/>
              </w:rPr>
            </w:pPr>
          </w:p>
          <w:p w14:paraId="28BD3D14" w14:textId="77777777" w:rsidR="00B56E61" w:rsidRPr="001B56EC" w:rsidRDefault="007C04F4" w:rsidP="00B56E61">
            <w:pPr>
              <w:jc w:val="both"/>
              <w:rPr>
                <w:rFonts w:ascii="Georgia" w:hAnsi="Georgia" w:cs="Calibri"/>
                <w:b/>
                <w:color w:val="404040" w:themeColor="text1" w:themeTint="BF"/>
                <w:sz w:val="20"/>
              </w:rPr>
            </w:pPr>
            <w:r w:rsidRPr="001B56EC">
              <w:rPr>
                <w:rFonts w:ascii="Georgia" w:hAnsi="Georgia" w:cs="Calibri"/>
                <w:b/>
                <w:color w:val="404040" w:themeColor="text1" w:themeTint="BF"/>
                <w:sz w:val="20"/>
              </w:rPr>
              <w:t>Laurence McNairn</w:t>
            </w:r>
          </w:p>
        </w:tc>
      </w:tr>
      <w:tr w:rsidR="00B56E61" w:rsidRPr="00E619BC" w14:paraId="561FCBD7" w14:textId="77777777" w:rsidTr="00DA792E">
        <w:trPr>
          <w:trHeight w:val="293"/>
        </w:trPr>
        <w:tc>
          <w:tcPr>
            <w:tcW w:w="6345" w:type="dxa"/>
          </w:tcPr>
          <w:p w14:paraId="7F86F8E6" w14:textId="77777777" w:rsidR="00B56E61" w:rsidRPr="001B56EC" w:rsidRDefault="007C04F4" w:rsidP="00B56E61">
            <w:pPr>
              <w:jc w:val="both"/>
              <w:rPr>
                <w:rFonts w:ascii="Georgia" w:hAnsi="Georgia" w:cs="Calibri"/>
                <w:color w:val="404040" w:themeColor="text1" w:themeTint="BF"/>
                <w:sz w:val="20"/>
              </w:rPr>
            </w:pPr>
            <w:r w:rsidRPr="001B56EC">
              <w:rPr>
                <w:rFonts w:ascii="Georgia" w:hAnsi="Georgia" w:cs="Calibri"/>
                <w:color w:val="404040" w:themeColor="text1" w:themeTint="BF"/>
                <w:sz w:val="20"/>
              </w:rPr>
              <w:t>Director</w:t>
            </w:r>
          </w:p>
        </w:tc>
        <w:tc>
          <w:tcPr>
            <w:tcW w:w="3231" w:type="dxa"/>
          </w:tcPr>
          <w:p w14:paraId="78079659" w14:textId="77777777" w:rsidR="00B56E61" w:rsidRPr="001B56EC" w:rsidRDefault="00B56E61" w:rsidP="00B56E61">
            <w:pPr>
              <w:jc w:val="both"/>
              <w:rPr>
                <w:rFonts w:ascii="Georgia" w:hAnsi="Georgia" w:cs="Calibri"/>
                <w:color w:val="404040" w:themeColor="text1" w:themeTint="BF"/>
                <w:sz w:val="20"/>
              </w:rPr>
            </w:pPr>
            <w:r w:rsidRPr="001B56EC">
              <w:rPr>
                <w:rFonts w:ascii="Georgia" w:hAnsi="Georgia" w:cs="Calibri"/>
                <w:color w:val="404040" w:themeColor="text1" w:themeTint="BF"/>
                <w:sz w:val="20"/>
              </w:rPr>
              <w:t>Director</w:t>
            </w:r>
          </w:p>
        </w:tc>
      </w:tr>
      <w:tr w:rsidR="00B56E61" w:rsidRPr="00066627" w14:paraId="6B747CA5" w14:textId="77777777">
        <w:tc>
          <w:tcPr>
            <w:tcW w:w="6345" w:type="dxa"/>
          </w:tcPr>
          <w:p w14:paraId="1CDBEC85" w14:textId="3A02FB40" w:rsidR="00B56E61" w:rsidRPr="00AF52B3" w:rsidRDefault="00AF52B3" w:rsidP="00906B72">
            <w:pPr>
              <w:jc w:val="both"/>
              <w:rPr>
                <w:rFonts w:ascii="Georgia" w:hAnsi="Georgia" w:cs="Calibri"/>
                <w:color w:val="404040" w:themeColor="text1" w:themeTint="BF"/>
                <w:sz w:val="20"/>
              </w:rPr>
            </w:pPr>
            <w:r w:rsidRPr="00AF52B3">
              <w:rPr>
                <w:rFonts w:ascii="Georgia" w:hAnsi="Georgia" w:cs="Calibri"/>
                <w:color w:val="404040" w:themeColor="text1" w:themeTint="BF"/>
                <w:sz w:val="20"/>
              </w:rPr>
              <w:t>21</w:t>
            </w:r>
            <w:r w:rsidR="00EF0CBC" w:rsidRPr="00AF52B3">
              <w:rPr>
                <w:rFonts w:ascii="Georgia" w:hAnsi="Georgia" w:cs="Calibri"/>
                <w:color w:val="404040" w:themeColor="text1" w:themeTint="BF"/>
                <w:sz w:val="20"/>
              </w:rPr>
              <w:t xml:space="preserve"> September</w:t>
            </w:r>
            <w:r w:rsidR="00B56E61" w:rsidRPr="00AF52B3">
              <w:rPr>
                <w:rFonts w:ascii="Georgia" w:hAnsi="Georgia" w:cs="Calibri"/>
                <w:color w:val="404040" w:themeColor="text1" w:themeTint="BF"/>
                <w:sz w:val="20"/>
              </w:rPr>
              <w:t xml:space="preserve"> </w:t>
            </w:r>
            <w:r w:rsidR="00904E51" w:rsidRPr="00AF52B3">
              <w:rPr>
                <w:rFonts w:ascii="Georgia" w:hAnsi="Georgia" w:cs="Calibri"/>
                <w:color w:val="404040" w:themeColor="text1" w:themeTint="BF"/>
                <w:sz w:val="20"/>
              </w:rPr>
              <w:t>2020</w:t>
            </w:r>
          </w:p>
        </w:tc>
        <w:tc>
          <w:tcPr>
            <w:tcW w:w="3231" w:type="dxa"/>
          </w:tcPr>
          <w:p w14:paraId="3C0D75FF" w14:textId="084BD477" w:rsidR="00B56E61" w:rsidRPr="00AF52B3" w:rsidRDefault="00AF52B3" w:rsidP="00906B72">
            <w:pPr>
              <w:jc w:val="both"/>
              <w:rPr>
                <w:rFonts w:ascii="Georgia" w:hAnsi="Georgia" w:cs="Calibri"/>
                <w:color w:val="404040" w:themeColor="text1" w:themeTint="BF"/>
                <w:sz w:val="20"/>
              </w:rPr>
            </w:pPr>
            <w:r w:rsidRPr="00AF52B3">
              <w:rPr>
                <w:rFonts w:ascii="Georgia" w:hAnsi="Georgia" w:cs="Calibri"/>
                <w:color w:val="404040" w:themeColor="text1" w:themeTint="BF"/>
                <w:sz w:val="20"/>
              </w:rPr>
              <w:t>21</w:t>
            </w:r>
            <w:r w:rsidR="00EF0CBC" w:rsidRPr="00AF52B3">
              <w:rPr>
                <w:rFonts w:ascii="Georgia" w:hAnsi="Georgia" w:cs="Calibri"/>
                <w:color w:val="404040" w:themeColor="text1" w:themeTint="BF"/>
                <w:sz w:val="20"/>
              </w:rPr>
              <w:t xml:space="preserve"> Septemb</w:t>
            </w:r>
            <w:r w:rsidR="00055BF8" w:rsidRPr="00AF52B3">
              <w:rPr>
                <w:rFonts w:ascii="Georgia" w:hAnsi="Georgia" w:cs="Calibri"/>
                <w:color w:val="404040" w:themeColor="text1" w:themeTint="BF"/>
                <w:sz w:val="20"/>
              </w:rPr>
              <w:t>er</w:t>
            </w:r>
            <w:r w:rsidR="00B56E61" w:rsidRPr="00AF52B3">
              <w:rPr>
                <w:rFonts w:ascii="Georgia" w:hAnsi="Georgia" w:cs="Calibri"/>
                <w:color w:val="404040" w:themeColor="text1" w:themeTint="BF"/>
                <w:sz w:val="20"/>
              </w:rPr>
              <w:t xml:space="preserve"> </w:t>
            </w:r>
            <w:r w:rsidR="00904E51" w:rsidRPr="00AF52B3">
              <w:rPr>
                <w:rFonts w:ascii="Georgia" w:hAnsi="Georgia" w:cs="Calibri"/>
                <w:color w:val="404040" w:themeColor="text1" w:themeTint="BF"/>
                <w:sz w:val="20"/>
              </w:rPr>
              <w:t>2020</w:t>
            </w:r>
          </w:p>
        </w:tc>
      </w:tr>
    </w:tbl>
    <w:p w14:paraId="34267A9E" w14:textId="77777777" w:rsidR="007B66C1" w:rsidRPr="006D7CC4" w:rsidRDefault="00955B6F" w:rsidP="007B66C1">
      <w:pPr>
        <w:pStyle w:val="Heading2"/>
        <w:spacing w:before="0"/>
      </w:pPr>
      <w:r w:rsidRPr="00066627">
        <w:rPr>
          <w:highlight w:val="yellow"/>
        </w:rPr>
        <w:br w:type="page"/>
      </w:r>
      <w:r w:rsidR="007B66C1" w:rsidRPr="006D7CC4">
        <w:lastRenderedPageBreak/>
        <w:t>Report of the Investment Adviser</w:t>
      </w:r>
    </w:p>
    <w:p w14:paraId="433AC335" w14:textId="77777777" w:rsidR="007B66C1" w:rsidRPr="006D7CC4" w:rsidRDefault="007B66C1" w:rsidP="007B66C1">
      <w:pPr>
        <w:rPr>
          <w:rFonts w:ascii="Georgia" w:hAnsi="Georgia" w:cs="Calibri"/>
          <w:b/>
          <w:color w:val="404040" w:themeColor="text1" w:themeTint="BF"/>
          <w:sz w:val="20"/>
        </w:rPr>
      </w:pPr>
    </w:p>
    <w:p w14:paraId="405FB0DB" w14:textId="77777777" w:rsidR="007B66C1" w:rsidRPr="006D7CC4" w:rsidRDefault="007B66C1" w:rsidP="007B66C1">
      <w:pPr>
        <w:rPr>
          <w:rFonts w:ascii="Georgia" w:hAnsi="Georgia" w:cs="Calibri"/>
          <w:b/>
          <w:color w:val="404040" w:themeColor="text1" w:themeTint="BF"/>
          <w:sz w:val="20"/>
        </w:rPr>
      </w:pPr>
      <w:r w:rsidRPr="006D7CC4">
        <w:rPr>
          <w:rFonts w:ascii="Georgia" w:hAnsi="Georgia" w:cs="Calibri"/>
          <w:b/>
          <w:color w:val="404040" w:themeColor="text1" w:themeTint="BF"/>
          <w:sz w:val="20"/>
        </w:rPr>
        <w:t xml:space="preserve">1. About Bluefield Partners LLP </w:t>
      </w:r>
    </w:p>
    <w:p w14:paraId="32108AEA" w14:textId="77777777" w:rsidR="007B66C1" w:rsidRPr="006D7CC4" w:rsidRDefault="007B66C1" w:rsidP="007B66C1">
      <w:pPr>
        <w:pStyle w:val="BluefieldBody"/>
        <w:rPr>
          <w:rFonts w:eastAsia="Calibri"/>
        </w:rPr>
      </w:pPr>
    </w:p>
    <w:p w14:paraId="3FAE062E" w14:textId="77777777" w:rsidR="007B66C1" w:rsidRPr="00862D77" w:rsidRDefault="007B66C1" w:rsidP="007B66C1">
      <w:pPr>
        <w:pStyle w:val="ListParagraph"/>
        <w:ind w:left="0"/>
        <w:jc w:val="both"/>
        <w:rPr>
          <w:rFonts w:ascii="Georgia" w:hAnsi="Georgia"/>
          <w:color w:val="404040" w:themeColor="text1" w:themeTint="BF"/>
          <w:sz w:val="20"/>
          <w:szCs w:val="20"/>
        </w:rPr>
      </w:pPr>
      <w:r w:rsidRPr="006D7CC4">
        <w:rPr>
          <w:rFonts w:ascii="Georgia" w:hAnsi="Georgia"/>
          <w:color w:val="404040" w:themeColor="text1" w:themeTint="BF"/>
          <w:sz w:val="20"/>
          <w:szCs w:val="20"/>
        </w:rPr>
        <w:t xml:space="preserve">Bluefield was established in 2009 and is an investment adviser to companies and funds investing in solar energy infrastructure. Our team has a proven record in the selection, acquisition and supervision of large scale energy and infrastructure assets in the UK and Europe. The management team has been involved in </w:t>
      </w:r>
      <w:r w:rsidRPr="00862D77">
        <w:rPr>
          <w:rFonts w:ascii="Georgia" w:hAnsi="Georgia"/>
          <w:color w:val="404040" w:themeColor="text1" w:themeTint="BF"/>
          <w:sz w:val="20"/>
          <w:szCs w:val="20"/>
        </w:rPr>
        <w:t>over £2.5 billion of solar PV funds and/or transactions since 2008.</w:t>
      </w:r>
    </w:p>
    <w:p w14:paraId="122FDE04" w14:textId="77777777" w:rsidR="007B66C1" w:rsidRPr="00862D77" w:rsidRDefault="007B66C1" w:rsidP="007B66C1">
      <w:pPr>
        <w:pStyle w:val="ListParagraph"/>
        <w:jc w:val="both"/>
        <w:rPr>
          <w:rFonts w:ascii="Georgia" w:hAnsi="Georgia"/>
          <w:color w:val="404040" w:themeColor="text1" w:themeTint="BF"/>
          <w:sz w:val="20"/>
          <w:szCs w:val="20"/>
        </w:rPr>
      </w:pPr>
    </w:p>
    <w:p w14:paraId="516507FC" w14:textId="195092BF" w:rsidR="007B66C1" w:rsidRPr="00862D77" w:rsidRDefault="007B66C1" w:rsidP="007B66C1">
      <w:pPr>
        <w:pStyle w:val="ListParagraph"/>
        <w:ind w:left="0"/>
        <w:jc w:val="both"/>
        <w:rPr>
          <w:rFonts w:ascii="Georgia" w:hAnsi="Georgia"/>
          <w:color w:val="404040" w:themeColor="text1" w:themeTint="BF"/>
          <w:sz w:val="20"/>
          <w:szCs w:val="20"/>
        </w:rPr>
      </w:pPr>
      <w:r w:rsidRPr="00862D77">
        <w:rPr>
          <w:rFonts w:ascii="Georgia" w:hAnsi="Georgia"/>
          <w:color w:val="404040" w:themeColor="text1" w:themeTint="BF"/>
          <w:sz w:val="20"/>
          <w:szCs w:val="20"/>
        </w:rPr>
        <w:t>Bluefield was appointed Investment Adviser to the Company in June 2013. Based in its London office, Bluefield’s partners are supported by a dedicated and highly experienced team of investment, legal and portfolio executives. As Investment Adviser, Bluefield takes responsibility, fully inclusive within its advisory fees, for selection, origination and execution of investment opportunities for the Company, having executed</w:t>
      </w:r>
      <w:r w:rsidR="005F5F65" w:rsidRPr="00862D77">
        <w:rPr>
          <w:rFonts w:ascii="Georgia" w:hAnsi="Georgia"/>
          <w:color w:val="404040" w:themeColor="text1" w:themeTint="BF"/>
          <w:sz w:val="20"/>
          <w:szCs w:val="20"/>
        </w:rPr>
        <w:t xml:space="preserve"> over</w:t>
      </w:r>
      <w:r w:rsidRPr="00862D77">
        <w:rPr>
          <w:rFonts w:ascii="Georgia" w:hAnsi="Georgia"/>
          <w:color w:val="404040" w:themeColor="text1" w:themeTint="BF"/>
          <w:sz w:val="20"/>
          <w:szCs w:val="20"/>
        </w:rPr>
        <w:t xml:space="preserve"> 50 individual SPV acquisitions on behalf of BSIF since flotation</w:t>
      </w:r>
      <w:r w:rsidR="002F369E" w:rsidRPr="00862D77">
        <w:rPr>
          <w:rFonts w:ascii="Georgia" w:hAnsi="Georgia"/>
          <w:color w:val="404040" w:themeColor="text1" w:themeTint="BF"/>
          <w:sz w:val="20"/>
          <w:szCs w:val="20"/>
        </w:rPr>
        <w:t xml:space="preserve"> in July 2013</w:t>
      </w:r>
      <w:r w:rsidRPr="00862D77">
        <w:rPr>
          <w:rFonts w:ascii="Georgia" w:hAnsi="Georgia"/>
          <w:color w:val="404040" w:themeColor="text1" w:themeTint="BF"/>
          <w:sz w:val="20"/>
          <w:szCs w:val="20"/>
        </w:rPr>
        <w:t xml:space="preserve">. </w:t>
      </w:r>
    </w:p>
    <w:p w14:paraId="2BF021CB" w14:textId="77777777" w:rsidR="007B66C1" w:rsidRPr="00862D77" w:rsidRDefault="007B66C1" w:rsidP="007B66C1">
      <w:pPr>
        <w:pStyle w:val="ListParagraph"/>
        <w:jc w:val="both"/>
        <w:rPr>
          <w:rFonts w:ascii="Georgia" w:hAnsi="Georgia"/>
          <w:color w:val="404040" w:themeColor="text1" w:themeTint="BF"/>
          <w:sz w:val="20"/>
          <w:szCs w:val="20"/>
        </w:rPr>
      </w:pPr>
    </w:p>
    <w:p w14:paraId="364D3B05" w14:textId="17C07B00" w:rsidR="007B66C1" w:rsidRDefault="007B66C1" w:rsidP="007B66C1">
      <w:pPr>
        <w:pStyle w:val="ListParagraph"/>
        <w:ind w:left="0"/>
        <w:jc w:val="both"/>
        <w:rPr>
          <w:rFonts w:ascii="Georgia" w:hAnsi="Georgia"/>
          <w:color w:val="404040" w:themeColor="text1" w:themeTint="BF"/>
          <w:sz w:val="20"/>
          <w:szCs w:val="20"/>
        </w:rPr>
      </w:pPr>
      <w:r w:rsidRPr="00862D77">
        <w:rPr>
          <w:rFonts w:ascii="Georgia" w:hAnsi="Georgia"/>
          <w:color w:val="404040" w:themeColor="text1" w:themeTint="BF"/>
          <w:sz w:val="20"/>
          <w:szCs w:val="20"/>
        </w:rPr>
        <w:t>Bluefield’s Investment Committee has collective experience of over £20 billion of energy and infrastructure transactions.</w:t>
      </w:r>
    </w:p>
    <w:p w14:paraId="4E3B792E" w14:textId="0502860B" w:rsidR="00414180" w:rsidRDefault="00414180" w:rsidP="007B66C1">
      <w:pPr>
        <w:pStyle w:val="ListParagraph"/>
        <w:ind w:left="0"/>
        <w:jc w:val="both"/>
        <w:rPr>
          <w:rFonts w:ascii="Georgia" w:hAnsi="Georgia"/>
          <w:color w:val="404040" w:themeColor="text1" w:themeTint="BF"/>
          <w:sz w:val="20"/>
          <w:szCs w:val="20"/>
        </w:rPr>
      </w:pPr>
    </w:p>
    <w:p w14:paraId="0E9CFC65" w14:textId="3CF70251" w:rsidR="00414180" w:rsidRDefault="00ED689B" w:rsidP="00414180">
      <w:pPr>
        <w:jc w:val="both"/>
        <w:rPr>
          <w:rFonts w:ascii="Georgia" w:hAnsi="Georgia"/>
          <w:b/>
          <w:color w:val="404040" w:themeColor="text1" w:themeTint="BF"/>
          <w:sz w:val="20"/>
          <w:szCs w:val="20"/>
        </w:rPr>
      </w:pPr>
      <w:r>
        <w:rPr>
          <w:rFonts w:ascii="Georgia" w:hAnsi="Georgia"/>
          <w:b/>
          <w:color w:val="404040" w:themeColor="text1" w:themeTint="BF"/>
          <w:sz w:val="20"/>
          <w:szCs w:val="20"/>
        </w:rPr>
        <w:t>Covid-</w:t>
      </w:r>
      <w:r w:rsidR="00414180" w:rsidRPr="008F7143">
        <w:rPr>
          <w:rFonts w:ascii="Georgia" w:hAnsi="Georgia"/>
          <w:b/>
          <w:color w:val="404040" w:themeColor="text1" w:themeTint="BF"/>
          <w:sz w:val="20"/>
          <w:szCs w:val="20"/>
        </w:rPr>
        <w:t>19 Contingency Planning</w:t>
      </w:r>
    </w:p>
    <w:p w14:paraId="378B6324" w14:textId="77777777" w:rsidR="00414180" w:rsidRDefault="00414180" w:rsidP="00414180">
      <w:pPr>
        <w:jc w:val="both"/>
        <w:rPr>
          <w:rFonts w:ascii="Georgia" w:hAnsi="Georgia" w:cs="Calibri"/>
          <w:color w:val="404040" w:themeColor="text1" w:themeTint="BF"/>
          <w:sz w:val="20"/>
        </w:rPr>
      </w:pPr>
    </w:p>
    <w:p w14:paraId="79673B9C" w14:textId="41C509FF" w:rsidR="00414180" w:rsidRDefault="00414180" w:rsidP="00414180">
      <w:pPr>
        <w:pStyle w:val="bs"/>
        <w:spacing w:before="0" w:beforeAutospacing="0" w:after="242" w:afterAutospacing="0"/>
        <w:jc w:val="both"/>
        <w:rPr>
          <w:rFonts w:ascii="Georgia" w:hAnsi="Georgia"/>
          <w:color w:val="404040" w:themeColor="text1" w:themeTint="BF"/>
          <w:sz w:val="20"/>
          <w:szCs w:val="20"/>
          <w:lang w:eastAsia="en-US"/>
        </w:rPr>
      </w:pPr>
      <w:r>
        <w:rPr>
          <w:rFonts w:ascii="Georgia" w:hAnsi="Georgia"/>
          <w:color w:val="404040" w:themeColor="text1" w:themeTint="BF"/>
          <w:sz w:val="20"/>
          <w:szCs w:val="20"/>
          <w:lang w:eastAsia="en-US"/>
        </w:rPr>
        <w:t>Despite the swift onset of the Covid-19 pandemic in March 2020, the Board was pleased to see how quickly and effectively our Investment Adviser and key service providers – Bluefield Serv</w:t>
      </w:r>
      <w:r w:rsidR="008D4EEF">
        <w:rPr>
          <w:rFonts w:ascii="Georgia" w:hAnsi="Georgia"/>
          <w:color w:val="404040" w:themeColor="text1" w:themeTint="BF"/>
          <w:sz w:val="20"/>
          <w:szCs w:val="20"/>
          <w:lang w:eastAsia="en-US"/>
        </w:rPr>
        <w:t xml:space="preserve">ices and Bluefield Operations – </w:t>
      </w:r>
      <w:r>
        <w:rPr>
          <w:rFonts w:ascii="Georgia" w:hAnsi="Georgia"/>
          <w:color w:val="404040" w:themeColor="text1" w:themeTint="BF"/>
          <w:sz w:val="20"/>
          <w:szCs w:val="20"/>
          <w:lang w:eastAsia="en-US"/>
        </w:rPr>
        <w:t>responded and successfully implemented remote working policies for all individuals working on Bluefield Solar.</w:t>
      </w:r>
    </w:p>
    <w:p w14:paraId="0866C038" w14:textId="77777777" w:rsidR="00414180" w:rsidRDefault="00414180" w:rsidP="00414180">
      <w:pPr>
        <w:pStyle w:val="bs"/>
        <w:spacing w:before="0" w:beforeAutospacing="0" w:after="242" w:afterAutospacing="0"/>
        <w:jc w:val="both"/>
        <w:rPr>
          <w:rFonts w:ascii="Georgia" w:hAnsi="Georgia"/>
          <w:color w:val="404040" w:themeColor="text1" w:themeTint="BF"/>
          <w:sz w:val="20"/>
          <w:szCs w:val="20"/>
          <w:lang w:eastAsia="en-US"/>
        </w:rPr>
      </w:pPr>
      <w:r>
        <w:rPr>
          <w:noProof/>
          <w:lang w:eastAsia="zh-CN"/>
        </w:rPr>
        <mc:AlternateContent>
          <mc:Choice Requires="wpi">
            <w:drawing>
              <wp:anchor distT="0" distB="0" distL="114300" distR="114300" simplePos="0" relativeHeight="251661312" behindDoc="0" locked="0" layoutInCell="1" allowOverlap="1" wp14:anchorId="0D403E67" wp14:editId="74A6B148">
                <wp:simplePos x="0" y="0"/>
                <wp:positionH relativeFrom="column">
                  <wp:posOffset>-258445</wp:posOffset>
                </wp:positionH>
                <wp:positionV relativeFrom="paragraph">
                  <wp:posOffset>264795</wp:posOffset>
                </wp:positionV>
                <wp:extent cx="212725" cy="240665"/>
                <wp:effectExtent l="0" t="0" r="0" b="0"/>
                <wp:wrapNone/>
                <wp:docPr id="27"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212725" cy="240665"/>
                      </w14:xfrm>
                    </w14:contentPart>
                  </a:graphicData>
                </a:graphic>
                <wp14:sizeRelH relativeFrom="page">
                  <wp14:pctWidth>0</wp14:pctWidth>
                </wp14:sizeRelH>
                <wp14:sizeRelV relativeFrom="page">
                  <wp14:pctHeight>0</wp14:pctHeight>
                </wp14:sizeRelV>
              </wp:anchor>
            </w:drawing>
          </mc:Choice>
          <mc:Fallback>
            <w:pict>
              <v:shapetype w14:anchorId="187098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20.35pt;margin-top:20.85pt;width:16.75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wnJAQAA5gMAAA4AAABkcnMvZTJvRG9jLnhtbJxT227bMAx9H9B/&#10;EPTe+II0HYw4xdC0QIGtC7buA1RJjoVaokApcfL3o+24SdoVA/pCgKR8eA55PL/Z2YZtNQYDruTZ&#10;JOVMOwnKuHXJ/zzdX37lLEThlGjA6ZLvdeA3i4sv89YXOocaGqWREYgLRetLXsfoiyQJstZWhAl4&#10;7ahZAVoRKcV1olC0hG6bJE/TWdICKo8gdQhUXQ5Nvujxq0rL+LOqgo6sKTlxi33EPj53MVnMRbFG&#10;4WsjDzTEJ1hYYRwNfYVaiijYBs07KGskQoAqTiTYBKrKSN1rIDVZ+kbNg3vplGRTucFCgovaxZXA&#10;OO6rb3xmhG04e25/gKKLiE0EfkCkxfz/AAPpJciNJT7DFVA3IpIFQm184AwLo0qODyo78nfb26OC&#10;FR51PW5XyLr3+TVnTljiRMIZZXScUfzj269FNi2k/w7yJYx3y6bv6P9z3QcHDRvvL8cc/ALyRkYE&#10;4LYWbq2/BU/mOZTulIkrMC6G8zeI0NZaqPPy71p4/bT3JCTrNCQfihg7H+1mV6HtXEUrZ7vetPtX&#10;0+pdZJKKeZZf51ecSWrl03Q2uzqdOSCMc048RLTO3Hqad5RPfs/F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E8PEffAAAACAEAAA8AAABkcnMvZG93bnJldi54bWxMj8tO&#10;wzAQRfeV+AdrkNilTkvVNCGTioegWygIiZ0TTx4iHkex24S/r1nBajSaozvn5vvZ9OJMo+ssI6yW&#10;MQjiyuqOG4SP9+doB8J5xVr1lgnhhxzsi6tFrjJtJ36j89E3IoSwyxRC6/2QSemqloxySzsQh1tt&#10;R6N8WMdG6lFNIdz0ch3HW2lUx+FDqwZ6bKn6Pp4MwsPt06eadvWh1KWup5ev9DC9pog31/P9HQhP&#10;s/+D4Vc/qEMRnEp7Yu1EjxBt4iSgCJtVmAGIkjWIEiFJtyCLXP4vUFwAAAD//wMAUEsDBBQABgAI&#10;AAAAIQBVV6EohgAAAI8AAAAQAAAAZHJzL2luay9pbmsxLnhtbLKxr8jNUShLLSrOzM+zVTLUM1BS&#10;SM1Lzk/JzEu3VQoNcdO1UFIoLknMS0nMyc9LtVWqTC1Wsrfj5bLJzMvOzbECkgpAE/KKQazcHFul&#10;jJKSAit9/fLycr1yY738onR9IwMDY33PvGxfHyU7qK6U1LTMvMwSoJXF+nY2+nCj7AAAAAD//wMA&#10;UEsBAi0AFAAGAAgAAAAhAJszJzcMAQAALQIAABMAAAAAAAAAAAAAAAAAAAAAAFtDb250ZW50X1R5&#10;cGVzXS54bWxQSwECLQAUAAYACAAAACEAOP0h/9YAAACUAQAACwAAAAAAAAAAAAAAAAA9AQAAX3Jl&#10;bHMvLnJlbHNQSwECLQAUAAYACAAAACEAIAP/CckBAADmAwAADgAAAAAAAAAAAAAAAAA8AgAAZHJz&#10;L2Uyb0RvYy54bWxQSwECLQAUAAYACAAAACEAeRi8nb8AAAAhAQAAGQAAAAAAAAAAAAAAAAAxBAAA&#10;ZHJzL19yZWxzL2Uyb0RvYy54bWwucmVsc1BLAQItABQABgAIAAAAIQABPDxH3wAAAAgBAAAPAAAA&#10;AAAAAAAAAAAAACcFAABkcnMvZG93bnJldi54bWxQSwECLQAUAAYACAAAACEAVVehKIYAAACPAAAA&#10;EAAAAAAAAAAAAAAAAAAzBgAAZHJzL2luay9pbmsxLnhtbFBLBQYAAAAABgAGAHgBAADnBgAAAAA=&#10;">
                <o:lock v:ext="edit" rotation="t" verticies="t" shapetype="t"/>
              </v:shape>
            </w:pict>
          </mc:Fallback>
        </mc:AlternateContent>
      </w:r>
      <w:r>
        <w:rPr>
          <w:rFonts w:ascii="Georgia" w:hAnsi="Georgia"/>
          <w:color w:val="404040" w:themeColor="text1" w:themeTint="BF"/>
          <w:sz w:val="20"/>
          <w:szCs w:val="20"/>
          <w:lang w:eastAsia="en-US"/>
        </w:rPr>
        <w:t xml:space="preserve">The Investment Adviser moved ten Bluefield Solar focused personnel out of its London office in order to work remotely overseeing the investment performance of the existing assets, portfolio enhancement (including lease extensions) and the Company's power sales strategy whilst Bluefield Services, the Bristol-based business that oversees asset monitoring, reporting, technical asset management and financial reporting successfully transitioned all employees to working remotely. </w:t>
      </w:r>
    </w:p>
    <w:p w14:paraId="68E8D139" w14:textId="77777777" w:rsidR="00414180" w:rsidRDefault="00414180" w:rsidP="00414180">
      <w:pPr>
        <w:pStyle w:val="bs"/>
        <w:spacing w:before="0" w:beforeAutospacing="0" w:after="242" w:afterAutospacing="0"/>
        <w:jc w:val="both"/>
        <w:rPr>
          <w:rFonts w:ascii="Georgia" w:hAnsi="Georgia"/>
          <w:color w:val="404040" w:themeColor="text1" w:themeTint="BF"/>
          <w:sz w:val="20"/>
          <w:szCs w:val="20"/>
          <w:lang w:eastAsia="en-US"/>
        </w:rPr>
      </w:pPr>
      <w:r>
        <w:rPr>
          <w:noProof/>
          <w:lang w:eastAsia="zh-CN"/>
        </w:rPr>
        <mc:AlternateContent>
          <mc:Choice Requires="wps">
            <w:drawing>
              <wp:anchor distT="0" distB="0" distL="114300" distR="114300" simplePos="0" relativeHeight="251660288" behindDoc="0" locked="0" layoutInCell="1" allowOverlap="1" wp14:anchorId="39EC1C61" wp14:editId="32098D94">
                <wp:simplePos x="0" y="0"/>
                <wp:positionH relativeFrom="column">
                  <wp:posOffset>9750425</wp:posOffset>
                </wp:positionH>
                <wp:positionV relativeFrom="paragraph">
                  <wp:posOffset>13335</wp:posOffset>
                </wp:positionV>
                <wp:extent cx="90170" cy="131445"/>
                <wp:effectExtent l="15875" t="12065" r="17780" b="18415"/>
                <wp:wrapNone/>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0170" cy="131445"/>
                        </a:xfrm>
                        <a:prstGeom prst="rect">
                          <a:avLst/>
                        </a:prstGeom>
                        <a:noFill/>
                        <a:ln w="20621"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BDF14" id="Rectangle 26" o:spid="_x0000_s1026" style="position:absolute;margin-left:767.75pt;margin-top:1.05pt;width:7.1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l9nwIAACwFAAAOAAAAZHJzL2Uyb0RvYy54bWysVNuO2yAQfa/Uf0C8Z31Zby7WOqtVLlWl&#10;bRvtbj+AAI5RMVAgcdKq/94BJ2nSvlRV8+AMMMycOXOG+4d9K9GOWye0qnB2k2LEFdVMqE2FP78u&#10;B2OMnCeKEakVr/CBO/wwffvmvjMlz3WjJeMWQRDlys5UuPHelEniaMNb4m604QoOa21b4mFpNwmz&#10;pIPorUzyNB0mnbbMWE25c7A77w/xNMava079p7p23CNZYcDm49fG7zp8k+k9KTeWmEbQIwzyDyha&#10;IhQkPYeaE0/Q1oo/QrWCWu107W+obhNd14LyWANUk6W/VfPSEMNjLUCOM2ea3P8LSz/uVhYJVuF8&#10;iJEiLfToGVgjaiM5gj0gqDOuBL8Xs7KhRGeeNP3ikNLPGvjM4JqeNXCBPzoDV49bCyb8SgvlAe2l&#10;j7W6azhh19ux1NeDgfRZyJlcJQ0LB+nRuvugGfiQrdeR731t2wAKmET72NbDua187xGFzUmajaD3&#10;FE6y26wo7mICUp7uGuv8O65bFIwKW6ghxia7J+cDFlKeXEIqpZdCyigcqVAHzKXDHCqkBPRrFcOI&#10;yA0MA/U2hnFaChauRPLsZj2TFu0ICHIxyvK8OKK5cmuFh7GQoq3wOA2/4ETKwNtCsWh7ImRvAz6p&#10;wjEUDIiPVi+/75N0shgvxsWgyIeLQZHO54PH5awYDJfZ6G5+O5/N5tmPgDMrykYwxlWAehqFrPg7&#10;qR2HshfxeRjOTCXX0SOlAPb0H0HHjocm94Jba3aAhtsgMWgePDFgNNp+w6iDca2w+7ollmMk3yuQ&#10;0gT6GuY7Loq7UQ4Le3myvjwhikKoCnvoVTRnvn8TtsaKTQOZstg6pR9BaLWIKggi7FEd5QkjGSs4&#10;Ph9h5i/X0evXIzf9CQAA//8DAFBLAwQUAAYACAAAACEA7l1VEN0AAAAKAQAADwAAAGRycy9kb3du&#10;cmV2LnhtbEyPQU7DMBBF90jcwRokNog6DQ0NIU5VIXXVFS0HcOyJExGPo9htzO1xV7D8M09/3tS7&#10;aEd2xdkPjgSsVxkwJOX0QEbA1/nwXALzQZKWoyMU8IMeds39XS0r7Rb6xOspGJZKyFdSQB/CVHHu&#10;VY9W+pWbkNKuc7OVIcXZcD3LJZXbkedZ9sqtHChd6OWEHz2q79PFCjDHvTpsl40pYxe9emqPk+1m&#10;IR4f4v4dWMAY/mC46Sd1aJJT6y6kPRtTLl6KIrEC8jWwG1Bs3rbA2jTIS+BNzf+/0PwCAAD//wMA&#10;UEsBAi0AFAAGAAgAAAAhALaDOJL+AAAA4QEAABMAAAAAAAAAAAAAAAAAAAAAAFtDb250ZW50X1R5&#10;cGVzXS54bWxQSwECLQAUAAYACAAAACEAOP0h/9YAAACUAQAACwAAAAAAAAAAAAAAAAAvAQAAX3Jl&#10;bHMvLnJlbHNQSwECLQAUAAYACAAAACEA5gN5fZ8CAAAsBQAADgAAAAAAAAAAAAAAAAAuAgAAZHJz&#10;L2Uyb0RvYy54bWxQSwECLQAUAAYACAAAACEA7l1VEN0AAAAKAQAADwAAAAAAAAAAAAAAAAD5BAAA&#10;ZHJzL2Rvd25yZXYueG1sUEsFBgAAAAAEAAQA8wAAAAMGAAAAAA==&#10;" filled="f" strokecolor="#e71224" strokeweight=".57281mm">
                <v:stroke endcap="round"/>
                <o:lock v:ext="edit" rotation="t" aspectratio="t" verticies="t" shapetype="t"/>
              </v:rect>
            </w:pict>
          </mc:Fallback>
        </mc:AlternateContent>
      </w:r>
      <w:r>
        <w:rPr>
          <w:noProof/>
          <w:lang w:eastAsia="zh-CN"/>
        </w:rPr>
        <mc:AlternateContent>
          <mc:Choice Requires="wpi">
            <w:drawing>
              <wp:anchor distT="0" distB="0" distL="114300" distR="114300" simplePos="0" relativeHeight="251663360" behindDoc="0" locked="0" layoutInCell="1" allowOverlap="1" wp14:anchorId="33894686" wp14:editId="346361C4">
                <wp:simplePos x="0" y="0"/>
                <wp:positionH relativeFrom="column">
                  <wp:posOffset>-141605</wp:posOffset>
                </wp:positionH>
                <wp:positionV relativeFrom="paragraph">
                  <wp:posOffset>322580</wp:posOffset>
                </wp:positionV>
                <wp:extent cx="4356735" cy="424180"/>
                <wp:effectExtent l="1270" t="0" r="4445" b="0"/>
                <wp:wrapNone/>
                <wp:docPr id="25"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4356735" cy="424180"/>
                      </w14:xfrm>
                    </w14:contentPart>
                  </a:graphicData>
                </a:graphic>
                <wp14:sizeRelH relativeFrom="page">
                  <wp14:pctWidth>0</wp14:pctWidth>
                </wp14:sizeRelH>
                <wp14:sizeRelV relativeFrom="page">
                  <wp14:pctHeight>0</wp14:pctHeight>
                </wp14:sizeRelV>
              </wp:anchor>
            </w:drawing>
          </mc:Choice>
          <mc:Fallback>
            <w:pict>
              <v:shape w14:anchorId="702C69B5" id="Ink 25" o:spid="_x0000_s1026" type="#_x0000_t75" style="position:absolute;margin-left:-11.15pt;margin-top:25.4pt;width:343.05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EV7zKAQAA5wMAAA4AAABkcnMvZTJvRG9jLnhtbJxTYWvbMBD9Pth/&#10;EPq+OErdrpg4ZTQbFLYubN0PUCU5FrV04qTEyb/f2Y6bpF0Z9Ivg7uSn9949z292rmFbg9GCL7mY&#10;TDkzXoG2fl3yPw/fPl1zFpP0WjbgTcn3JvKbxccP8zYUZgY1NNogIxAfizaUvE4pFFkWVW2cjBMI&#10;xtOwAnQyUYnrTKNsCd012Ww6vcpaQB0QlImRusthyBc9flUZlX5WVTSJNSUnbqk/sT8fuzNbzGWx&#10;Rhlqqw405DtYOGk9PfoMtZRJsg3aV1DOKoQIVZoocBlUlVWm10BqxPSFmjv/1CkRudpgocAn49NK&#10;Yhr96gfvecI1nD22P0DTRuQmAT8gkjH/X8BAeglq44jPsAU0jUwUgVjbEDnDwuqS450WR/5+e3tU&#10;sMKjrvvtCll3f3bJmZeOOJFwRhUtZxR///JrKfJChe+gnuK4N5G/ov9Puw8JGhzvN8c8/ALKhiAC&#10;cFtLvzZfYqDwHFpftU0rsD7F8zuI0NZG6vP271oG87APJER0GrI3RYyTt7zZVei6VJHlbNeHdv8c&#10;WrNLTFEzv7i8+nxB1ima5bNcXPepHqEHiLE6CRHxOovrad1xPvk/F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oEzR3wAAAAoBAAAPAAAAZHJzL2Rvd25yZXYueG1sTI/L&#10;TsMwEEX3SPyDNUjsWqeJCG2IU/EQdFsKqtSdE08eIh5HsduEv2dYwW5Gc3Tn3Hw7215ccPSdIwWr&#10;ZQQCqXKmo0bB58frYg3CB01G945QwTd62BbXV7nOjJvoHS+H0AgOIZ9pBW0IQyalr1q02i/dgMS3&#10;2o1WB17HRppRTxxuexlHUSqt7og/tHrA5xarr8PZKnhKXo56Wte70pSmnt5Om9203yh1ezM/PoAI&#10;OIc/GH71WR0KdirdmYwXvYJFHCeMKriLuAIDaZrwUDK5uk9BFrn8X6H4AQAA//8DAFBLAwQUAAYA&#10;CAAAACEAVVehKIYAAACPAAAAEAAAAGRycy9pbmsvaW5rMS54bWyysa/IzVEoSy0qzszPs1Uy1DNQ&#10;UkjNS85PycxLt1UKDXHTtVBSKC5JzEtJzMnPS7VVqkwtVrK34+WyyczLzs2xApIKQBPyikGs3Bxb&#10;pYySkgIrff3y8nK9cmO9/KJ0fSMDA2N9z7xsXx8lO6iulNS0zLzMEqCVxfp2Nvpwo+wAAAAA//8D&#10;AFBLAQItABQABgAIAAAAIQCbMyc3DAEAAC0CAAATAAAAAAAAAAAAAAAAAAAAAABbQ29udGVudF9U&#10;eXBlc10ueG1sUEsBAi0AFAAGAAgAAAAhADj9If/WAAAAlAEAAAsAAAAAAAAAAAAAAAAAPQEAAF9y&#10;ZWxzLy5yZWxzUEsBAi0AFAAGAAgAAAAhAJ0EV7zKAQAA5wMAAA4AAAAAAAAAAAAAAAAAPAIAAGRy&#10;cy9lMm9Eb2MueG1sUEsBAi0AFAAGAAgAAAAhAHkYvJ2/AAAAIQEAABkAAAAAAAAAAAAAAAAAMgQA&#10;AGRycy9fcmVscy9lMm9Eb2MueG1sLnJlbHNQSwECLQAUAAYACAAAACEAAqBM0d8AAAAKAQAADwAA&#10;AAAAAAAAAAAAAAAoBQAAZHJzL2Rvd25yZXYueG1sUEsBAi0AFAAGAAgAAAAhAFVXoSiGAAAAjwAA&#10;ABAAAAAAAAAAAAAAAAAANAYAAGRycy9pbmsvaW5rMS54bWxQSwUGAAAAAAYABgB4AQAA6AYAAAAA&#10;">
                <o:lock v:ext="edit" rotation="t" verticies="t" shapetype="t"/>
              </v:shape>
            </w:pict>
          </mc:Fallback>
        </mc:AlternateContent>
      </w:r>
      <w:r>
        <w:rPr>
          <w:noProof/>
          <w:lang w:eastAsia="zh-CN"/>
        </w:rPr>
        <mc:AlternateContent>
          <mc:Choice Requires="wpi">
            <w:drawing>
              <wp:anchor distT="0" distB="0" distL="114300" distR="114300" simplePos="0" relativeHeight="251662336" behindDoc="0" locked="0" layoutInCell="1" allowOverlap="1" wp14:anchorId="63AA62EF" wp14:editId="1AA256A6">
                <wp:simplePos x="0" y="0"/>
                <wp:positionH relativeFrom="column">
                  <wp:posOffset>3458845</wp:posOffset>
                </wp:positionH>
                <wp:positionV relativeFrom="paragraph">
                  <wp:posOffset>107315</wp:posOffset>
                </wp:positionV>
                <wp:extent cx="90170" cy="116205"/>
                <wp:effectExtent l="1270" t="2540" r="3810" b="0"/>
                <wp:wrapNone/>
                <wp:docPr id="24" name="Ink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90170" cy="116205"/>
                      </w14:xfrm>
                    </w14:contentPart>
                  </a:graphicData>
                </a:graphic>
                <wp14:sizeRelH relativeFrom="page">
                  <wp14:pctWidth>0</wp14:pctWidth>
                </wp14:sizeRelH>
                <wp14:sizeRelV relativeFrom="page">
                  <wp14:pctHeight>0</wp14:pctHeight>
                </wp14:sizeRelV>
              </wp:anchor>
            </w:drawing>
          </mc:Choice>
          <mc:Fallback>
            <w:pict>
              <v:shape w14:anchorId="0D5C3A7C" id="Ink 24" o:spid="_x0000_s1026" type="#_x0000_t75" style="position:absolute;margin-left:272.35pt;margin-top:8.45pt;width:7.1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ykhPHAQAA5QMAAA4AAABkcnMvZTJvRG9jLnhtbJxT0W7bMAx8H7B/&#10;EPS+2AqybjPiFEWzAQW2Lui6D1AlORZqiQKlxMnfj7bjJmlXFOgLAZLy8Y48zy93rmFbg9GCL7mY&#10;5JwZr0Bbvy753/sfn75yFpP0WjbgTcn3JvLLxccP8zYUZgo1NNogIxAfizaUvE4pFFkWVW2cjBMI&#10;xlOzAnQyUYrrTKNsCd012TTPL7IWUAcEZWKk6nJo8kWPX1VGpd9VFU1iTcmJW+oj9vGhi9liLos1&#10;ylBbdaAh38HCSetp6BPUUibJNmhfQDmrECJUaaLAZVBVVpleA6kR+TM1N/6xUyJmaoOFAp+MTyuJ&#10;adxX33jPCNdw9tD+Ak0XkZsE/IBIi3n7AAPpJaiNIz7DFdA0MpEFYm1D5AwLq0uON1oc+fvt9VHB&#10;Co+6brcrZN376YwzLx1xIuGMMjrOKP72+ddSzAoVfoJ6jOPdxOwF/f+u++CgYeP95ZiHOyBvCCIA&#10;17X0a3MVA5nnUPqubVqB9Smev0GEtjZSn5f/1DKY+30gIaLTkL0qYuy8tptdha5zFa2c7XrT7p9M&#10;a3aJKSp+y8UXcraijhAX0/zz6cgBYBxzYiFidWbW07xjfPJ3Lv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jQav3wAAAAkBAAAPAAAAZHJzL2Rvd25yZXYueG1sTI/LTsMw&#10;EEX3SPyDNUjsqEPblCTEqXgIuoVSVWI3iScPEdtR7Dbh7xlWsJvRPbpzJt/OphdnGn3nrILbRQSC&#10;bOV0ZxsFh4+XmwSED2g19s6Sgm/ysC0uL3LMtJvsO533oRFcYn2GCtoQhkxKX7Vk0C/cQJaz2o0G&#10;A69jI/WIE5ebXi6jaCMNdpYvtDjQU0vV1/5kFDyuno84JfWu1KWup9fPdDe9pUpdX80P9yACzeEP&#10;hl99VoeCnUp3stqLXkG8Xt8xysEmBcFAHCc8lApW8RJkkcv/HxQ/AAAA//8DAFBLAwQUAAYACAAA&#10;ACEAVVehKIYAAACPAAAAEAAAAGRycy9pbmsvaW5rMS54bWyysa/IzVEoSy0qzszPs1Uy1DNQUkjN&#10;S85PycxLt1UKDXHTtVBSKC5JzEtJzMnPS7VVqkwtVrK34+WyyczLzs2xApIKQBPyikGs3BxbpYyS&#10;kgIrff3y8nK9cmO9/KJ0fSMDA2N9z7xsXx8lO6iulNS0zLzMEqCVxfp2Nvpwo+wAAAAA//8DAFBL&#10;AQItABQABgAIAAAAIQCbMyc3DAEAAC0CAAATAAAAAAAAAAAAAAAAAAAAAABbQ29udGVudF9UeXBl&#10;c10ueG1sUEsBAi0AFAAGAAgAAAAhADj9If/WAAAAlAEAAAsAAAAAAAAAAAAAAAAAPQEAAF9yZWxz&#10;Ly5yZWxzUEsBAi0AFAAGAAgAAAAhAL7ykhPHAQAA5QMAAA4AAAAAAAAAAAAAAAAAPAIAAGRycy9l&#10;Mm9Eb2MueG1sUEsBAi0AFAAGAAgAAAAhAHkYvJ2/AAAAIQEAABkAAAAAAAAAAAAAAAAALwQAAGRy&#10;cy9fcmVscy9lMm9Eb2MueG1sLnJlbHNQSwECLQAUAAYACAAAACEAuo0Gr98AAAAJAQAADwAAAAAA&#10;AAAAAAAAAAAlBQAAZHJzL2Rvd25yZXYueG1sUEsBAi0AFAAGAAgAAAAhAFVXoSiGAAAAjwAAABAA&#10;AAAAAAAAAAAAAAAAMQYAAGRycy9pbmsvaW5rMS54bWxQSwUGAAAAAAYABgB4AQAA5QYAAAAA&#10;">
                <o:lock v:ext="edit" rotation="t" verticies="t" shapetype="t"/>
              </v:shape>
            </w:pict>
          </mc:Fallback>
        </mc:AlternateContent>
      </w:r>
      <w:r>
        <w:rPr>
          <w:rFonts w:ascii="Georgia" w:hAnsi="Georgia"/>
          <w:color w:val="404040" w:themeColor="text1" w:themeTint="BF"/>
          <w:sz w:val="20"/>
          <w:szCs w:val="20"/>
          <w:lang w:eastAsia="en-US"/>
        </w:rPr>
        <w:t xml:space="preserve">Bluefield Operations, the Company’s principal O&amp;M contractor also ensured safe remote working for all its staff. Furthermore, it successfully obtained ‘key worker’ status for all relevant field-based engineers so that O&amp;M services provided to the Company’s portfolio remained unaffected. </w:t>
      </w:r>
    </w:p>
    <w:p w14:paraId="46AF7057" w14:textId="77777777" w:rsidR="00414180" w:rsidRDefault="00414180" w:rsidP="00414180">
      <w:pPr>
        <w:pStyle w:val="bs"/>
        <w:spacing w:before="0" w:beforeAutospacing="0" w:after="242" w:afterAutospacing="0"/>
        <w:jc w:val="both"/>
        <w:rPr>
          <w:rFonts w:ascii="Georgia" w:hAnsi="Georgia"/>
          <w:color w:val="404040" w:themeColor="text1" w:themeTint="BF"/>
          <w:sz w:val="20"/>
          <w:szCs w:val="20"/>
          <w:lang w:eastAsia="en-US"/>
        </w:rPr>
      </w:pPr>
      <w:r>
        <w:rPr>
          <w:noProof/>
          <w:lang w:eastAsia="zh-CN"/>
        </w:rPr>
        <mc:AlternateContent>
          <mc:Choice Requires="wps">
            <w:drawing>
              <wp:anchor distT="0" distB="0" distL="114300" distR="114300" simplePos="0" relativeHeight="251664384" behindDoc="0" locked="0" layoutInCell="1" allowOverlap="1" wp14:anchorId="60E2E064" wp14:editId="7AC73E1B">
                <wp:simplePos x="0" y="0"/>
                <wp:positionH relativeFrom="column">
                  <wp:posOffset>7437755</wp:posOffset>
                </wp:positionH>
                <wp:positionV relativeFrom="paragraph">
                  <wp:posOffset>109855</wp:posOffset>
                </wp:positionV>
                <wp:extent cx="44450" cy="53340"/>
                <wp:effectExtent l="17780" t="19685" r="13970" b="12700"/>
                <wp:wrapNone/>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44450" cy="53340"/>
                        </a:xfrm>
                        <a:prstGeom prst="rect">
                          <a:avLst/>
                        </a:prstGeom>
                        <a:noFill/>
                        <a:ln w="20621"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65A58" id="Rectangle 23" o:spid="_x0000_s1026" style="position:absolute;margin-left:585.65pt;margin-top:8.65pt;width:3.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SToAIAACsFAAAOAAAAZHJzL2Uyb0RvYy54bWysVNtuEzEQfUfiHyy/p3vJJk1X3VRVLgip&#10;QNWWD3Bs766F1za2k01A/DtjbxJSeEGIPGx8nTlzzhnf3u07iXbcOqFVhbOrFCOuqGZCNRX+/LIe&#10;zTBynihGpFa8wgfu8N387Zvb3pQ8162WjFsEQZQre1Ph1ntTJomjLe+Iu9KGK9iste2Ih6ltEmZJ&#10;D9E7meRpOk16bZmxmnLnYHU5bOJ5jF/XnPpPde24R7LCgM3Hr43fTfgm81tSNpaYVtAjDPIPKDoi&#10;FCQ9h1oST9DWij9CdYJa7XTtr6juEl3XgvJYA1STpb9V89wSw2MtQI4zZ5rc/wtLP+4eLRKswvkY&#10;I0U60OgJWCOqkRzBGhDUG1fCuWfzaEOJzjxo+sUhpZ808JnBNb1o4QK/dwauHpdWTPhHLZQHtJdn&#10;rNV9ywl7vRxLfTkYSJ+FnMmrpGHiID3a9B80gzNk63Xke1/bLoACJtE+yno4y8r3HlFYLIpiAtpT&#10;2JmMx0UUPSHl6aqxzr/jukNhUGELJcTQZPfgfIBCytORkEnptZAy+kYq1ANx6TSHAikB+1rFMCKy&#10;gV6g3sYwTkvBwpXInW02C2nRjoAfV9dZnhexWmD18lgnPHSFFF2FZ2n4DT4NtK0Ui7k9EXIYAz6p&#10;QnCoFxAfR4P7vt+kN6vZalaMiny6GhXpcjm6Xy+K0XSdXU+W4+Viscx+BJxZUbaCMa4C1FMnZMXf&#10;Oe3Yk4OHz71wZip5HT1SCmBP/xF0FDxoPPhto9kB9LbBYaAdvDAwaLX9hlEP3Vph93VLLMdIvlfg&#10;pJusAF2Rj5Nicp3DxF7ubC53iKIQqsIetIrDhR+ehK2xomkhUxalU/oefFaL6ILgwQHV0Z3QkbGC&#10;4+sRWv5yHk/9euPmPwEAAP//AwBQSwMEFAAGAAgAAAAhACM/ARndAAAACwEAAA8AAABkcnMvZG93&#10;bnJldi54bWxMj81OwzAQhO9IvIO1SFwQdVJ+HIU4VYXUU08UHsBxHCciXke225i3Z3uC085oR7Pf&#10;NrvsZnYxIU4eJZSbAphB7fsJrYSvz8NjBSwmhb2aPRoJPybCrr29aVTd+xU/zOWULKMSjLWSMKa0&#10;1JxHPRqn4sYvBmk3+OBUIhss74NaqdzNfFsUr9ypCenCqBbzPhr9fTo7Cfa41wexPtsqDznqh+64&#10;uCFIeX+X92/AksnpLwxXfEKHlpg6f8Y+spl8KconypISNK+JUlSkOgnbFwG8bfj/H9pfAAAA//8D&#10;AFBLAQItABQABgAIAAAAIQC2gziS/gAAAOEBAAATAAAAAAAAAAAAAAAAAAAAAABbQ29udGVudF9U&#10;eXBlc10ueG1sUEsBAi0AFAAGAAgAAAAhADj9If/WAAAAlAEAAAsAAAAAAAAAAAAAAAAALwEAAF9y&#10;ZWxzLy5yZWxzUEsBAi0AFAAGAAgAAAAhAOYnJJOgAgAAKwUAAA4AAAAAAAAAAAAAAAAALgIAAGRy&#10;cy9lMm9Eb2MueG1sUEsBAi0AFAAGAAgAAAAhACM/ARndAAAACwEAAA8AAAAAAAAAAAAAAAAA+gQA&#10;AGRycy9kb3ducmV2LnhtbFBLBQYAAAAABAAEAPMAAAAEBgAAAAA=&#10;" filled="f" strokecolor="#e71224" strokeweight=".57281mm">
                <v:stroke endcap="round"/>
                <o:lock v:ext="edit" rotation="t" aspectratio="t" verticies="t" shapetype="t"/>
              </v:rect>
            </w:pict>
          </mc:Fallback>
        </mc:AlternateContent>
      </w:r>
      <w:r>
        <w:rPr>
          <w:rFonts w:ascii="Georgia" w:hAnsi="Georgia"/>
          <w:color w:val="404040" w:themeColor="text1" w:themeTint="BF"/>
          <w:sz w:val="20"/>
          <w:szCs w:val="20"/>
          <w:lang w:eastAsia="en-US"/>
        </w:rPr>
        <w:t xml:space="preserve">In total over 50 people have been working ‘remotely’ on Bluefield Solar full time since March and it is a credit to the management teams and individuals how effective their operations have been. </w:t>
      </w:r>
    </w:p>
    <w:p w14:paraId="5375A461" w14:textId="0BCC194F" w:rsidR="00414180" w:rsidRDefault="00414180" w:rsidP="00414180">
      <w:pPr>
        <w:pStyle w:val="bs"/>
        <w:spacing w:before="0" w:beforeAutospacing="0" w:after="242" w:afterAutospacing="0"/>
        <w:jc w:val="both"/>
        <w:rPr>
          <w:rFonts w:ascii="Georgia" w:hAnsi="Georgia"/>
          <w:color w:val="404040" w:themeColor="text1" w:themeTint="BF"/>
          <w:sz w:val="20"/>
          <w:szCs w:val="20"/>
          <w:lang w:eastAsia="en-US"/>
        </w:rPr>
      </w:pPr>
      <w:r>
        <w:rPr>
          <w:rFonts w:ascii="Georgia" w:hAnsi="Georgia"/>
          <w:color w:val="404040" w:themeColor="text1" w:themeTint="BF"/>
          <w:sz w:val="20"/>
          <w:szCs w:val="20"/>
          <w:lang w:eastAsia="en-US"/>
        </w:rPr>
        <w:t>Activity that has been evidenced, as out</w:t>
      </w:r>
      <w:r w:rsidR="0010198D">
        <w:rPr>
          <w:rFonts w:ascii="Georgia" w:hAnsi="Georgia"/>
          <w:color w:val="404040" w:themeColor="text1" w:themeTint="BF"/>
          <w:sz w:val="20"/>
          <w:szCs w:val="20"/>
          <w:lang w:eastAsia="en-US"/>
        </w:rPr>
        <w:t>lined in the Investment Adviser</w:t>
      </w:r>
      <w:r w:rsidR="005F3337">
        <w:rPr>
          <w:rFonts w:ascii="Georgia" w:hAnsi="Georgia"/>
          <w:color w:val="404040" w:themeColor="text1" w:themeTint="BF"/>
          <w:sz w:val="20"/>
          <w:szCs w:val="20"/>
          <w:lang w:eastAsia="en-US"/>
        </w:rPr>
        <w:t>’s</w:t>
      </w:r>
      <w:r>
        <w:rPr>
          <w:rFonts w:ascii="Georgia" w:hAnsi="Georgia"/>
          <w:color w:val="404040" w:themeColor="text1" w:themeTint="BF"/>
          <w:sz w:val="20"/>
          <w:szCs w:val="20"/>
          <w:lang w:eastAsia="en-US"/>
        </w:rPr>
        <w:t xml:space="preserve"> report, by the strong operational performance of the portfolio before, during and after the strict lockdown measures were first introduced by the UK </w:t>
      </w:r>
      <w:r w:rsidR="005F3337">
        <w:rPr>
          <w:rFonts w:ascii="Georgia" w:hAnsi="Georgia"/>
          <w:color w:val="404040" w:themeColor="text1" w:themeTint="BF"/>
          <w:sz w:val="20"/>
          <w:szCs w:val="20"/>
          <w:lang w:eastAsia="en-US"/>
        </w:rPr>
        <w:t>G</w:t>
      </w:r>
      <w:r>
        <w:rPr>
          <w:rFonts w:ascii="Georgia" w:hAnsi="Georgia"/>
          <w:color w:val="404040" w:themeColor="text1" w:themeTint="BF"/>
          <w:sz w:val="20"/>
          <w:szCs w:val="20"/>
          <w:lang w:eastAsia="en-US"/>
        </w:rPr>
        <w:t>overnment in March 2020.</w:t>
      </w:r>
    </w:p>
    <w:p w14:paraId="632FF0DB" w14:textId="77777777" w:rsidR="00414180" w:rsidRDefault="00414180" w:rsidP="00414180">
      <w:pPr>
        <w:pStyle w:val="bs"/>
        <w:spacing w:before="0" w:beforeAutospacing="0" w:after="242" w:afterAutospacing="0"/>
        <w:jc w:val="both"/>
        <w:rPr>
          <w:rFonts w:ascii="Georgia" w:hAnsi="Georgia"/>
          <w:color w:val="404040" w:themeColor="text1" w:themeTint="BF"/>
          <w:sz w:val="20"/>
          <w:szCs w:val="20"/>
          <w:lang w:eastAsia="en-US"/>
        </w:rPr>
      </w:pPr>
      <w:r>
        <w:rPr>
          <w:rFonts w:ascii="Georgia" w:hAnsi="Georgia"/>
          <w:color w:val="404040" w:themeColor="text1" w:themeTint="BF"/>
          <w:sz w:val="20"/>
          <w:szCs w:val="20"/>
          <w:lang w:eastAsia="en-US"/>
        </w:rPr>
        <w:t xml:space="preserve">In addition, as part of the winter maintenance programme, Bluefield Services completed a major review of the status of the portfolio's spare parts and ordered replacements where necessary. </w:t>
      </w:r>
    </w:p>
    <w:p w14:paraId="4137F6AC" w14:textId="77777777" w:rsidR="00414180" w:rsidRDefault="00414180" w:rsidP="00414180">
      <w:pPr>
        <w:jc w:val="both"/>
        <w:rPr>
          <w:rFonts w:ascii="Georgia" w:hAnsi="Georgia"/>
          <w:color w:val="404040" w:themeColor="text1" w:themeTint="BF"/>
          <w:sz w:val="20"/>
          <w:szCs w:val="20"/>
        </w:rPr>
      </w:pPr>
      <w:r>
        <w:rPr>
          <w:rFonts w:ascii="Georgia" w:hAnsi="Georgia"/>
          <w:color w:val="404040" w:themeColor="text1" w:themeTint="BF"/>
          <w:sz w:val="20"/>
          <w:szCs w:val="20"/>
        </w:rPr>
        <w:t xml:space="preserve">A period of above-average irradiation puts into sharp focus a solar portfolio’s ability to convert that natural resource into electrical energy. What is particularly pleasing about the performance is that the high levels of irradiation we experienced were captured and converted into electricity by the portfolio. </w:t>
      </w:r>
    </w:p>
    <w:p w14:paraId="1AFEFAA8" w14:textId="77777777" w:rsidR="00414180" w:rsidRDefault="00414180" w:rsidP="00414180">
      <w:pPr>
        <w:jc w:val="both"/>
        <w:rPr>
          <w:rFonts w:ascii="Georgia" w:hAnsi="Georgia"/>
          <w:color w:val="404040" w:themeColor="text1" w:themeTint="BF"/>
          <w:sz w:val="20"/>
          <w:szCs w:val="20"/>
        </w:rPr>
      </w:pPr>
    </w:p>
    <w:p w14:paraId="42E2AE29" w14:textId="7275F826" w:rsidR="00414180" w:rsidRDefault="00414180" w:rsidP="00414180">
      <w:pPr>
        <w:jc w:val="both"/>
        <w:rPr>
          <w:rFonts w:ascii="Georgia" w:hAnsi="Georgia"/>
          <w:color w:val="404040" w:themeColor="text1" w:themeTint="BF"/>
          <w:sz w:val="20"/>
          <w:szCs w:val="20"/>
        </w:rPr>
      </w:pPr>
      <w:r>
        <w:rPr>
          <w:rFonts w:ascii="Georgia" w:hAnsi="Georgia"/>
          <w:color w:val="404040" w:themeColor="text1" w:themeTint="BF"/>
          <w:sz w:val="20"/>
          <w:szCs w:val="20"/>
        </w:rPr>
        <w:t xml:space="preserve">Bluefield Services, the Bristol based technical asset management business that looks after all aspects of the portfolio’s services, from monitoring through to contract enforcement, has again delivered above budget performance. </w:t>
      </w:r>
      <w:r w:rsidR="00AF3E05">
        <w:rPr>
          <w:rFonts w:ascii="Georgia" w:hAnsi="Georgia"/>
          <w:color w:val="404040" w:themeColor="text1" w:themeTint="BF"/>
          <w:sz w:val="20"/>
          <w:szCs w:val="20"/>
        </w:rPr>
        <w:t>This performance is attributable to our</w:t>
      </w:r>
      <w:r>
        <w:rPr>
          <w:rFonts w:ascii="Georgia" w:hAnsi="Georgia"/>
          <w:color w:val="404040" w:themeColor="text1" w:themeTint="BF"/>
          <w:sz w:val="20"/>
          <w:szCs w:val="20"/>
        </w:rPr>
        <w:t xml:space="preserve"> highly skilled and aligned team of asset management professionals working diligently and expertly (and currently from home) on the portfolio </w:t>
      </w:r>
      <w:r w:rsidR="00AF3E05">
        <w:rPr>
          <w:rFonts w:ascii="Georgia" w:hAnsi="Georgia"/>
          <w:color w:val="404040" w:themeColor="text1" w:themeTint="BF"/>
          <w:sz w:val="20"/>
          <w:szCs w:val="20"/>
        </w:rPr>
        <w:t>which</w:t>
      </w:r>
      <w:r>
        <w:rPr>
          <w:rFonts w:ascii="Georgia" w:hAnsi="Georgia"/>
          <w:color w:val="404040" w:themeColor="text1" w:themeTint="BF"/>
          <w:sz w:val="20"/>
          <w:szCs w:val="20"/>
        </w:rPr>
        <w:t xml:space="preserve"> benefits the Company every year. </w:t>
      </w:r>
    </w:p>
    <w:p w14:paraId="4CDD023A" w14:textId="77777777" w:rsidR="00414180" w:rsidRPr="00862D77" w:rsidRDefault="00414180" w:rsidP="007B66C1">
      <w:pPr>
        <w:pStyle w:val="ListParagraph"/>
        <w:ind w:left="0"/>
        <w:jc w:val="both"/>
        <w:rPr>
          <w:rFonts w:ascii="Georgia" w:hAnsi="Georgia"/>
          <w:color w:val="404040" w:themeColor="text1" w:themeTint="BF"/>
          <w:sz w:val="20"/>
          <w:szCs w:val="20"/>
        </w:rPr>
      </w:pPr>
    </w:p>
    <w:p w14:paraId="4BDDF33A" w14:textId="7528BBB4" w:rsidR="007B66C1" w:rsidRDefault="007B66C1" w:rsidP="007B66C1">
      <w:pPr>
        <w:jc w:val="both"/>
        <w:rPr>
          <w:rFonts w:ascii="Georgia" w:hAnsi="Georgia" w:cs="Calibri"/>
          <w:color w:val="404040" w:themeColor="text1" w:themeTint="BF"/>
          <w:sz w:val="20"/>
        </w:rPr>
      </w:pPr>
    </w:p>
    <w:p w14:paraId="36B5F03D" w14:textId="0C88F77A" w:rsidR="00414180" w:rsidRDefault="00414180" w:rsidP="007B66C1">
      <w:pPr>
        <w:jc w:val="both"/>
        <w:rPr>
          <w:rFonts w:ascii="Georgia" w:hAnsi="Georgia" w:cs="Calibri"/>
          <w:color w:val="404040" w:themeColor="text1" w:themeTint="BF"/>
          <w:sz w:val="20"/>
        </w:rPr>
      </w:pPr>
    </w:p>
    <w:p w14:paraId="7D8AB6B8" w14:textId="4DBBE9DF" w:rsidR="00414180" w:rsidRDefault="00414180" w:rsidP="007B66C1">
      <w:pPr>
        <w:jc w:val="both"/>
        <w:rPr>
          <w:rFonts w:ascii="Georgia" w:hAnsi="Georgia" w:cs="Calibri"/>
          <w:color w:val="404040" w:themeColor="text1" w:themeTint="BF"/>
          <w:sz w:val="20"/>
        </w:rPr>
      </w:pPr>
    </w:p>
    <w:p w14:paraId="3D07ED5F" w14:textId="68FA1C62" w:rsidR="00414180" w:rsidRDefault="00414180" w:rsidP="007B66C1">
      <w:pPr>
        <w:jc w:val="both"/>
        <w:rPr>
          <w:rFonts w:ascii="Georgia" w:hAnsi="Georgia" w:cs="Calibri"/>
          <w:color w:val="404040" w:themeColor="text1" w:themeTint="BF"/>
          <w:sz w:val="20"/>
        </w:rPr>
      </w:pPr>
    </w:p>
    <w:p w14:paraId="5E1FC15A" w14:textId="787878D6" w:rsidR="00414180" w:rsidRDefault="00414180" w:rsidP="007B66C1">
      <w:pPr>
        <w:jc w:val="both"/>
        <w:rPr>
          <w:rFonts w:ascii="Georgia" w:hAnsi="Georgia" w:cs="Calibri"/>
          <w:color w:val="404040" w:themeColor="text1" w:themeTint="BF"/>
          <w:sz w:val="20"/>
        </w:rPr>
      </w:pPr>
    </w:p>
    <w:p w14:paraId="259737F2" w14:textId="77777777" w:rsidR="00414180" w:rsidRPr="00BC3EEA" w:rsidRDefault="00414180" w:rsidP="00414180">
      <w:pPr>
        <w:pStyle w:val="Heading2"/>
        <w:spacing w:before="0"/>
      </w:pPr>
      <w:r w:rsidRPr="00BC3EEA">
        <w:lastRenderedPageBreak/>
        <w:t>Report of the Investment Adviser (continued)</w:t>
      </w:r>
    </w:p>
    <w:p w14:paraId="40C093D8" w14:textId="15BA5F99" w:rsidR="00414180" w:rsidRDefault="00414180" w:rsidP="007B66C1">
      <w:pPr>
        <w:jc w:val="both"/>
        <w:rPr>
          <w:rFonts w:ascii="Georgia" w:hAnsi="Georgia" w:cs="Calibri"/>
          <w:color w:val="404040" w:themeColor="text1" w:themeTint="BF"/>
          <w:sz w:val="20"/>
        </w:rPr>
      </w:pPr>
    </w:p>
    <w:p w14:paraId="1CC8CBB1" w14:textId="77777777" w:rsidR="007B66C1" w:rsidRPr="00862D77" w:rsidRDefault="007B66C1" w:rsidP="007B66C1">
      <w:pPr>
        <w:rPr>
          <w:rFonts w:ascii="Georgia" w:hAnsi="Georgia"/>
          <w:b/>
          <w:color w:val="404040" w:themeColor="text1" w:themeTint="BF"/>
          <w:sz w:val="20"/>
          <w:szCs w:val="20"/>
        </w:rPr>
      </w:pPr>
      <w:r w:rsidRPr="00862D77">
        <w:rPr>
          <w:rFonts w:ascii="Georgia" w:hAnsi="Georgia"/>
          <w:b/>
          <w:color w:val="404040" w:themeColor="text1" w:themeTint="BF"/>
          <w:sz w:val="20"/>
          <w:szCs w:val="20"/>
        </w:rPr>
        <w:t>2. Portfolio: Acquisitions, Performance and Value Enhancement</w:t>
      </w:r>
    </w:p>
    <w:p w14:paraId="5E3B140D" w14:textId="77777777" w:rsidR="007B66C1" w:rsidRPr="00904E51" w:rsidRDefault="007B66C1" w:rsidP="007B66C1">
      <w:pPr>
        <w:rPr>
          <w:rFonts w:ascii="Georgia" w:hAnsi="Georgia"/>
          <w:b/>
          <w:color w:val="404040" w:themeColor="text1" w:themeTint="BF"/>
          <w:sz w:val="20"/>
          <w:szCs w:val="20"/>
          <w:highlight w:val="yellow"/>
        </w:rPr>
      </w:pPr>
    </w:p>
    <w:p w14:paraId="1B7D0CE5" w14:textId="77777777" w:rsidR="007B66C1" w:rsidRPr="009F74D6" w:rsidRDefault="007B66C1" w:rsidP="007B66C1">
      <w:pPr>
        <w:rPr>
          <w:rFonts w:ascii="Georgia" w:hAnsi="Georgia"/>
          <w:b/>
          <w:color w:val="404040" w:themeColor="text1" w:themeTint="BF"/>
          <w:sz w:val="20"/>
          <w:szCs w:val="20"/>
        </w:rPr>
      </w:pPr>
      <w:r w:rsidRPr="009F74D6">
        <w:rPr>
          <w:rFonts w:ascii="Georgia" w:hAnsi="Georgia"/>
          <w:b/>
          <w:color w:val="404040" w:themeColor="text1" w:themeTint="BF"/>
          <w:sz w:val="20"/>
          <w:szCs w:val="20"/>
        </w:rPr>
        <w:t>Portfolio</w:t>
      </w:r>
    </w:p>
    <w:p w14:paraId="27645C53" w14:textId="77777777" w:rsidR="007B66C1" w:rsidRPr="00904E51" w:rsidRDefault="007B66C1" w:rsidP="007B66C1">
      <w:pPr>
        <w:rPr>
          <w:rFonts w:ascii="Georgia" w:hAnsi="Georgia"/>
          <w:color w:val="404040" w:themeColor="text1" w:themeTint="BF"/>
          <w:sz w:val="20"/>
          <w:szCs w:val="20"/>
          <w:highlight w:val="yellow"/>
        </w:rPr>
      </w:pPr>
    </w:p>
    <w:p w14:paraId="5036994B" w14:textId="11FBE8C3" w:rsidR="007B66C1" w:rsidRPr="009F74D6" w:rsidRDefault="007B66C1" w:rsidP="007B66C1">
      <w:pPr>
        <w:pStyle w:val="ListParagraph"/>
        <w:ind w:left="0"/>
        <w:jc w:val="both"/>
        <w:rPr>
          <w:rFonts w:ascii="Georgia" w:hAnsi="Georgia"/>
          <w:color w:val="404040" w:themeColor="text1" w:themeTint="BF"/>
          <w:sz w:val="20"/>
          <w:szCs w:val="20"/>
        </w:rPr>
      </w:pPr>
      <w:r w:rsidRPr="009F74D6">
        <w:rPr>
          <w:rFonts w:ascii="Georgia" w:hAnsi="Georgia"/>
          <w:color w:val="404040" w:themeColor="text1" w:themeTint="BF"/>
          <w:sz w:val="20"/>
          <w:szCs w:val="20"/>
        </w:rPr>
        <w:t xml:space="preserve">As at 30 June 2020, the Company held an operational portfolio of 90 PV </w:t>
      </w:r>
      <w:r>
        <w:rPr>
          <w:rFonts w:ascii="Georgia" w:hAnsi="Georgia"/>
          <w:color w:val="404040" w:themeColor="text1" w:themeTint="BF"/>
          <w:sz w:val="20"/>
          <w:szCs w:val="20"/>
        </w:rPr>
        <w:t>plants</w:t>
      </w:r>
      <w:r w:rsidRPr="009F74D6">
        <w:rPr>
          <w:rFonts w:ascii="Georgia" w:hAnsi="Georgia"/>
          <w:color w:val="404040" w:themeColor="text1" w:themeTint="BF"/>
          <w:sz w:val="20"/>
          <w:szCs w:val="20"/>
        </w:rPr>
        <w:t xml:space="preserve"> (consisting of 49 large scale sites, 39 micro sites and 2 roof top sites) with a total capacity of 478.8MWp</w:t>
      </w:r>
      <w:r w:rsidR="00777609">
        <w:rPr>
          <w:rFonts w:ascii="Georgia" w:hAnsi="Georgia"/>
          <w:color w:val="404040" w:themeColor="text1" w:themeTint="BF"/>
          <w:sz w:val="20"/>
          <w:szCs w:val="20"/>
        </w:rPr>
        <w:t>,</w:t>
      </w:r>
      <w:r w:rsidRPr="009F74D6">
        <w:rPr>
          <w:rFonts w:ascii="Georgia" w:hAnsi="Georgia"/>
          <w:color w:val="404040" w:themeColor="text1" w:themeTint="BF"/>
          <w:sz w:val="20"/>
          <w:szCs w:val="20"/>
        </w:rPr>
        <w:t xml:space="preserve"> with the portfolio disp</w:t>
      </w:r>
      <w:r w:rsidR="00777609">
        <w:rPr>
          <w:rFonts w:ascii="Georgia" w:hAnsi="Georgia"/>
          <w:color w:val="404040" w:themeColor="text1" w:themeTint="BF"/>
          <w:sz w:val="20"/>
          <w:szCs w:val="20"/>
        </w:rPr>
        <w:t>laying strong diversity through</w:t>
      </w:r>
      <w:r w:rsidR="0019209D">
        <w:rPr>
          <w:rFonts w:ascii="Georgia" w:hAnsi="Georgia"/>
          <w:color w:val="404040" w:themeColor="text1" w:themeTint="BF"/>
          <w:sz w:val="20"/>
          <w:szCs w:val="20"/>
        </w:rPr>
        <w:t>:</w:t>
      </w:r>
      <w:r w:rsidRPr="009F74D6">
        <w:rPr>
          <w:rFonts w:ascii="Georgia" w:hAnsi="Georgia"/>
          <w:color w:val="404040" w:themeColor="text1" w:themeTint="BF"/>
          <w:sz w:val="20"/>
          <w:szCs w:val="20"/>
        </w:rPr>
        <w:t xml:space="preserve"> geographical variety (as shown by the map on page 12), a range of proven PV technologies and infrastructure (arising from the solar PV farms having been constructed by a number of experienced solar contractors), and a blend of asset sizes with capacities ranging from microsites to substantial, utility-scale solar farms (including two plants at c.50MWp).</w:t>
      </w:r>
    </w:p>
    <w:p w14:paraId="59A3B47A" w14:textId="77777777" w:rsidR="007B66C1" w:rsidRPr="00904E51" w:rsidRDefault="007B66C1" w:rsidP="007B66C1">
      <w:pPr>
        <w:rPr>
          <w:rFonts w:ascii="Georgia" w:hAnsi="Georgia" w:cs="Calibri"/>
          <w:b/>
          <w:color w:val="404040" w:themeColor="text1" w:themeTint="BF"/>
          <w:sz w:val="20"/>
          <w:szCs w:val="20"/>
          <w:highlight w:val="yellow"/>
        </w:rPr>
      </w:pPr>
    </w:p>
    <w:p w14:paraId="784F8B2D" w14:textId="77777777" w:rsidR="007B66C1" w:rsidRPr="00862D77" w:rsidRDefault="007B66C1" w:rsidP="007B66C1">
      <w:pPr>
        <w:rPr>
          <w:rFonts w:ascii="Georgia" w:hAnsi="Georgia"/>
          <w:b/>
          <w:color w:val="4A442A" w:themeColor="background2" w:themeShade="40"/>
          <w:sz w:val="20"/>
          <w:szCs w:val="20"/>
        </w:rPr>
      </w:pPr>
      <w:r w:rsidRPr="00862D77">
        <w:rPr>
          <w:rFonts w:ascii="Georgia" w:hAnsi="Georgia"/>
          <w:b/>
          <w:color w:val="4A442A" w:themeColor="background2" w:themeShade="40"/>
          <w:sz w:val="20"/>
          <w:szCs w:val="20"/>
        </w:rPr>
        <w:t>Acquisitions</w:t>
      </w:r>
    </w:p>
    <w:p w14:paraId="1E9B3BE7" w14:textId="4FAF8CC2" w:rsidR="007B66C1" w:rsidRDefault="007B66C1" w:rsidP="007B66C1">
      <w:pPr>
        <w:jc w:val="both"/>
        <w:rPr>
          <w:rFonts w:ascii="Georgia" w:hAnsi="Georgia"/>
          <w:color w:val="4A442A" w:themeColor="background2" w:themeShade="40"/>
          <w:sz w:val="20"/>
          <w:szCs w:val="20"/>
          <w:highlight w:val="yellow"/>
        </w:rPr>
      </w:pPr>
    </w:p>
    <w:p w14:paraId="2165D019" w14:textId="37E3A5B5" w:rsidR="00926F76" w:rsidRDefault="00926F76" w:rsidP="00926F76">
      <w:pPr>
        <w:jc w:val="both"/>
        <w:rPr>
          <w:rFonts w:ascii="Georgia" w:hAnsi="Georgia"/>
          <w:color w:val="404040" w:themeColor="text1" w:themeTint="BF"/>
          <w:sz w:val="20"/>
          <w:szCs w:val="20"/>
        </w:rPr>
      </w:pPr>
      <w:r>
        <w:rPr>
          <w:rFonts w:ascii="Georgia" w:hAnsi="Georgia"/>
          <w:color w:val="404040" w:themeColor="text1" w:themeTint="BF"/>
          <w:sz w:val="20"/>
          <w:szCs w:val="20"/>
        </w:rPr>
        <w:t xml:space="preserve">During the 12 </w:t>
      </w:r>
      <w:r w:rsidRPr="007339CA">
        <w:rPr>
          <w:rFonts w:ascii="Georgia" w:hAnsi="Georgia"/>
          <w:color w:val="404040" w:themeColor="text1" w:themeTint="BF"/>
          <w:sz w:val="20"/>
          <w:szCs w:val="20"/>
        </w:rPr>
        <w:t>month period to 3</w:t>
      </w:r>
      <w:r>
        <w:rPr>
          <w:rFonts w:ascii="Georgia" w:hAnsi="Georgia"/>
          <w:color w:val="404040" w:themeColor="text1" w:themeTint="BF"/>
          <w:sz w:val="20"/>
          <w:szCs w:val="20"/>
        </w:rPr>
        <w:t>0</w:t>
      </w:r>
      <w:r w:rsidRPr="007339CA">
        <w:rPr>
          <w:rFonts w:ascii="Georgia" w:hAnsi="Georgia"/>
          <w:color w:val="404040" w:themeColor="text1" w:themeTint="BF"/>
          <w:sz w:val="20"/>
          <w:szCs w:val="20"/>
        </w:rPr>
        <w:t xml:space="preserve"> </w:t>
      </w:r>
      <w:r>
        <w:rPr>
          <w:rFonts w:ascii="Georgia" w:hAnsi="Georgia"/>
          <w:color w:val="404040" w:themeColor="text1" w:themeTint="BF"/>
          <w:sz w:val="20"/>
          <w:szCs w:val="20"/>
        </w:rPr>
        <w:t>June</w:t>
      </w:r>
      <w:r w:rsidRPr="007339CA">
        <w:rPr>
          <w:rFonts w:ascii="Georgia" w:hAnsi="Georgia"/>
          <w:color w:val="404040" w:themeColor="text1" w:themeTint="BF"/>
          <w:sz w:val="20"/>
          <w:szCs w:val="20"/>
        </w:rPr>
        <w:t xml:space="preserve"> 20</w:t>
      </w:r>
      <w:r>
        <w:rPr>
          <w:rFonts w:ascii="Georgia" w:hAnsi="Georgia"/>
          <w:color w:val="404040" w:themeColor="text1" w:themeTint="BF"/>
          <w:sz w:val="20"/>
          <w:szCs w:val="20"/>
        </w:rPr>
        <w:t>20</w:t>
      </w:r>
      <w:r w:rsidRPr="007339CA">
        <w:rPr>
          <w:rFonts w:ascii="Georgia" w:hAnsi="Georgia"/>
          <w:color w:val="404040" w:themeColor="text1" w:themeTint="BF"/>
          <w:sz w:val="20"/>
          <w:szCs w:val="20"/>
        </w:rPr>
        <w:t xml:space="preserve">, the Investment </w:t>
      </w:r>
      <w:r w:rsidRPr="00025587">
        <w:rPr>
          <w:rFonts w:ascii="Georgia" w:hAnsi="Georgia"/>
          <w:color w:val="404040" w:themeColor="text1" w:themeTint="BF"/>
          <w:sz w:val="20"/>
          <w:szCs w:val="20"/>
        </w:rPr>
        <w:t xml:space="preserve">Adviser reviewed over </w:t>
      </w:r>
      <w:r w:rsidR="00EA508E" w:rsidRPr="00EA508E">
        <w:rPr>
          <w:rFonts w:ascii="Georgia" w:hAnsi="Georgia"/>
          <w:color w:val="404040" w:themeColor="text1" w:themeTint="BF"/>
          <w:sz w:val="20"/>
          <w:szCs w:val="20"/>
        </w:rPr>
        <w:t>700</w:t>
      </w:r>
      <w:r w:rsidRPr="00EA508E">
        <w:rPr>
          <w:rFonts w:ascii="Georgia" w:hAnsi="Georgia"/>
          <w:color w:val="404040" w:themeColor="text1" w:themeTint="BF"/>
          <w:sz w:val="20"/>
          <w:szCs w:val="20"/>
        </w:rPr>
        <w:t>MWp</w:t>
      </w:r>
      <w:r w:rsidRPr="00025587">
        <w:rPr>
          <w:rFonts w:ascii="Georgia" w:hAnsi="Georgia"/>
          <w:color w:val="404040" w:themeColor="text1" w:themeTint="BF"/>
          <w:sz w:val="20"/>
          <w:szCs w:val="20"/>
        </w:rPr>
        <w:t xml:space="preserve"> of acquisition opportunities, which included both subsidised portfolios </w:t>
      </w:r>
      <w:r w:rsidRPr="00EA508E">
        <w:rPr>
          <w:rFonts w:ascii="Georgia" w:hAnsi="Georgia"/>
          <w:color w:val="404040" w:themeColor="text1" w:themeTint="BF"/>
          <w:sz w:val="20"/>
          <w:szCs w:val="20"/>
        </w:rPr>
        <w:t>(</w:t>
      </w:r>
      <w:r w:rsidR="00EA508E" w:rsidRPr="00EA508E">
        <w:rPr>
          <w:rFonts w:ascii="Georgia" w:hAnsi="Georgia"/>
          <w:color w:val="404040" w:themeColor="text1" w:themeTint="BF"/>
          <w:sz w:val="20"/>
          <w:szCs w:val="20"/>
        </w:rPr>
        <w:t>5</w:t>
      </w:r>
      <w:r w:rsidRPr="00EA508E">
        <w:rPr>
          <w:rFonts w:ascii="Georgia" w:hAnsi="Georgia"/>
          <w:color w:val="404040" w:themeColor="text1" w:themeTint="BF"/>
          <w:sz w:val="20"/>
          <w:szCs w:val="20"/>
        </w:rPr>
        <w:t>00MWp</w:t>
      </w:r>
      <w:r w:rsidRPr="00025587">
        <w:rPr>
          <w:rFonts w:ascii="Georgia" w:hAnsi="Georgia"/>
          <w:color w:val="404040" w:themeColor="text1" w:themeTint="BF"/>
          <w:sz w:val="20"/>
          <w:szCs w:val="20"/>
        </w:rPr>
        <w:t>) as well as a small n</w:t>
      </w:r>
      <w:r>
        <w:rPr>
          <w:rFonts w:ascii="Georgia" w:hAnsi="Georgia"/>
          <w:color w:val="404040" w:themeColor="text1" w:themeTint="BF"/>
          <w:sz w:val="20"/>
          <w:szCs w:val="20"/>
        </w:rPr>
        <w:t xml:space="preserve">umber of ready to build subsidy </w:t>
      </w:r>
      <w:r w:rsidRPr="00025587">
        <w:rPr>
          <w:rFonts w:ascii="Georgia" w:hAnsi="Georgia"/>
          <w:color w:val="404040" w:themeColor="text1" w:themeTint="BF"/>
          <w:sz w:val="20"/>
          <w:szCs w:val="20"/>
        </w:rPr>
        <w:t xml:space="preserve">free assets </w:t>
      </w:r>
      <w:r w:rsidRPr="00EA508E">
        <w:rPr>
          <w:rFonts w:ascii="Georgia" w:hAnsi="Georgia"/>
          <w:color w:val="404040" w:themeColor="text1" w:themeTint="BF"/>
          <w:sz w:val="20"/>
          <w:szCs w:val="20"/>
        </w:rPr>
        <w:t>(c</w:t>
      </w:r>
      <w:r w:rsidR="00EA508E" w:rsidRPr="00EA508E">
        <w:rPr>
          <w:rFonts w:ascii="Georgia" w:hAnsi="Georgia"/>
          <w:color w:val="404040" w:themeColor="text1" w:themeTint="BF"/>
          <w:sz w:val="20"/>
          <w:szCs w:val="20"/>
        </w:rPr>
        <w:t>. 20</w:t>
      </w:r>
      <w:r w:rsidRPr="00EA508E">
        <w:rPr>
          <w:rFonts w:ascii="Georgia" w:hAnsi="Georgia"/>
          <w:color w:val="404040" w:themeColor="text1" w:themeTint="BF"/>
          <w:sz w:val="20"/>
          <w:szCs w:val="20"/>
        </w:rPr>
        <w:t>0MWp).</w:t>
      </w:r>
      <w:r w:rsidRPr="00025587">
        <w:rPr>
          <w:rFonts w:ascii="Georgia" w:hAnsi="Georgia"/>
          <w:color w:val="404040" w:themeColor="text1" w:themeTint="BF"/>
          <w:sz w:val="20"/>
          <w:szCs w:val="20"/>
        </w:rPr>
        <w:t xml:space="preserve"> The Investment Adviser continued to apply its</w:t>
      </w:r>
      <w:r w:rsidRPr="007339CA">
        <w:rPr>
          <w:rFonts w:ascii="Georgia" w:hAnsi="Georgia"/>
          <w:color w:val="404040" w:themeColor="text1" w:themeTint="BF"/>
          <w:sz w:val="20"/>
          <w:szCs w:val="20"/>
        </w:rPr>
        <w:t xml:space="preserve"> stringent acquisition criteria to these opportunities and </w:t>
      </w:r>
      <w:r w:rsidRPr="00E720D8">
        <w:rPr>
          <w:rFonts w:ascii="Georgia" w:hAnsi="Georgia"/>
          <w:color w:val="404040" w:themeColor="text1" w:themeTint="BF"/>
          <w:sz w:val="20"/>
          <w:szCs w:val="20"/>
        </w:rPr>
        <w:t xml:space="preserve">consequently only </w:t>
      </w:r>
      <w:r>
        <w:rPr>
          <w:rFonts w:ascii="Georgia" w:hAnsi="Georgia"/>
          <w:color w:val="404040" w:themeColor="text1" w:themeTint="BF"/>
          <w:sz w:val="20"/>
          <w:szCs w:val="20"/>
        </w:rPr>
        <w:t xml:space="preserve">three </w:t>
      </w:r>
      <w:r w:rsidRPr="007339CA">
        <w:rPr>
          <w:rFonts w:ascii="Georgia" w:hAnsi="Georgia"/>
          <w:color w:val="404040" w:themeColor="text1" w:themeTint="BF"/>
          <w:sz w:val="20"/>
          <w:szCs w:val="20"/>
        </w:rPr>
        <w:t>of the projects</w:t>
      </w:r>
      <w:r>
        <w:rPr>
          <w:rFonts w:ascii="Georgia" w:hAnsi="Georgia"/>
          <w:color w:val="404040" w:themeColor="text1" w:themeTint="BF"/>
          <w:sz w:val="20"/>
          <w:szCs w:val="20"/>
        </w:rPr>
        <w:t xml:space="preserve"> </w:t>
      </w:r>
      <w:r w:rsidRPr="007339CA">
        <w:rPr>
          <w:rFonts w:ascii="Georgia" w:hAnsi="Georgia"/>
          <w:color w:val="404040" w:themeColor="text1" w:themeTint="BF"/>
          <w:sz w:val="20"/>
          <w:szCs w:val="20"/>
        </w:rPr>
        <w:t>assessed</w:t>
      </w:r>
      <w:r>
        <w:rPr>
          <w:rFonts w:ascii="Georgia" w:hAnsi="Georgia"/>
          <w:color w:val="404040" w:themeColor="text1" w:themeTint="BF"/>
          <w:sz w:val="20"/>
          <w:szCs w:val="20"/>
        </w:rPr>
        <w:t>, totalling 13.5MWp,</w:t>
      </w:r>
      <w:r w:rsidRPr="007339CA">
        <w:rPr>
          <w:rFonts w:ascii="Georgia" w:hAnsi="Georgia"/>
          <w:color w:val="404040" w:themeColor="text1" w:themeTint="BF"/>
          <w:sz w:val="20"/>
          <w:szCs w:val="20"/>
        </w:rPr>
        <w:t xml:space="preserve"> went on to be recommended to the BSIF </w:t>
      </w:r>
      <w:r>
        <w:rPr>
          <w:rFonts w:ascii="Georgia" w:hAnsi="Georgia"/>
          <w:color w:val="404040" w:themeColor="text1" w:themeTint="BF"/>
          <w:sz w:val="20"/>
          <w:szCs w:val="20"/>
        </w:rPr>
        <w:t>B</w:t>
      </w:r>
      <w:r w:rsidRPr="007339CA">
        <w:rPr>
          <w:rFonts w:ascii="Georgia" w:hAnsi="Georgia"/>
          <w:color w:val="404040" w:themeColor="text1" w:themeTint="BF"/>
          <w:sz w:val="20"/>
          <w:szCs w:val="20"/>
        </w:rPr>
        <w:t>oar</w:t>
      </w:r>
      <w:r>
        <w:rPr>
          <w:rFonts w:ascii="Georgia" w:hAnsi="Georgia"/>
          <w:color w:val="404040" w:themeColor="text1" w:themeTint="BF"/>
          <w:sz w:val="20"/>
          <w:szCs w:val="20"/>
        </w:rPr>
        <w:t>d</w:t>
      </w:r>
      <w:r w:rsidRPr="007339CA">
        <w:rPr>
          <w:rFonts w:ascii="Georgia" w:hAnsi="Georgia"/>
          <w:color w:val="404040" w:themeColor="text1" w:themeTint="BF"/>
          <w:sz w:val="20"/>
          <w:szCs w:val="20"/>
        </w:rPr>
        <w:t>.</w:t>
      </w:r>
    </w:p>
    <w:p w14:paraId="59ED0F98" w14:textId="77777777" w:rsidR="00926F76" w:rsidRDefault="00926F76" w:rsidP="00926F76">
      <w:pPr>
        <w:jc w:val="both"/>
        <w:rPr>
          <w:rFonts w:ascii="Georgia" w:hAnsi="Georgia"/>
          <w:color w:val="404040" w:themeColor="text1" w:themeTint="BF"/>
          <w:sz w:val="20"/>
          <w:szCs w:val="20"/>
        </w:rPr>
      </w:pPr>
    </w:p>
    <w:p w14:paraId="767C231E" w14:textId="1C6A0820" w:rsidR="00926F76" w:rsidRDefault="00926F76" w:rsidP="00926F76">
      <w:pPr>
        <w:jc w:val="both"/>
        <w:rPr>
          <w:rFonts w:ascii="Georgia" w:hAnsi="Georgia"/>
          <w:color w:val="404040" w:themeColor="text1" w:themeTint="BF"/>
          <w:sz w:val="20"/>
          <w:szCs w:val="20"/>
        </w:rPr>
      </w:pPr>
      <w:r>
        <w:rPr>
          <w:rFonts w:ascii="Georgia" w:hAnsi="Georgia"/>
          <w:color w:val="404040" w:themeColor="text1" w:themeTint="BF"/>
          <w:sz w:val="20"/>
          <w:szCs w:val="20"/>
        </w:rPr>
        <w:t>These projects, called</w:t>
      </w:r>
      <w:r w:rsidR="002D2F63">
        <w:rPr>
          <w:rFonts w:ascii="Georgia" w:hAnsi="Georgia"/>
          <w:color w:val="404040" w:themeColor="text1" w:themeTint="BF"/>
          <w:sz w:val="20"/>
          <w:szCs w:val="20"/>
        </w:rPr>
        <w:t xml:space="preserve"> </w:t>
      </w:r>
      <w:proofErr w:type="spellStart"/>
      <w:r w:rsidR="002D2F63">
        <w:rPr>
          <w:rFonts w:ascii="Georgia" w:hAnsi="Georgia"/>
          <w:color w:val="404040" w:themeColor="text1" w:themeTint="BF"/>
          <w:sz w:val="20"/>
          <w:szCs w:val="20"/>
        </w:rPr>
        <w:t>Gretton</w:t>
      </w:r>
      <w:proofErr w:type="spellEnd"/>
      <w:r w:rsidR="002D2F63">
        <w:rPr>
          <w:rFonts w:ascii="Georgia" w:hAnsi="Georgia"/>
          <w:color w:val="404040" w:themeColor="text1" w:themeTint="BF"/>
          <w:sz w:val="20"/>
          <w:szCs w:val="20"/>
        </w:rPr>
        <w:t>,</w:t>
      </w:r>
      <w:r>
        <w:rPr>
          <w:rFonts w:ascii="Georgia" w:hAnsi="Georgia"/>
          <w:color w:val="404040" w:themeColor="text1" w:themeTint="BF"/>
          <w:sz w:val="20"/>
          <w:szCs w:val="20"/>
        </w:rPr>
        <w:t xml:space="preserve"> Stanton, Thornton and </w:t>
      </w:r>
      <w:proofErr w:type="spellStart"/>
      <w:r>
        <w:rPr>
          <w:rFonts w:ascii="Georgia" w:hAnsi="Georgia"/>
          <w:color w:val="404040" w:themeColor="text1" w:themeTint="BF"/>
          <w:sz w:val="20"/>
          <w:szCs w:val="20"/>
        </w:rPr>
        <w:t>Wormit</w:t>
      </w:r>
      <w:proofErr w:type="spellEnd"/>
      <w:r>
        <w:rPr>
          <w:rFonts w:ascii="Georgia" w:hAnsi="Georgia"/>
          <w:color w:val="404040" w:themeColor="text1" w:themeTint="BF"/>
          <w:sz w:val="20"/>
          <w:szCs w:val="20"/>
        </w:rPr>
        <w:t xml:space="preserve"> were acquired for £13.9m (including working capital and transaction fees) in January 2020. The projects all qualify for 1.3 ROC tariffs and were purchased using the Company’s RCF which, as at 30 June 2020, stands drawn at £44.1m (out of £50m).  </w:t>
      </w:r>
    </w:p>
    <w:p w14:paraId="135C1B21" w14:textId="77777777" w:rsidR="00926F76" w:rsidRDefault="00926F76" w:rsidP="00926F76">
      <w:pPr>
        <w:jc w:val="both"/>
        <w:rPr>
          <w:rFonts w:ascii="Georgia" w:hAnsi="Georgia"/>
          <w:color w:val="404040" w:themeColor="text1" w:themeTint="BF"/>
          <w:sz w:val="20"/>
          <w:szCs w:val="20"/>
        </w:rPr>
      </w:pPr>
    </w:p>
    <w:p w14:paraId="4F8983C0" w14:textId="7FA5D206" w:rsidR="00926F76" w:rsidRPr="00F93890" w:rsidRDefault="00926F76" w:rsidP="00926F76">
      <w:pPr>
        <w:jc w:val="both"/>
        <w:rPr>
          <w:rFonts w:ascii="Georgia" w:hAnsi="Georgia"/>
          <w:i/>
          <w:iCs/>
          <w:color w:val="404040" w:themeColor="text1" w:themeTint="BF"/>
          <w:sz w:val="20"/>
          <w:szCs w:val="20"/>
        </w:rPr>
      </w:pPr>
      <w:r w:rsidRPr="00F93890">
        <w:rPr>
          <w:rFonts w:ascii="Georgia" w:hAnsi="Georgia"/>
          <w:i/>
          <w:iCs/>
          <w:color w:val="404040" w:themeColor="text1" w:themeTint="BF"/>
          <w:sz w:val="20"/>
          <w:szCs w:val="20"/>
        </w:rPr>
        <w:t>Post Period End</w:t>
      </w:r>
      <w:r w:rsidR="00AF3E05">
        <w:rPr>
          <w:rFonts w:ascii="Georgia" w:hAnsi="Georgia"/>
          <w:i/>
          <w:iCs/>
          <w:color w:val="404040" w:themeColor="text1" w:themeTint="BF"/>
          <w:sz w:val="20"/>
          <w:szCs w:val="20"/>
        </w:rPr>
        <w:t xml:space="preserve"> Acquisition</w:t>
      </w:r>
    </w:p>
    <w:p w14:paraId="69903085" w14:textId="77777777" w:rsidR="00926F76" w:rsidRDefault="00926F76" w:rsidP="00926F76">
      <w:pPr>
        <w:jc w:val="both"/>
        <w:rPr>
          <w:rFonts w:ascii="Georgia" w:hAnsi="Georgia"/>
          <w:color w:val="404040" w:themeColor="text1" w:themeTint="BF"/>
          <w:sz w:val="20"/>
          <w:szCs w:val="20"/>
        </w:rPr>
      </w:pPr>
    </w:p>
    <w:p w14:paraId="79BE6349" w14:textId="1D0FCC22" w:rsidR="00926F76" w:rsidRDefault="00414180" w:rsidP="00926F76">
      <w:pPr>
        <w:pStyle w:val="bo"/>
        <w:spacing w:before="0" w:beforeAutospacing="0" w:after="0" w:afterAutospacing="0" w:line="235" w:lineRule="atLeast"/>
        <w:jc w:val="both"/>
        <w:rPr>
          <w:rFonts w:ascii="Georgia" w:hAnsi="Georgia"/>
          <w:color w:val="404040" w:themeColor="text1" w:themeTint="BF"/>
          <w:sz w:val="20"/>
          <w:szCs w:val="20"/>
          <w:lang w:eastAsia="en-US"/>
        </w:rPr>
      </w:pPr>
      <w:r>
        <w:rPr>
          <w:rFonts w:ascii="Georgia" w:hAnsi="Georgia"/>
          <w:color w:val="404040" w:themeColor="text1" w:themeTint="BF"/>
          <w:sz w:val="20"/>
          <w:szCs w:val="20"/>
        </w:rPr>
        <w:t xml:space="preserve">On 21 August 2020, </w:t>
      </w:r>
      <w:r w:rsidRPr="00F93890">
        <w:rPr>
          <w:rFonts w:ascii="Georgia" w:hAnsi="Georgia"/>
          <w:color w:val="404040" w:themeColor="text1" w:themeTint="BF"/>
          <w:sz w:val="20"/>
          <w:szCs w:val="20"/>
          <w:lang w:eastAsia="en-US"/>
        </w:rPr>
        <w:t xml:space="preserve">the Company </w:t>
      </w:r>
      <w:r>
        <w:rPr>
          <w:rFonts w:ascii="Georgia" w:hAnsi="Georgia"/>
          <w:color w:val="404040" w:themeColor="text1" w:themeTint="BF"/>
          <w:sz w:val="20"/>
          <w:szCs w:val="20"/>
        </w:rPr>
        <w:t xml:space="preserve">successfully completed a </w:t>
      </w:r>
      <w:r w:rsidR="00F37C32">
        <w:rPr>
          <w:rFonts w:ascii="Georgia" w:hAnsi="Georgia"/>
          <w:color w:val="404040" w:themeColor="text1" w:themeTint="BF"/>
          <w:sz w:val="20"/>
          <w:szCs w:val="20"/>
        </w:rPr>
        <w:t>material acquisition</w:t>
      </w:r>
      <w:r>
        <w:rPr>
          <w:rFonts w:ascii="Georgia" w:hAnsi="Georgia"/>
          <w:color w:val="404040" w:themeColor="text1" w:themeTint="BF"/>
          <w:sz w:val="20"/>
          <w:szCs w:val="20"/>
        </w:rPr>
        <w:t xml:space="preserve"> of a </w:t>
      </w:r>
      <w:r w:rsidRPr="00F93890">
        <w:rPr>
          <w:rFonts w:ascii="Georgia" w:hAnsi="Georgia"/>
          <w:color w:val="404040" w:themeColor="text1" w:themeTint="BF"/>
          <w:sz w:val="20"/>
          <w:szCs w:val="20"/>
          <w:lang w:eastAsia="en-US"/>
        </w:rPr>
        <w:t>UK-based portfolio of 15 plants with a total installed capacity of 64.</w:t>
      </w:r>
      <w:r>
        <w:rPr>
          <w:rFonts w:ascii="Georgia" w:hAnsi="Georgia"/>
          <w:color w:val="404040" w:themeColor="text1" w:themeTint="BF"/>
          <w:sz w:val="20"/>
          <w:szCs w:val="20"/>
        </w:rPr>
        <w:t>2</w:t>
      </w:r>
      <w:r w:rsidRPr="00F93890">
        <w:rPr>
          <w:rFonts w:ascii="Georgia" w:hAnsi="Georgia"/>
          <w:color w:val="404040" w:themeColor="text1" w:themeTint="BF"/>
          <w:sz w:val="20"/>
          <w:szCs w:val="20"/>
          <w:lang w:eastAsia="en-US"/>
        </w:rPr>
        <w:t xml:space="preserve">MWp for an initial cash consideration of £106.6 million </w:t>
      </w:r>
      <w:r>
        <w:rPr>
          <w:rFonts w:ascii="Georgia" w:hAnsi="Georgia"/>
          <w:color w:val="404040" w:themeColor="text1" w:themeTint="BF"/>
          <w:sz w:val="20"/>
          <w:szCs w:val="20"/>
          <w:lang w:eastAsia="en-US"/>
        </w:rPr>
        <w:t>(</w:t>
      </w:r>
      <w:r w:rsidRPr="00F93890">
        <w:rPr>
          <w:rFonts w:ascii="Georgia" w:hAnsi="Georgia"/>
          <w:color w:val="404040" w:themeColor="text1" w:themeTint="BF"/>
          <w:sz w:val="20"/>
          <w:szCs w:val="20"/>
          <w:lang w:eastAsia="en-US"/>
        </w:rPr>
        <w:t>including working capital</w:t>
      </w:r>
      <w:r>
        <w:rPr>
          <w:rFonts w:ascii="Georgia" w:hAnsi="Georgia"/>
          <w:color w:val="404040" w:themeColor="text1" w:themeTint="BF"/>
          <w:sz w:val="20"/>
          <w:szCs w:val="20"/>
          <w:lang w:eastAsia="en-US"/>
        </w:rPr>
        <w:t xml:space="preserve">) with deferred consideration of </w:t>
      </w:r>
      <w:r w:rsidRPr="00F93890">
        <w:rPr>
          <w:rFonts w:ascii="Georgia" w:hAnsi="Georgia"/>
          <w:color w:val="404040" w:themeColor="text1" w:themeTint="BF"/>
          <w:sz w:val="20"/>
          <w:szCs w:val="20"/>
          <w:lang w:eastAsia="en-US"/>
        </w:rPr>
        <w:t>up to £2.1 million, contingent on securing asset life extensions</w:t>
      </w:r>
      <w:r>
        <w:rPr>
          <w:rFonts w:ascii="Georgia" w:hAnsi="Georgia"/>
          <w:color w:val="404040" w:themeColor="text1" w:themeTint="BF"/>
          <w:sz w:val="20"/>
          <w:szCs w:val="20"/>
          <w:lang w:eastAsia="en-US"/>
        </w:rPr>
        <w:t>. Notwithstanding the timing of the acquisition, t</w:t>
      </w:r>
      <w:r w:rsidRPr="00F93890">
        <w:rPr>
          <w:rFonts w:ascii="Georgia" w:hAnsi="Georgia"/>
          <w:color w:val="404040" w:themeColor="text1" w:themeTint="BF"/>
          <w:sz w:val="20"/>
          <w:szCs w:val="20"/>
          <w:lang w:eastAsia="en-US"/>
        </w:rPr>
        <w:t>he Company will receive the economic benefit of th</w:t>
      </w:r>
      <w:r>
        <w:rPr>
          <w:rFonts w:ascii="Georgia" w:hAnsi="Georgia"/>
          <w:color w:val="404040" w:themeColor="text1" w:themeTint="BF"/>
          <w:sz w:val="20"/>
          <w:szCs w:val="20"/>
          <w:lang w:eastAsia="en-US"/>
        </w:rPr>
        <w:t>e</w:t>
      </w:r>
      <w:r w:rsidRPr="00F93890">
        <w:rPr>
          <w:rFonts w:ascii="Georgia" w:hAnsi="Georgia"/>
          <w:color w:val="404040" w:themeColor="text1" w:themeTint="BF"/>
          <w:sz w:val="20"/>
          <w:szCs w:val="20"/>
          <w:lang w:eastAsia="en-US"/>
        </w:rPr>
        <w:t xml:space="preserve"> portfolio from 1 January 2020.</w:t>
      </w:r>
    </w:p>
    <w:p w14:paraId="559B15CF" w14:textId="77777777" w:rsidR="00414180" w:rsidRDefault="00414180" w:rsidP="00926F76">
      <w:pPr>
        <w:pStyle w:val="bo"/>
        <w:spacing w:before="0" w:beforeAutospacing="0" w:after="0" w:afterAutospacing="0" w:line="235" w:lineRule="atLeast"/>
        <w:jc w:val="both"/>
        <w:rPr>
          <w:rFonts w:ascii="Georgia" w:hAnsi="Georgia"/>
          <w:color w:val="404040" w:themeColor="text1" w:themeTint="BF"/>
          <w:sz w:val="20"/>
          <w:szCs w:val="20"/>
          <w:lang w:eastAsia="en-US"/>
        </w:rPr>
      </w:pPr>
    </w:p>
    <w:p w14:paraId="17F3E421" w14:textId="69FB8075" w:rsidR="00926F76" w:rsidRPr="00F93890" w:rsidRDefault="00926F76" w:rsidP="00926F76">
      <w:pPr>
        <w:pStyle w:val="bo"/>
        <w:tabs>
          <w:tab w:val="left" w:pos="2156"/>
        </w:tabs>
        <w:spacing w:before="0" w:beforeAutospacing="0" w:after="0" w:afterAutospacing="0" w:line="235" w:lineRule="atLeast"/>
        <w:jc w:val="both"/>
        <w:rPr>
          <w:rFonts w:ascii="Georgia" w:hAnsi="Georgia"/>
          <w:color w:val="404040" w:themeColor="text1" w:themeTint="BF"/>
          <w:sz w:val="20"/>
          <w:szCs w:val="20"/>
          <w:lang w:eastAsia="en-US"/>
        </w:rPr>
      </w:pPr>
      <w:r w:rsidRPr="00F93890">
        <w:rPr>
          <w:rFonts w:ascii="Georgia" w:hAnsi="Georgia"/>
          <w:color w:val="404040" w:themeColor="text1" w:themeTint="BF"/>
          <w:sz w:val="20"/>
          <w:szCs w:val="20"/>
          <w:lang w:eastAsia="en-US"/>
        </w:rPr>
        <w:t>The portfolio consists of 15 ground-mounted operational solar PV plants, with 8 sites clustered in the south west of England, 2 in west Wales and a further 5 across central and eastern England. The portfolio benefits from attractive subsidies; 13 of the projects are accredited under the Renewable Obligation Certificate (‘ROC’) regime with tariffs ranging from 1.4 – 2.0 ROCs, while two of the projects are accredited under the feed-in-tariff (‘</w:t>
      </w:r>
      <w:proofErr w:type="spellStart"/>
      <w:r w:rsidRPr="00F93890">
        <w:rPr>
          <w:rFonts w:ascii="Georgia" w:hAnsi="Georgia"/>
          <w:color w:val="404040" w:themeColor="text1" w:themeTint="BF"/>
          <w:sz w:val="20"/>
          <w:szCs w:val="20"/>
          <w:lang w:eastAsia="en-US"/>
        </w:rPr>
        <w:t>FiT</w:t>
      </w:r>
      <w:proofErr w:type="spellEnd"/>
      <w:r w:rsidRPr="00F93890">
        <w:rPr>
          <w:rFonts w:ascii="Georgia" w:hAnsi="Georgia"/>
          <w:color w:val="404040" w:themeColor="text1" w:themeTint="BF"/>
          <w:sz w:val="20"/>
          <w:szCs w:val="20"/>
          <w:lang w:eastAsia="en-US"/>
        </w:rPr>
        <w:t xml:space="preserve">’) scheme.  Including the </w:t>
      </w:r>
      <w:proofErr w:type="spellStart"/>
      <w:r w:rsidRPr="00F93890">
        <w:rPr>
          <w:rFonts w:ascii="Georgia" w:hAnsi="Georgia"/>
          <w:color w:val="404040" w:themeColor="text1" w:themeTint="BF"/>
          <w:sz w:val="20"/>
          <w:szCs w:val="20"/>
          <w:lang w:eastAsia="en-US"/>
        </w:rPr>
        <w:t>FiT</w:t>
      </w:r>
      <w:proofErr w:type="spellEnd"/>
      <w:r w:rsidRPr="00F93890">
        <w:rPr>
          <w:rFonts w:ascii="Georgia" w:hAnsi="Georgia"/>
          <w:color w:val="404040" w:themeColor="text1" w:themeTint="BF"/>
          <w:sz w:val="20"/>
          <w:szCs w:val="20"/>
          <w:lang w:eastAsia="en-US"/>
        </w:rPr>
        <w:t xml:space="preserve"> projects, the weighted average tariff for the p</w:t>
      </w:r>
      <w:r w:rsidR="00414180">
        <w:rPr>
          <w:rFonts w:ascii="Georgia" w:hAnsi="Georgia"/>
          <w:color w:val="404040" w:themeColor="text1" w:themeTint="BF"/>
          <w:sz w:val="20"/>
          <w:szCs w:val="20"/>
          <w:lang w:eastAsia="en-US"/>
        </w:rPr>
        <w:t>ortfolio is equivalent to c</w:t>
      </w:r>
      <w:r w:rsidR="00777609">
        <w:rPr>
          <w:rFonts w:ascii="Georgia" w:hAnsi="Georgia"/>
          <w:color w:val="404040" w:themeColor="text1" w:themeTint="BF"/>
          <w:sz w:val="20"/>
          <w:szCs w:val="20"/>
          <w:lang w:eastAsia="en-US"/>
        </w:rPr>
        <w:t>.</w:t>
      </w:r>
      <w:r w:rsidRPr="00F93890">
        <w:rPr>
          <w:rFonts w:ascii="Georgia" w:hAnsi="Georgia"/>
          <w:color w:val="404040" w:themeColor="text1" w:themeTint="BF"/>
          <w:sz w:val="20"/>
          <w:szCs w:val="20"/>
          <w:lang w:eastAsia="en-US"/>
        </w:rPr>
        <w:t>1.8 ROCs/MWh.  In the period 2021-2033 (2033 being the year in which the subsidies on the earliest plants begin to expire), the proportion of regulated revenues from this portfolio is projected to be approximately 66% (</w:t>
      </w:r>
      <w:r w:rsidRPr="000746EE">
        <w:rPr>
          <w:rFonts w:ascii="Georgia" w:hAnsi="Georgia"/>
          <w:color w:val="404040" w:themeColor="text1" w:themeTint="BF"/>
          <w:sz w:val="20"/>
          <w:szCs w:val="20"/>
          <w:lang w:eastAsia="en-US"/>
        </w:rPr>
        <w:t>compared to 59%</w:t>
      </w:r>
      <w:r w:rsidRPr="00F93890">
        <w:rPr>
          <w:rFonts w:ascii="Georgia" w:hAnsi="Georgia"/>
          <w:color w:val="404040" w:themeColor="text1" w:themeTint="BF"/>
          <w:sz w:val="20"/>
          <w:szCs w:val="20"/>
          <w:lang w:eastAsia="en-US"/>
        </w:rPr>
        <w:t xml:space="preserve"> for the Company’s existing portfolio).</w:t>
      </w:r>
    </w:p>
    <w:p w14:paraId="77339A66" w14:textId="5DF18C33" w:rsidR="00414180" w:rsidRDefault="00414180" w:rsidP="00926F76">
      <w:pPr>
        <w:pStyle w:val="bo"/>
        <w:spacing w:before="0" w:beforeAutospacing="0" w:after="0" w:afterAutospacing="0" w:line="235" w:lineRule="atLeast"/>
        <w:jc w:val="both"/>
        <w:rPr>
          <w:rFonts w:ascii="Georgia" w:hAnsi="Georgia"/>
          <w:color w:val="404040" w:themeColor="text1" w:themeTint="BF"/>
          <w:sz w:val="20"/>
          <w:szCs w:val="20"/>
          <w:lang w:eastAsia="en-US"/>
        </w:rPr>
      </w:pPr>
    </w:p>
    <w:p w14:paraId="093F1740" w14:textId="25617222" w:rsidR="00926F76" w:rsidRDefault="00926F76" w:rsidP="00926F76">
      <w:pPr>
        <w:pStyle w:val="bo"/>
        <w:spacing w:before="0" w:beforeAutospacing="0" w:after="0" w:afterAutospacing="0" w:line="235" w:lineRule="atLeast"/>
        <w:jc w:val="both"/>
        <w:rPr>
          <w:rFonts w:ascii="Georgia" w:hAnsi="Georgia"/>
          <w:color w:val="404040" w:themeColor="text1" w:themeTint="BF"/>
          <w:sz w:val="20"/>
          <w:szCs w:val="20"/>
          <w:lang w:eastAsia="en-US"/>
        </w:rPr>
      </w:pPr>
      <w:r w:rsidRPr="00F93890">
        <w:rPr>
          <w:rFonts w:ascii="Georgia" w:hAnsi="Georgia"/>
          <w:color w:val="404040" w:themeColor="text1" w:themeTint="BF"/>
          <w:sz w:val="20"/>
          <w:szCs w:val="20"/>
          <w:lang w:eastAsia="en-US"/>
        </w:rPr>
        <w:t>The acquisition has been financed by a bespoke</w:t>
      </w:r>
      <w:r>
        <w:rPr>
          <w:rFonts w:ascii="Georgia" w:hAnsi="Georgia"/>
          <w:color w:val="404040" w:themeColor="text1" w:themeTint="BF"/>
          <w:sz w:val="20"/>
          <w:szCs w:val="20"/>
          <w:lang w:eastAsia="en-US"/>
        </w:rPr>
        <w:t xml:space="preserve"> £110m</w:t>
      </w:r>
      <w:r w:rsidRPr="00F93890">
        <w:rPr>
          <w:rFonts w:ascii="Georgia" w:hAnsi="Georgia"/>
          <w:color w:val="404040" w:themeColor="text1" w:themeTint="BF"/>
          <w:sz w:val="20"/>
          <w:szCs w:val="20"/>
          <w:lang w:eastAsia="en-US"/>
        </w:rPr>
        <w:t xml:space="preserve"> three-year, interest only, re-</w:t>
      </w:r>
      <w:proofErr w:type="spellStart"/>
      <w:r w:rsidRPr="00F93890">
        <w:rPr>
          <w:rFonts w:ascii="Georgia" w:hAnsi="Georgia"/>
          <w:color w:val="404040" w:themeColor="text1" w:themeTint="BF"/>
          <w:sz w:val="20"/>
          <w:szCs w:val="20"/>
          <w:lang w:eastAsia="en-US"/>
        </w:rPr>
        <w:t>drawable</w:t>
      </w:r>
      <w:proofErr w:type="spellEnd"/>
      <w:r w:rsidRPr="00F93890">
        <w:rPr>
          <w:rFonts w:ascii="Georgia" w:hAnsi="Georgia"/>
          <w:color w:val="404040" w:themeColor="text1" w:themeTint="BF"/>
          <w:sz w:val="20"/>
          <w:szCs w:val="20"/>
          <w:lang w:eastAsia="en-US"/>
        </w:rPr>
        <w:t xml:space="preserve"> term loan at an effective all in cost of </w:t>
      </w:r>
      <w:r w:rsidR="005F3337">
        <w:rPr>
          <w:rFonts w:ascii="Georgia" w:hAnsi="Georgia"/>
          <w:color w:val="404040" w:themeColor="text1" w:themeTint="BF"/>
          <w:sz w:val="20"/>
          <w:szCs w:val="20"/>
          <w:lang w:eastAsia="en-US"/>
        </w:rPr>
        <w:t>c.</w:t>
      </w:r>
      <w:r w:rsidR="0019209D">
        <w:rPr>
          <w:rFonts w:ascii="Georgia" w:hAnsi="Georgia"/>
          <w:color w:val="404040" w:themeColor="text1" w:themeTint="BF"/>
          <w:sz w:val="20"/>
          <w:szCs w:val="20"/>
          <w:lang w:eastAsia="en-US"/>
        </w:rPr>
        <w:t>1</w:t>
      </w:r>
      <w:r w:rsidRPr="00F93890">
        <w:rPr>
          <w:rFonts w:ascii="Georgia" w:hAnsi="Georgia"/>
          <w:color w:val="404040" w:themeColor="text1" w:themeTint="BF"/>
          <w:sz w:val="20"/>
          <w:szCs w:val="20"/>
          <w:lang w:eastAsia="en-US"/>
        </w:rPr>
        <w:t>.40% (being margin and swap rate)</w:t>
      </w:r>
      <w:r>
        <w:rPr>
          <w:rFonts w:ascii="Georgia" w:hAnsi="Georgia"/>
          <w:color w:val="404040" w:themeColor="text1" w:themeTint="BF"/>
          <w:sz w:val="20"/>
          <w:szCs w:val="20"/>
          <w:lang w:eastAsia="en-US"/>
        </w:rPr>
        <w:t xml:space="preserve"> with National Westminster Bank plc, with </w:t>
      </w:r>
      <w:r w:rsidRPr="00F93890">
        <w:rPr>
          <w:rFonts w:ascii="Georgia" w:hAnsi="Georgia"/>
          <w:color w:val="404040" w:themeColor="text1" w:themeTint="BF"/>
          <w:sz w:val="20"/>
          <w:szCs w:val="20"/>
          <w:lang w:eastAsia="en-US"/>
        </w:rPr>
        <w:t>the Company elect</w:t>
      </w:r>
      <w:r>
        <w:rPr>
          <w:rFonts w:ascii="Georgia" w:hAnsi="Georgia"/>
          <w:color w:val="404040" w:themeColor="text1" w:themeTint="BF"/>
          <w:sz w:val="20"/>
          <w:szCs w:val="20"/>
          <w:lang w:eastAsia="en-US"/>
        </w:rPr>
        <w:t xml:space="preserve">ing </w:t>
      </w:r>
      <w:r w:rsidRPr="00F93890">
        <w:rPr>
          <w:rFonts w:ascii="Georgia" w:hAnsi="Georgia"/>
          <w:color w:val="404040" w:themeColor="text1" w:themeTint="BF"/>
          <w:sz w:val="20"/>
          <w:szCs w:val="20"/>
          <w:lang w:eastAsia="en-US"/>
        </w:rPr>
        <w:t xml:space="preserve">to hedge 75% of the loan over a notional 18-year period, at a swap rate of </w:t>
      </w:r>
      <w:r w:rsidR="005F3337">
        <w:rPr>
          <w:rFonts w:ascii="Georgia" w:hAnsi="Georgia"/>
          <w:color w:val="404040" w:themeColor="text1" w:themeTint="BF"/>
          <w:sz w:val="20"/>
          <w:szCs w:val="20"/>
          <w:lang w:eastAsia="en-US"/>
        </w:rPr>
        <w:t xml:space="preserve">approximately </w:t>
      </w:r>
      <w:r w:rsidR="00A31C75">
        <w:rPr>
          <w:rFonts w:ascii="Georgia" w:hAnsi="Georgia"/>
          <w:color w:val="404040" w:themeColor="text1" w:themeTint="BF"/>
          <w:sz w:val="20"/>
          <w:szCs w:val="20"/>
          <w:lang w:eastAsia="en-US"/>
        </w:rPr>
        <w:t>0.31</w:t>
      </w:r>
      <w:r w:rsidRPr="00F93890">
        <w:rPr>
          <w:rFonts w:ascii="Georgia" w:hAnsi="Georgia"/>
          <w:color w:val="404040" w:themeColor="text1" w:themeTint="BF"/>
          <w:sz w:val="20"/>
          <w:szCs w:val="20"/>
          <w:lang w:eastAsia="en-US"/>
        </w:rPr>
        <w:t>% until 2038, to provide underlying rate certainty in anticipation of a refinancing scenario in or before August 2023.</w:t>
      </w:r>
    </w:p>
    <w:p w14:paraId="78693AE4" w14:textId="77777777" w:rsidR="005D0A7C" w:rsidRPr="00F93890" w:rsidRDefault="005D0A7C" w:rsidP="00926F76">
      <w:pPr>
        <w:pStyle w:val="bo"/>
        <w:spacing w:before="0" w:beforeAutospacing="0" w:after="0" w:afterAutospacing="0" w:line="235" w:lineRule="atLeast"/>
        <w:jc w:val="both"/>
        <w:rPr>
          <w:rFonts w:ascii="Georgia" w:hAnsi="Georgia"/>
          <w:color w:val="404040" w:themeColor="text1" w:themeTint="BF"/>
          <w:sz w:val="20"/>
          <w:szCs w:val="20"/>
          <w:lang w:eastAsia="en-US"/>
        </w:rPr>
      </w:pPr>
    </w:p>
    <w:p w14:paraId="0D341E56" w14:textId="34407F88" w:rsidR="005D0A7C" w:rsidRPr="00475D47" w:rsidRDefault="005D0A7C" w:rsidP="00475D47">
      <w:pPr>
        <w:pStyle w:val="bo"/>
        <w:spacing w:before="0" w:beforeAutospacing="0" w:after="0" w:afterAutospacing="0" w:line="235" w:lineRule="atLeast"/>
        <w:jc w:val="both"/>
        <w:rPr>
          <w:rFonts w:ascii="Georgia" w:hAnsi="Georgia"/>
          <w:color w:val="4A442A" w:themeColor="background2" w:themeShade="40"/>
          <w:sz w:val="20"/>
          <w:szCs w:val="20"/>
        </w:rPr>
      </w:pPr>
      <w:r w:rsidRPr="00475D47">
        <w:rPr>
          <w:rFonts w:ascii="Georgia" w:hAnsi="Georgia"/>
          <w:color w:val="404040" w:themeColor="text1" w:themeTint="BF"/>
          <w:sz w:val="20"/>
          <w:szCs w:val="20"/>
        </w:rPr>
        <w:t xml:space="preserve">Following the transaction, the </w:t>
      </w:r>
      <w:r w:rsidR="00A50E0D">
        <w:rPr>
          <w:rFonts w:ascii="Georgia" w:hAnsi="Georgia"/>
          <w:color w:val="404040" w:themeColor="text1" w:themeTint="BF"/>
          <w:sz w:val="20"/>
          <w:szCs w:val="20"/>
        </w:rPr>
        <w:t>Group</w:t>
      </w:r>
      <w:r w:rsidRPr="00475D47">
        <w:rPr>
          <w:rFonts w:ascii="Georgia" w:hAnsi="Georgia"/>
          <w:color w:val="404040" w:themeColor="text1" w:themeTint="BF"/>
          <w:sz w:val="20"/>
          <w:szCs w:val="20"/>
        </w:rPr>
        <w:t xml:space="preserve">'s total outstanding debt has increased to £332.0 million and the total installed capacity of its portfolio has grown to 543 </w:t>
      </w:r>
      <w:proofErr w:type="spellStart"/>
      <w:r w:rsidRPr="00475D47">
        <w:rPr>
          <w:rFonts w:ascii="Georgia" w:hAnsi="Georgia"/>
          <w:color w:val="404040" w:themeColor="text1" w:themeTint="BF"/>
          <w:sz w:val="20"/>
          <w:szCs w:val="20"/>
        </w:rPr>
        <w:t>MWp</w:t>
      </w:r>
      <w:proofErr w:type="spellEnd"/>
      <w:r w:rsidRPr="00475D47">
        <w:rPr>
          <w:rFonts w:ascii="Georgia" w:hAnsi="Georgia"/>
          <w:color w:val="404040" w:themeColor="text1" w:themeTint="BF"/>
          <w:sz w:val="20"/>
          <w:szCs w:val="20"/>
        </w:rPr>
        <w:t>.</w:t>
      </w:r>
    </w:p>
    <w:p w14:paraId="55DD5A86" w14:textId="77777777" w:rsidR="007B66C1" w:rsidRPr="00475D47" w:rsidRDefault="007B66C1" w:rsidP="007B66C1">
      <w:pPr>
        <w:jc w:val="both"/>
        <w:rPr>
          <w:rFonts w:ascii="Georgia" w:hAnsi="Georgia"/>
          <w:color w:val="404040" w:themeColor="text1" w:themeTint="BF"/>
          <w:sz w:val="20"/>
          <w:szCs w:val="20"/>
        </w:rPr>
      </w:pPr>
    </w:p>
    <w:p w14:paraId="27E6A0D2" w14:textId="77777777" w:rsidR="007B66C1" w:rsidRPr="00475D47" w:rsidRDefault="007B66C1" w:rsidP="007B66C1">
      <w:pPr>
        <w:jc w:val="both"/>
        <w:rPr>
          <w:rFonts w:ascii="Georgia" w:hAnsi="Georgia"/>
          <w:color w:val="404040" w:themeColor="text1" w:themeTint="BF"/>
          <w:sz w:val="20"/>
          <w:szCs w:val="20"/>
        </w:rPr>
      </w:pPr>
      <w:r w:rsidRPr="00475D47">
        <w:rPr>
          <w:rFonts w:ascii="Georgia" w:hAnsi="Georgia"/>
          <w:color w:val="404040" w:themeColor="text1" w:themeTint="BF"/>
          <w:sz w:val="20"/>
          <w:szCs w:val="20"/>
        </w:rPr>
        <w:t xml:space="preserve">In keeping with the Investment Adviser’s objective to deliver value and return accretive acquisition opportunities to the Company, the Investment Adviser is currently assessing a range of transactions as it looks to continue its policy of securing high quality, return accretive acquisitions. </w:t>
      </w:r>
    </w:p>
    <w:p w14:paraId="0DD2F231" w14:textId="2D5E8FB7" w:rsidR="00647749" w:rsidRDefault="00647749" w:rsidP="007B66C1">
      <w:pPr>
        <w:jc w:val="both"/>
        <w:rPr>
          <w:rFonts w:ascii="Georgia" w:hAnsi="Georgia"/>
          <w:color w:val="404040" w:themeColor="text1" w:themeTint="BF"/>
          <w:sz w:val="20"/>
          <w:szCs w:val="20"/>
          <w:highlight w:val="yellow"/>
        </w:rPr>
      </w:pPr>
    </w:p>
    <w:p w14:paraId="1FBC1CB3" w14:textId="6C039A49" w:rsidR="00414180" w:rsidRDefault="00414180" w:rsidP="007B66C1">
      <w:pPr>
        <w:jc w:val="both"/>
        <w:rPr>
          <w:rFonts w:ascii="Georgia" w:hAnsi="Georgia"/>
          <w:color w:val="404040" w:themeColor="text1" w:themeTint="BF"/>
          <w:sz w:val="20"/>
          <w:szCs w:val="20"/>
          <w:highlight w:val="yellow"/>
        </w:rPr>
      </w:pPr>
    </w:p>
    <w:p w14:paraId="6142E292" w14:textId="04DD043C" w:rsidR="00414180" w:rsidRDefault="00414180" w:rsidP="007B66C1">
      <w:pPr>
        <w:jc w:val="both"/>
        <w:rPr>
          <w:rFonts w:ascii="Georgia" w:hAnsi="Georgia"/>
          <w:color w:val="404040" w:themeColor="text1" w:themeTint="BF"/>
          <w:sz w:val="20"/>
          <w:szCs w:val="20"/>
          <w:highlight w:val="yellow"/>
        </w:rPr>
      </w:pPr>
    </w:p>
    <w:p w14:paraId="2DF82C18" w14:textId="2F4828AB" w:rsidR="00414180" w:rsidRDefault="00414180" w:rsidP="007B66C1">
      <w:pPr>
        <w:jc w:val="both"/>
        <w:rPr>
          <w:rFonts w:ascii="Georgia" w:hAnsi="Georgia"/>
          <w:color w:val="404040" w:themeColor="text1" w:themeTint="BF"/>
          <w:sz w:val="20"/>
          <w:szCs w:val="20"/>
          <w:highlight w:val="yellow"/>
        </w:rPr>
      </w:pPr>
    </w:p>
    <w:p w14:paraId="7E4D039B" w14:textId="77777777" w:rsidR="00414180" w:rsidRDefault="00414180" w:rsidP="007B66C1">
      <w:pPr>
        <w:jc w:val="both"/>
        <w:rPr>
          <w:rFonts w:ascii="Georgia" w:hAnsi="Georgia"/>
          <w:color w:val="404040" w:themeColor="text1" w:themeTint="BF"/>
          <w:sz w:val="20"/>
          <w:szCs w:val="20"/>
          <w:highlight w:val="yellow"/>
        </w:rPr>
      </w:pPr>
    </w:p>
    <w:p w14:paraId="31301A7B" w14:textId="77777777" w:rsidR="00414180" w:rsidRPr="00BC3EEA" w:rsidRDefault="00414180" w:rsidP="00414180">
      <w:pPr>
        <w:pStyle w:val="Heading2"/>
        <w:spacing w:before="0"/>
      </w:pPr>
      <w:r w:rsidRPr="00BC3EEA">
        <w:lastRenderedPageBreak/>
        <w:t>Report of the Investment Adviser (continued)</w:t>
      </w:r>
    </w:p>
    <w:p w14:paraId="1D74AEC3" w14:textId="77777777" w:rsidR="00414180" w:rsidRPr="00BC3EEA" w:rsidRDefault="00414180" w:rsidP="00414180">
      <w:pPr>
        <w:jc w:val="both"/>
        <w:rPr>
          <w:rFonts w:ascii="Georgia" w:hAnsi="Georgia"/>
          <w:color w:val="404040" w:themeColor="text1" w:themeTint="BF"/>
          <w:sz w:val="20"/>
          <w:szCs w:val="20"/>
        </w:rPr>
      </w:pPr>
    </w:p>
    <w:p w14:paraId="206143A9" w14:textId="77777777" w:rsidR="00414180" w:rsidRDefault="00414180" w:rsidP="00414180">
      <w:pPr>
        <w:rPr>
          <w:rFonts w:ascii="Georgia" w:hAnsi="Georgia"/>
          <w:b/>
          <w:color w:val="4A442A" w:themeColor="background2" w:themeShade="40"/>
          <w:sz w:val="20"/>
          <w:szCs w:val="20"/>
        </w:rPr>
      </w:pPr>
      <w:r w:rsidRPr="00BC3EEA">
        <w:rPr>
          <w:rFonts w:ascii="Georgia" w:hAnsi="Georgia"/>
          <w:b/>
          <w:color w:val="4A442A" w:themeColor="background2" w:themeShade="40"/>
          <w:sz w:val="20"/>
          <w:szCs w:val="20"/>
        </w:rPr>
        <w:t>2. Portfolio: Acquisitions, Performance and Value Enhancement (continued)</w:t>
      </w:r>
    </w:p>
    <w:p w14:paraId="548E6ADE" w14:textId="77777777" w:rsidR="00414180" w:rsidRDefault="00414180" w:rsidP="007B66C1">
      <w:pPr>
        <w:jc w:val="both"/>
        <w:rPr>
          <w:rFonts w:ascii="Georgia" w:hAnsi="Georgia"/>
          <w:b/>
          <w:bCs/>
          <w:color w:val="404040" w:themeColor="text1" w:themeTint="BF"/>
          <w:sz w:val="20"/>
          <w:szCs w:val="20"/>
          <w:highlight w:val="yellow"/>
        </w:rPr>
      </w:pPr>
    </w:p>
    <w:p w14:paraId="0F1DA40C" w14:textId="66C2A705" w:rsidR="00647749" w:rsidRPr="0025653C" w:rsidRDefault="00647749" w:rsidP="007B66C1">
      <w:pPr>
        <w:jc w:val="both"/>
        <w:rPr>
          <w:rFonts w:ascii="Georgia" w:hAnsi="Georgia"/>
          <w:b/>
          <w:bCs/>
          <w:color w:val="404040" w:themeColor="text1" w:themeTint="BF"/>
          <w:sz w:val="20"/>
          <w:szCs w:val="20"/>
        </w:rPr>
      </w:pPr>
      <w:r w:rsidRPr="0025653C">
        <w:rPr>
          <w:rFonts w:ascii="Georgia" w:hAnsi="Georgia"/>
          <w:b/>
          <w:bCs/>
          <w:color w:val="404040" w:themeColor="text1" w:themeTint="BF"/>
          <w:sz w:val="20"/>
          <w:szCs w:val="20"/>
        </w:rPr>
        <w:t>Subsidy Free</w:t>
      </w:r>
    </w:p>
    <w:p w14:paraId="167BD271" w14:textId="3EA36B0C" w:rsidR="00647749" w:rsidRDefault="00647749" w:rsidP="007B66C1">
      <w:pPr>
        <w:jc w:val="both"/>
        <w:rPr>
          <w:rFonts w:ascii="Georgia" w:hAnsi="Georgia"/>
          <w:b/>
          <w:bCs/>
          <w:color w:val="404040" w:themeColor="text1" w:themeTint="BF"/>
          <w:sz w:val="20"/>
          <w:szCs w:val="20"/>
          <w:highlight w:val="yellow"/>
        </w:rPr>
      </w:pPr>
    </w:p>
    <w:p w14:paraId="1AD09B8E" w14:textId="77777777" w:rsidR="000746EE" w:rsidRDefault="000746EE" w:rsidP="000746EE">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The Investment Adviser has continued to monitor the progression of development across the market and through a select number of partners, has grown the Company’s proprietary pipeline to over 350MWp.</w:t>
      </w:r>
    </w:p>
    <w:p w14:paraId="4FEC651C" w14:textId="77777777" w:rsidR="000746EE" w:rsidRDefault="000746EE" w:rsidP="000746EE">
      <w:pPr>
        <w:pStyle w:val="ListParagraph"/>
        <w:ind w:left="0"/>
        <w:jc w:val="both"/>
        <w:rPr>
          <w:rFonts w:ascii="Georgia" w:hAnsi="Georgia"/>
          <w:color w:val="404040" w:themeColor="text1" w:themeTint="BF"/>
          <w:sz w:val="20"/>
          <w:szCs w:val="20"/>
        </w:rPr>
      </w:pPr>
    </w:p>
    <w:p w14:paraId="3AEFCACC" w14:textId="77777777" w:rsidR="000746EE" w:rsidRDefault="000746EE" w:rsidP="000746EE">
      <w:pPr>
        <w:jc w:val="both"/>
        <w:rPr>
          <w:rFonts w:ascii="Georgia" w:hAnsi="Georgia"/>
          <w:b/>
          <w:bCs/>
          <w:color w:val="404040" w:themeColor="text1" w:themeTint="BF"/>
          <w:sz w:val="20"/>
          <w:szCs w:val="20"/>
          <w:highlight w:val="yellow"/>
        </w:rPr>
      </w:pPr>
      <w:r>
        <w:rPr>
          <w:rFonts w:ascii="Georgia" w:hAnsi="Georgia"/>
          <w:color w:val="404040" w:themeColor="text1" w:themeTint="BF"/>
          <w:sz w:val="20"/>
          <w:szCs w:val="20"/>
        </w:rPr>
        <w:t>Whilst there remains considerable opportunity for the Company’s development pipeline to continue to grow, additions will only be done on a highly selective basis.</w:t>
      </w:r>
    </w:p>
    <w:p w14:paraId="140FD678" w14:textId="77777777" w:rsidR="00647749" w:rsidRDefault="00647749" w:rsidP="007B66C1">
      <w:pPr>
        <w:jc w:val="both"/>
        <w:rPr>
          <w:rFonts w:ascii="Georgia" w:hAnsi="Georgia"/>
          <w:b/>
          <w:bCs/>
          <w:color w:val="404040" w:themeColor="text1" w:themeTint="BF"/>
          <w:sz w:val="20"/>
          <w:szCs w:val="20"/>
          <w:highlight w:val="yellow"/>
        </w:rPr>
      </w:pPr>
    </w:p>
    <w:p w14:paraId="193E73B6" w14:textId="7ACFC68D" w:rsidR="00647749" w:rsidRPr="00862D77" w:rsidRDefault="00647749" w:rsidP="007B66C1">
      <w:pPr>
        <w:jc w:val="both"/>
        <w:rPr>
          <w:rFonts w:ascii="Georgia" w:hAnsi="Georgia"/>
          <w:b/>
          <w:bCs/>
          <w:color w:val="404040" w:themeColor="text1" w:themeTint="BF"/>
          <w:sz w:val="20"/>
          <w:szCs w:val="20"/>
        </w:rPr>
      </w:pPr>
      <w:r w:rsidRPr="00862D77">
        <w:rPr>
          <w:rFonts w:ascii="Georgia" w:hAnsi="Georgia"/>
          <w:b/>
          <w:bCs/>
          <w:color w:val="404040" w:themeColor="text1" w:themeTint="BF"/>
          <w:sz w:val="20"/>
          <w:szCs w:val="20"/>
        </w:rPr>
        <w:t>Performance</w:t>
      </w:r>
    </w:p>
    <w:p w14:paraId="07231703" w14:textId="77777777" w:rsidR="007B66C1" w:rsidRPr="00904E51" w:rsidRDefault="007B66C1" w:rsidP="007B66C1">
      <w:pPr>
        <w:jc w:val="both"/>
        <w:rPr>
          <w:rFonts w:ascii="Georgia" w:hAnsi="Georgia"/>
          <w:color w:val="404040" w:themeColor="text1" w:themeTint="BF"/>
          <w:sz w:val="20"/>
          <w:szCs w:val="20"/>
          <w:highlight w:val="yellow"/>
        </w:rPr>
      </w:pPr>
    </w:p>
    <w:p w14:paraId="08E98B26" w14:textId="072A3F8D" w:rsidR="007B66C1" w:rsidRPr="00BC3EEA" w:rsidRDefault="007B66C1" w:rsidP="007B66C1">
      <w:pPr>
        <w:pStyle w:val="ListParagraph"/>
        <w:ind w:left="0"/>
        <w:jc w:val="both"/>
        <w:rPr>
          <w:rFonts w:ascii="Georgia" w:hAnsi="Georgia"/>
          <w:color w:val="404040" w:themeColor="text1" w:themeTint="BF"/>
          <w:sz w:val="20"/>
          <w:szCs w:val="20"/>
        </w:rPr>
      </w:pPr>
      <w:r w:rsidRPr="00BC3EEA">
        <w:rPr>
          <w:rFonts w:ascii="Georgia" w:hAnsi="Georgia"/>
          <w:color w:val="404040" w:themeColor="text1" w:themeTint="BF"/>
          <w:sz w:val="20"/>
          <w:szCs w:val="20"/>
        </w:rPr>
        <w:t>In the year to 3o June 2020 the portfolio, with a total installed capacity of 478.</w:t>
      </w:r>
      <w:r w:rsidR="00382DDD">
        <w:rPr>
          <w:rFonts w:ascii="Georgia" w:hAnsi="Georgia"/>
          <w:color w:val="404040" w:themeColor="text1" w:themeTint="BF"/>
          <w:sz w:val="20"/>
          <w:szCs w:val="20"/>
        </w:rPr>
        <w:t>8</w:t>
      </w:r>
      <w:r w:rsidRPr="00BC3EEA">
        <w:rPr>
          <w:rFonts w:ascii="Georgia" w:hAnsi="Georgia"/>
          <w:color w:val="404040" w:themeColor="text1" w:themeTint="BF"/>
          <w:sz w:val="20"/>
          <w:szCs w:val="20"/>
        </w:rPr>
        <w:t>MWp, achieved a net PR of 79.12% (2019: 81.5%), against a</w:t>
      </w:r>
      <w:r>
        <w:rPr>
          <w:rFonts w:ascii="Georgia" w:hAnsi="Georgia"/>
          <w:color w:val="404040" w:themeColor="text1" w:themeTint="BF"/>
          <w:sz w:val="20"/>
          <w:szCs w:val="20"/>
        </w:rPr>
        <w:t xml:space="preserve"> forecast </w:t>
      </w:r>
      <w:r w:rsidRPr="00BC3EEA">
        <w:rPr>
          <w:rFonts w:ascii="Georgia" w:hAnsi="Georgia"/>
          <w:color w:val="404040" w:themeColor="text1" w:themeTint="BF"/>
          <w:sz w:val="20"/>
          <w:szCs w:val="20"/>
        </w:rPr>
        <w:t>of 8</w:t>
      </w:r>
      <w:r>
        <w:rPr>
          <w:rFonts w:ascii="Georgia" w:hAnsi="Georgia"/>
          <w:color w:val="404040" w:themeColor="text1" w:themeTint="BF"/>
          <w:sz w:val="20"/>
          <w:szCs w:val="20"/>
        </w:rPr>
        <w:t>1.22</w:t>
      </w:r>
      <w:r w:rsidRPr="00BC3EEA">
        <w:rPr>
          <w:rFonts w:ascii="Georgia" w:hAnsi="Georgia"/>
          <w:color w:val="404040" w:themeColor="text1" w:themeTint="BF"/>
          <w:sz w:val="20"/>
          <w:szCs w:val="20"/>
        </w:rPr>
        <w:t>%</w:t>
      </w:r>
      <w:r>
        <w:rPr>
          <w:rFonts w:ascii="Georgia" w:hAnsi="Georgia"/>
          <w:color w:val="404040" w:themeColor="text1" w:themeTint="BF"/>
          <w:sz w:val="20"/>
          <w:szCs w:val="20"/>
        </w:rPr>
        <w:t>, generating 4.88GWh of power, 8.3% above the forecasted level.</w:t>
      </w:r>
    </w:p>
    <w:p w14:paraId="028BE376" w14:textId="77777777" w:rsidR="007B66C1" w:rsidRPr="00BC3EEA" w:rsidRDefault="007B66C1" w:rsidP="007B66C1">
      <w:pPr>
        <w:jc w:val="both"/>
        <w:rPr>
          <w:rFonts w:ascii="Georgia" w:hAnsi="Georgia" w:cs="Calibri"/>
          <w:color w:val="404040" w:themeColor="text1" w:themeTint="BF"/>
          <w:sz w:val="18"/>
          <w:szCs w:val="18"/>
        </w:rPr>
      </w:pPr>
    </w:p>
    <w:p w14:paraId="4BA1D140" w14:textId="77777777" w:rsidR="007B66C1" w:rsidRPr="00BC3EEA" w:rsidRDefault="007B66C1" w:rsidP="007B66C1">
      <w:pPr>
        <w:rPr>
          <w:rFonts w:ascii="Georgia" w:hAnsi="Georgia"/>
          <w:color w:val="404040" w:themeColor="text1" w:themeTint="BF"/>
          <w:sz w:val="20"/>
          <w:szCs w:val="20"/>
        </w:rPr>
      </w:pPr>
      <w:r w:rsidRPr="00BC3EEA">
        <w:rPr>
          <w:rFonts w:ascii="Georgia" w:hAnsi="Georgia"/>
          <w:color w:val="404040" w:themeColor="text1" w:themeTint="BF"/>
          <w:sz w:val="20"/>
          <w:szCs w:val="20"/>
        </w:rPr>
        <w:t>Table 1. Summary of BSIF Portfolio Performance for 2019/</w:t>
      </w:r>
      <w:r>
        <w:rPr>
          <w:rFonts w:ascii="Georgia" w:hAnsi="Georgia"/>
          <w:color w:val="404040" w:themeColor="text1" w:themeTint="BF"/>
          <w:sz w:val="20"/>
          <w:szCs w:val="20"/>
        </w:rPr>
        <w:t>20</w:t>
      </w:r>
      <w:r w:rsidRPr="00BC3EEA">
        <w:rPr>
          <w:rFonts w:ascii="Georgia" w:hAnsi="Georgia"/>
          <w:color w:val="404040" w:themeColor="text1" w:themeTint="BF"/>
          <w:sz w:val="20"/>
          <w:szCs w:val="20"/>
        </w:rPr>
        <w:t>:</w:t>
      </w:r>
    </w:p>
    <w:p w14:paraId="19E5649D" w14:textId="77777777" w:rsidR="007B66C1" w:rsidRPr="00BC3EEA" w:rsidRDefault="007B66C1" w:rsidP="007B66C1">
      <w:pPr>
        <w:rPr>
          <w:rFonts w:ascii="Georgia" w:hAnsi="Georgia"/>
          <w:color w:val="404040" w:themeColor="text1" w:themeTint="BF"/>
          <w:sz w:val="18"/>
          <w:szCs w:val="18"/>
        </w:rPr>
      </w:pPr>
    </w:p>
    <w:tbl>
      <w:tblPr>
        <w:tblW w:w="9072" w:type="dxa"/>
        <w:tblInd w:w="108" w:type="dxa"/>
        <w:tblCellMar>
          <w:left w:w="0" w:type="dxa"/>
          <w:right w:w="0" w:type="dxa"/>
        </w:tblCellMar>
        <w:tblLook w:val="04A0" w:firstRow="1" w:lastRow="0" w:firstColumn="1" w:lastColumn="0" w:noHBand="0" w:noVBand="1"/>
      </w:tblPr>
      <w:tblGrid>
        <w:gridCol w:w="2562"/>
        <w:gridCol w:w="1146"/>
        <w:gridCol w:w="1137"/>
        <w:gridCol w:w="1314"/>
        <w:gridCol w:w="1246"/>
        <w:gridCol w:w="1667"/>
      </w:tblGrid>
      <w:tr w:rsidR="00382DDD" w:rsidRPr="00BC3EEA" w14:paraId="2557BEF2" w14:textId="77777777" w:rsidTr="006F0858">
        <w:tc>
          <w:tcPr>
            <w:tcW w:w="2562" w:type="dxa"/>
            <w:tcBorders>
              <w:top w:val="nil"/>
              <w:left w:val="nil"/>
              <w:bottom w:val="single" w:sz="8" w:space="0" w:color="000000"/>
              <w:right w:val="single" w:sz="8" w:space="0" w:color="000000"/>
            </w:tcBorders>
            <w:tcMar>
              <w:top w:w="0" w:type="dxa"/>
              <w:left w:w="108" w:type="dxa"/>
              <w:bottom w:w="0" w:type="dxa"/>
              <w:right w:w="108" w:type="dxa"/>
            </w:tcMar>
            <w:hideMark/>
          </w:tcPr>
          <w:p w14:paraId="105195C8" w14:textId="77777777" w:rsidR="00382DDD" w:rsidRPr="00183E27" w:rsidRDefault="00382DDD" w:rsidP="00382DDD">
            <w:pPr>
              <w:rPr>
                <w:rFonts w:ascii="Georgia" w:hAnsi="Georgia"/>
                <w:lang w:eastAsia="en-GB"/>
              </w:rPr>
            </w:pPr>
            <w:r w:rsidRPr="00183E27">
              <w:rPr>
                <w:rFonts w:ascii="Georgia" w:hAnsi="Georgia"/>
                <w:color w:val="FFFFFF"/>
                <w:sz w:val="20"/>
                <w:szCs w:val="20"/>
              </w:rPr>
              <w:t> </w:t>
            </w:r>
          </w:p>
        </w:tc>
        <w:tc>
          <w:tcPr>
            <w:tcW w:w="1146" w:type="dxa"/>
            <w:tcBorders>
              <w:top w:val="single" w:sz="8" w:space="0" w:color="000000"/>
              <w:left w:val="nil"/>
              <w:bottom w:val="single" w:sz="8" w:space="0" w:color="000000"/>
              <w:right w:val="single" w:sz="8" w:space="0" w:color="000000"/>
            </w:tcBorders>
            <w:shd w:val="clear" w:color="auto" w:fill="215868" w:themeFill="accent5" w:themeFillShade="80"/>
            <w:tcMar>
              <w:top w:w="0" w:type="dxa"/>
              <w:left w:w="108" w:type="dxa"/>
              <w:bottom w:w="0" w:type="dxa"/>
              <w:right w:w="108" w:type="dxa"/>
            </w:tcMar>
            <w:vAlign w:val="bottom"/>
            <w:hideMark/>
          </w:tcPr>
          <w:p w14:paraId="24EBDCB8" w14:textId="6049C2E1" w:rsidR="00382DDD" w:rsidRPr="00183E27" w:rsidRDefault="00382DDD" w:rsidP="00382DDD">
            <w:pPr>
              <w:jc w:val="center"/>
              <w:rPr>
                <w:rFonts w:ascii="Georgia" w:hAnsi="Georgia"/>
              </w:rPr>
            </w:pPr>
            <w:r w:rsidRPr="00183E27">
              <w:rPr>
                <w:rFonts w:ascii="Georgia" w:hAnsi="Georgia"/>
                <w:color w:val="FFFFFF"/>
                <w:sz w:val="20"/>
                <w:szCs w:val="20"/>
              </w:rPr>
              <w:t>Actual 20</w:t>
            </w:r>
            <w:r>
              <w:rPr>
                <w:rFonts w:ascii="Georgia" w:hAnsi="Georgia"/>
                <w:color w:val="FFFFFF"/>
                <w:sz w:val="20"/>
                <w:szCs w:val="20"/>
              </w:rPr>
              <w:t>19</w:t>
            </w:r>
            <w:r w:rsidRPr="00183E27">
              <w:rPr>
                <w:rFonts w:ascii="Georgia" w:hAnsi="Georgia"/>
                <w:color w:val="FFFFFF"/>
                <w:sz w:val="20"/>
                <w:szCs w:val="20"/>
              </w:rPr>
              <w:t>/2</w:t>
            </w:r>
            <w:r>
              <w:rPr>
                <w:rFonts w:ascii="Georgia" w:hAnsi="Georgia"/>
                <w:color w:val="FFFFFF"/>
                <w:sz w:val="20"/>
                <w:szCs w:val="20"/>
              </w:rPr>
              <w:t>0</w:t>
            </w:r>
          </w:p>
        </w:tc>
        <w:tc>
          <w:tcPr>
            <w:tcW w:w="1137" w:type="dxa"/>
            <w:tcBorders>
              <w:top w:val="single" w:sz="8" w:space="0" w:color="000000"/>
              <w:left w:val="nil"/>
              <w:bottom w:val="single" w:sz="8" w:space="0" w:color="000000"/>
              <w:right w:val="single" w:sz="8" w:space="0" w:color="000000"/>
            </w:tcBorders>
            <w:shd w:val="clear" w:color="auto" w:fill="215868" w:themeFill="accent5" w:themeFillShade="80"/>
            <w:tcMar>
              <w:top w:w="0" w:type="dxa"/>
              <w:left w:w="108" w:type="dxa"/>
              <w:bottom w:w="0" w:type="dxa"/>
              <w:right w:w="108" w:type="dxa"/>
            </w:tcMar>
            <w:vAlign w:val="bottom"/>
            <w:hideMark/>
          </w:tcPr>
          <w:p w14:paraId="077F4821" w14:textId="330723CC" w:rsidR="00382DDD" w:rsidRPr="00183E27" w:rsidRDefault="00382DDD" w:rsidP="00382DDD">
            <w:pPr>
              <w:jc w:val="center"/>
              <w:rPr>
                <w:rFonts w:ascii="Georgia" w:hAnsi="Georgia"/>
              </w:rPr>
            </w:pPr>
            <w:r w:rsidRPr="00183E27">
              <w:rPr>
                <w:rFonts w:ascii="Georgia" w:hAnsi="Georgia"/>
                <w:color w:val="FFFFFF"/>
                <w:sz w:val="20"/>
                <w:szCs w:val="20"/>
              </w:rPr>
              <w:t>Forecast 20</w:t>
            </w:r>
            <w:r>
              <w:rPr>
                <w:rFonts w:ascii="Georgia" w:hAnsi="Georgia"/>
                <w:color w:val="FFFFFF"/>
                <w:sz w:val="20"/>
                <w:szCs w:val="20"/>
              </w:rPr>
              <w:t>19</w:t>
            </w:r>
            <w:r w:rsidRPr="00183E27">
              <w:rPr>
                <w:rFonts w:ascii="Georgia" w:hAnsi="Georgia"/>
                <w:color w:val="FFFFFF"/>
                <w:sz w:val="20"/>
                <w:szCs w:val="20"/>
              </w:rPr>
              <w:t>/2</w:t>
            </w:r>
            <w:r>
              <w:rPr>
                <w:rFonts w:ascii="Georgia" w:hAnsi="Georgia"/>
                <w:color w:val="FFFFFF"/>
                <w:sz w:val="20"/>
                <w:szCs w:val="20"/>
              </w:rPr>
              <w:t>0</w:t>
            </w:r>
          </w:p>
        </w:tc>
        <w:tc>
          <w:tcPr>
            <w:tcW w:w="1314" w:type="dxa"/>
            <w:tcBorders>
              <w:top w:val="single" w:sz="8" w:space="0" w:color="000000"/>
              <w:left w:val="nil"/>
              <w:bottom w:val="single" w:sz="8" w:space="0" w:color="000000"/>
              <w:right w:val="single" w:sz="8" w:space="0" w:color="000000"/>
            </w:tcBorders>
            <w:shd w:val="clear" w:color="auto" w:fill="215868" w:themeFill="accent5" w:themeFillShade="80"/>
            <w:tcMar>
              <w:top w:w="0" w:type="dxa"/>
              <w:left w:w="108" w:type="dxa"/>
              <w:bottom w:w="0" w:type="dxa"/>
              <w:right w:w="108" w:type="dxa"/>
            </w:tcMar>
            <w:vAlign w:val="bottom"/>
            <w:hideMark/>
          </w:tcPr>
          <w:p w14:paraId="38FEBFD4" w14:textId="77777777" w:rsidR="00382DDD" w:rsidRPr="00183E27" w:rsidRDefault="00382DDD" w:rsidP="00382DDD">
            <w:pPr>
              <w:jc w:val="center"/>
              <w:rPr>
                <w:rFonts w:ascii="Georgia" w:hAnsi="Georgia"/>
                <w:color w:val="FFFFFF"/>
                <w:sz w:val="20"/>
                <w:szCs w:val="20"/>
              </w:rPr>
            </w:pPr>
            <w:r w:rsidRPr="00183E27">
              <w:rPr>
                <w:rFonts w:ascii="Georgia" w:hAnsi="Georgia"/>
                <w:color w:val="FFFFFF"/>
                <w:sz w:val="20"/>
                <w:szCs w:val="20"/>
              </w:rPr>
              <w:t xml:space="preserve">Delta </w:t>
            </w:r>
          </w:p>
          <w:p w14:paraId="2011F771" w14:textId="77777777" w:rsidR="00382DDD" w:rsidRPr="00183E27" w:rsidRDefault="00382DDD" w:rsidP="00382DDD">
            <w:pPr>
              <w:jc w:val="center"/>
              <w:rPr>
                <w:rFonts w:ascii="Georgia" w:hAnsi="Georgia"/>
              </w:rPr>
            </w:pPr>
            <w:r w:rsidRPr="00183E27">
              <w:rPr>
                <w:rFonts w:ascii="Georgia" w:hAnsi="Georgia"/>
                <w:color w:val="FFFFFF"/>
                <w:sz w:val="20"/>
                <w:szCs w:val="20"/>
              </w:rPr>
              <w:t>%</w:t>
            </w:r>
          </w:p>
        </w:tc>
        <w:tc>
          <w:tcPr>
            <w:tcW w:w="1246" w:type="dxa"/>
            <w:tcBorders>
              <w:top w:val="single" w:sz="8" w:space="0" w:color="000000"/>
              <w:left w:val="nil"/>
              <w:bottom w:val="single" w:sz="8" w:space="0" w:color="000000"/>
              <w:right w:val="single" w:sz="8" w:space="0" w:color="000000"/>
            </w:tcBorders>
            <w:shd w:val="clear" w:color="auto" w:fill="215868" w:themeFill="accent5" w:themeFillShade="80"/>
            <w:tcMar>
              <w:top w:w="0" w:type="dxa"/>
              <w:left w:w="108" w:type="dxa"/>
              <w:bottom w:w="0" w:type="dxa"/>
              <w:right w:w="108" w:type="dxa"/>
            </w:tcMar>
            <w:hideMark/>
          </w:tcPr>
          <w:p w14:paraId="6C4E7234" w14:textId="77777777" w:rsidR="00382DDD" w:rsidRPr="00183E27" w:rsidRDefault="00382DDD" w:rsidP="00382DDD">
            <w:pPr>
              <w:jc w:val="center"/>
              <w:rPr>
                <w:rFonts w:ascii="Georgia" w:hAnsi="Georgia"/>
              </w:rPr>
            </w:pPr>
            <w:r w:rsidRPr="00183E27">
              <w:rPr>
                <w:rFonts w:ascii="Georgia" w:hAnsi="Georgia"/>
                <w:color w:val="FFFFFF"/>
                <w:sz w:val="20"/>
                <w:szCs w:val="20"/>
              </w:rPr>
              <w:t>Actual 2018/19</w:t>
            </w:r>
          </w:p>
        </w:tc>
        <w:tc>
          <w:tcPr>
            <w:tcW w:w="1667" w:type="dxa"/>
            <w:tcBorders>
              <w:top w:val="single" w:sz="8" w:space="0" w:color="000000"/>
              <w:left w:val="nil"/>
              <w:bottom w:val="single" w:sz="8" w:space="0" w:color="000000"/>
              <w:right w:val="single" w:sz="8" w:space="0" w:color="000000"/>
            </w:tcBorders>
            <w:shd w:val="clear" w:color="auto" w:fill="215868" w:themeFill="accent5" w:themeFillShade="80"/>
            <w:tcMar>
              <w:top w:w="0" w:type="dxa"/>
              <w:left w:w="108" w:type="dxa"/>
              <w:bottom w:w="0" w:type="dxa"/>
              <w:right w:w="108" w:type="dxa"/>
            </w:tcMar>
            <w:vAlign w:val="bottom"/>
            <w:hideMark/>
          </w:tcPr>
          <w:p w14:paraId="18803206" w14:textId="77777777" w:rsidR="00382DDD" w:rsidRPr="00183E27" w:rsidRDefault="00382DDD" w:rsidP="00382DDD">
            <w:pPr>
              <w:jc w:val="center"/>
              <w:rPr>
                <w:rFonts w:ascii="Georgia" w:hAnsi="Georgia"/>
                <w:color w:val="FFFFFF"/>
                <w:sz w:val="20"/>
                <w:szCs w:val="20"/>
              </w:rPr>
            </w:pPr>
            <w:r w:rsidRPr="00183E27">
              <w:rPr>
                <w:rFonts w:ascii="Georgia" w:hAnsi="Georgia"/>
                <w:color w:val="FFFFFF"/>
                <w:sz w:val="20"/>
                <w:szCs w:val="20"/>
              </w:rPr>
              <w:t>Delta</w:t>
            </w:r>
          </w:p>
          <w:p w14:paraId="090BD0D9" w14:textId="77777777" w:rsidR="00382DDD" w:rsidRPr="00183E27" w:rsidRDefault="00382DDD" w:rsidP="00382DDD">
            <w:pPr>
              <w:jc w:val="center"/>
              <w:rPr>
                <w:rFonts w:ascii="Georgia" w:hAnsi="Georgia"/>
              </w:rPr>
            </w:pPr>
            <w:r w:rsidRPr="00183E27">
              <w:rPr>
                <w:rFonts w:ascii="Georgia" w:hAnsi="Georgia"/>
                <w:color w:val="FFFFFF"/>
                <w:sz w:val="20"/>
                <w:szCs w:val="20"/>
              </w:rPr>
              <w:t xml:space="preserve"> %</w:t>
            </w:r>
          </w:p>
        </w:tc>
      </w:tr>
      <w:tr w:rsidR="007B66C1" w:rsidRPr="00BC3EEA" w14:paraId="28CC8D80" w14:textId="77777777" w:rsidTr="006F0858">
        <w:trPr>
          <w:trHeight w:val="313"/>
        </w:trPr>
        <w:tc>
          <w:tcPr>
            <w:tcW w:w="2562" w:type="dxa"/>
            <w:tcBorders>
              <w:top w:val="nil"/>
              <w:left w:val="single" w:sz="8" w:space="0" w:color="000000"/>
              <w:bottom w:val="single" w:sz="8" w:space="0" w:color="000000"/>
              <w:right w:val="single" w:sz="8" w:space="0" w:color="000000"/>
            </w:tcBorders>
            <w:shd w:val="clear" w:color="auto" w:fill="215868" w:themeFill="accent5" w:themeFillShade="80"/>
            <w:tcMar>
              <w:top w:w="0" w:type="dxa"/>
              <w:left w:w="108" w:type="dxa"/>
              <w:bottom w:w="0" w:type="dxa"/>
              <w:right w:w="108" w:type="dxa"/>
            </w:tcMar>
            <w:hideMark/>
          </w:tcPr>
          <w:p w14:paraId="3245008A" w14:textId="77777777" w:rsidR="007B66C1" w:rsidRPr="00183E27" w:rsidRDefault="007B66C1" w:rsidP="006F0858">
            <w:pPr>
              <w:jc w:val="right"/>
              <w:rPr>
                <w:rFonts w:ascii="Georgia" w:hAnsi="Georgia"/>
                <w:sz w:val="18"/>
              </w:rPr>
            </w:pPr>
            <w:r w:rsidRPr="00183E27">
              <w:rPr>
                <w:rFonts w:ascii="Georgia" w:hAnsi="Georgia"/>
                <w:color w:val="FFFFFF"/>
                <w:sz w:val="18"/>
                <w:szCs w:val="20"/>
              </w:rPr>
              <w:t>Weighted Average Irradiation (Hrs)</w:t>
            </w:r>
            <w:r w:rsidRPr="00183E27">
              <w:rPr>
                <w:rFonts w:ascii="Georgia" w:hAnsi="Georgia"/>
                <w:color w:val="FFFFFF"/>
                <w:sz w:val="18"/>
                <w:szCs w:val="20"/>
                <w:vertAlign w:val="superscript"/>
              </w:rPr>
              <w:t>1,2</w:t>
            </w:r>
          </w:p>
        </w:tc>
        <w:tc>
          <w:tcPr>
            <w:tcW w:w="1146" w:type="dxa"/>
            <w:tcBorders>
              <w:top w:val="nil"/>
              <w:left w:val="nil"/>
              <w:bottom w:val="single" w:sz="8" w:space="0" w:color="000000"/>
              <w:right w:val="single" w:sz="8" w:space="0" w:color="000000"/>
            </w:tcBorders>
            <w:tcMar>
              <w:top w:w="0" w:type="dxa"/>
              <w:left w:w="108" w:type="dxa"/>
              <w:bottom w:w="0" w:type="dxa"/>
              <w:right w:w="108" w:type="dxa"/>
            </w:tcMar>
          </w:tcPr>
          <w:p w14:paraId="1C327192"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 xml:space="preserve"> 1,322.5 </w:t>
            </w:r>
          </w:p>
        </w:tc>
        <w:tc>
          <w:tcPr>
            <w:tcW w:w="1137" w:type="dxa"/>
            <w:tcBorders>
              <w:top w:val="nil"/>
              <w:left w:val="nil"/>
              <w:bottom w:val="single" w:sz="8" w:space="0" w:color="000000"/>
              <w:right w:val="single" w:sz="8" w:space="0" w:color="000000"/>
            </w:tcBorders>
            <w:tcMar>
              <w:top w:w="0" w:type="dxa"/>
              <w:left w:w="108" w:type="dxa"/>
              <w:bottom w:w="0" w:type="dxa"/>
              <w:right w:w="108" w:type="dxa"/>
            </w:tcMar>
          </w:tcPr>
          <w:p w14:paraId="563BB3CC"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 xml:space="preserve"> 1,190.5 </w:t>
            </w:r>
          </w:p>
        </w:tc>
        <w:tc>
          <w:tcPr>
            <w:tcW w:w="1314" w:type="dxa"/>
            <w:tcBorders>
              <w:top w:val="nil"/>
              <w:left w:val="nil"/>
              <w:bottom w:val="single" w:sz="8" w:space="0" w:color="000000"/>
              <w:right w:val="single" w:sz="8" w:space="0" w:color="000000"/>
            </w:tcBorders>
            <w:tcMar>
              <w:top w:w="0" w:type="dxa"/>
              <w:left w:w="108" w:type="dxa"/>
              <w:bottom w:w="0" w:type="dxa"/>
              <w:right w:w="108" w:type="dxa"/>
            </w:tcMar>
          </w:tcPr>
          <w:p w14:paraId="4B6D7712"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+11.1%</w:t>
            </w:r>
          </w:p>
        </w:tc>
        <w:tc>
          <w:tcPr>
            <w:tcW w:w="1246" w:type="dxa"/>
            <w:tcBorders>
              <w:top w:val="nil"/>
              <w:left w:val="nil"/>
              <w:bottom w:val="single" w:sz="8" w:space="0" w:color="000000"/>
              <w:right w:val="single" w:sz="8" w:space="0" w:color="000000"/>
            </w:tcBorders>
            <w:tcMar>
              <w:top w:w="0" w:type="dxa"/>
              <w:left w:w="108" w:type="dxa"/>
              <w:bottom w:w="0" w:type="dxa"/>
              <w:right w:w="108" w:type="dxa"/>
            </w:tcMar>
          </w:tcPr>
          <w:p w14:paraId="417DBED6"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 xml:space="preserve"> 1,265.6 </w:t>
            </w:r>
          </w:p>
        </w:tc>
        <w:tc>
          <w:tcPr>
            <w:tcW w:w="1667" w:type="dxa"/>
            <w:tcBorders>
              <w:top w:val="nil"/>
              <w:left w:val="nil"/>
              <w:bottom w:val="single" w:sz="8" w:space="0" w:color="000000"/>
              <w:right w:val="single" w:sz="8" w:space="0" w:color="000000"/>
            </w:tcBorders>
            <w:tcMar>
              <w:top w:w="0" w:type="dxa"/>
              <w:left w:w="108" w:type="dxa"/>
              <w:bottom w:w="0" w:type="dxa"/>
              <w:right w:w="108" w:type="dxa"/>
            </w:tcMar>
          </w:tcPr>
          <w:p w14:paraId="100EF4A8"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+4.5%</w:t>
            </w:r>
          </w:p>
        </w:tc>
      </w:tr>
      <w:tr w:rsidR="007B66C1" w:rsidRPr="00BC3EEA" w14:paraId="11F438D8" w14:textId="77777777" w:rsidTr="006F0858">
        <w:trPr>
          <w:trHeight w:val="341"/>
        </w:trPr>
        <w:tc>
          <w:tcPr>
            <w:tcW w:w="2562" w:type="dxa"/>
            <w:tcBorders>
              <w:top w:val="nil"/>
              <w:left w:val="single" w:sz="8" w:space="0" w:color="000000"/>
              <w:bottom w:val="single" w:sz="8" w:space="0" w:color="000000"/>
              <w:right w:val="single" w:sz="8" w:space="0" w:color="000000"/>
            </w:tcBorders>
            <w:shd w:val="clear" w:color="auto" w:fill="215868" w:themeFill="accent5" w:themeFillShade="80"/>
            <w:tcMar>
              <w:top w:w="0" w:type="dxa"/>
              <w:left w:w="108" w:type="dxa"/>
              <w:bottom w:w="0" w:type="dxa"/>
              <w:right w:w="108" w:type="dxa"/>
            </w:tcMar>
            <w:hideMark/>
          </w:tcPr>
          <w:p w14:paraId="4A5D3161" w14:textId="77777777" w:rsidR="007B66C1" w:rsidRPr="00183E27" w:rsidRDefault="007B66C1" w:rsidP="006F0858">
            <w:pPr>
              <w:jc w:val="right"/>
              <w:rPr>
                <w:rFonts w:ascii="Georgia" w:hAnsi="Georgia"/>
                <w:sz w:val="18"/>
              </w:rPr>
            </w:pPr>
            <w:r w:rsidRPr="00183E27">
              <w:rPr>
                <w:rFonts w:ascii="Georgia" w:hAnsi="Georgia"/>
                <w:color w:val="FFFFFF"/>
                <w:sz w:val="18"/>
                <w:szCs w:val="20"/>
              </w:rPr>
              <w:t>Net Performance Ratio (%)</w:t>
            </w:r>
            <w:r w:rsidRPr="00183E27">
              <w:rPr>
                <w:rFonts w:ascii="Georgia" w:hAnsi="Georgia"/>
                <w:color w:val="FFFFFF"/>
                <w:sz w:val="18"/>
                <w:szCs w:val="20"/>
                <w:vertAlign w:val="superscript"/>
              </w:rPr>
              <w:t>1,2</w:t>
            </w:r>
          </w:p>
        </w:tc>
        <w:tc>
          <w:tcPr>
            <w:tcW w:w="1146" w:type="dxa"/>
            <w:tcBorders>
              <w:top w:val="nil"/>
              <w:left w:val="nil"/>
              <w:bottom w:val="single" w:sz="8" w:space="0" w:color="000000"/>
              <w:right w:val="single" w:sz="8" w:space="0" w:color="000000"/>
            </w:tcBorders>
            <w:tcMar>
              <w:top w:w="0" w:type="dxa"/>
              <w:left w:w="108" w:type="dxa"/>
              <w:bottom w:w="0" w:type="dxa"/>
              <w:right w:w="108" w:type="dxa"/>
            </w:tcMar>
          </w:tcPr>
          <w:p w14:paraId="743C33D2"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79.1%</w:t>
            </w:r>
          </w:p>
        </w:tc>
        <w:tc>
          <w:tcPr>
            <w:tcW w:w="1137" w:type="dxa"/>
            <w:tcBorders>
              <w:top w:val="nil"/>
              <w:left w:val="nil"/>
              <w:bottom w:val="single" w:sz="8" w:space="0" w:color="000000"/>
              <w:right w:val="single" w:sz="8" w:space="0" w:color="000000"/>
            </w:tcBorders>
            <w:tcMar>
              <w:top w:w="0" w:type="dxa"/>
              <w:left w:w="108" w:type="dxa"/>
              <w:bottom w:w="0" w:type="dxa"/>
              <w:right w:w="108" w:type="dxa"/>
            </w:tcMar>
          </w:tcPr>
          <w:p w14:paraId="449CFA79"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81.2%</w:t>
            </w:r>
          </w:p>
        </w:tc>
        <w:tc>
          <w:tcPr>
            <w:tcW w:w="1314" w:type="dxa"/>
            <w:tcBorders>
              <w:top w:val="nil"/>
              <w:left w:val="nil"/>
              <w:bottom w:val="single" w:sz="8" w:space="0" w:color="000000"/>
              <w:right w:val="single" w:sz="8" w:space="0" w:color="000000"/>
            </w:tcBorders>
            <w:tcMar>
              <w:top w:w="0" w:type="dxa"/>
              <w:left w:w="108" w:type="dxa"/>
              <w:bottom w:w="0" w:type="dxa"/>
              <w:right w:w="108" w:type="dxa"/>
            </w:tcMar>
          </w:tcPr>
          <w:p w14:paraId="5541BF1C"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-2.6%</w:t>
            </w:r>
          </w:p>
        </w:tc>
        <w:tc>
          <w:tcPr>
            <w:tcW w:w="1246" w:type="dxa"/>
            <w:tcBorders>
              <w:top w:val="nil"/>
              <w:left w:val="nil"/>
              <w:bottom w:val="single" w:sz="8" w:space="0" w:color="000000"/>
              <w:right w:val="single" w:sz="8" w:space="0" w:color="000000"/>
            </w:tcBorders>
            <w:tcMar>
              <w:top w:w="0" w:type="dxa"/>
              <w:left w:w="108" w:type="dxa"/>
              <w:bottom w:w="0" w:type="dxa"/>
              <w:right w:w="108" w:type="dxa"/>
            </w:tcMar>
          </w:tcPr>
          <w:p w14:paraId="564D7621"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81.5%</w:t>
            </w:r>
          </w:p>
        </w:tc>
        <w:tc>
          <w:tcPr>
            <w:tcW w:w="1667" w:type="dxa"/>
            <w:tcBorders>
              <w:top w:val="nil"/>
              <w:left w:val="nil"/>
              <w:bottom w:val="single" w:sz="8" w:space="0" w:color="000000"/>
              <w:right w:val="single" w:sz="8" w:space="0" w:color="000000"/>
            </w:tcBorders>
            <w:tcMar>
              <w:top w:w="0" w:type="dxa"/>
              <w:left w:w="108" w:type="dxa"/>
              <w:bottom w:w="0" w:type="dxa"/>
              <w:right w:w="108" w:type="dxa"/>
            </w:tcMar>
          </w:tcPr>
          <w:p w14:paraId="74B9AB79"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-3.0%</w:t>
            </w:r>
          </w:p>
        </w:tc>
      </w:tr>
      <w:tr w:rsidR="007B66C1" w:rsidRPr="00BC3EEA" w14:paraId="4CC9324E" w14:textId="77777777" w:rsidTr="006F0858">
        <w:trPr>
          <w:trHeight w:val="341"/>
        </w:trPr>
        <w:tc>
          <w:tcPr>
            <w:tcW w:w="2562" w:type="dxa"/>
            <w:tcBorders>
              <w:top w:val="nil"/>
              <w:left w:val="single" w:sz="8" w:space="0" w:color="000000"/>
              <w:bottom w:val="single" w:sz="8" w:space="0" w:color="000000"/>
              <w:right w:val="single" w:sz="8" w:space="0" w:color="000000"/>
            </w:tcBorders>
            <w:shd w:val="clear" w:color="auto" w:fill="215868" w:themeFill="accent5" w:themeFillShade="80"/>
            <w:tcMar>
              <w:top w:w="0" w:type="dxa"/>
              <w:left w:w="108" w:type="dxa"/>
              <w:bottom w:w="0" w:type="dxa"/>
              <w:right w:w="108" w:type="dxa"/>
            </w:tcMar>
            <w:hideMark/>
          </w:tcPr>
          <w:p w14:paraId="613581EB" w14:textId="77777777" w:rsidR="007B66C1" w:rsidRPr="00183E27" w:rsidRDefault="007B66C1" w:rsidP="006F0858">
            <w:pPr>
              <w:jc w:val="right"/>
              <w:rPr>
                <w:rFonts w:ascii="Georgia" w:hAnsi="Georgia"/>
                <w:sz w:val="18"/>
              </w:rPr>
            </w:pPr>
            <w:r w:rsidRPr="00183E27">
              <w:rPr>
                <w:rFonts w:ascii="Georgia" w:hAnsi="Georgia"/>
                <w:color w:val="FFFFFF"/>
                <w:sz w:val="18"/>
                <w:szCs w:val="20"/>
              </w:rPr>
              <w:t>Generation Yield (MWh/</w:t>
            </w:r>
            <w:proofErr w:type="spellStart"/>
            <w:r w:rsidRPr="00183E27">
              <w:rPr>
                <w:rFonts w:ascii="Georgia" w:hAnsi="Georgia"/>
                <w:color w:val="FFFFFF"/>
                <w:sz w:val="18"/>
                <w:szCs w:val="20"/>
              </w:rPr>
              <w:t>MWp</w:t>
            </w:r>
            <w:proofErr w:type="spellEnd"/>
            <w:r w:rsidRPr="00183E27">
              <w:rPr>
                <w:rFonts w:ascii="Georgia" w:hAnsi="Georgia"/>
                <w:color w:val="FFFFFF"/>
                <w:sz w:val="18"/>
                <w:szCs w:val="20"/>
              </w:rPr>
              <w:t>)</w:t>
            </w:r>
            <w:r w:rsidRPr="00183E27">
              <w:rPr>
                <w:rFonts w:ascii="Georgia" w:hAnsi="Georgia"/>
                <w:color w:val="FFFFFF"/>
                <w:sz w:val="18"/>
                <w:szCs w:val="20"/>
                <w:vertAlign w:val="superscript"/>
              </w:rPr>
              <w:t>1,2</w:t>
            </w:r>
          </w:p>
        </w:tc>
        <w:tc>
          <w:tcPr>
            <w:tcW w:w="1146" w:type="dxa"/>
            <w:tcBorders>
              <w:top w:val="nil"/>
              <w:left w:val="nil"/>
              <w:bottom w:val="single" w:sz="8" w:space="0" w:color="000000"/>
              <w:right w:val="single" w:sz="8" w:space="0" w:color="000000"/>
            </w:tcBorders>
            <w:tcMar>
              <w:top w:w="0" w:type="dxa"/>
              <w:left w:w="108" w:type="dxa"/>
              <w:bottom w:w="0" w:type="dxa"/>
              <w:right w:w="108" w:type="dxa"/>
            </w:tcMar>
          </w:tcPr>
          <w:p w14:paraId="5CC61133"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 xml:space="preserve"> 1,047.3 </w:t>
            </w:r>
          </w:p>
        </w:tc>
        <w:tc>
          <w:tcPr>
            <w:tcW w:w="1137" w:type="dxa"/>
            <w:tcBorders>
              <w:top w:val="nil"/>
              <w:left w:val="nil"/>
              <w:bottom w:val="single" w:sz="8" w:space="0" w:color="000000"/>
              <w:right w:val="single" w:sz="8" w:space="0" w:color="000000"/>
            </w:tcBorders>
            <w:tcMar>
              <w:top w:w="0" w:type="dxa"/>
              <w:left w:w="108" w:type="dxa"/>
              <w:bottom w:w="0" w:type="dxa"/>
              <w:right w:w="108" w:type="dxa"/>
            </w:tcMar>
          </w:tcPr>
          <w:p w14:paraId="358EC2E5"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 xml:space="preserve"> 966.8 </w:t>
            </w:r>
          </w:p>
        </w:tc>
        <w:tc>
          <w:tcPr>
            <w:tcW w:w="1314" w:type="dxa"/>
            <w:tcBorders>
              <w:top w:val="nil"/>
              <w:left w:val="nil"/>
              <w:bottom w:val="single" w:sz="8" w:space="0" w:color="000000"/>
              <w:right w:val="single" w:sz="8" w:space="0" w:color="000000"/>
            </w:tcBorders>
            <w:tcMar>
              <w:top w:w="0" w:type="dxa"/>
              <w:left w:w="108" w:type="dxa"/>
              <w:bottom w:w="0" w:type="dxa"/>
              <w:right w:w="108" w:type="dxa"/>
            </w:tcMar>
          </w:tcPr>
          <w:p w14:paraId="40D79E36"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+8.3%</w:t>
            </w:r>
          </w:p>
        </w:tc>
        <w:tc>
          <w:tcPr>
            <w:tcW w:w="1246" w:type="dxa"/>
            <w:tcBorders>
              <w:top w:val="nil"/>
              <w:left w:val="nil"/>
              <w:bottom w:val="single" w:sz="8" w:space="0" w:color="000000"/>
              <w:right w:val="single" w:sz="8" w:space="0" w:color="000000"/>
            </w:tcBorders>
            <w:tcMar>
              <w:top w:w="0" w:type="dxa"/>
              <w:left w:w="108" w:type="dxa"/>
              <w:bottom w:w="0" w:type="dxa"/>
              <w:right w:w="108" w:type="dxa"/>
            </w:tcMar>
          </w:tcPr>
          <w:p w14:paraId="2ADD6159"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 xml:space="preserve"> 1,032.0 </w:t>
            </w:r>
          </w:p>
        </w:tc>
        <w:tc>
          <w:tcPr>
            <w:tcW w:w="1667" w:type="dxa"/>
            <w:tcBorders>
              <w:top w:val="nil"/>
              <w:left w:val="nil"/>
              <w:bottom w:val="single" w:sz="8" w:space="0" w:color="000000"/>
              <w:right w:val="single" w:sz="8" w:space="0" w:color="000000"/>
            </w:tcBorders>
            <w:tcMar>
              <w:top w:w="0" w:type="dxa"/>
              <w:left w:w="108" w:type="dxa"/>
              <w:bottom w:w="0" w:type="dxa"/>
              <w:right w:w="108" w:type="dxa"/>
            </w:tcMar>
          </w:tcPr>
          <w:p w14:paraId="09EC641C"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+1.5%</w:t>
            </w:r>
          </w:p>
        </w:tc>
      </w:tr>
      <w:tr w:rsidR="007B66C1" w:rsidRPr="00BC3EEA" w14:paraId="6C3BEF8E" w14:textId="77777777" w:rsidTr="006F0858">
        <w:tc>
          <w:tcPr>
            <w:tcW w:w="2562" w:type="dxa"/>
            <w:tcBorders>
              <w:top w:val="nil"/>
              <w:left w:val="single" w:sz="8" w:space="0" w:color="000000"/>
              <w:bottom w:val="single" w:sz="8" w:space="0" w:color="000000"/>
              <w:right w:val="single" w:sz="8" w:space="0" w:color="000000"/>
            </w:tcBorders>
            <w:shd w:val="clear" w:color="auto" w:fill="215868" w:themeFill="accent5" w:themeFillShade="80"/>
            <w:tcMar>
              <w:top w:w="0" w:type="dxa"/>
              <w:left w:w="108" w:type="dxa"/>
              <w:bottom w:w="0" w:type="dxa"/>
              <w:right w:w="108" w:type="dxa"/>
            </w:tcMar>
            <w:hideMark/>
          </w:tcPr>
          <w:p w14:paraId="5D9BB3A6" w14:textId="77777777" w:rsidR="007B66C1" w:rsidRPr="00183E27" w:rsidRDefault="007B66C1" w:rsidP="006F0858">
            <w:pPr>
              <w:jc w:val="right"/>
              <w:rPr>
                <w:rFonts w:ascii="Georgia" w:hAnsi="Georgia"/>
                <w:sz w:val="18"/>
              </w:rPr>
            </w:pPr>
            <w:r w:rsidRPr="00183E27">
              <w:rPr>
                <w:rFonts w:ascii="Georgia" w:hAnsi="Georgia"/>
                <w:color w:val="FFFFFF"/>
                <w:sz w:val="18"/>
                <w:szCs w:val="20"/>
              </w:rPr>
              <w:t>Total unit Price: Power + ROCs +LDs</w:t>
            </w:r>
            <w:r w:rsidRPr="00183E27">
              <w:rPr>
                <w:rFonts w:ascii="Georgia" w:hAnsi="Georgia"/>
                <w:color w:val="FFFFFF"/>
                <w:sz w:val="18"/>
                <w:szCs w:val="20"/>
                <w:vertAlign w:val="superscript"/>
              </w:rPr>
              <w:t>3</w:t>
            </w:r>
            <w:r w:rsidRPr="00183E27">
              <w:rPr>
                <w:rFonts w:ascii="Georgia" w:hAnsi="Georgia"/>
                <w:color w:val="FFFFFF"/>
                <w:sz w:val="18"/>
                <w:szCs w:val="20"/>
              </w:rPr>
              <w:t xml:space="preserve"> (GBP 000’s/MWh)</w:t>
            </w:r>
          </w:p>
        </w:tc>
        <w:tc>
          <w:tcPr>
            <w:tcW w:w="1146" w:type="dxa"/>
            <w:tcBorders>
              <w:top w:val="nil"/>
              <w:left w:val="nil"/>
              <w:bottom w:val="single" w:sz="8" w:space="0" w:color="000000"/>
              <w:right w:val="single" w:sz="8" w:space="0" w:color="000000"/>
            </w:tcBorders>
            <w:tcMar>
              <w:top w:w="0" w:type="dxa"/>
              <w:left w:w="108" w:type="dxa"/>
              <w:bottom w:w="0" w:type="dxa"/>
              <w:right w:w="108" w:type="dxa"/>
            </w:tcMar>
          </w:tcPr>
          <w:p w14:paraId="3947D4ED"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£133.42</w:t>
            </w:r>
          </w:p>
        </w:tc>
        <w:tc>
          <w:tcPr>
            <w:tcW w:w="1137" w:type="dxa"/>
            <w:tcBorders>
              <w:top w:val="nil"/>
              <w:left w:val="nil"/>
              <w:bottom w:val="single" w:sz="8" w:space="0" w:color="000000"/>
              <w:right w:val="single" w:sz="8" w:space="0" w:color="000000"/>
            </w:tcBorders>
            <w:tcMar>
              <w:top w:w="0" w:type="dxa"/>
              <w:left w:w="108" w:type="dxa"/>
              <w:bottom w:w="0" w:type="dxa"/>
              <w:right w:w="108" w:type="dxa"/>
            </w:tcMar>
          </w:tcPr>
          <w:p w14:paraId="13C057F9"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£135.59</w:t>
            </w:r>
          </w:p>
        </w:tc>
        <w:tc>
          <w:tcPr>
            <w:tcW w:w="1314" w:type="dxa"/>
            <w:tcBorders>
              <w:top w:val="nil"/>
              <w:left w:val="nil"/>
              <w:bottom w:val="single" w:sz="8" w:space="0" w:color="000000"/>
              <w:right w:val="single" w:sz="8" w:space="0" w:color="000000"/>
            </w:tcBorders>
            <w:tcMar>
              <w:top w:w="0" w:type="dxa"/>
              <w:left w:w="108" w:type="dxa"/>
              <w:bottom w:w="0" w:type="dxa"/>
              <w:right w:w="108" w:type="dxa"/>
            </w:tcMar>
          </w:tcPr>
          <w:p w14:paraId="54FBB70F"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-1.6%</w:t>
            </w:r>
          </w:p>
        </w:tc>
        <w:tc>
          <w:tcPr>
            <w:tcW w:w="1246" w:type="dxa"/>
            <w:tcBorders>
              <w:top w:val="nil"/>
              <w:left w:val="nil"/>
              <w:bottom w:val="single" w:sz="8" w:space="0" w:color="000000"/>
              <w:right w:val="single" w:sz="8" w:space="0" w:color="000000"/>
            </w:tcBorders>
            <w:tcMar>
              <w:top w:w="0" w:type="dxa"/>
              <w:left w:w="108" w:type="dxa"/>
              <w:bottom w:w="0" w:type="dxa"/>
              <w:right w:w="108" w:type="dxa"/>
            </w:tcMar>
          </w:tcPr>
          <w:p w14:paraId="57AA9EDA"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£129.97</w:t>
            </w:r>
          </w:p>
        </w:tc>
        <w:tc>
          <w:tcPr>
            <w:tcW w:w="1667" w:type="dxa"/>
            <w:tcBorders>
              <w:top w:val="nil"/>
              <w:left w:val="nil"/>
              <w:bottom w:val="single" w:sz="8" w:space="0" w:color="000000"/>
              <w:right w:val="single" w:sz="8" w:space="0" w:color="000000"/>
            </w:tcBorders>
            <w:tcMar>
              <w:top w:w="0" w:type="dxa"/>
              <w:left w:w="108" w:type="dxa"/>
              <w:bottom w:w="0" w:type="dxa"/>
              <w:right w:w="108" w:type="dxa"/>
            </w:tcMar>
          </w:tcPr>
          <w:p w14:paraId="479CFA52"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+2.7%</w:t>
            </w:r>
          </w:p>
        </w:tc>
      </w:tr>
      <w:tr w:rsidR="007B66C1" w:rsidRPr="00904E51" w14:paraId="5D988EBF" w14:textId="77777777" w:rsidTr="006F0858">
        <w:trPr>
          <w:trHeight w:val="281"/>
        </w:trPr>
        <w:tc>
          <w:tcPr>
            <w:tcW w:w="2562" w:type="dxa"/>
            <w:tcBorders>
              <w:top w:val="nil"/>
              <w:left w:val="single" w:sz="8" w:space="0" w:color="000000"/>
              <w:bottom w:val="single" w:sz="8" w:space="0" w:color="000000"/>
              <w:right w:val="single" w:sz="8" w:space="0" w:color="000000"/>
            </w:tcBorders>
            <w:shd w:val="clear" w:color="auto" w:fill="215868" w:themeFill="accent5" w:themeFillShade="80"/>
            <w:tcMar>
              <w:top w:w="0" w:type="dxa"/>
              <w:left w:w="108" w:type="dxa"/>
              <w:bottom w:w="0" w:type="dxa"/>
              <w:right w:w="108" w:type="dxa"/>
            </w:tcMar>
            <w:hideMark/>
          </w:tcPr>
          <w:p w14:paraId="52621DA2" w14:textId="77777777" w:rsidR="007B66C1" w:rsidRPr="00183E27" w:rsidRDefault="007B66C1" w:rsidP="006F0858">
            <w:pPr>
              <w:jc w:val="right"/>
              <w:rPr>
                <w:rFonts w:ascii="Georgia" w:hAnsi="Georgia"/>
                <w:sz w:val="18"/>
              </w:rPr>
            </w:pPr>
            <w:r w:rsidRPr="00183E27">
              <w:rPr>
                <w:rFonts w:ascii="Georgia" w:hAnsi="Georgia"/>
                <w:color w:val="FFFFFF"/>
                <w:sz w:val="18"/>
                <w:szCs w:val="20"/>
              </w:rPr>
              <w:t xml:space="preserve">Total Revenue: </w:t>
            </w:r>
            <w:proofErr w:type="spellStart"/>
            <w:r w:rsidRPr="00183E27">
              <w:rPr>
                <w:rFonts w:ascii="Georgia" w:hAnsi="Georgia"/>
                <w:color w:val="FFFFFF"/>
                <w:sz w:val="18"/>
                <w:szCs w:val="20"/>
              </w:rPr>
              <w:t>inc</w:t>
            </w:r>
            <w:proofErr w:type="spellEnd"/>
            <w:r w:rsidRPr="00183E27">
              <w:rPr>
                <w:rFonts w:ascii="Georgia" w:hAnsi="Georgia"/>
                <w:color w:val="FFFFFF"/>
                <w:sz w:val="18"/>
                <w:szCs w:val="20"/>
              </w:rPr>
              <w:t xml:space="preserve"> LDs  (GBP 000’s/</w:t>
            </w:r>
            <w:proofErr w:type="spellStart"/>
            <w:r w:rsidRPr="00183E27">
              <w:rPr>
                <w:rFonts w:ascii="Georgia" w:hAnsi="Georgia"/>
                <w:color w:val="FFFFFF"/>
                <w:sz w:val="18"/>
                <w:szCs w:val="20"/>
              </w:rPr>
              <w:t>MWp</w:t>
            </w:r>
            <w:proofErr w:type="spellEnd"/>
            <w:r w:rsidRPr="00183E27">
              <w:rPr>
                <w:rFonts w:ascii="Georgia" w:hAnsi="Georgia"/>
                <w:color w:val="FFFFFF"/>
                <w:sz w:val="18"/>
                <w:szCs w:val="20"/>
              </w:rPr>
              <w:t>)</w:t>
            </w:r>
          </w:p>
        </w:tc>
        <w:tc>
          <w:tcPr>
            <w:tcW w:w="1146" w:type="dxa"/>
            <w:tcBorders>
              <w:top w:val="nil"/>
              <w:left w:val="nil"/>
              <w:bottom w:val="single" w:sz="8" w:space="0" w:color="000000"/>
              <w:right w:val="single" w:sz="8" w:space="0" w:color="000000"/>
            </w:tcBorders>
            <w:tcMar>
              <w:top w:w="0" w:type="dxa"/>
              <w:left w:w="108" w:type="dxa"/>
              <w:bottom w:w="0" w:type="dxa"/>
              <w:right w:w="108" w:type="dxa"/>
            </w:tcMar>
          </w:tcPr>
          <w:p w14:paraId="1917C438"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£139.74</w:t>
            </w:r>
          </w:p>
        </w:tc>
        <w:tc>
          <w:tcPr>
            <w:tcW w:w="1137" w:type="dxa"/>
            <w:tcBorders>
              <w:top w:val="nil"/>
              <w:left w:val="nil"/>
              <w:bottom w:val="single" w:sz="8" w:space="0" w:color="000000"/>
              <w:right w:val="single" w:sz="8" w:space="0" w:color="000000"/>
            </w:tcBorders>
            <w:tcMar>
              <w:top w:w="0" w:type="dxa"/>
              <w:left w:w="108" w:type="dxa"/>
              <w:bottom w:w="0" w:type="dxa"/>
              <w:right w:w="108" w:type="dxa"/>
            </w:tcMar>
          </w:tcPr>
          <w:p w14:paraId="3FCF4F31"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£131.08</w:t>
            </w:r>
          </w:p>
        </w:tc>
        <w:tc>
          <w:tcPr>
            <w:tcW w:w="1314" w:type="dxa"/>
            <w:tcBorders>
              <w:top w:val="nil"/>
              <w:left w:val="nil"/>
              <w:bottom w:val="single" w:sz="8" w:space="0" w:color="000000"/>
              <w:right w:val="single" w:sz="8" w:space="0" w:color="000000"/>
            </w:tcBorders>
            <w:tcMar>
              <w:top w:w="0" w:type="dxa"/>
              <w:left w:w="108" w:type="dxa"/>
              <w:bottom w:w="0" w:type="dxa"/>
              <w:right w:w="108" w:type="dxa"/>
            </w:tcMar>
          </w:tcPr>
          <w:p w14:paraId="0F1DE325"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+6.6%</w:t>
            </w:r>
          </w:p>
        </w:tc>
        <w:tc>
          <w:tcPr>
            <w:tcW w:w="1246" w:type="dxa"/>
            <w:tcBorders>
              <w:top w:val="nil"/>
              <w:left w:val="nil"/>
              <w:bottom w:val="single" w:sz="8" w:space="0" w:color="000000"/>
              <w:right w:val="single" w:sz="8" w:space="0" w:color="000000"/>
            </w:tcBorders>
            <w:tcMar>
              <w:top w:w="0" w:type="dxa"/>
              <w:left w:w="108" w:type="dxa"/>
              <w:bottom w:w="0" w:type="dxa"/>
              <w:right w:w="108" w:type="dxa"/>
            </w:tcMar>
          </w:tcPr>
          <w:p w14:paraId="089FBBD7"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£134.12</w:t>
            </w:r>
          </w:p>
        </w:tc>
        <w:tc>
          <w:tcPr>
            <w:tcW w:w="1667" w:type="dxa"/>
            <w:tcBorders>
              <w:top w:val="nil"/>
              <w:left w:val="nil"/>
              <w:bottom w:val="single" w:sz="8" w:space="0" w:color="000000"/>
              <w:right w:val="single" w:sz="8" w:space="0" w:color="000000"/>
            </w:tcBorders>
            <w:tcMar>
              <w:top w:w="0" w:type="dxa"/>
              <w:left w:w="108" w:type="dxa"/>
              <w:bottom w:w="0" w:type="dxa"/>
              <w:right w:w="108" w:type="dxa"/>
            </w:tcMar>
          </w:tcPr>
          <w:p w14:paraId="72F5DFD3" w14:textId="77777777" w:rsidR="007B66C1" w:rsidRPr="005C3886" w:rsidRDefault="007B66C1" w:rsidP="006F0858">
            <w:pPr>
              <w:jc w:val="center"/>
              <w:rPr>
                <w:rFonts w:ascii="Georgia" w:hAnsi="Georgia"/>
                <w:color w:val="404040" w:themeColor="text1" w:themeTint="BF"/>
                <w:sz w:val="21"/>
                <w:szCs w:val="21"/>
              </w:rPr>
            </w:pPr>
            <w:r w:rsidRPr="005C3886">
              <w:rPr>
                <w:rFonts w:ascii="Georgia" w:hAnsi="Georgia"/>
                <w:color w:val="404040" w:themeColor="text1" w:themeTint="BF"/>
                <w:sz w:val="21"/>
                <w:szCs w:val="21"/>
              </w:rPr>
              <w:t>+4.2%</w:t>
            </w:r>
          </w:p>
        </w:tc>
      </w:tr>
    </w:tbl>
    <w:p w14:paraId="40A92135" w14:textId="77777777" w:rsidR="007B66C1" w:rsidRPr="00904E51" w:rsidRDefault="007B66C1" w:rsidP="007B66C1">
      <w:pPr>
        <w:pStyle w:val="ListParagraph"/>
        <w:ind w:left="0"/>
        <w:jc w:val="both"/>
        <w:rPr>
          <w:rFonts w:ascii="Georgia" w:hAnsi="Georgia"/>
          <w:color w:val="4A442A" w:themeColor="background2" w:themeShade="40"/>
          <w:sz w:val="18"/>
          <w:szCs w:val="18"/>
          <w:highlight w:val="yellow"/>
          <w:u w:val="single"/>
        </w:rPr>
      </w:pPr>
    </w:p>
    <w:p w14:paraId="336BD6B4" w14:textId="77777777" w:rsidR="007B66C1" w:rsidRPr="005C3886" w:rsidRDefault="007B66C1" w:rsidP="007B66C1">
      <w:pPr>
        <w:pStyle w:val="ListParagraph"/>
        <w:ind w:left="0"/>
        <w:jc w:val="both"/>
        <w:rPr>
          <w:rFonts w:ascii="Georgia" w:hAnsi="Georgia"/>
          <w:i/>
          <w:color w:val="404040" w:themeColor="text1" w:themeTint="BF"/>
          <w:sz w:val="18"/>
          <w:szCs w:val="18"/>
        </w:rPr>
      </w:pPr>
      <w:r w:rsidRPr="005C3886">
        <w:rPr>
          <w:rFonts w:ascii="Georgia" w:hAnsi="Georgia"/>
          <w:i/>
          <w:color w:val="404040" w:themeColor="text1" w:themeTint="BF"/>
          <w:sz w:val="18"/>
          <w:szCs w:val="18"/>
        </w:rPr>
        <w:t>Notes to table 1.</w:t>
      </w:r>
    </w:p>
    <w:p w14:paraId="4B18992C" w14:textId="77777777" w:rsidR="007B66C1" w:rsidRPr="005C3886" w:rsidRDefault="007B66C1" w:rsidP="007B66C1">
      <w:pPr>
        <w:pStyle w:val="ListParagraph"/>
        <w:ind w:left="0"/>
        <w:jc w:val="both"/>
        <w:rPr>
          <w:rFonts w:ascii="Georgia" w:hAnsi="Georgia"/>
          <w:color w:val="404040" w:themeColor="text1" w:themeTint="BF"/>
          <w:sz w:val="18"/>
          <w:szCs w:val="18"/>
        </w:rPr>
      </w:pPr>
    </w:p>
    <w:p w14:paraId="1A83FB9C" w14:textId="77C4E388" w:rsidR="007B66C1" w:rsidRPr="000746EE" w:rsidRDefault="007B66C1" w:rsidP="000746EE">
      <w:pPr>
        <w:jc w:val="both"/>
        <w:rPr>
          <w:rFonts w:ascii="Georgia" w:hAnsi="Georgia"/>
          <w:i/>
          <w:color w:val="404040" w:themeColor="text1" w:themeTint="BF"/>
          <w:sz w:val="18"/>
          <w:szCs w:val="18"/>
        </w:rPr>
      </w:pPr>
      <w:r w:rsidRPr="005C3886">
        <w:rPr>
          <w:rFonts w:ascii="Georgia" w:hAnsi="Georgia"/>
          <w:i/>
          <w:color w:val="404040" w:themeColor="text1" w:themeTint="BF"/>
          <w:sz w:val="18"/>
          <w:szCs w:val="18"/>
        </w:rPr>
        <w:t>1. Excluding grid outages and significant periods of constraint or curtailment that were outside of the Company’s control (for example, DNO-led outages and curtailments).</w:t>
      </w:r>
    </w:p>
    <w:p w14:paraId="5D4AC9FA" w14:textId="7F2FAC61" w:rsidR="007B66C1" w:rsidRPr="005C3886" w:rsidRDefault="007B66C1" w:rsidP="007B66C1">
      <w:pPr>
        <w:jc w:val="both"/>
        <w:rPr>
          <w:rFonts w:ascii="Georgia" w:hAnsi="Georgia"/>
          <w:i/>
          <w:color w:val="404040" w:themeColor="text1" w:themeTint="BF"/>
          <w:sz w:val="18"/>
          <w:szCs w:val="18"/>
        </w:rPr>
      </w:pPr>
      <w:r w:rsidRPr="005C3886">
        <w:rPr>
          <w:rFonts w:ascii="Georgia" w:hAnsi="Georgia"/>
          <w:i/>
          <w:color w:val="404040" w:themeColor="text1" w:themeTint="BF"/>
          <w:sz w:val="18"/>
          <w:szCs w:val="18"/>
        </w:rPr>
        <w:t xml:space="preserve">2 </w:t>
      </w:r>
      <w:r w:rsidR="00CD64E6" w:rsidRPr="005C3886">
        <w:rPr>
          <w:rFonts w:ascii="Georgia" w:hAnsi="Georgia"/>
          <w:i/>
          <w:color w:val="404040" w:themeColor="text1" w:themeTint="BF"/>
          <w:sz w:val="18"/>
          <w:szCs w:val="18"/>
        </w:rPr>
        <w:t xml:space="preserve">The table also excludes the </w:t>
      </w:r>
      <w:proofErr w:type="spellStart"/>
      <w:r w:rsidR="00CD64E6" w:rsidRPr="005C3886">
        <w:rPr>
          <w:rFonts w:ascii="Georgia" w:hAnsi="Georgia"/>
          <w:i/>
          <w:color w:val="404040" w:themeColor="text1" w:themeTint="BF"/>
          <w:sz w:val="18"/>
          <w:szCs w:val="18"/>
        </w:rPr>
        <w:t>Wormit</w:t>
      </w:r>
      <w:proofErr w:type="spellEnd"/>
      <w:r w:rsidR="00CD64E6" w:rsidRPr="005C3886">
        <w:rPr>
          <w:rFonts w:ascii="Georgia" w:hAnsi="Georgia"/>
          <w:i/>
          <w:color w:val="404040" w:themeColor="text1" w:themeTint="BF"/>
          <w:sz w:val="18"/>
          <w:szCs w:val="18"/>
        </w:rPr>
        <w:t xml:space="preserve">, Thornton Lane and </w:t>
      </w:r>
      <w:proofErr w:type="spellStart"/>
      <w:r w:rsidR="00CD64E6" w:rsidRPr="005C3886">
        <w:rPr>
          <w:rFonts w:ascii="Georgia" w:hAnsi="Georgia"/>
          <w:i/>
          <w:color w:val="404040" w:themeColor="text1" w:themeTint="BF"/>
          <w:sz w:val="18"/>
          <w:szCs w:val="18"/>
        </w:rPr>
        <w:t>Gretton</w:t>
      </w:r>
      <w:proofErr w:type="spellEnd"/>
      <w:r w:rsidR="00CD64E6" w:rsidRPr="005C3886">
        <w:rPr>
          <w:rFonts w:ascii="Georgia" w:hAnsi="Georgia"/>
          <w:i/>
          <w:color w:val="404040" w:themeColor="text1" w:themeTint="BF"/>
          <w:sz w:val="18"/>
          <w:szCs w:val="18"/>
        </w:rPr>
        <w:t xml:space="preserve"> plants (13.5MWp, aggregated), acquired in January 2020 and Little Bear (5.0MWp) acquired in October 2018</w:t>
      </w:r>
    </w:p>
    <w:p w14:paraId="6577B761" w14:textId="1FB4A9C2" w:rsidR="007B66C1" w:rsidRPr="005C3886" w:rsidRDefault="007B66C1" w:rsidP="007B66C1">
      <w:pPr>
        <w:jc w:val="both"/>
        <w:rPr>
          <w:rFonts w:ascii="Georgia" w:hAnsi="Georgia"/>
          <w:i/>
          <w:color w:val="404040" w:themeColor="text1" w:themeTint="BF"/>
          <w:sz w:val="18"/>
          <w:szCs w:val="18"/>
        </w:rPr>
      </w:pPr>
      <w:r w:rsidRPr="005C3886">
        <w:rPr>
          <w:rFonts w:ascii="Georgia" w:hAnsi="Georgia"/>
          <w:i/>
          <w:color w:val="404040" w:themeColor="text1" w:themeTint="BF"/>
          <w:sz w:val="18"/>
          <w:szCs w:val="18"/>
        </w:rPr>
        <w:t>3.</w:t>
      </w:r>
      <w:r w:rsidRPr="005C3886">
        <w:rPr>
          <w:color w:val="404040" w:themeColor="text1" w:themeTint="BF"/>
        </w:rPr>
        <w:t xml:space="preserve"> </w:t>
      </w:r>
      <w:r w:rsidRPr="005C3886">
        <w:rPr>
          <w:rFonts w:ascii="Georgia" w:hAnsi="Georgia"/>
          <w:i/>
          <w:color w:val="404040" w:themeColor="text1" w:themeTint="BF"/>
          <w:sz w:val="18"/>
          <w:szCs w:val="18"/>
        </w:rPr>
        <w:t>Actual and forecast revenue figures include ROC recycle estimates i</w:t>
      </w:r>
      <w:r w:rsidR="000746EE">
        <w:rPr>
          <w:rFonts w:ascii="Georgia" w:hAnsi="Georgia"/>
          <w:i/>
          <w:color w:val="404040" w:themeColor="text1" w:themeTint="BF"/>
          <w:sz w:val="18"/>
          <w:szCs w:val="18"/>
        </w:rPr>
        <w:t xml:space="preserve">n line with standard forecasts </w:t>
      </w:r>
    </w:p>
    <w:p w14:paraId="3CC2E618" w14:textId="77777777" w:rsidR="007B66C1" w:rsidRPr="005C3886" w:rsidRDefault="007B66C1" w:rsidP="007B66C1">
      <w:pPr>
        <w:jc w:val="both"/>
        <w:rPr>
          <w:rFonts w:ascii="Georgia" w:hAnsi="Georgia"/>
          <w:i/>
          <w:color w:val="404040" w:themeColor="text1" w:themeTint="BF"/>
          <w:sz w:val="18"/>
          <w:szCs w:val="18"/>
        </w:rPr>
      </w:pPr>
      <w:r w:rsidRPr="005C3886">
        <w:rPr>
          <w:rFonts w:ascii="Georgia" w:hAnsi="Georgia"/>
          <w:i/>
          <w:color w:val="404040" w:themeColor="text1" w:themeTint="BF"/>
          <w:sz w:val="18"/>
          <w:szCs w:val="18"/>
        </w:rPr>
        <w:t xml:space="preserve">4. Actuals also include LDs of £0.39m (FY2018/19 £0.44m) and insurance claim payments of £0.37m (FY 2018/19 £0.171m). </w:t>
      </w:r>
    </w:p>
    <w:p w14:paraId="1C02091A" w14:textId="77777777" w:rsidR="007B66C1" w:rsidRPr="002028F0" w:rsidRDefault="007B66C1" w:rsidP="007B66C1">
      <w:pPr>
        <w:pStyle w:val="ListParagraph"/>
        <w:ind w:left="0"/>
        <w:jc w:val="both"/>
        <w:rPr>
          <w:rFonts w:ascii="Georgia" w:hAnsi="Georgia"/>
          <w:sz w:val="20"/>
          <w:szCs w:val="20"/>
          <w:highlight w:val="yellow"/>
        </w:rPr>
      </w:pPr>
    </w:p>
    <w:p w14:paraId="164AD122" w14:textId="77777777" w:rsidR="000746EE" w:rsidRDefault="007B66C1" w:rsidP="000746EE">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 xml:space="preserve">As shown in the table above, irradiation levels during the period were 11% higher than the Company’s forecast and 4.5% above levels recorded in the previous reporting year with March, April and May 2020 experienced unusually </w:t>
      </w:r>
      <w:r w:rsidR="000746EE">
        <w:rPr>
          <w:rFonts w:ascii="Georgia" w:hAnsi="Georgia"/>
          <w:color w:val="404040" w:themeColor="text1" w:themeTint="BF"/>
          <w:sz w:val="20"/>
          <w:szCs w:val="20"/>
        </w:rPr>
        <w:t xml:space="preserve">high levels of irradiation.  </w:t>
      </w:r>
    </w:p>
    <w:p w14:paraId="4290B83F" w14:textId="77777777" w:rsidR="000746EE" w:rsidRDefault="000746EE" w:rsidP="000746EE">
      <w:pPr>
        <w:pStyle w:val="ListParagraph"/>
        <w:ind w:left="0"/>
        <w:jc w:val="both"/>
        <w:rPr>
          <w:rFonts w:ascii="Georgia" w:hAnsi="Georgia"/>
          <w:color w:val="404040" w:themeColor="text1" w:themeTint="BF"/>
          <w:sz w:val="20"/>
          <w:szCs w:val="20"/>
        </w:rPr>
      </w:pPr>
    </w:p>
    <w:p w14:paraId="72C27650" w14:textId="72BC72E5" w:rsidR="00F95927" w:rsidRPr="002028F0" w:rsidRDefault="00F95927" w:rsidP="000746EE">
      <w:pPr>
        <w:pStyle w:val="ListParagraph"/>
        <w:ind w:left="0"/>
        <w:jc w:val="both"/>
        <w:rPr>
          <w:rFonts w:ascii="Georgia" w:hAnsi="Georgia"/>
          <w:color w:val="404040" w:themeColor="text1" w:themeTint="BF"/>
          <w:sz w:val="20"/>
          <w:szCs w:val="20"/>
        </w:rPr>
      </w:pPr>
      <w:r w:rsidRPr="002C2131">
        <w:rPr>
          <w:rFonts w:ascii="Georgia" w:hAnsi="Georgia"/>
          <w:color w:val="404040" w:themeColor="text1" w:themeTint="BF"/>
          <w:sz w:val="20"/>
          <w:szCs w:val="20"/>
        </w:rPr>
        <w:t>The high irradiation levels gave rise to significantly higher-than-forecast generation (+8.3%) and +1.5%</w:t>
      </w:r>
      <w:r w:rsidRPr="002028F0">
        <w:rPr>
          <w:rFonts w:ascii="Georgia" w:hAnsi="Georgia"/>
          <w:color w:val="404040" w:themeColor="text1" w:themeTint="BF"/>
          <w:sz w:val="20"/>
          <w:szCs w:val="20"/>
        </w:rPr>
        <w:t xml:space="preserve"> when compared to the previous financial year, with a total generation of 48</w:t>
      </w:r>
      <w:r>
        <w:rPr>
          <w:rFonts w:ascii="Georgia" w:hAnsi="Georgia"/>
          <w:color w:val="404040" w:themeColor="text1" w:themeTint="BF"/>
          <w:sz w:val="20"/>
          <w:szCs w:val="20"/>
        </w:rPr>
        <w:t xml:space="preserve">7.6 </w:t>
      </w:r>
      <w:proofErr w:type="spellStart"/>
      <w:r w:rsidRPr="002028F0">
        <w:rPr>
          <w:rFonts w:ascii="Georgia" w:hAnsi="Georgia"/>
          <w:color w:val="404040" w:themeColor="text1" w:themeTint="BF"/>
          <w:sz w:val="20"/>
          <w:szCs w:val="20"/>
        </w:rPr>
        <w:t>GWh</w:t>
      </w:r>
      <w:proofErr w:type="spellEnd"/>
      <w:r w:rsidRPr="002028F0">
        <w:rPr>
          <w:rFonts w:ascii="Georgia" w:hAnsi="Georgia"/>
          <w:color w:val="404040" w:themeColor="text1" w:themeTint="BF"/>
          <w:sz w:val="20"/>
          <w:szCs w:val="20"/>
        </w:rPr>
        <w:t xml:space="preserve"> (vs. 4</w:t>
      </w:r>
      <w:r>
        <w:rPr>
          <w:rFonts w:ascii="Georgia" w:hAnsi="Georgia"/>
          <w:color w:val="404040" w:themeColor="text1" w:themeTint="BF"/>
          <w:sz w:val="20"/>
          <w:szCs w:val="20"/>
        </w:rPr>
        <w:t>80</w:t>
      </w:r>
      <w:r w:rsidRPr="002028F0">
        <w:rPr>
          <w:rFonts w:ascii="Georgia" w:hAnsi="Georgia"/>
          <w:color w:val="404040" w:themeColor="text1" w:themeTint="BF"/>
          <w:sz w:val="20"/>
          <w:szCs w:val="20"/>
        </w:rPr>
        <w:t>.</w:t>
      </w:r>
      <w:r>
        <w:rPr>
          <w:rFonts w:ascii="Georgia" w:hAnsi="Georgia"/>
          <w:color w:val="404040" w:themeColor="text1" w:themeTint="BF"/>
          <w:sz w:val="20"/>
          <w:szCs w:val="20"/>
        </w:rPr>
        <w:t>2</w:t>
      </w:r>
      <w:r w:rsidRPr="002028F0">
        <w:rPr>
          <w:rFonts w:ascii="Georgia" w:hAnsi="Georgia"/>
          <w:color w:val="404040" w:themeColor="text1" w:themeTint="BF"/>
          <w:sz w:val="20"/>
          <w:szCs w:val="20"/>
        </w:rPr>
        <w:t xml:space="preserve"> </w:t>
      </w:r>
      <w:proofErr w:type="spellStart"/>
      <w:r w:rsidRPr="002028F0">
        <w:rPr>
          <w:rFonts w:ascii="Georgia" w:hAnsi="Georgia"/>
          <w:color w:val="404040" w:themeColor="text1" w:themeTint="BF"/>
          <w:sz w:val="20"/>
          <w:szCs w:val="20"/>
        </w:rPr>
        <w:t>GWh</w:t>
      </w:r>
      <w:proofErr w:type="spellEnd"/>
      <w:r w:rsidRPr="002028F0">
        <w:rPr>
          <w:rFonts w:ascii="Georgia" w:hAnsi="Georgia"/>
          <w:color w:val="404040" w:themeColor="text1" w:themeTint="BF"/>
          <w:sz w:val="20"/>
          <w:szCs w:val="20"/>
        </w:rPr>
        <w:t xml:space="preserve"> FY201</w:t>
      </w:r>
      <w:r>
        <w:rPr>
          <w:rFonts w:ascii="Georgia" w:hAnsi="Georgia"/>
          <w:color w:val="404040" w:themeColor="text1" w:themeTint="BF"/>
          <w:sz w:val="20"/>
          <w:szCs w:val="20"/>
        </w:rPr>
        <w:t>8</w:t>
      </w:r>
      <w:r w:rsidRPr="002028F0">
        <w:rPr>
          <w:rFonts w:ascii="Georgia" w:hAnsi="Georgia"/>
          <w:color w:val="404040" w:themeColor="text1" w:themeTint="BF"/>
          <w:sz w:val="20"/>
          <w:szCs w:val="20"/>
        </w:rPr>
        <w:t>/1</w:t>
      </w:r>
      <w:r>
        <w:rPr>
          <w:rFonts w:ascii="Georgia" w:hAnsi="Georgia"/>
          <w:color w:val="404040" w:themeColor="text1" w:themeTint="BF"/>
          <w:sz w:val="20"/>
          <w:szCs w:val="20"/>
        </w:rPr>
        <w:t>9</w:t>
      </w:r>
      <w:r w:rsidRPr="002028F0">
        <w:rPr>
          <w:rFonts w:ascii="Georgia" w:hAnsi="Georgia"/>
          <w:color w:val="404040" w:themeColor="text1" w:themeTint="BF"/>
          <w:sz w:val="20"/>
          <w:szCs w:val="20"/>
        </w:rPr>
        <w:t>).</w:t>
      </w:r>
    </w:p>
    <w:p w14:paraId="2941C995" w14:textId="77777777" w:rsidR="00F95927" w:rsidRPr="0053187F" w:rsidRDefault="00F95927" w:rsidP="00F95927">
      <w:pPr>
        <w:pStyle w:val="ListParagraph"/>
        <w:ind w:left="0"/>
        <w:jc w:val="both"/>
        <w:rPr>
          <w:rFonts w:ascii="Georgia" w:hAnsi="Georgia"/>
          <w:color w:val="404040" w:themeColor="text1" w:themeTint="BF"/>
          <w:sz w:val="20"/>
          <w:szCs w:val="20"/>
        </w:rPr>
      </w:pPr>
    </w:p>
    <w:p w14:paraId="7ACAE75B" w14:textId="77777777" w:rsidR="000746EE" w:rsidRDefault="001129E3" w:rsidP="000746EE">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 xml:space="preserve">Although the </w:t>
      </w:r>
      <w:r w:rsidRPr="0053187F">
        <w:rPr>
          <w:rFonts w:ascii="Georgia" w:hAnsi="Georgia"/>
          <w:color w:val="404040" w:themeColor="text1" w:themeTint="BF"/>
          <w:sz w:val="20"/>
          <w:szCs w:val="20"/>
        </w:rPr>
        <w:t>Total Unit Price</w:t>
      </w:r>
      <w:r>
        <w:rPr>
          <w:rFonts w:ascii="Georgia" w:hAnsi="Georgia"/>
          <w:color w:val="404040" w:themeColor="text1" w:themeTint="BF"/>
          <w:sz w:val="20"/>
          <w:szCs w:val="20"/>
        </w:rPr>
        <w:t xml:space="preserve"> was slightly below forecasted levels at £133.4/MWh</w:t>
      </w:r>
      <w:r w:rsidRPr="0053187F">
        <w:rPr>
          <w:rFonts w:ascii="Georgia" w:hAnsi="Georgia"/>
          <w:color w:val="404040" w:themeColor="text1" w:themeTint="BF"/>
          <w:sz w:val="20"/>
          <w:szCs w:val="20"/>
        </w:rPr>
        <w:t xml:space="preserve"> (</w:t>
      </w:r>
      <w:r>
        <w:rPr>
          <w:rFonts w:ascii="Georgia" w:hAnsi="Georgia"/>
          <w:color w:val="404040" w:themeColor="text1" w:themeTint="BF"/>
          <w:sz w:val="20"/>
          <w:szCs w:val="20"/>
        </w:rPr>
        <w:t xml:space="preserve">due </w:t>
      </w:r>
      <w:r w:rsidR="000661D7">
        <w:rPr>
          <w:rFonts w:ascii="Georgia" w:hAnsi="Georgia"/>
          <w:color w:val="404040" w:themeColor="text1" w:themeTint="BF"/>
          <w:sz w:val="20"/>
          <w:szCs w:val="20"/>
        </w:rPr>
        <w:t xml:space="preserve">to </w:t>
      </w:r>
      <w:r>
        <w:rPr>
          <w:rFonts w:ascii="Georgia" w:hAnsi="Georgia"/>
          <w:color w:val="404040" w:themeColor="text1" w:themeTint="BF"/>
          <w:sz w:val="20"/>
          <w:szCs w:val="20"/>
        </w:rPr>
        <w:t>power price fixes in Q4 2020 being below the forecast curves from June 2019)</w:t>
      </w:r>
      <w:r w:rsidRPr="0053187F">
        <w:rPr>
          <w:rFonts w:ascii="Georgia" w:hAnsi="Georgia"/>
          <w:color w:val="404040" w:themeColor="text1" w:themeTint="BF"/>
          <w:sz w:val="20"/>
          <w:szCs w:val="20"/>
        </w:rPr>
        <w:t xml:space="preserve">, </w:t>
      </w:r>
      <w:r>
        <w:rPr>
          <w:rFonts w:ascii="Georgia" w:hAnsi="Georgia"/>
          <w:color w:val="404040" w:themeColor="text1" w:themeTint="BF"/>
          <w:sz w:val="20"/>
          <w:szCs w:val="20"/>
        </w:rPr>
        <w:t xml:space="preserve">the </w:t>
      </w:r>
      <w:r w:rsidRPr="0053187F">
        <w:rPr>
          <w:rFonts w:ascii="Georgia" w:hAnsi="Georgia"/>
          <w:color w:val="404040" w:themeColor="text1" w:themeTint="BF"/>
          <w:sz w:val="20"/>
          <w:szCs w:val="20"/>
        </w:rPr>
        <w:t xml:space="preserve">Total Revenue </w:t>
      </w:r>
      <w:r>
        <w:rPr>
          <w:rFonts w:ascii="Georgia" w:hAnsi="Georgia"/>
          <w:color w:val="404040" w:themeColor="text1" w:themeTint="BF"/>
          <w:sz w:val="20"/>
          <w:szCs w:val="20"/>
        </w:rPr>
        <w:t>of £139.74/</w:t>
      </w:r>
      <w:proofErr w:type="spellStart"/>
      <w:r>
        <w:rPr>
          <w:rFonts w:ascii="Georgia" w:hAnsi="Georgia"/>
          <w:color w:val="404040" w:themeColor="text1" w:themeTint="BF"/>
          <w:sz w:val="20"/>
          <w:szCs w:val="20"/>
        </w:rPr>
        <w:t>MWp</w:t>
      </w:r>
      <w:proofErr w:type="spellEnd"/>
      <w:r>
        <w:rPr>
          <w:rFonts w:ascii="Georgia" w:hAnsi="Georgia"/>
          <w:color w:val="404040" w:themeColor="text1" w:themeTint="BF"/>
          <w:sz w:val="20"/>
          <w:szCs w:val="20"/>
        </w:rPr>
        <w:t xml:space="preserve"> </w:t>
      </w:r>
      <w:r w:rsidRPr="0053187F">
        <w:rPr>
          <w:rFonts w:ascii="Georgia" w:hAnsi="Georgia"/>
          <w:color w:val="404040" w:themeColor="text1" w:themeTint="BF"/>
          <w:sz w:val="20"/>
          <w:szCs w:val="20"/>
        </w:rPr>
        <w:t>was considerably higher than both expectations</w:t>
      </w:r>
      <w:r>
        <w:rPr>
          <w:rFonts w:ascii="Georgia" w:hAnsi="Georgia"/>
          <w:color w:val="404040" w:themeColor="text1" w:themeTint="BF"/>
          <w:sz w:val="20"/>
          <w:szCs w:val="20"/>
        </w:rPr>
        <w:t xml:space="preserve"> </w:t>
      </w:r>
      <w:r w:rsidRPr="0053187F">
        <w:rPr>
          <w:rFonts w:ascii="Georgia" w:hAnsi="Georgia"/>
          <w:color w:val="404040" w:themeColor="text1" w:themeTint="BF"/>
          <w:sz w:val="20"/>
          <w:szCs w:val="20"/>
        </w:rPr>
        <w:t>(+</w:t>
      </w:r>
      <w:r>
        <w:rPr>
          <w:rFonts w:ascii="Georgia" w:hAnsi="Georgia"/>
          <w:color w:val="404040" w:themeColor="text1" w:themeTint="BF"/>
          <w:sz w:val="20"/>
          <w:szCs w:val="20"/>
        </w:rPr>
        <w:t>6.6</w:t>
      </w:r>
      <w:r w:rsidRPr="0053187F">
        <w:rPr>
          <w:rFonts w:ascii="Georgia" w:hAnsi="Georgia"/>
          <w:color w:val="404040" w:themeColor="text1" w:themeTint="BF"/>
          <w:sz w:val="20"/>
          <w:szCs w:val="20"/>
        </w:rPr>
        <w:t>%) and FY 201</w:t>
      </w:r>
      <w:r>
        <w:rPr>
          <w:rFonts w:ascii="Georgia" w:hAnsi="Georgia"/>
          <w:color w:val="404040" w:themeColor="text1" w:themeTint="BF"/>
          <w:sz w:val="20"/>
          <w:szCs w:val="20"/>
        </w:rPr>
        <w:t>8</w:t>
      </w:r>
      <w:r w:rsidRPr="0053187F">
        <w:rPr>
          <w:rFonts w:ascii="Georgia" w:hAnsi="Georgia"/>
          <w:color w:val="404040" w:themeColor="text1" w:themeTint="BF"/>
          <w:sz w:val="20"/>
          <w:szCs w:val="20"/>
        </w:rPr>
        <w:t>/1</w:t>
      </w:r>
      <w:r>
        <w:rPr>
          <w:rFonts w:ascii="Georgia" w:hAnsi="Georgia"/>
          <w:color w:val="404040" w:themeColor="text1" w:themeTint="BF"/>
          <w:sz w:val="20"/>
          <w:szCs w:val="20"/>
        </w:rPr>
        <w:t>9</w:t>
      </w:r>
      <w:r w:rsidRPr="0053187F">
        <w:rPr>
          <w:rFonts w:ascii="Georgia" w:hAnsi="Georgia"/>
          <w:color w:val="404040" w:themeColor="text1" w:themeTint="BF"/>
          <w:sz w:val="20"/>
          <w:szCs w:val="20"/>
        </w:rPr>
        <w:t xml:space="preserve"> (</w:t>
      </w:r>
      <w:r>
        <w:rPr>
          <w:rFonts w:ascii="Georgia" w:hAnsi="Georgia"/>
          <w:color w:val="404040" w:themeColor="text1" w:themeTint="BF"/>
          <w:sz w:val="20"/>
          <w:szCs w:val="20"/>
        </w:rPr>
        <w:t>+4.2</w:t>
      </w:r>
      <w:r w:rsidRPr="0053187F">
        <w:rPr>
          <w:rFonts w:ascii="Georgia" w:hAnsi="Georgia"/>
          <w:color w:val="404040" w:themeColor="text1" w:themeTint="BF"/>
          <w:sz w:val="20"/>
          <w:szCs w:val="20"/>
        </w:rPr>
        <w:t>%).</w:t>
      </w:r>
    </w:p>
    <w:p w14:paraId="66A2FC43" w14:textId="77777777" w:rsidR="000746EE" w:rsidRDefault="000746EE" w:rsidP="000746EE">
      <w:pPr>
        <w:pStyle w:val="ListParagraph"/>
        <w:ind w:left="0"/>
        <w:jc w:val="both"/>
        <w:rPr>
          <w:rFonts w:ascii="Georgia" w:hAnsi="Georgia"/>
          <w:color w:val="404040" w:themeColor="text1" w:themeTint="BF"/>
          <w:sz w:val="20"/>
          <w:szCs w:val="20"/>
        </w:rPr>
      </w:pPr>
    </w:p>
    <w:p w14:paraId="4690FF27" w14:textId="592280E9" w:rsidR="000746EE" w:rsidRPr="0053187F" w:rsidRDefault="007B66C1" w:rsidP="000746EE">
      <w:pPr>
        <w:pStyle w:val="ListParagraph"/>
        <w:ind w:left="0"/>
        <w:jc w:val="both"/>
        <w:rPr>
          <w:rFonts w:ascii="Georgia" w:hAnsi="Georgia"/>
          <w:color w:val="404040" w:themeColor="text1" w:themeTint="BF"/>
          <w:sz w:val="20"/>
          <w:szCs w:val="20"/>
        </w:rPr>
      </w:pPr>
      <w:r w:rsidRPr="0053187F">
        <w:rPr>
          <w:rFonts w:ascii="Georgia" w:hAnsi="Georgia"/>
          <w:color w:val="404040" w:themeColor="text1" w:themeTint="BF"/>
          <w:sz w:val="20"/>
          <w:szCs w:val="20"/>
        </w:rPr>
        <w:t>The portfolio’s ‘availability’ (the total time the plant was operating, as a percentage of the maximum possible) was 9</w:t>
      </w:r>
      <w:r>
        <w:rPr>
          <w:rFonts w:ascii="Georgia" w:hAnsi="Georgia"/>
          <w:color w:val="404040" w:themeColor="text1" w:themeTint="BF"/>
          <w:sz w:val="20"/>
          <w:szCs w:val="20"/>
        </w:rPr>
        <w:t>7.4</w:t>
      </w:r>
      <w:r w:rsidRPr="0053187F">
        <w:rPr>
          <w:rFonts w:ascii="Georgia" w:hAnsi="Georgia"/>
          <w:color w:val="404040" w:themeColor="text1" w:themeTint="BF"/>
          <w:sz w:val="20"/>
          <w:szCs w:val="20"/>
        </w:rPr>
        <w:t>%, marginally lower than the forecasted level of 99</w:t>
      </w:r>
      <w:r w:rsidRPr="00002E41">
        <w:rPr>
          <w:rFonts w:ascii="Georgia" w:hAnsi="Georgia"/>
          <w:color w:val="404040" w:themeColor="text1" w:themeTint="BF"/>
          <w:sz w:val="20"/>
          <w:szCs w:val="20"/>
        </w:rPr>
        <w:t xml:space="preserve">%. </w:t>
      </w:r>
      <w:bookmarkStart w:id="5" w:name="_Hlk48220860"/>
      <w:r w:rsidR="00002E41" w:rsidRPr="00EC6B38">
        <w:rPr>
          <w:rFonts w:ascii="Georgia" w:hAnsi="Georgia"/>
          <w:color w:val="404040" w:themeColor="text1" w:themeTint="BF"/>
          <w:sz w:val="20"/>
          <w:szCs w:val="20"/>
        </w:rPr>
        <w:t>This was in part due to replacement of failed HV equipment, for which insurance claims have been submitted, and in part due to limited supplier delays outside of the control of the Company as a result of the coronavirus pandemic</w:t>
      </w:r>
      <w:bookmarkEnd w:id="5"/>
      <w:r w:rsidRPr="00002E41">
        <w:rPr>
          <w:rFonts w:ascii="Georgia" w:hAnsi="Georgia"/>
          <w:color w:val="404040" w:themeColor="text1" w:themeTint="BF"/>
          <w:sz w:val="20"/>
          <w:szCs w:val="20"/>
        </w:rPr>
        <w:t>.</w:t>
      </w:r>
      <w:r w:rsidRPr="0053187F">
        <w:rPr>
          <w:rFonts w:ascii="Georgia" w:hAnsi="Georgia"/>
          <w:color w:val="404040" w:themeColor="text1" w:themeTint="BF"/>
          <w:sz w:val="20"/>
          <w:szCs w:val="20"/>
        </w:rPr>
        <w:t xml:space="preserve"> During these </w:t>
      </w:r>
      <w:r>
        <w:rPr>
          <w:rFonts w:ascii="Georgia" w:hAnsi="Georgia"/>
          <w:color w:val="404040" w:themeColor="text1" w:themeTint="BF"/>
          <w:sz w:val="20"/>
          <w:szCs w:val="20"/>
        </w:rPr>
        <w:t xml:space="preserve">periods, temporary equipment was sourced to maintain generation where possible </w:t>
      </w:r>
      <w:r w:rsidRPr="0053187F">
        <w:rPr>
          <w:rFonts w:ascii="Georgia" w:hAnsi="Georgia"/>
          <w:color w:val="404040" w:themeColor="text1" w:themeTint="BF"/>
          <w:sz w:val="20"/>
          <w:szCs w:val="20"/>
        </w:rPr>
        <w:t xml:space="preserve">until </w:t>
      </w:r>
      <w:r>
        <w:rPr>
          <w:rFonts w:ascii="Georgia" w:hAnsi="Georgia"/>
          <w:color w:val="404040" w:themeColor="text1" w:themeTint="BF"/>
          <w:sz w:val="20"/>
          <w:szCs w:val="20"/>
        </w:rPr>
        <w:t xml:space="preserve">the permanent replacement </w:t>
      </w:r>
      <w:r w:rsidRPr="0053187F">
        <w:rPr>
          <w:rFonts w:ascii="Georgia" w:hAnsi="Georgia"/>
          <w:color w:val="404040" w:themeColor="text1" w:themeTint="BF"/>
          <w:sz w:val="20"/>
          <w:szCs w:val="20"/>
        </w:rPr>
        <w:t xml:space="preserve">parts could be delivered and installed. </w:t>
      </w:r>
    </w:p>
    <w:p w14:paraId="300DD894" w14:textId="77777777" w:rsidR="00CD64E6" w:rsidRPr="005051BD" w:rsidRDefault="00CD64E6" w:rsidP="00CD64E6">
      <w:pPr>
        <w:pStyle w:val="Heading2"/>
        <w:spacing w:before="0"/>
      </w:pPr>
      <w:r w:rsidRPr="005051BD">
        <w:lastRenderedPageBreak/>
        <w:t>Report of the Investment Adviser (continued)</w:t>
      </w:r>
    </w:p>
    <w:p w14:paraId="1E3A8407" w14:textId="77777777" w:rsidR="00CD64E6" w:rsidRPr="005051BD" w:rsidRDefault="00CD64E6" w:rsidP="00CD64E6">
      <w:pPr>
        <w:jc w:val="both"/>
        <w:rPr>
          <w:rFonts w:ascii="Georgia" w:hAnsi="Georgia" w:cs="Calibri"/>
          <w:color w:val="404040" w:themeColor="text1" w:themeTint="BF"/>
          <w:sz w:val="20"/>
        </w:rPr>
      </w:pPr>
    </w:p>
    <w:p w14:paraId="45E7C75A" w14:textId="77777777" w:rsidR="00CD64E6" w:rsidRPr="005051BD" w:rsidRDefault="00CD64E6" w:rsidP="00CD64E6">
      <w:pPr>
        <w:rPr>
          <w:rFonts w:ascii="Georgia" w:hAnsi="Georgia"/>
          <w:b/>
          <w:color w:val="4A442A" w:themeColor="background2" w:themeShade="40"/>
          <w:sz w:val="20"/>
          <w:szCs w:val="20"/>
        </w:rPr>
      </w:pPr>
      <w:r w:rsidRPr="005051BD">
        <w:rPr>
          <w:rFonts w:ascii="Georgia" w:hAnsi="Georgia"/>
          <w:b/>
          <w:color w:val="4A442A" w:themeColor="background2" w:themeShade="40"/>
          <w:sz w:val="20"/>
          <w:szCs w:val="20"/>
        </w:rPr>
        <w:t>2. Portfolio: Acquisitions, Performance and Value Enhancement (continued)</w:t>
      </w:r>
    </w:p>
    <w:p w14:paraId="67D7941F" w14:textId="77777777" w:rsidR="00CD64E6" w:rsidRPr="005051BD" w:rsidRDefault="00CD64E6" w:rsidP="00CD64E6">
      <w:pPr>
        <w:pStyle w:val="ListParagraph"/>
        <w:ind w:left="0"/>
        <w:jc w:val="both"/>
        <w:rPr>
          <w:rFonts w:ascii="Georgia" w:hAnsi="Georgia"/>
          <w:color w:val="404040" w:themeColor="text1" w:themeTint="BF"/>
          <w:sz w:val="20"/>
          <w:szCs w:val="20"/>
        </w:rPr>
      </w:pPr>
    </w:p>
    <w:p w14:paraId="545A4D97" w14:textId="77777777" w:rsidR="00CD64E6" w:rsidRPr="005051BD" w:rsidRDefault="00CD64E6" w:rsidP="00CD64E6">
      <w:pPr>
        <w:rPr>
          <w:rFonts w:ascii="Georgia" w:hAnsi="Georgia"/>
          <w:color w:val="4A442A" w:themeColor="background2" w:themeShade="40"/>
          <w:sz w:val="20"/>
          <w:szCs w:val="20"/>
        </w:rPr>
      </w:pPr>
      <w:r w:rsidRPr="005051BD">
        <w:rPr>
          <w:rFonts w:ascii="Georgia" w:hAnsi="Georgia"/>
          <w:b/>
          <w:color w:val="4A442A" w:themeColor="background2" w:themeShade="40"/>
          <w:sz w:val="20"/>
          <w:szCs w:val="20"/>
        </w:rPr>
        <w:t>Performance (continued)</w:t>
      </w:r>
    </w:p>
    <w:p w14:paraId="19945776"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67CFA31E" w14:textId="77777777" w:rsidR="007B66C1" w:rsidRPr="009C15EA" w:rsidRDefault="007B66C1" w:rsidP="007B66C1">
      <w:pPr>
        <w:rPr>
          <w:rFonts w:ascii="Georgia" w:hAnsi="Georgia"/>
          <w:color w:val="404040" w:themeColor="text1" w:themeTint="BF"/>
          <w:sz w:val="20"/>
          <w:szCs w:val="20"/>
        </w:rPr>
      </w:pPr>
      <w:r w:rsidRPr="002C2131">
        <w:rPr>
          <w:rFonts w:ascii="Georgia" w:hAnsi="Georgia"/>
          <w:color w:val="404040" w:themeColor="text1" w:themeTint="BF"/>
          <w:sz w:val="20"/>
          <w:szCs w:val="20"/>
        </w:rPr>
        <w:t>Figure 1.  FY 2019/</w:t>
      </w:r>
      <w:r>
        <w:rPr>
          <w:rFonts w:ascii="Georgia" w:hAnsi="Georgia"/>
          <w:color w:val="404040" w:themeColor="text1" w:themeTint="BF"/>
          <w:sz w:val="20"/>
          <w:szCs w:val="20"/>
        </w:rPr>
        <w:t xml:space="preserve">20 </w:t>
      </w:r>
      <w:r w:rsidRPr="002C2131">
        <w:rPr>
          <w:rFonts w:ascii="Georgia" w:hAnsi="Georgia"/>
          <w:color w:val="404040" w:themeColor="text1" w:themeTint="BF"/>
          <w:sz w:val="20"/>
          <w:szCs w:val="20"/>
        </w:rPr>
        <w:t xml:space="preserve">– Actual </w:t>
      </w:r>
      <w:r>
        <w:rPr>
          <w:rFonts w:ascii="Georgia" w:hAnsi="Georgia"/>
          <w:color w:val="404040" w:themeColor="text1" w:themeTint="BF"/>
          <w:sz w:val="20"/>
          <w:szCs w:val="20"/>
        </w:rPr>
        <w:t>G</w:t>
      </w:r>
      <w:r w:rsidRPr="002C2131">
        <w:rPr>
          <w:rFonts w:ascii="Georgia" w:hAnsi="Georgia"/>
          <w:color w:val="404040" w:themeColor="text1" w:themeTint="BF"/>
          <w:sz w:val="20"/>
          <w:szCs w:val="20"/>
        </w:rPr>
        <w:t>eneration and Revenue</w:t>
      </w:r>
    </w:p>
    <w:p w14:paraId="23B1A7B7" w14:textId="77777777" w:rsidR="007B66C1" w:rsidRDefault="007B66C1" w:rsidP="007B66C1">
      <w:pPr>
        <w:jc w:val="both"/>
        <w:rPr>
          <w:noProof/>
          <w:highlight w:val="yellow"/>
          <w:lang w:eastAsia="zh-CN"/>
        </w:rPr>
      </w:pPr>
      <w:r>
        <w:rPr>
          <w:noProof/>
          <w:lang w:eastAsia="zh-CN"/>
        </w:rPr>
        <w:drawing>
          <wp:inline distT="0" distB="0" distL="0" distR="0" wp14:anchorId="194B91E8" wp14:editId="032934A5">
            <wp:extent cx="5494133" cy="2733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8327" cy="2740738"/>
                    </a:xfrm>
                    <a:prstGeom prst="rect">
                      <a:avLst/>
                    </a:prstGeom>
                  </pic:spPr>
                </pic:pic>
              </a:graphicData>
            </a:graphic>
          </wp:inline>
        </w:drawing>
      </w:r>
    </w:p>
    <w:p w14:paraId="717BEDF2" w14:textId="77777777" w:rsidR="007B66C1" w:rsidRPr="00904E51" w:rsidRDefault="007B66C1" w:rsidP="007B66C1">
      <w:pPr>
        <w:jc w:val="both"/>
        <w:rPr>
          <w:rFonts w:ascii="Georgia" w:hAnsi="Georgia"/>
          <w:color w:val="404040" w:themeColor="text1" w:themeTint="BF"/>
          <w:sz w:val="20"/>
          <w:szCs w:val="20"/>
          <w:highlight w:val="yellow"/>
        </w:rPr>
      </w:pPr>
    </w:p>
    <w:p w14:paraId="3A644E48" w14:textId="77777777" w:rsidR="007B66C1" w:rsidRPr="0053187F" w:rsidRDefault="007B66C1" w:rsidP="007B66C1">
      <w:pPr>
        <w:jc w:val="both"/>
        <w:rPr>
          <w:rFonts w:ascii="Georgia" w:hAnsi="Georgia"/>
          <w:i/>
          <w:color w:val="404040" w:themeColor="text1" w:themeTint="BF"/>
          <w:sz w:val="18"/>
          <w:szCs w:val="20"/>
        </w:rPr>
      </w:pPr>
      <w:r w:rsidRPr="0053187F">
        <w:rPr>
          <w:rFonts w:ascii="Georgia" w:hAnsi="Georgia"/>
          <w:i/>
          <w:color w:val="404040" w:themeColor="text1" w:themeTint="BF"/>
          <w:sz w:val="18"/>
          <w:szCs w:val="20"/>
        </w:rPr>
        <w:t>Note: The figure excludes assets with a collective capacity of 13.</w:t>
      </w:r>
      <w:r>
        <w:rPr>
          <w:rFonts w:ascii="Georgia" w:hAnsi="Georgia"/>
          <w:i/>
          <w:color w:val="404040" w:themeColor="text1" w:themeTint="BF"/>
          <w:sz w:val="18"/>
          <w:szCs w:val="20"/>
        </w:rPr>
        <w:t>6</w:t>
      </w:r>
      <w:r w:rsidRPr="0053187F">
        <w:rPr>
          <w:rFonts w:ascii="Georgia" w:hAnsi="Georgia"/>
          <w:i/>
          <w:color w:val="404040" w:themeColor="text1" w:themeTint="BF"/>
          <w:sz w:val="18"/>
          <w:szCs w:val="20"/>
        </w:rPr>
        <w:t>MWp, which were acquired during the reporting period</w:t>
      </w:r>
    </w:p>
    <w:p w14:paraId="351BF341"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0C4FC8F4" w14:textId="6A5D0885" w:rsidR="007B66C1" w:rsidRPr="009C15EA" w:rsidRDefault="007B66C1" w:rsidP="007B66C1">
      <w:pPr>
        <w:pStyle w:val="ListParagraph"/>
        <w:ind w:left="0"/>
        <w:jc w:val="both"/>
        <w:rPr>
          <w:rFonts w:ascii="Georgia" w:hAnsi="Georgia"/>
          <w:color w:val="404040" w:themeColor="text1" w:themeTint="BF"/>
          <w:sz w:val="20"/>
          <w:szCs w:val="20"/>
        </w:rPr>
      </w:pPr>
      <w:r w:rsidRPr="009C15EA">
        <w:rPr>
          <w:rFonts w:ascii="Georgia" w:hAnsi="Georgia"/>
          <w:color w:val="404040" w:themeColor="text1" w:themeTint="BF"/>
          <w:sz w:val="20"/>
          <w:szCs w:val="20"/>
        </w:rPr>
        <w:t xml:space="preserve">The portfolio’s net </w:t>
      </w:r>
      <w:r w:rsidR="001A4763">
        <w:rPr>
          <w:rFonts w:ascii="Georgia" w:hAnsi="Georgia"/>
          <w:color w:val="404040" w:themeColor="text1" w:themeTint="BF"/>
          <w:sz w:val="20"/>
          <w:szCs w:val="20"/>
        </w:rPr>
        <w:t>P</w:t>
      </w:r>
      <w:r w:rsidRPr="009C15EA">
        <w:rPr>
          <w:rFonts w:ascii="Georgia" w:hAnsi="Georgia"/>
          <w:color w:val="404040" w:themeColor="text1" w:themeTint="BF"/>
          <w:sz w:val="20"/>
          <w:szCs w:val="20"/>
        </w:rPr>
        <w:t>erformance</w:t>
      </w:r>
      <w:r w:rsidR="001A4763">
        <w:rPr>
          <w:rFonts w:ascii="Georgia" w:hAnsi="Georgia"/>
          <w:color w:val="404040" w:themeColor="text1" w:themeTint="BF"/>
          <w:sz w:val="20"/>
          <w:szCs w:val="20"/>
        </w:rPr>
        <w:t xml:space="preserve"> R</w:t>
      </w:r>
      <w:r w:rsidR="00371AB2">
        <w:rPr>
          <w:rFonts w:ascii="Georgia" w:hAnsi="Georgia"/>
          <w:color w:val="404040" w:themeColor="text1" w:themeTint="BF"/>
          <w:sz w:val="20"/>
          <w:szCs w:val="20"/>
        </w:rPr>
        <w:t>atio</w:t>
      </w:r>
      <w:r w:rsidR="001A4763">
        <w:rPr>
          <w:rFonts w:ascii="Georgia" w:hAnsi="Georgia"/>
          <w:color w:val="404040" w:themeColor="text1" w:themeTint="BF"/>
          <w:sz w:val="20"/>
          <w:szCs w:val="20"/>
        </w:rPr>
        <w:t xml:space="preserve"> of 79.1%</w:t>
      </w:r>
      <w:r w:rsidR="00371AB2">
        <w:rPr>
          <w:rFonts w:ascii="Georgia" w:hAnsi="Georgia"/>
          <w:color w:val="404040" w:themeColor="text1" w:themeTint="BF"/>
          <w:sz w:val="20"/>
          <w:szCs w:val="20"/>
        </w:rPr>
        <w:t xml:space="preserve"> </w:t>
      </w:r>
      <w:r w:rsidRPr="009C15EA">
        <w:rPr>
          <w:rFonts w:ascii="Georgia" w:hAnsi="Georgia"/>
          <w:color w:val="404040" w:themeColor="text1" w:themeTint="BF"/>
          <w:sz w:val="20"/>
          <w:szCs w:val="20"/>
        </w:rPr>
        <w:t xml:space="preserve">was slightly </w:t>
      </w:r>
      <w:r>
        <w:rPr>
          <w:rFonts w:ascii="Georgia" w:hAnsi="Georgia"/>
          <w:color w:val="404040" w:themeColor="text1" w:themeTint="BF"/>
          <w:sz w:val="20"/>
          <w:szCs w:val="20"/>
        </w:rPr>
        <w:t xml:space="preserve">lower </w:t>
      </w:r>
      <w:r w:rsidRPr="009C15EA">
        <w:rPr>
          <w:rFonts w:ascii="Georgia" w:hAnsi="Georgia"/>
          <w:color w:val="404040" w:themeColor="text1" w:themeTint="BF"/>
          <w:sz w:val="20"/>
          <w:szCs w:val="20"/>
        </w:rPr>
        <w:t xml:space="preserve">than </w:t>
      </w:r>
      <w:r w:rsidR="00C04553">
        <w:rPr>
          <w:rFonts w:ascii="Georgia" w:hAnsi="Georgia"/>
          <w:color w:val="404040" w:themeColor="text1" w:themeTint="BF"/>
          <w:sz w:val="20"/>
          <w:szCs w:val="20"/>
        </w:rPr>
        <w:t xml:space="preserve">the </w:t>
      </w:r>
      <w:r w:rsidRPr="009C15EA">
        <w:rPr>
          <w:rFonts w:ascii="Georgia" w:hAnsi="Georgia"/>
          <w:color w:val="404040" w:themeColor="text1" w:themeTint="BF"/>
          <w:sz w:val="20"/>
          <w:szCs w:val="20"/>
        </w:rPr>
        <w:t>forecast</w:t>
      </w:r>
      <w:r w:rsidR="00C04553">
        <w:rPr>
          <w:rFonts w:ascii="Georgia" w:hAnsi="Georgia"/>
          <w:color w:val="404040" w:themeColor="text1" w:themeTint="BF"/>
          <w:sz w:val="20"/>
          <w:szCs w:val="20"/>
        </w:rPr>
        <w:t xml:space="preserve"> of </w:t>
      </w:r>
      <w:r w:rsidR="00B54590">
        <w:rPr>
          <w:rFonts w:ascii="Georgia" w:hAnsi="Georgia"/>
          <w:color w:val="404040" w:themeColor="text1" w:themeTint="BF"/>
          <w:sz w:val="20"/>
          <w:szCs w:val="20"/>
        </w:rPr>
        <w:t xml:space="preserve">81.2%, </w:t>
      </w:r>
      <w:r w:rsidR="00F22B8C">
        <w:rPr>
          <w:rFonts w:ascii="Georgia" w:hAnsi="Georgia"/>
          <w:color w:val="404040" w:themeColor="text1" w:themeTint="BF"/>
          <w:sz w:val="20"/>
          <w:szCs w:val="20"/>
        </w:rPr>
        <w:t xml:space="preserve">predominantly </w:t>
      </w:r>
      <w:r w:rsidR="00B54590">
        <w:rPr>
          <w:rFonts w:ascii="Georgia" w:hAnsi="Georgia"/>
          <w:color w:val="404040" w:themeColor="text1" w:themeTint="BF"/>
          <w:sz w:val="20"/>
          <w:szCs w:val="20"/>
        </w:rPr>
        <w:t>due to</w:t>
      </w:r>
      <w:r w:rsidR="00C178DA">
        <w:rPr>
          <w:rFonts w:ascii="Georgia" w:hAnsi="Georgia"/>
          <w:color w:val="404040" w:themeColor="text1" w:themeTint="BF"/>
          <w:sz w:val="20"/>
          <w:szCs w:val="20"/>
        </w:rPr>
        <w:t xml:space="preserve"> higher levels of irradiation reducing the efficiency of the plants</w:t>
      </w:r>
      <w:r w:rsidR="00104DE1">
        <w:rPr>
          <w:rFonts w:ascii="Georgia" w:hAnsi="Georgia"/>
          <w:color w:val="404040" w:themeColor="text1" w:themeTint="BF"/>
          <w:sz w:val="20"/>
          <w:szCs w:val="20"/>
        </w:rPr>
        <w:t xml:space="preserve"> (as shown by </w:t>
      </w:r>
      <w:r w:rsidR="008A21AE">
        <w:rPr>
          <w:rFonts w:ascii="Georgia" w:hAnsi="Georgia"/>
          <w:color w:val="404040" w:themeColor="text1" w:themeTint="BF"/>
          <w:sz w:val="20"/>
          <w:szCs w:val="20"/>
        </w:rPr>
        <w:t>Figure 2 below)</w:t>
      </w:r>
      <w:r w:rsidR="003D24DF">
        <w:rPr>
          <w:rFonts w:ascii="Georgia" w:hAnsi="Georgia"/>
          <w:color w:val="404040" w:themeColor="text1" w:themeTint="BF"/>
          <w:sz w:val="20"/>
          <w:szCs w:val="20"/>
        </w:rPr>
        <w:t xml:space="preserve"> and a </w:t>
      </w:r>
      <w:r w:rsidR="00CB79D6">
        <w:rPr>
          <w:rFonts w:ascii="Georgia" w:hAnsi="Georgia"/>
          <w:color w:val="404040" w:themeColor="text1" w:themeTint="BF"/>
          <w:sz w:val="20"/>
          <w:szCs w:val="20"/>
        </w:rPr>
        <w:t>small</w:t>
      </w:r>
      <w:r w:rsidR="003D24DF">
        <w:rPr>
          <w:rFonts w:ascii="Georgia" w:hAnsi="Georgia"/>
          <w:color w:val="404040" w:themeColor="text1" w:themeTint="BF"/>
          <w:sz w:val="20"/>
          <w:szCs w:val="20"/>
        </w:rPr>
        <w:t xml:space="preserve"> number </w:t>
      </w:r>
      <w:r w:rsidR="006E667B">
        <w:rPr>
          <w:rFonts w:ascii="Georgia" w:hAnsi="Georgia"/>
          <w:color w:val="404040" w:themeColor="text1" w:themeTint="BF"/>
          <w:sz w:val="20"/>
          <w:szCs w:val="20"/>
        </w:rPr>
        <w:t>of unexpected</w:t>
      </w:r>
      <w:r w:rsidR="00C178DA">
        <w:rPr>
          <w:rFonts w:ascii="Georgia" w:hAnsi="Georgia"/>
          <w:color w:val="404040" w:themeColor="text1" w:themeTint="BF"/>
          <w:sz w:val="20"/>
          <w:szCs w:val="20"/>
        </w:rPr>
        <w:t xml:space="preserve"> outages</w:t>
      </w:r>
      <w:r w:rsidR="003D24DF">
        <w:rPr>
          <w:rFonts w:ascii="Georgia" w:hAnsi="Georgia"/>
          <w:color w:val="404040" w:themeColor="text1" w:themeTint="BF"/>
          <w:sz w:val="20"/>
          <w:szCs w:val="20"/>
        </w:rPr>
        <w:t xml:space="preserve"> on a </w:t>
      </w:r>
      <w:r w:rsidR="00CB79D6">
        <w:rPr>
          <w:rFonts w:ascii="Georgia" w:hAnsi="Georgia"/>
          <w:color w:val="404040" w:themeColor="text1" w:themeTint="BF"/>
          <w:sz w:val="20"/>
          <w:szCs w:val="20"/>
        </w:rPr>
        <w:t>limited number of plants</w:t>
      </w:r>
      <w:r w:rsidR="00104DE1">
        <w:rPr>
          <w:rFonts w:ascii="Georgia" w:hAnsi="Georgia"/>
          <w:color w:val="404040" w:themeColor="text1" w:themeTint="BF"/>
          <w:sz w:val="20"/>
          <w:szCs w:val="20"/>
        </w:rPr>
        <w:t xml:space="preserve"> (as outlined below in Table 3)</w:t>
      </w:r>
      <w:r w:rsidRPr="009C15EA">
        <w:rPr>
          <w:rFonts w:ascii="Georgia" w:hAnsi="Georgia"/>
          <w:color w:val="404040" w:themeColor="text1" w:themeTint="BF"/>
          <w:sz w:val="20"/>
          <w:szCs w:val="20"/>
        </w:rPr>
        <w:t xml:space="preserve">. </w:t>
      </w:r>
    </w:p>
    <w:p w14:paraId="6BDCDEED" w14:textId="77777777" w:rsidR="007B66C1" w:rsidRPr="009C15EA" w:rsidRDefault="007B66C1" w:rsidP="007B66C1">
      <w:pPr>
        <w:jc w:val="both"/>
        <w:rPr>
          <w:rFonts w:ascii="Georgia" w:hAnsi="Georgia"/>
          <w:color w:val="808080" w:themeColor="background1" w:themeShade="80"/>
          <w:sz w:val="20"/>
          <w:szCs w:val="20"/>
        </w:rPr>
      </w:pPr>
    </w:p>
    <w:p w14:paraId="14405992" w14:textId="426BC15B" w:rsidR="00EC6B38" w:rsidRDefault="002D450A" w:rsidP="00EC6B38">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 xml:space="preserve">Taking each of the above points in turn; </w:t>
      </w:r>
      <w:r w:rsidR="007B66C1" w:rsidRPr="009C15EA">
        <w:rPr>
          <w:rFonts w:ascii="Georgia" w:hAnsi="Georgia" w:cs="Calibri"/>
          <w:color w:val="404040"/>
          <w:sz w:val="20"/>
          <w:szCs w:val="20"/>
        </w:rPr>
        <w:t>higher irradiation levels result in higher operating temperatures</w:t>
      </w:r>
      <w:r w:rsidR="00BD42F1">
        <w:rPr>
          <w:rFonts w:ascii="Georgia" w:hAnsi="Georgia" w:cs="Calibri"/>
          <w:color w:val="404040"/>
          <w:sz w:val="20"/>
          <w:szCs w:val="20"/>
        </w:rPr>
        <w:t xml:space="preserve"> which in turn can</w:t>
      </w:r>
      <w:r w:rsidR="007B66C1" w:rsidRPr="009C15EA">
        <w:rPr>
          <w:rFonts w:ascii="Georgia" w:hAnsi="Georgia" w:cs="Calibri"/>
          <w:color w:val="404040"/>
          <w:sz w:val="20"/>
          <w:szCs w:val="20"/>
        </w:rPr>
        <w:t xml:space="preserve"> cause a slight reduction in </w:t>
      </w:r>
      <w:r w:rsidR="001F0AB9">
        <w:rPr>
          <w:rFonts w:ascii="Georgia" w:hAnsi="Georgia" w:cs="Calibri"/>
          <w:color w:val="404040"/>
          <w:sz w:val="20"/>
          <w:szCs w:val="20"/>
        </w:rPr>
        <w:t xml:space="preserve">the </w:t>
      </w:r>
      <w:r w:rsidR="007B66C1" w:rsidRPr="009C15EA">
        <w:rPr>
          <w:rFonts w:ascii="Georgia" w:hAnsi="Georgia" w:cs="Calibri"/>
          <w:color w:val="404040"/>
          <w:sz w:val="20"/>
          <w:szCs w:val="20"/>
        </w:rPr>
        <w:t>overall</w:t>
      </w:r>
      <w:r w:rsidR="001F0AB9">
        <w:rPr>
          <w:rFonts w:ascii="Georgia" w:hAnsi="Georgia" w:cs="Calibri"/>
          <w:color w:val="404040"/>
          <w:sz w:val="20"/>
          <w:szCs w:val="20"/>
        </w:rPr>
        <w:t xml:space="preserve"> level of a</w:t>
      </w:r>
      <w:r w:rsidR="007B66C1" w:rsidRPr="009C15EA">
        <w:rPr>
          <w:rFonts w:ascii="Georgia" w:hAnsi="Georgia" w:cs="Calibri"/>
          <w:color w:val="404040"/>
          <w:sz w:val="20"/>
          <w:szCs w:val="20"/>
        </w:rPr>
        <w:t xml:space="preserve"> plant’s efficiency and some loss of power </w:t>
      </w:r>
      <w:r w:rsidR="007B66C1" w:rsidRPr="00475D47">
        <w:rPr>
          <w:rFonts w:ascii="Georgia" w:hAnsi="Georgia" w:cs="Calibri"/>
          <w:color w:val="404040"/>
          <w:sz w:val="20"/>
          <w:szCs w:val="20"/>
        </w:rPr>
        <w:t xml:space="preserve">due to inverter saturation </w:t>
      </w:r>
      <w:r w:rsidR="006A43FF" w:rsidRPr="00475D47">
        <w:rPr>
          <w:rFonts w:ascii="Georgia" w:hAnsi="Georgia" w:cs="Calibri"/>
          <w:color w:val="404040"/>
          <w:sz w:val="20"/>
          <w:szCs w:val="20"/>
        </w:rPr>
        <w:t>(</w:t>
      </w:r>
      <w:r w:rsidR="00A570A0" w:rsidRPr="00475D47">
        <w:rPr>
          <w:rFonts w:ascii="Georgia" w:hAnsi="Georgia" w:cs="Calibri"/>
          <w:color w:val="404040"/>
          <w:sz w:val="20"/>
          <w:szCs w:val="20"/>
        </w:rPr>
        <w:t xml:space="preserve">known as </w:t>
      </w:r>
      <w:r w:rsidR="006E667B" w:rsidRPr="00475D47">
        <w:rPr>
          <w:rFonts w:ascii="Georgia" w:hAnsi="Georgia" w:cs="Calibri"/>
          <w:color w:val="404040"/>
          <w:sz w:val="20"/>
          <w:szCs w:val="20"/>
        </w:rPr>
        <w:t>‘Clipping’ -</w:t>
      </w:r>
      <w:r w:rsidR="00850A0C" w:rsidRPr="00475D47">
        <w:rPr>
          <w:rFonts w:ascii="Georgia" w:hAnsi="Georgia" w:cs="Calibri"/>
          <w:color w:val="404040"/>
          <w:sz w:val="20"/>
          <w:szCs w:val="20"/>
        </w:rPr>
        <w:t xml:space="preserve"> </w:t>
      </w:r>
      <w:r w:rsidR="00850A0C" w:rsidRPr="00475D47">
        <w:rPr>
          <w:rFonts w:ascii="Georgia" w:hAnsi="Georgia"/>
          <w:color w:val="404040" w:themeColor="text1" w:themeTint="BF"/>
          <w:sz w:val="20"/>
          <w:szCs w:val="20"/>
        </w:rPr>
        <w:t>when the Direct Current (“DC”) power from the PV array exceeds the maximum input level for the inverter which converts the power into Alternating Current (“AC”)</w:t>
      </w:r>
      <w:r w:rsidR="00657E35" w:rsidRPr="00475D47">
        <w:rPr>
          <w:rFonts w:ascii="Georgia" w:hAnsi="Georgia"/>
          <w:color w:val="404040" w:themeColor="text1" w:themeTint="BF"/>
          <w:sz w:val="20"/>
          <w:szCs w:val="20"/>
        </w:rPr>
        <w:t xml:space="preserve"> - </w:t>
      </w:r>
      <w:r w:rsidR="00850A0C" w:rsidRPr="00475D47">
        <w:rPr>
          <w:rFonts w:ascii="Georgia" w:hAnsi="Georgia" w:cs="Calibri"/>
          <w:color w:val="404040"/>
          <w:sz w:val="20"/>
          <w:szCs w:val="20"/>
        </w:rPr>
        <w:t xml:space="preserve"> </w:t>
      </w:r>
      <w:r w:rsidR="007B66C1" w:rsidRPr="00475D47">
        <w:rPr>
          <w:rFonts w:ascii="Georgia" w:hAnsi="Georgia" w:cs="Calibri"/>
          <w:color w:val="404040"/>
          <w:sz w:val="20"/>
          <w:szCs w:val="20"/>
        </w:rPr>
        <w:t>during periods of exceptionally high irradiation levels</w:t>
      </w:r>
      <w:r w:rsidR="006A43FF" w:rsidRPr="00475D47">
        <w:rPr>
          <w:rFonts w:ascii="Georgia" w:hAnsi="Georgia" w:cs="Calibri"/>
          <w:color w:val="404040"/>
          <w:sz w:val="20"/>
          <w:szCs w:val="20"/>
        </w:rPr>
        <w:t>)</w:t>
      </w:r>
      <w:r w:rsidR="007B66C1" w:rsidRPr="00475D47">
        <w:rPr>
          <w:rFonts w:ascii="Georgia" w:hAnsi="Georgia" w:cs="Calibri"/>
          <w:color w:val="404040"/>
          <w:sz w:val="20"/>
          <w:szCs w:val="20"/>
        </w:rPr>
        <w:t>.</w:t>
      </w:r>
      <w:r w:rsidR="007B66C1" w:rsidRPr="009C15EA">
        <w:rPr>
          <w:rFonts w:ascii="Georgia" w:hAnsi="Georgia" w:cs="Calibri"/>
          <w:color w:val="404040"/>
          <w:sz w:val="20"/>
          <w:szCs w:val="20"/>
        </w:rPr>
        <w:t xml:space="preserve"> </w:t>
      </w:r>
      <w:r w:rsidR="00EC6B38">
        <w:rPr>
          <w:rFonts w:ascii="Georgia" w:hAnsi="Georgia" w:cs="Calibri"/>
          <w:color w:val="404040"/>
          <w:sz w:val="20"/>
          <w:szCs w:val="20"/>
        </w:rPr>
        <w:t xml:space="preserve"> </w:t>
      </w:r>
      <w:r w:rsidR="007B66C1" w:rsidRPr="009C15EA">
        <w:rPr>
          <w:rFonts w:ascii="Georgia" w:hAnsi="Georgia"/>
          <w:color w:val="404040" w:themeColor="text1" w:themeTint="BF"/>
          <w:sz w:val="20"/>
          <w:szCs w:val="20"/>
        </w:rPr>
        <w:t xml:space="preserve">Although as the performance table on page </w:t>
      </w:r>
      <w:r w:rsidR="00427DC3">
        <w:rPr>
          <w:rFonts w:ascii="Georgia" w:hAnsi="Georgia"/>
          <w:color w:val="404040" w:themeColor="text1" w:themeTint="BF"/>
          <w:sz w:val="20"/>
          <w:szCs w:val="20"/>
        </w:rPr>
        <w:t>45</w:t>
      </w:r>
      <w:r w:rsidR="007B66C1" w:rsidRPr="009C15EA">
        <w:rPr>
          <w:rFonts w:ascii="Georgia" w:hAnsi="Georgia"/>
          <w:color w:val="404040" w:themeColor="text1" w:themeTint="BF"/>
          <w:sz w:val="20"/>
          <w:szCs w:val="20"/>
        </w:rPr>
        <w:t xml:space="preserve"> shows, this restriction is overwhelmingly compensated for by outperformance in absolute power generation. </w:t>
      </w:r>
    </w:p>
    <w:p w14:paraId="7E043C36" w14:textId="1AF87B2B" w:rsidR="00EC6B38" w:rsidRDefault="00EC6B38" w:rsidP="00EC6B38">
      <w:pPr>
        <w:pStyle w:val="ListParagraph"/>
        <w:ind w:left="0"/>
        <w:jc w:val="both"/>
        <w:rPr>
          <w:color w:val="404040" w:themeColor="text1" w:themeTint="BF"/>
          <w:sz w:val="20"/>
          <w:szCs w:val="20"/>
        </w:rPr>
      </w:pPr>
    </w:p>
    <w:p w14:paraId="4999D419" w14:textId="06B6C9E6" w:rsidR="00CD64E6" w:rsidRDefault="00CD64E6" w:rsidP="00EC6B38">
      <w:pPr>
        <w:pStyle w:val="ListParagraph"/>
        <w:ind w:left="0"/>
        <w:jc w:val="both"/>
        <w:rPr>
          <w:color w:val="404040" w:themeColor="text1" w:themeTint="BF"/>
          <w:sz w:val="20"/>
          <w:szCs w:val="20"/>
        </w:rPr>
      </w:pPr>
    </w:p>
    <w:p w14:paraId="2D6C2A90" w14:textId="5E7696E0" w:rsidR="00CD64E6" w:rsidRDefault="00CD64E6" w:rsidP="00EC6B38">
      <w:pPr>
        <w:pStyle w:val="ListParagraph"/>
        <w:ind w:left="0"/>
        <w:jc w:val="both"/>
        <w:rPr>
          <w:color w:val="404040" w:themeColor="text1" w:themeTint="BF"/>
          <w:sz w:val="20"/>
          <w:szCs w:val="20"/>
        </w:rPr>
      </w:pPr>
    </w:p>
    <w:p w14:paraId="06870996" w14:textId="19ED16B3" w:rsidR="00CD64E6" w:rsidRDefault="00CD64E6" w:rsidP="00EC6B38">
      <w:pPr>
        <w:pStyle w:val="ListParagraph"/>
        <w:ind w:left="0"/>
        <w:jc w:val="both"/>
        <w:rPr>
          <w:color w:val="404040" w:themeColor="text1" w:themeTint="BF"/>
          <w:sz w:val="20"/>
          <w:szCs w:val="20"/>
        </w:rPr>
      </w:pPr>
    </w:p>
    <w:p w14:paraId="378CA0AD" w14:textId="6DE0D612" w:rsidR="00CD64E6" w:rsidRDefault="00CD64E6" w:rsidP="00EC6B38">
      <w:pPr>
        <w:pStyle w:val="ListParagraph"/>
        <w:ind w:left="0"/>
        <w:jc w:val="both"/>
        <w:rPr>
          <w:color w:val="404040" w:themeColor="text1" w:themeTint="BF"/>
          <w:sz w:val="20"/>
          <w:szCs w:val="20"/>
        </w:rPr>
      </w:pPr>
    </w:p>
    <w:p w14:paraId="65817589" w14:textId="2EA55A6E" w:rsidR="00CD64E6" w:rsidRDefault="00CD64E6" w:rsidP="00EC6B38">
      <w:pPr>
        <w:pStyle w:val="ListParagraph"/>
        <w:ind w:left="0"/>
        <w:jc w:val="both"/>
        <w:rPr>
          <w:color w:val="404040" w:themeColor="text1" w:themeTint="BF"/>
          <w:sz w:val="20"/>
          <w:szCs w:val="20"/>
        </w:rPr>
      </w:pPr>
    </w:p>
    <w:p w14:paraId="188AF346" w14:textId="17BF692F" w:rsidR="00CD64E6" w:rsidRDefault="00CD64E6" w:rsidP="00EC6B38">
      <w:pPr>
        <w:pStyle w:val="ListParagraph"/>
        <w:ind w:left="0"/>
        <w:jc w:val="both"/>
        <w:rPr>
          <w:color w:val="404040" w:themeColor="text1" w:themeTint="BF"/>
          <w:sz w:val="20"/>
          <w:szCs w:val="20"/>
        </w:rPr>
      </w:pPr>
    </w:p>
    <w:p w14:paraId="2532FFF3" w14:textId="170A5CD5" w:rsidR="00CD64E6" w:rsidRDefault="00CD64E6" w:rsidP="00EC6B38">
      <w:pPr>
        <w:pStyle w:val="ListParagraph"/>
        <w:ind w:left="0"/>
        <w:jc w:val="both"/>
        <w:rPr>
          <w:color w:val="404040" w:themeColor="text1" w:themeTint="BF"/>
          <w:sz w:val="20"/>
          <w:szCs w:val="20"/>
        </w:rPr>
      </w:pPr>
    </w:p>
    <w:p w14:paraId="03980D8E" w14:textId="261AAEEB" w:rsidR="00CD64E6" w:rsidRDefault="00CD64E6" w:rsidP="00EC6B38">
      <w:pPr>
        <w:pStyle w:val="ListParagraph"/>
        <w:ind w:left="0"/>
        <w:jc w:val="both"/>
        <w:rPr>
          <w:color w:val="404040" w:themeColor="text1" w:themeTint="BF"/>
          <w:sz w:val="20"/>
          <w:szCs w:val="20"/>
        </w:rPr>
      </w:pPr>
    </w:p>
    <w:p w14:paraId="68B53D8B" w14:textId="23E06CC0" w:rsidR="00CD64E6" w:rsidRDefault="00CD64E6" w:rsidP="00EC6B38">
      <w:pPr>
        <w:pStyle w:val="ListParagraph"/>
        <w:ind w:left="0"/>
        <w:jc w:val="both"/>
        <w:rPr>
          <w:color w:val="404040" w:themeColor="text1" w:themeTint="BF"/>
          <w:sz w:val="20"/>
          <w:szCs w:val="20"/>
        </w:rPr>
      </w:pPr>
    </w:p>
    <w:p w14:paraId="73B8B705" w14:textId="5948AD21" w:rsidR="00CD64E6" w:rsidRDefault="00CD64E6" w:rsidP="00EC6B38">
      <w:pPr>
        <w:pStyle w:val="ListParagraph"/>
        <w:ind w:left="0"/>
        <w:jc w:val="both"/>
        <w:rPr>
          <w:color w:val="404040" w:themeColor="text1" w:themeTint="BF"/>
          <w:sz w:val="20"/>
          <w:szCs w:val="20"/>
        </w:rPr>
      </w:pPr>
    </w:p>
    <w:p w14:paraId="5426B95C" w14:textId="09E451E3" w:rsidR="00CD64E6" w:rsidRDefault="00CD64E6" w:rsidP="00EC6B38">
      <w:pPr>
        <w:pStyle w:val="ListParagraph"/>
        <w:ind w:left="0"/>
        <w:jc w:val="both"/>
        <w:rPr>
          <w:color w:val="404040" w:themeColor="text1" w:themeTint="BF"/>
          <w:sz w:val="20"/>
          <w:szCs w:val="20"/>
        </w:rPr>
      </w:pPr>
    </w:p>
    <w:p w14:paraId="172627A4" w14:textId="2531A527" w:rsidR="00CD64E6" w:rsidRDefault="00CD64E6" w:rsidP="00EC6B38">
      <w:pPr>
        <w:pStyle w:val="ListParagraph"/>
        <w:ind w:left="0"/>
        <w:jc w:val="both"/>
        <w:rPr>
          <w:color w:val="404040" w:themeColor="text1" w:themeTint="BF"/>
          <w:sz w:val="20"/>
          <w:szCs w:val="20"/>
        </w:rPr>
      </w:pPr>
    </w:p>
    <w:p w14:paraId="7C997CA4" w14:textId="404AD7C1" w:rsidR="00CD64E6" w:rsidRDefault="00CD64E6" w:rsidP="00EC6B38">
      <w:pPr>
        <w:pStyle w:val="ListParagraph"/>
        <w:ind w:left="0"/>
        <w:jc w:val="both"/>
        <w:rPr>
          <w:color w:val="404040" w:themeColor="text1" w:themeTint="BF"/>
          <w:sz w:val="20"/>
          <w:szCs w:val="20"/>
        </w:rPr>
      </w:pPr>
    </w:p>
    <w:p w14:paraId="1243E081" w14:textId="05D549C7" w:rsidR="00CD64E6" w:rsidRDefault="00CD64E6" w:rsidP="00EC6B38">
      <w:pPr>
        <w:pStyle w:val="ListParagraph"/>
        <w:ind w:left="0"/>
        <w:jc w:val="both"/>
        <w:rPr>
          <w:color w:val="404040" w:themeColor="text1" w:themeTint="BF"/>
          <w:sz w:val="20"/>
          <w:szCs w:val="20"/>
        </w:rPr>
      </w:pPr>
    </w:p>
    <w:p w14:paraId="627C0B4B" w14:textId="325D9507" w:rsidR="00CD64E6" w:rsidRDefault="00CD64E6" w:rsidP="00EC6B38">
      <w:pPr>
        <w:pStyle w:val="ListParagraph"/>
        <w:ind w:left="0"/>
        <w:jc w:val="both"/>
        <w:rPr>
          <w:color w:val="404040" w:themeColor="text1" w:themeTint="BF"/>
          <w:sz w:val="20"/>
          <w:szCs w:val="20"/>
        </w:rPr>
      </w:pPr>
    </w:p>
    <w:p w14:paraId="4B2B0AE7" w14:textId="5B853304" w:rsidR="00CD64E6" w:rsidRDefault="00CD64E6" w:rsidP="00EC6B38">
      <w:pPr>
        <w:pStyle w:val="ListParagraph"/>
        <w:ind w:left="0"/>
        <w:jc w:val="both"/>
        <w:rPr>
          <w:color w:val="404040" w:themeColor="text1" w:themeTint="BF"/>
          <w:sz w:val="20"/>
          <w:szCs w:val="20"/>
        </w:rPr>
      </w:pPr>
    </w:p>
    <w:p w14:paraId="20030CE0" w14:textId="28B8E6D1" w:rsidR="00CD64E6" w:rsidRDefault="00CD64E6" w:rsidP="00EC6B38">
      <w:pPr>
        <w:pStyle w:val="ListParagraph"/>
        <w:ind w:left="0"/>
        <w:jc w:val="both"/>
        <w:rPr>
          <w:color w:val="404040" w:themeColor="text1" w:themeTint="BF"/>
          <w:sz w:val="20"/>
          <w:szCs w:val="20"/>
        </w:rPr>
      </w:pPr>
    </w:p>
    <w:p w14:paraId="587BA7DB" w14:textId="738CBC83" w:rsidR="00CD64E6" w:rsidRDefault="00CD64E6" w:rsidP="00EC6B38">
      <w:pPr>
        <w:pStyle w:val="ListParagraph"/>
        <w:ind w:left="0"/>
        <w:jc w:val="both"/>
        <w:rPr>
          <w:color w:val="404040" w:themeColor="text1" w:themeTint="BF"/>
          <w:sz w:val="20"/>
          <w:szCs w:val="20"/>
        </w:rPr>
      </w:pPr>
    </w:p>
    <w:p w14:paraId="588BFF85" w14:textId="77777777" w:rsidR="00CD64E6" w:rsidRPr="00040444" w:rsidRDefault="00CD64E6" w:rsidP="00CD64E6">
      <w:pPr>
        <w:pStyle w:val="Heading2"/>
        <w:spacing w:before="0"/>
      </w:pPr>
      <w:r w:rsidRPr="00040444">
        <w:lastRenderedPageBreak/>
        <w:t>Report of the Investment Adviser (continued)</w:t>
      </w:r>
    </w:p>
    <w:p w14:paraId="0DD682D6" w14:textId="77777777" w:rsidR="00CD64E6" w:rsidRPr="00040444" w:rsidRDefault="00CD64E6" w:rsidP="00CD64E6">
      <w:pPr>
        <w:rPr>
          <w:rFonts w:ascii="Georgia" w:hAnsi="Georgia"/>
          <w:b/>
          <w:color w:val="4A442A" w:themeColor="background2" w:themeShade="40"/>
          <w:sz w:val="20"/>
          <w:szCs w:val="20"/>
        </w:rPr>
      </w:pPr>
    </w:p>
    <w:p w14:paraId="79660655" w14:textId="77777777" w:rsidR="00CD64E6" w:rsidRPr="00040444" w:rsidRDefault="00CD64E6" w:rsidP="00CD64E6">
      <w:pPr>
        <w:rPr>
          <w:rFonts w:ascii="Georgia" w:hAnsi="Georgia"/>
          <w:b/>
          <w:color w:val="4A442A" w:themeColor="background2" w:themeShade="40"/>
          <w:sz w:val="20"/>
          <w:szCs w:val="20"/>
        </w:rPr>
      </w:pPr>
      <w:r w:rsidRPr="00040444">
        <w:rPr>
          <w:rFonts w:ascii="Georgia" w:hAnsi="Georgia"/>
          <w:b/>
          <w:color w:val="4A442A" w:themeColor="background2" w:themeShade="40"/>
          <w:sz w:val="20"/>
          <w:szCs w:val="20"/>
        </w:rPr>
        <w:t>2. Portfolio: Acquisitions, Performance and Value Enhancement (continued)</w:t>
      </w:r>
    </w:p>
    <w:p w14:paraId="5A0DECBA" w14:textId="77777777" w:rsidR="00CD64E6" w:rsidRPr="00040444" w:rsidRDefault="00CD64E6" w:rsidP="00CD64E6">
      <w:pPr>
        <w:rPr>
          <w:rFonts w:ascii="Georgia" w:hAnsi="Georgia"/>
          <w:b/>
          <w:color w:val="4A442A" w:themeColor="background2" w:themeShade="40"/>
          <w:sz w:val="20"/>
          <w:szCs w:val="20"/>
        </w:rPr>
      </w:pPr>
    </w:p>
    <w:p w14:paraId="633F9387" w14:textId="77777777" w:rsidR="00CD64E6" w:rsidRPr="00FA27A9" w:rsidRDefault="00CD64E6" w:rsidP="00CD64E6">
      <w:pPr>
        <w:rPr>
          <w:rFonts w:ascii="Georgia" w:hAnsi="Georgia"/>
          <w:b/>
          <w:color w:val="4A442A" w:themeColor="background2" w:themeShade="40"/>
          <w:sz w:val="20"/>
          <w:szCs w:val="20"/>
        </w:rPr>
      </w:pPr>
      <w:r w:rsidRPr="00040444">
        <w:rPr>
          <w:rFonts w:ascii="Georgia" w:hAnsi="Georgia"/>
          <w:b/>
          <w:color w:val="4A442A" w:themeColor="background2" w:themeShade="40"/>
          <w:sz w:val="20"/>
          <w:szCs w:val="20"/>
        </w:rPr>
        <w:t>Performance (continued)</w:t>
      </w:r>
    </w:p>
    <w:p w14:paraId="21E6B273" w14:textId="4F9F22CC"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3B845F96" w14:textId="77777777" w:rsidR="0051769D" w:rsidRPr="009C15EA" w:rsidRDefault="0051769D" w:rsidP="0051769D">
      <w:pPr>
        <w:jc w:val="both"/>
        <w:rPr>
          <w:rFonts w:ascii="Georgia" w:hAnsi="Georgia"/>
          <w:color w:val="404040" w:themeColor="text1" w:themeTint="BF"/>
          <w:sz w:val="20"/>
          <w:szCs w:val="20"/>
        </w:rPr>
      </w:pPr>
      <w:r w:rsidRPr="009C15EA">
        <w:rPr>
          <w:rFonts w:ascii="Georgia" w:hAnsi="Georgia"/>
          <w:color w:val="404040" w:themeColor="text1" w:themeTint="BF"/>
          <w:sz w:val="20"/>
          <w:szCs w:val="20"/>
        </w:rPr>
        <w:t xml:space="preserve">Figure 2 - 2019/20 </w:t>
      </w:r>
      <w:r>
        <w:rPr>
          <w:rFonts w:ascii="Georgia" w:hAnsi="Georgia"/>
          <w:color w:val="404040" w:themeColor="text1" w:themeTint="BF"/>
          <w:sz w:val="20"/>
          <w:szCs w:val="20"/>
        </w:rPr>
        <w:t>A</w:t>
      </w:r>
      <w:r w:rsidRPr="009C15EA">
        <w:rPr>
          <w:rFonts w:ascii="Georgia" w:hAnsi="Georgia"/>
          <w:color w:val="404040" w:themeColor="text1" w:themeTint="BF"/>
          <w:sz w:val="20"/>
          <w:szCs w:val="20"/>
        </w:rPr>
        <w:t xml:space="preserve">ctual Net PR and </w:t>
      </w:r>
      <w:r>
        <w:rPr>
          <w:rFonts w:ascii="Georgia" w:hAnsi="Georgia"/>
          <w:color w:val="404040" w:themeColor="text1" w:themeTint="BF"/>
          <w:sz w:val="20"/>
          <w:szCs w:val="20"/>
        </w:rPr>
        <w:t>I</w:t>
      </w:r>
      <w:r w:rsidRPr="009C15EA">
        <w:rPr>
          <w:rFonts w:ascii="Georgia" w:hAnsi="Georgia"/>
          <w:color w:val="404040" w:themeColor="text1" w:themeTint="BF"/>
          <w:sz w:val="20"/>
          <w:szCs w:val="20"/>
        </w:rPr>
        <w:t>rradiation</w:t>
      </w:r>
    </w:p>
    <w:p w14:paraId="6053DBAD" w14:textId="77777777" w:rsidR="0051769D" w:rsidRPr="00904E51" w:rsidRDefault="0051769D" w:rsidP="0051769D">
      <w:pPr>
        <w:pStyle w:val="ListParagraph"/>
        <w:ind w:left="0"/>
        <w:jc w:val="both"/>
        <w:rPr>
          <w:rFonts w:ascii="Georgia" w:hAnsi="Georgia"/>
          <w:color w:val="404040" w:themeColor="text1" w:themeTint="BF"/>
          <w:sz w:val="20"/>
          <w:szCs w:val="20"/>
          <w:highlight w:val="yellow"/>
        </w:rPr>
      </w:pPr>
      <w:r>
        <w:rPr>
          <w:noProof/>
          <w:lang w:eastAsia="zh-CN"/>
        </w:rPr>
        <w:drawing>
          <wp:inline distT="0" distB="0" distL="0" distR="0" wp14:anchorId="6E640405" wp14:editId="28613824">
            <wp:extent cx="5327282" cy="284797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7282" cy="2847975"/>
                    </a:xfrm>
                    <a:prstGeom prst="rect">
                      <a:avLst/>
                    </a:prstGeom>
                  </pic:spPr>
                </pic:pic>
              </a:graphicData>
            </a:graphic>
          </wp:inline>
        </w:drawing>
      </w:r>
    </w:p>
    <w:p w14:paraId="0C1F620E" w14:textId="77777777" w:rsidR="0051769D" w:rsidRPr="00904E51" w:rsidRDefault="0051769D" w:rsidP="0051769D">
      <w:pPr>
        <w:jc w:val="both"/>
        <w:rPr>
          <w:rFonts w:ascii="Georgia" w:hAnsi="Georgia"/>
          <w:color w:val="404040" w:themeColor="text1" w:themeTint="BF"/>
          <w:sz w:val="20"/>
          <w:szCs w:val="20"/>
          <w:highlight w:val="yellow"/>
        </w:rPr>
      </w:pPr>
    </w:p>
    <w:p w14:paraId="067B3FD4" w14:textId="3D9AE2E7" w:rsidR="001129E3" w:rsidRPr="009C15EA" w:rsidRDefault="001129E3" w:rsidP="001129E3">
      <w:pPr>
        <w:jc w:val="both"/>
        <w:rPr>
          <w:rFonts w:ascii="Georgia" w:hAnsi="Georgia"/>
          <w:i/>
          <w:color w:val="404040" w:themeColor="text1" w:themeTint="BF"/>
          <w:sz w:val="18"/>
          <w:szCs w:val="20"/>
        </w:rPr>
      </w:pPr>
      <w:r w:rsidRPr="009C15EA">
        <w:rPr>
          <w:rFonts w:ascii="Georgia" w:hAnsi="Georgia"/>
          <w:i/>
          <w:color w:val="404040" w:themeColor="text1" w:themeTint="BF"/>
          <w:sz w:val="18"/>
          <w:szCs w:val="20"/>
        </w:rPr>
        <w:t xml:space="preserve">Note: Figure 2 excludes assets with a collective capacity of </w:t>
      </w:r>
      <w:r>
        <w:rPr>
          <w:rFonts w:ascii="Georgia" w:hAnsi="Georgia"/>
          <w:i/>
          <w:color w:val="404040" w:themeColor="text1" w:themeTint="BF"/>
          <w:sz w:val="18"/>
          <w:szCs w:val="20"/>
        </w:rPr>
        <w:t>13.5</w:t>
      </w:r>
      <w:r w:rsidRPr="009A33FE">
        <w:rPr>
          <w:rFonts w:ascii="Georgia" w:hAnsi="Georgia"/>
          <w:i/>
          <w:color w:val="404040" w:themeColor="text1" w:themeTint="BF"/>
          <w:sz w:val="18"/>
          <w:szCs w:val="20"/>
        </w:rPr>
        <w:t>MWp which</w:t>
      </w:r>
      <w:r w:rsidRPr="009C15EA">
        <w:rPr>
          <w:rFonts w:ascii="Georgia" w:hAnsi="Georgia"/>
          <w:i/>
          <w:color w:val="404040" w:themeColor="text1" w:themeTint="BF"/>
          <w:sz w:val="18"/>
          <w:szCs w:val="20"/>
        </w:rPr>
        <w:t xml:space="preserve"> were acquired during the reporting </w:t>
      </w:r>
      <w:r w:rsidR="006E667B" w:rsidRPr="009C15EA">
        <w:rPr>
          <w:rFonts w:ascii="Georgia" w:hAnsi="Georgia"/>
          <w:i/>
          <w:color w:val="404040" w:themeColor="text1" w:themeTint="BF"/>
          <w:sz w:val="18"/>
          <w:szCs w:val="20"/>
        </w:rPr>
        <w:t>period and</w:t>
      </w:r>
      <w:r w:rsidRPr="009C15EA">
        <w:rPr>
          <w:rFonts w:ascii="Georgia" w:hAnsi="Georgia"/>
          <w:i/>
          <w:color w:val="404040" w:themeColor="text1" w:themeTint="BF"/>
          <w:sz w:val="18"/>
          <w:szCs w:val="20"/>
        </w:rPr>
        <w:t xml:space="preserve"> therefore do not yet offer 12 months of performance data.</w:t>
      </w:r>
    </w:p>
    <w:p w14:paraId="25B110A1" w14:textId="77777777" w:rsidR="007B66C1" w:rsidRPr="00B45612" w:rsidRDefault="007B66C1" w:rsidP="007B66C1">
      <w:pPr>
        <w:pStyle w:val="ListParagraph"/>
        <w:ind w:left="0"/>
        <w:jc w:val="both"/>
        <w:rPr>
          <w:rFonts w:ascii="Georgia" w:hAnsi="Georgia"/>
          <w:color w:val="404040" w:themeColor="text1" w:themeTint="BF"/>
          <w:sz w:val="20"/>
          <w:szCs w:val="20"/>
          <w:highlight w:val="yellow"/>
        </w:rPr>
      </w:pPr>
    </w:p>
    <w:p w14:paraId="14D7BD4B" w14:textId="0DD9E41A" w:rsidR="007B66C1" w:rsidRPr="00EC6B38" w:rsidRDefault="007B66C1" w:rsidP="007B66C1">
      <w:pPr>
        <w:pStyle w:val="ListParagraph"/>
        <w:ind w:left="0"/>
        <w:jc w:val="both"/>
        <w:rPr>
          <w:rFonts w:ascii="Georgia" w:hAnsi="Georgia"/>
          <w:color w:val="404040" w:themeColor="text1" w:themeTint="BF"/>
          <w:sz w:val="20"/>
          <w:szCs w:val="20"/>
        </w:rPr>
      </w:pPr>
      <w:r w:rsidRPr="00EC6B38">
        <w:rPr>
          <w:rFonts w:ascii="Georgia" w:hAnsi="Georgia"/>
          <w:color w:val="404040" w:themeColor="text1" w:themeTint="BF"/>
          <w:sz w:val="20"/>
          <w:szCs w:val="20"/>
        </w:rPr>
        <w:t xml:space="preserve">In the UK, due to lower average irradiation levels (e.g. when compared to Southern Europe) it is common to ‘oversize’ the generating capacity by a factor of 1.2 to 1.4 (i.e. building more module capacity than inverter capacity) to ensure that the AC </w:t>
      </w:r>
      <w:r w:rsidR="00A31C75">
        <w:rPr>
          <w:rFonts w:ascii="Georgia" w:hAnsi="Georgia"/>
          <w:color w:val="404040" w:themeColor="text1" w:themeTint="BF"/>
          <w:sz w:val="20"/>
          <w:szCs w:val="20"/>
        </w:rPr>
        <w:t xml:space="preserve">power </w:t>
      </w:r>
      <w:r w:rsidRPr="00EC6B38">
        <w:rPr>
          <w:rFonts w:ascii="Georgia" w:hAnsi="Georgia"/>
          <w:color w:val="404040" w:themeColor="text1" w:themeTint="BF"/>
          <w:sz w:val="20"/>
          <w:szCs w:val="20"/>
        </w:rPr>
        <w:t xml:space="preserve">exported is maximised at times when irradiation is below peak levels. </w:t>
      </w:r>
    </w:p>
    <w:p w14:paraId="454E7B0D" w14:textId="77777777" w:rsidR="007B66C1" w:rsidRPr="00551D7B" w:rsidRDefault="007B66C1" w:rsidP="007B66C1">
      <w:pPr>
        <w:pStyle w:val="ListParagraph"/>
        <w:ind w:left="0"/>
        <w:jc w:val="both"/>
        <w:rPr>
          <w:rFonts w:ascii="Georgia" w:hAnsi="Georgia"/>
          <w:color w:val="404040" w:themeColor="text1" w:themeTint="BF"/>
          <w:sz w:val="20"/>
          <w:szCs w:val="20"/>
        </w:rPr>
      </w:pPr>
    </w:p>
    <w:p w14:paraId="6ED36F92" w14:textId="77777777" w:rsidR="007B66C1" w:rsidRPr="00551D7B" w:rsidRDefault="007B66C1" w:rsidP="007B66C1">
      <w:pPr>
        <w:pStyle w:val="ListParagraph"/>
        <w:ind w:left="0"/>
        <w:jc w:val="both"/>
        <w:rPr>
          <w:rFonts w:ascii="Georgia" w:hAnsi="Georgia"/>
          <w:color w:val="404040" w:themeColor="text1" w:themeTint="BF"/>
          <w:sz w:val="20"/>
          <w:szCs w:val="20"/>
        </w:rPr>
      </w:pPr>
      <w:r w:rsidRPr="00551D7B">
        <w:rPr>
          <w:rFonts w:ascii="Georgia" w:hAnsi="Georgia"/>
          <w:color w:val="404040" w:themeColor="text1" w:themeTint="BF"/>
          <w:sz w:val="20"/>
          <w:szCs w:val="20"/>
        </w:rPr>
        <w:t>This is a design feature of most of our plants and has no correlation to the underlying operational stability of the plant.   </w:t>
      </w:r>
    </w:p>
    <w:p w14:paraId="406C29AD"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1087B295" w14:textId="77777777" w:rsidR="007B66C1" w:rsidRPr="00551D7B" w:rsidRDefault="007B66C1" w:rsidP="007B66C1">
      <w:pPr>
        <w:jc w:val="both"/>
        <w:rPr>
          <w:rFonts w:ascii="Georgia" w:hAnsi="Georgia"/>
          <w:color w:val="404040" w:themeColor="text1" w:themeTint="BF"/>
          <w:sz w:val="20"/>
          <w:szCs w:val="20"/>
        </w:rPr>
      </w:pPr>
      <w:r w:rsidRPr="00551D7B">
        <w:rPr>
          <w:rFonts w:ascii="Georgia" w:hAnsi="Georgia"/>
          <w:color w:val="404040" w:themeColor="text1" w:themeTint="BF"/>
          <w:sz w:val="20"/>
          <w:szCs w:val="20"/>
        </w:rPr>
        <w:t>The geographical and equipment diversity within the Company’s portfolio allows the effects of both ‘Outage Risk’ (whereby a higher proportion of large capacity assets would hold increased exposure to material losses due to curtailments and periods of outage, as directed by a specific DNO) and ‘Defect Risk’ (where over reliance on limited equipment manufacturers could lead to large proportions of the portfolio suffering similar defects) to be mitigated.</w:t>
      </w:r>
    </w:p>
    <w:p w14:paraId="40DAC4B6" w14:textId="77777777" w:rsidR="007B66C1" w:rsidRPr="00551D7B" w:rsidRDefault="007B66C1" w:rsidP="007B66C1">
      <w:pPr>
        <w:jc w:val="both"/>
        <w:rPr>
          <w:rFonts w:ascii="Georgia" w:hAnsi="Georgia"/>
          <w:color w:val="404040" w:themeColor="text1" w:themeTint="BF"/>
          <w:sz w:val="20"/>
          <w:szCs w:val="20"/>
        </w:rPr>
      </w:pPr>
    </w:p>
    <w:p w14:paraId="733C3E9F" w14:textId="0AF921EE" w:rsidR="00BB20D1" w:rsidRDefault="00BB20D1" w:rsidP="00BB20D1">
      <w:pPr>
        <w:jc w:val="both"/>
        <w:rPr>
          <w:rFonts w:ascii="Georgia" w:hAnsi="Georgia"/>
          <w:color w:val="404040" w:themeColor="text1" w:themeTint="BF"/>
          <w:sz w:val="20"/>
          <w:szCs w:val="20"/>
        </w:rPr>
      </w:pPr>
      <w:r w:rsidRPr="00551D7B">
        <w:rPr>
          <w:rFonts w:ascii="Georgia" w:hAnsi="Georgia"/>
          <w:color w:val="404040" w:themeColor="text1" w:themeTint="BF"/>
          <w:sz w:val="20"/>
          <w:szCs w:val="20"/>
        </w:rPr>
        <w:t>This diversification, combined with the considerable efforts of the Company’s asset manager, BSL, is demonstrated by the fact that the outages experienced by the portfolio (those events both outside and</w:t>
      </w:r>
      <w:r w:rsidR="000661D7">
        <w:rPr>
          <w:rFonts w:ascii="Georgia" w:hAnsi="Georgia"/>
          <w:color w:val="404040" w:themeColor="text1" w:themeTint="BF"/>
          <w:sz w:val="20"/>
          <w:szCs w:val="20"/>
        </w:rPr>
        <w:t xml:space="preserve"> within</w:t>
      </w:r>
      <w:r w:rsidRPr="00551D7B">
        <w:rPr>
          <w:rFonts w:ascii="Georgia" w:hAnsi="Georgia"/>
          <w:color w:val="404040" w:themeColor="text1" w:themeTint="BF"/>
          <w:sz w:val="20"/>
          <w:szCs w:val="20"/>
        </w:rPr>
        <w:t xml:space="preserve"> the Company’s control) allowed the higher irradiation levels experienced during the Reporting Period to be directly converted into higher generation and, consequently, higher revenues being collected.</w:t>
      </w:r>
    </w:p>
    <w:p w14:paraId="5A19ECFA" w14:textId="48D77695" w:rsidR="007B66C1" w:rsidRDefault="007B66C1" w:rsidP="007B66C1">
      <w:pPr>
        <w:jc w:val="both"/>
        <w:rPr>
          <w:rFonts w:ascii="Georgia" w:hAnsi="Georgia"/>
          <w:color w:val="404040" w:themeColor="text1" w:themeTint="BF"/>
          <w:sz w:val="20"/>
          <w:szCs w:val="20"/>
          <w:highlight w:val="green"/>
        </w:rPr>
      </w:pPr>
    </w:p>
    <w:p w14:paraId="24AE548A" w14:textId="77777777" w:rsidR="00A227DF" w:rsidRDefault="00A227DF" w:rsidP="007B66C1">
      <w:pPr>
        <w:jc w:val="both"/>
        <w:rPr>
          <w:rFonts w:ascii="Georgia" w:hAnsi="Georgia"/>
          <w:color w:val="404040" w:themeColor="text1" w:themeTint="BF"/>
          <w:sz w:val="20"/>
          <w:szCs w:val="20"/>
        </w:rPr>
      </w:pPr>
    </w:p>
    <w:p w14:paraId="1CC42757" w14:textId="77777777" w:rsidR="00A227DF" w:rsidRDefault="00A227DF" w:rsidP="007B66C1">
      <w:pPr>
        <w:jc w:val="both"/>
        <w:rPr>
          <w:rFonts w:ascii="Georgia" w:hAnsi="Georgia"/>
          <w:color w:val="404040" w:themeColor="text1" w:themeTint="BF"/>
          <w:sz w:val="20"/>
          <w:szCs w:val="20"/>
        </w:rPr>
      </w:pPr>
    </w:p>
    <w:p w14:paraId="4619F5BB" w14:textId="77777777" w:rsidR="00A227DF" w:rsidRDefault="00A227DF" w:rsidP="007B66C1">
      <w:pPr>
        <w:jc w:val="both"/>
        <w:rPr>
          <w:rFonts w:ascii="Georgia" w:hAnsi="Georgia"/>
          <w:color w:val="404040" w:themeColor="text1" w:themeTint="BF"/>
          <w:sz w:val="20"/>
          <w:szCs w:val="20"/>
        </w:rPr>
      </w:pPr>
    </w:p>
    <w:p w14:paraId="09995B05" w14:textId="77777777" w:rsidR="00A227DF" w:rsidRDefault="00A227DF" w:rsidP="007B66C1">
      <w:pPr>
        <w:jc w:val="both"/>
        <w:rPr>
          <w:rFonts w:ascii="Georgia" w:hAnsi="Georgia"/>
          <w:color w:val="404040" w:themeColor="text1" w:themeTint="BF"/>
          <w:sz w:val="20"/>
          <w:szCs w:val="20"/>
        </w:rPr>
      </w:pPr>
    </w:p>
    <w:p w14:paraId="13BE5344" w14:textId="77777777" w:rsidR="00A227DF" w:rsidRDefault="00A227DF" w:rsidP="007B66C1">
      <w:pPr>
        <w:jc w:val="both"/>
        <w:rPr>
          <w:rFonts w:ascii="Georgia" w:hAnsi="Georgia"/>
          <w:color w:val="404040" w:themeColor="text1" w:themeTint="BF"/>
          <w:sz w:val="20"/>
          <w:szCs w:val="20"/>
        </w:rPr>
      </w:pPr>
    </w:p>
    <w:p w14:paraId="4C4B4ED8" w14:textId="77777777" w:rsidR="00A227DF" w:rsidRDefault="00A227DF" w:rsidP="007B66C1">
      <w:pPr>
        <w:jc w:val="both"/>
        <w:rPr>
          <w:rFonts w:ascii="Georgia" w:hAnsi="Georgia"/>
          <w:color w:val="404040" w:themeColor="text1" w:themeTint="BF"/>
          <w:sz w:val="20"/>
          <w:szCs w:val="20"/>
        </w:rPr>
      </w:pPr>
    </w:p>
    <w:p w14:paraId="6269BFEC" w14:textId="77777777" w:rsidR="00A227DF" w:rsidRDefault="00A227DF" w:rsidP="007B66C1">
      <w:pPr>
        <w:jc w:val="both"/>
        <w:rPr>
          <w:rFonts w:ascii="Georgia" w:hAnsi="Georgia"/>
          <w:color w:val="404040" w:themeColor="text1" w:themeTint="BF"/>
          <w:sz w:val="20"/>
          <w:szCs w:val="20"/>
        </w:rPr>
      </w:pPr>
    </w:p>
    <w:p w14:paraId="7D730718" w14:textId="77777777" w:rsidR="00A227DF" w:rsidRDefault="00A227DF" w:rsidP="007B66C1">
      <w:pPr>
        <w:jc w:val="both"/>
        <w:rPr>
          <w:rFonts w:ascii="Georgia" w:hAnsi="Georgia"/>
          <w:color w:val="404040" w:themeColor="text1" w:themeTint="BF"/>
          <w:sz w:val="20"/>
          <w:szCs w:val="20"/>
        </w:rPr>
      </w:pPr>
    </w:p>
    <w:p w14:paraId="0904005A" w14:textId="77777777" w:rsidR="00A227DF" w:rsidRDefault="00A227DF" w:rsidP="007B66C1">
      <w:pPr>
        <w:jc w:val="both"/>
        <w:rPr>
          <w:rFonts w:ascii="Georgia" w:hAnsi="Georgia"/>
          <w:color w:val="404040" w:themeColor="text1" w:themeTint="BF"/>
          <w:sz w:val="20"/>
          <w:szCs w:val="20"/>
        </w:rPr>
      </w:pPr>
    </w:p>
    <w:p w14:paraId="5CDE108C" w14:textId="77777777" w:rsidR="00A227DF" w:rsidRDefault="00A227DF" w:rsidP="007B66C1">
      <w:pPr>
        <w:jc w:val="both"/>
        <w:rPr>
          <w:rFonts w:ascii="Georgia" w:hAnsi="Georgia"/>
          <w:color w:val="404040" w:themeColor="text1" w:themeTint="BF"/>
          <w:sz w:val="20"/>
          <w:szCs w:val="20"/>
        </w:rPr>
      </w:pPr>
    </w:p>
    <w:p w14:paraId="4819F871" w14:textId="77777777" w:rsidR="00A227DF" w:rsidRDefault="00A227DF" w:rsidP="007B66C1">
      <w:pPr>
        <w:jc w:val="both"/>
        <w:rPr>
          <w:rFonts w:ascii="Georgia" w:hAnsi="Georgia"/>
          <w:color w:val="404040" w:themeColor="text1" w:themeTint="BF"/>
          <w:sz w:val="20"/>
          <w:szCs w:val="20"/>
        </w:rPr>
      </w:pPr>
    </w:p>
    <w:p w14:paraId="503F27E7" w14:textId="77777777" w:rsidR="00CD64E6" w:rsidRPr="00040444" w:rsidRDefault="00CD64E6" w:rsidP="00CD64E6">
      <w:pPr>
        <w:pStyle w:val="Heading2"/>
        <w:spacing w:before="0"/>
      </w:pPr>
      <w:r w:rsidRPr="00040444">
        <w:lastRenderedPageBreak/>
        <w:t>Report of the Investment Adviser (continued)</w:t>
      </w:r>
    </w:p>
    <w:p w14:paraId="21EAB45E" w14:textId="77777777" w:rsidR="00CD64E6" w:rsidRPr="00040444" w:rsidRDefault="00CD64E6" w:rsidP="00CD64E6">
      <w:pPr>
        <w:rPr>
          <w:rFonts w:ascii="Georgia" w:hAnsi="Georgia"/>
          <w:b/>
          <w:color w:val="4A442A" w:themeColor="background2" w:themeShade="40"/>
          <w:sz w:val="20"/>
          <w:szCs w:val="20"/>
        </w:rPr>
      </w:pPr>
    </w:p>
    <w:p w14:paraId="44163FC2" w14:textId="77777777" w:rsidR="00CD64E6" w:rsidRPr="00040444" w:rsidRDefault="00CD64E6" w:rsidP="00CD64E6">
      <w:pPr>
        <w:rPr>
          <w:rFonts w:ascii="Georgia" w:hAnsi="Georgia"/>
          <w:b/>
          <w:color w:val="4A442A" w:themeColor="background2" w:themeShade="40"/>
          <w:sz w:val="20"/>
          <w:szCs w:val="20"/>
        </w:rPr>
      </w:pPr>
      <w:r w:rsidRPr="00040444">
        <w:rPr>
          <w:rFonts w:ascii="Georgia" w:hAnsi="Georgia"/>
          <w:b/>
          <w:color w:val="4A442A" w:themeColor="background2" w:themeShade="40"/>
          <w:sz w:val="20"/>
          <w:szCs w:val="20"/>
        </w:rPr>
        <w:t>2. Portfolio: Acquisitions, Performance and Value Enhancement (continued)</w:t>
      </w:r>
    </w:p>
    <w:p w14:paraId="2498C581" w14:textId="77777777" w:rsidR="00CD64E6" w:rsidRPr="00040444" w:rsidRDefault="00CD64E6" w:rsidP="00CD64E6">
      <w:pPr>
        <w:rPr>
          <w:rFonts w:ascii="Georgia" w:hAnsi="Georgia"/>
          <w:b/>
          <w:color w:val="4A442A" w:themeColor="background2" w:themeShade="40"/>
          <w:sz w:val="20"/>
          <w:szCs w:val="20"/>
        </w:rPr>
      </w:pPr>
    </w:p>
    <w:p w14:paraId="13DD990B" w14:textId="77777777" w:rsidR="00CD64E6" w:rsidRPr="00FA27A9" w:rsidRDefault="00CD64E6" w:rsidP="00CD64E6">
      <w:pPr>
        <w:rPr>
          <w:rFonts w:ascii="Georgia" w:hAnsi="Georgia"/>
          <w:b/>
          <w:color w:val="4A442A" w:themeColor="background2" w:themeShade="40"/>
          <w:sz w:val="20"/>
          <w:szCs w:val="20"/>
        </w:rPr>
      </w:pPr>
      <w:r w:rsidRPr="00040444">
        <w:rPr>
          <w:rFonts w:ascii="Georgia" w:hAnsi="Georgia"/>
          <w:b/>
          <w:color w:val="4A442A" w:themeColor="background2" w:themeShade="40"/>
          <w:sz w:val="20"/>
          <w:szCs w:val="20"/>
        </w:rPr>
        <w:t>Performance (continued)</w:t>
      </w:r>
    </w:p>
    <w:p w14:paraId="68F2A0FF" w14:textId="77777777" w:rsidR="00CD64E6" w:rsidRDefault="00CD64E6" w:rsidP="007B66C1">
      <w:pPr>
        <w:jc w:val="both"/>
        <w:rPr>
          <w:rFonts w:ascii="Georgia" w:hAnsi="Georgia"/>
          <w:color w:val="404040" w:themeColor="text1" w:themeTint="BF"/>
          <w:sz w:val="20"/>
          <w:szCs w:val="20"/>
        </w:rPr>
      </w:pPr>
    </w:p>
    <w:p w14:paraId="2FA50FA8" w14:textId="18D2C595" w:rsidR="007B66C1" w:rsidRPr="00F04CA4" w:rsidRDefault="007B66C1" w:rsidP="007B66C1">
      <w:pPr>
        <w:jc w:val="both"/>
        <w:rPr>
          <w:rFonts w:ascii="Georgia" w:hAnsi="Georgia"/>
          <w:color w:val="404040" w:themeColor="text1" w:themeTint="BF"/>
          <w:sz w:val="20"/>
          <w:szCs w:val="20"/>
        </w:rPr>
      </w:pPr>
      <w:r w:rsidRPr="00F04CA4">
        <w:rPr>
          <w:rFonts w:ascii="Georgia" w:hAnsi="Georgia"/>
          <w:color w:val="404040" w:themeColor="text1" w:themeTint="BF"/>
          <w:sz w:val="20"/>
          <w:szCs w:val="20"/>
        </w:rPr>
        <w:t>The impact of outages resulting from events within the control of the Company (for example, periods when a plant, or part of a plant, were shut to conduct essential maintenance or repairs) accounted for a loss of 2.8</w:t>
      </w:r>
      <w:r>
        <w:rPr>
          <w:rFonts w:ascii="Georgia" w:hAnsi="Georgia"/>
          <w:color w:val="404040" w:themeColor="text1" w:themeTint="BF"/>
          <w:sz w:val="20"/>
          <w:szCs w:val="20"/>
        </w:rPr>
        <w:t>4</w:t>
      </w:r>
      <w:r w:rsidRPr="00F04CA4">
        <w:rPr>
          <w:rFonts w:ascii="Georgia" w:hAnsi="Georgia"/>
          <w:color w:val="404040" w:themeColor="text1" w:themeTint="BF"/>
          <w:sz w:val="20"/>
          <w:szCs w:val="20"/>
        </w:rPr>
        <w:t>% of the Portfolio’s total generation</w:t>
      </w:r>
      <w:r>
        <w:rPr>
          <w:rFonts w:ascii="Georgia" w:hAnsi="Georgia"/>
          <w:color w:val="404040" w:themeColor="text1" w:themeTint="BF"/>
          <w:sz w:val="20"/>
          <w:szCs w:val="20"/>
        </w:rPr>
        <w:t xml:space="preserve">. </w:t>
      </w:r>
    </w:p>
    <w:p w14:paraId="6A567BE4" w14:textId="77777777" w:rsidR="007B66C1" w:rsidRPr="00941CD4" w:rsidRDefault="007B66C1" w:rsidP="007B66C1">
      <w:pPr>
        <w:jc w:val="both"/>
        <w:rPr>
          <w:rFonts w:ascii="Georgia" w:hAnsi="Georgia"/>
          <w:color w:val="404040" w:themeColor="text1" w:themeTint="BF"/>
          <w:sz w:val="20"/>
          <w:szCs w:val="20"/>
          <w:highlight w:val="green"/>
        </w:rPr>
      </w:pPr>
    </w:p>
    <w:p w14:paraId="12DBCE32" w14:textId="6965474D" w:rsidR="007B66C1" w:rsidRPr="00F04CA4" w:rsidRDefault="007B66C1" w:rsidP="007B66C1">
      <w:pPr>
        <w:jc w:val="both"/>
        <w:rPr>
          <w:rFonts w:ascii="Georgia" w:hAnsi="Georgia"/>
          <w:color w:val="404040" w:themeColor="text1" w:themeTint="BF"/>
          <w:sz w:val="20"/>
          <w:szCs w:val="20"/>
        </w:rPr>
      </w:pPr>
      <w:r w:rsidRPr="00F04CA4">
        <w:rPr>
          <w:rFonts w:ascii="Georgia" w:hAnsi="Georgia"/>
          <w:color w:val="404040" w:themeColor="text1" w:themeTint="BF"/>
          <w:sz w:val="20"/>
          <w:szCs w:val="20"/>
        </w:rPr>
        <w:t>Outages and curtailments which were outside the control of the Company (for example, where these events are initiated by a DNO for them to undertake upgrade works in the local area) accounted for 0.7</w:t>
      </w:r>
      <w:r>
        <w:rPr>
          <w:rFonts w:ascii="Georgia" w:hAnsi="Georgia"/>
          <w:color w:val="404040" w:themeColor="text1" w:themeTint="BF"/>
          <w:sz w:val="20"/>
          <w:szCs w:val="20"/>
        </w:rPr>
        <w:t>0</w:t>
      </w:r>
      <w:r w:rsidRPr="00F04CA4">
        <w:rPr>
          <w:rFonts w:ascii="Georgia" w:hAnsi="Georgia"/>
          <w:color w:val="404040" w:themeColor="text1" w:themeTint="BF"/>
          <w:sz w:val="20"/>
          <w:szCs w:val="20"/>
        </w:rPr>
        <w:t>% of total generation. It should be noted that</w:t>
      </w:r>
      <w:r>
        <w:rPr>
          <w:rFonts w:ascii="Georgia" w:hAnsi="Georgia"/>
          <w:color w:val="404040" w:themeColor="text1" w:themeTint="BF"/>
          <w:sz w:val="20"/>
          <w:szCs w:val="20"/>
        </w:rPr>
        <w:t xml:space="preserve"> some of the network upgrade activities scheduled for March, April, May, and </w:t>
      </w:r>
      <w:r w:rsidR="001129E3">
        <w:rPr>
          <w:rFonts w:ascii="Georgia" w:hAnsi="Georgia"/>
          <w:color w:val="404040" w:themeColor="text1" w:themeTint="BF"/>
          <w:sz w:val="20"/>
          <w:szCs w:val="20"/>
        </w:rPr>
        <w:t>June were postponed due to the C</w:t>
      </w:r>
      <w:r>
        <w:rPr>
          <w:rFonts w:ascii="Georgia" w:hAnsi="Georgia"/>
          <w:color w:val="404040" w:themeColor="text1" w:themeTint="BF"/>
          <w:sz w:val="20"/>
          <w:szCs w:val="20"/>
        </w:rPr>
        <w:t>ovid-19 pandemic.</w:t>
      </w:r>
      <w:r w:rsidR="00131331">
        <w:rPr>
          <w:rFonts w:ascii="Georgia" w:hAnsi="Georgia"/>
          <w:color w:val="404040" w:themeColor="text1" w:themeTint="BF"/>
          <w:sz w:val="20"/>
          <w:szCs w:val="20"/>
        </w:rPr>
        <w:t xml:space="preserve"> As such, it</w:t>
      </w:r>
      <w:r>
        <w:rPr>
          <w:rFonts w:ascii="Georgia" w:hAnsi="Georgia"/>
          <w:color w:val="404040" w:themeColor="text1" w:themeTint="BF"/>
          <w:sz w:val="20"/>
          <w:szCs w:val="20"/>
        </w:rPr>
        <w:t xml:space="preserve"> is</w:t>
      </w:r>
      <w:r w:rsidR="00131331">
        <w:rPr>
          <w:rFonts w:ascii="Georgia" w:hAnsi="Georgia"/>
          <w:color w:val="404040" w:themeColor="text1" w:themeTint="BF"/>
          <w:sz w:val="20"/>
          <w:szCs w:val="20"/>
        </w:rPr>
        <w:t xml:space="preserve"> possible</w:t>
      </w:r>
      <w:r w:rsidR="001129E3">
        <w:rPr>
          <w:rFonts w:ascii="Georgia" w:hAnsi="Georgia"/>
          <w:color w:val="404040" w:themeColor="text1" w:themeTint="BF"/>
          <w:sz w:val="20"/>
          <w:szCs w:val="20"/>
        </w:rPr>
        <w:t xml:space="preserve"> that</w:t>
      </w:r>
      <w:r>
        <w:rPr>
          <w:rFonts w:ascii="Georgia" w:hAnsi="Georgia"/>
          <w:color w:val="404040" w:themeColor="text1" w:themeTint="BF"/>
          <w:sz w:val="20"/>
          <w:szCs w:val="20"/>
        </w:rPr>
        <w:t xml:space="preserve"> an increased outage and curtailment regime from the DNOs </w:t>
      </w:r>
      <w:r w:rsidR="001E0CAE">
        <w:rPr>
          <w:rFonts w:ascii="Georgia" w:hAnsi="Georgia"/>
          <w:color w:val="404040" w:themeColor="text1" w:themeTint="BF"/>
          <w:sz w:val="20"/>
          <w:szCs w:val="20"/>
        </w:rPr>
        <w:t xml:space="preserve">may occur </w:t>
      </w:r>
      <w:r>
        <w:rPr>
          <w:rFonts w:ascii="Georgia" w:hAnsi="Georgia"/>
          <w:color w:val="404040" w:themeColor="text1" w:themeTint="BF"/>
          <w:sz w:val="20"/>
          <w:szCs w:val="20"/>
        </w:rPr>
        <w:t xml:space="preserve">during the </w:t>
      </w:r>
      <w:r w:rsidR="001E0CAE">
        <w:rPr>
          <w:rFonts w:ascii="Georgia" w:hAnsi="Georgia"/>
          <w:color w:val="404040" w:themeColor="text1" w:themeTint="BF"/>
          <w:sz w:val="20"/>
          <w:szCs w:val="20"/>
        </w:rPr>
        <w:t xml:space="preserve">FY20/21 </w:t>
      </w:r>
      <w:r>
        <w:rPr>
          <w:rFonts w:ascii="Georgia" w:hAnsi="Georgia"/>
          <w:color w:val="404040" w:themeColor="text1" w:themeTint="BF"/>
          <w:sz w:val="20"/>
          <w:szCs w:val="20"/>
        </w:rPr>
        <w:t>reporting period, when the upgrade works will</w:t>
      </w:r>
      <w:r w:rsidR="001E0CAE">
        <w:rPr>
          <w:rFonts w:ascii="Georgia" w:hAnsi="Georgia"/>
          <w:color w:val="404040" w:themeColor="text1" w:themeTint="BF"/>
          <w:sz w:val="20"/>
          <w:szCs w:val="20"/>
        </w:rPr>
        <w:t xml:space="preserve"> </w:t>
      </w:r>
      <w:r w:rsidR="0019209D">
        <w:rPr>
          <w:rFonts w:ascii="Georgia" w:hAnsi="Georgia"/>
          <w:color w:val="404040" w:themeColor="text1" w:themeTint="BF"/>
          <w:sz w:val="20"/>
          <w:szCs w:val="20"/>
        </w:rPr>
        <w:t>probably</w:t>
      </w:r>
      <w:r w:rsidR="001E0CAE">
        <w:rPr>
          <w:rFonts w:ascii="Georgia" w:hAnsi="Georgia"/>
          <w:color w:val="404040" w:themeColor="text1" w:themeTint="BF"/>
          <w:sz w:val="20"/>
          <w:szCs w:val="20"/>
        </w:rPr>
        <w:t xml:space="preserve"> need to</w:t>
      </w:r>
      <w:r>
        <w:rPr>
          <w:rFonts w:ascii="Georgia" w:hAnsi="Georgia"/>
          <w:color w:val="404040" w:themeColor="text1" w:themeTint="BF"/>
          <w:sz w:val="20"/>
          <w:szCs w:val="20"/>
        </w:rPr>
        <w:t xml:space="preserve"> be delivered </w:t>
      </w:r>
      <w:r w:rsidR="001E0CAE">
        <w:rPr>
          <w:rFonts w:ascii="Georgia" w:hAnsi="Georgia"/>
          <w:color w:val="404040" w:themeColor="text1" w:themeTint="BF"/>
          <w:sz w:val="20"/>
          <w:szCs w:val="20"/>
        </w:rPr>
        <w:t>by the respective DNOs.</w:t>
      </w:r>
      <w:r>
        <w:rPr>
          <w:rFonts w:ascii="Georgia" w:hAnsi="Georgia"/>
          <w:color w:val="404040" w:themeColor="text1" w:themeTint="BF"/>
          <w:sz w:val="20"/>
          <w:szCs w:val="20"/>
        </w:rPr>
        <w:t xml:space="preserve"> </w:t>
      </w:r>
    </w:p>
    <w:p w14:paraId="15820B04" w14:textId="77777777" w:rsidR="007B66C1" w:rsidRDefault="007B66C1" w:rsidP="007B66C1">
      <w:pPr>
        <w:rPr>
          <w:sz w:val="20"/>
          <w:szCs w:val="20"/>
          <w:highlight w:val="yellow"/>
        </w:rPr>
      </w:pPr>
    </w:p>
    <w:p w14:paraId="38ED4A6E" w14:textId="77777777" w:rsidR="007B66C1" w:rsidRPr="00475D47" w:rsidRDefault="007B66C1" w:rsidP="007B66C1">
      <w:pPr>
        <w:pStyle w:val="Heading2"/>
        <w:pBdr>
          <w:bottom w:val="none" w:sz="0" w:space="0" w:color="auto"/>
        </w:pBdr>
        <w:spacing w:before="0" w:after="0"/>
        <w:jc w:val="both"/>
        <w:rPr>
          <w:color w:val="404040" w:themeColor="text1" w:themeTint="BF"/>
          <w:sz w:val="20"/>
          <w:szCs w:val="20"/>
        </w:rPr>
      </w:pPr>
      <w:r w:rsidRPr="00475D47">
        <w:rPr>
          <w:color w:val="404040" w:themeColor="text1" w:themeTint="BF"/>
          <w:sz w:val="20"/>
          <w:szCs w:val="20"/>
        </w:rPr>
        <w:t>The table below summarises the main outage events during the reporting period:</w:t>
      </w:r>
    </w:p>
    <w:p w14:paraId="024D3DB9" w14:textId="77777777" w:rsidR="007B66C1" w:rsidRDefault="007B66C1" w:rsidP="007B66C1"/>
    <w:p w14:paraId="68459AED" w14:textId="77777777" w:rsidR="007B66C1" w:rsidRPr="009E50EB" w:rsidRDefault="007B66C1" w:rsidP="007B66C1">
      <w:r w:rsidRPr="00F04CA4">
        <w:rPr>
          <w:rFonts w:ascii="Georgia" w:hAnsi="Georgia"/>
          <w:color w:val="4A442A" w:themeColor="background2" w:themeShade="40"/>
          <w:sz w:val="20"/>
          <w:szCs w:val="20"/>
        </w:rPr>
        <w:t xml:space="preserve">Table 3. </w:t>
      </w:r>
      <w:r w:rsidRPr="00B8074A">
        <w:rPr>
          <w:rFonts w:ascii="Georgia" w:hAnsi="Georgia"/>
          <w:color w:val="4A442A" w:themeColor="background2" w:themeShade="40"/>
          <w:sz w:val="20"/>
          <w:szCs w:val="20"/>
        </w:rPr>
        <w:t>Major</w:t>
      </w:r>
      <w:r>
        <w:rPr>
          <w:rFonts w:ascii="Georgia" w:hAnsi="Georgia"/>
          <w:color w:val="4A442A" w:themeColor="background2" w:themeShade="40"/>
          <w:sz w:val="20"/>
          <w:szCs w:val="20"/>
        </w:rPr>
        <w:t xml:space="preserve"> Outage Events during 2019/20 Reporting Year</w:t>
      </w:r>
    </w:p>
    <w:p w14:paraId="51556332" w14:textId="77777777" w:rsidR="007B66C1" w:rsidRDefault="007B66C1" w:rsidP="007B66C1">
      <w:pPr>
        <w:rPr>
          <w:sz w:val="20"/>
          <w:szCs w:val="20"/>
          <w:highlight w:val="yellow"/>
        </w:rPr>
      </w:pPr>
    </w:p>
    <w:tbl>
      <w:tblPr>
        <w:tblStyle w:val="TableGrid"/>
        <w:tblW w:w="9634" w:type="dxa"/>
        <w:tblLook w:val="04A0" w:firstRow="1" w:lastRow="0" w:firstColumn="1" w:lastColumn="0" w:noHBand="0" w:noVBand="1"/>
      </w:tblPr>
      <w:tblGrid>
        <w:gridCol w:w="1209"/>
        <w:gridCol w:w="1029"/>
        <w:gridCol w:w="1349"/>
        <w:gridCol w:w="995"/>
        <w:gridCol w:w="5052"/>
      </w:tblGrid>
      <w:tr w:rsidR="007F7625" w:rsidRPr="00120F4A" w14:paraId="1841FACF" w14:textId="77777777" w:rsidTr="00475D47">
        <w:tc>
          <w:tcPr>
            <w:tcW w:w="1209" w:type="dxa"/>
            <w:shd w:val="clear" w:color="auto" w:fill="215868" w:themeFill="accent5" w:themeFillShade="80"/>
          </w:tcPr>
          <w:p w14:paraId="53CB51A0" w14:textId="77777777" w:rsidR="007F7625" w:rsidRPr="00641338" w:rsidRDefault="007F7625" w:rsidP="006F0858">
            <w:pPr>
              <w:jc w:val="center"/>
              <w:rPr>
                <w:rFonts w:ascii="Georgia" w:hAnsi="Georgia"/>
                <w:color w:val="FFFFFF" w:themeColor="background1"/>
                <w:sz w:val="20"/>
                <w:szCs w:val="20"/>
              </w:rPr>
            </w:pPr>
            <w:r w:rsidRPr="00641338">
              <w:rPr>
                <w:rFonts w:ascii="Georgia" w:hAnsi="Georgia"/>
                <w:color w:val="FFFFFF" w:themeColor="background1"/>
                <w:sz w:val="20"/>
                <w:szCs w:val="20"/>
              </w:rPr>
              <w:t>Generation Lost (MWh)</w:t>
            </w:r>
          </w:p>
        </w:tc>
        <w:tc>
          <w:tcPr>
            <w:tcW w:w="1029" w:type="dxa"/>
            <w:shd w:val="clear" w:color="auto" w:fill="215868" w:themeFill="accent5" w:themeFillShade="80"/>
          </w:tcPr>
          <w:p w14:paraId="5B5C21EC" w14:textId="4935143C" w:rsidR="007F7625" w:rsidRPr="00641338" w:rsidRDefault="007F7625" w:rsidP="006F0858">
            <w:pPr>
              <w:jc w:val="center"/>
              <w:rPr>
                <w:rFonts w:ascii="Georgia" w:hAnsi="Georgia"/>
                <w:color w:val="FFFFFF" w:themeColor="background1"/>
                <w:sz w:val="20"/>
                <w:szCs w:val="20"/>
              </w:rPr>
            </w:pPr>
            <w:r>
              <w:rPr>
                <w:rFonts w:ascii="Georgia" w:hAnsi="Georgia"/>
                <w:color w:val="FFFFFF" w:themeColor="background1"/>
                <w:sz w:val="20"/>
                <w:szCs w:val="20"/>
              </w:rPr>
              <w:t>Revenue Lost (£)</w:t>
            </w:r>
          </w:p>
        </w:tc>
        <w:tc>
          <w:tcPr>
            <w:tcW w:w="1349" w:type="dxa"/>
            <w:shd w:val="clear" w:color="auto" w:fill="215868" w:themeFill="accent5" w:themeFillShade="80"/>
          </w:tcPr>
          <w:p w14:paraId="3A074682" w14:textId="41224920" w:rsidR="007F7625" w:rsidRPr="00641338" w:rsidRDefault="007F7625" w:rsidP="006F0858">
            <w:pPr>
              <w:jc w:val="center"/>
              <w:rPr>
                <w:rFonts w:ascii="Georgia" w:hAnsi="Georgia"/>
                <w:color w:val="FFFFFF" w:themeColor="background1"/>
                <w:sz w:val="20"/>
                <w:szCs w:val="20"/>
              </w:rPr>
            </w:pPr>
            <w:r w:rsidRPr="00641338">
              <w:rPr>
                <w:rFonts w:ascii="Georgia" w:hAnsi="Georgia"/>
                <w:color w:val="FFFFFF" w:themeColor="background1"/>
                <w:sz w:val="20"/>
                <w:szCs w:val="20"/>
              </w:rPr>
              <w:t>Asset</w:t>
            </w:r>
          </w:p>
        </w:tc>
        <w:tc>
          <w:tcPr>
            <w:tcW w:w="995" w:type="dxa"/>
            <w:shd w:val="clear" w:color="auto" w:fill="215868" w:themeFill="accent5" w:themeFillShade="80"/>
          </w:tcPr>
          <w:p w14:paraId="4428CBD5" w14:textId="77777777" w:rsidR="007F7625" w:rsidRPr="00641338" w:rsidRDefault="007F7625" w:rsidP="006F0858">
            <w:pPr>
              <w:jc w:val="center"/>
              <w:rPr>
                <w:rFonts w:ascii="Georgia" w:hAnsi="Georgia"/>
                <w:color w:val="FFFFFF" w:themeColor="background1"/>
                <w:sz w:val="20"/>
                <w:szCs w:val="20"/>
              </w:rPr>
            </w:pPr>
            <w:r w:rsidRPr="00641338">
              <w:rPr>
                <w:rFonts w:ascii="Georgia" w:hAnsi="Georgia"/>
                <w:color w:val="FFFFFF" w:themeColor="background1"/>
                <w:sz w:val="20"/>
                <w:szCs w:val="20"/>
              </w:rPr>
              <w:t>Installed Capacity (</w:t>
            </w:r>
            <w:proofErr w:type="spellStart"/>
            <w:r w:rsidRPr="00641338">
              <w:rPr>
                <w:rFonts w:ascii="Georgia" w:hAnsi="Georgia"/>
                <w:color w:val="FFFFFF" w:themeColor="background1"/>
                <w:sz w:val="20"/>
                <w:szCs w:val="20"/>
              </w:rPr>
              <w:t>MWp</w:t>
            </w:r>
            <w:proofErr w:type="spellEnd"/>
            <w:r w:rsidRPr="00641338">
              <w:rPr>
                <w:rFonts w:ascii="Georgia" w:hAnsi="Georgia"/>
                <w:color w:val="FFFFFF" w:themeColor="background1"/>
                <w:sz w:val="20"/>
                <w:szCs w:val="20"/>
              </w:rPr>
              <w:t>)</w:t>
            </w:r>
          </w:p>
        </w:tc>
        <w:tc>
          <w:tcPr>
            <w:tcW w:w="5052" w:type="dxa"/>
            <w:shd w:val="clear" w:color="auto" w:fill="215868" w:themeFill="accent5" w:themeFillShade="80"/>
          </w:tcPr>
          <w:p w14:paraId="36B6A76E" w14:textId="77777777" w:rsidR="007F7625" w:rsidRPr="00641338" w:rsidRDefault="007F7625" w:rsidP="006F0858">
            <w:pPr>
              <w:jc w:val="center"/>
              <w:rPr>
                <w:rFonts w:ascii="Georgia" w:hAnsi="Georgia"/>
                <w:color w:val="FFFFFF" w:themeColor="background1"/>
                <w:sz w:val="20"/>
                <w:szCs w:val="20"/>
              </w:rPr>
            </w:pPr>
            <w:r w:rsidRPr="00641338">
              <w:rPr>
                <w:rFonts w:ascii="Georgia" w:hAnsi="Georgia"/>
                <w:color w:val="FFFFFF" w:themeColor="background1"/>
                <w:sz w:val="20"/>
                <w:szCs w:val="20"/>
              </w:rPr>
              <w:t>Brief description of Event</w:t>
            </w:r>
          </w:p>
        </w:tc>
      </w:tr>
      <w:tr w:rsidR="00811ECE" w:rsidRPr="00E65CEF" w14:paraId="7AF09FE8" w14:textId="77777777" w:rsidTr="00A32956">
        <w:tc>
          <w:tcPr>
            <w:tcW w:w="1209" w:type="dxa"/>
            <w:shd w:val="clear" w:color="auto" w:fill="auto"/>
            <w:vAlign w:val="center"/>
          </w:tcPr>
          <w:p w14:paraId="363F947E" w14:textId="367AA155"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2,056</w:t>
            </w:r>
          </w:p>
        </w:tc>
        <w:tc>
          <w:tcPr>
            <w:tcW w:w="1029" w:type="dxa"/>
            <w:shd w:val="clear" w:color="auto" w:fill="auto"/>
            <w:vAlign w:val="center"/>
          </w:tcPr>
          <w:p w14:paraId="0A6BD2A9" w14:textId="2E110930"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216.30</w:t>
            </w:r>
          </w:p>
        </w:tc>
        <w:tc>
          <w:tcPr>
            <w:tcW w:w="1349" w:type="dxa"/>
            <w:vAlign w:val="center"/>
          </w:tcPr>
          <w:p w14:paraId="40306F94" w14:textId="615701D8"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Southwick</w:t>
            </w:r>
          </w:p>
        </w:tc>
        <w:tc>
          <w:tcPr>
            <w:tcW w:w="995" w:type="dxa"/>
            <w:vAlign w:val="center"/>
          </w:tcPr>
          <w:p w14:paraId="1D355763" w14:textId="18C60AAB"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47.9</w:t>
            </w:r>
          </w:p>
        </w:tc>
        <w:tc>
          <w:tcPr>
            <w:tcW w:w="5052" w:type="dxa"/>
            <w:vAlign w:val="center"/>
          </w:tcPr>
          <w:p w14:paraId="436E5646" w14:textId="479DBC1E"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 xml:space="preserve">Systemic failure of AC circuit boards. Full replacement programme underway by manufacturer. Insurance claim submitted and plant fully operational.  </w:t>
            </w:r>
          </w:p>
        </w:tc>
      </w:tr>
      <w:tr w:rsidR="00811ECE" w:rsidRPr="00E65CEF" w14:paraId="7841921E" w14:textId="77777777" w:rsidTr="00A32956">
        <w:tc>
          <w:tcPr>
            <w:tcW w:w="1209" w:type="dxa"/>
            <w:shd w:val="clear" w:color="auto" w:fill="auto"/>
            <w:vAlign w:val="center"/>
          </w:tcPr>
          <w:p w14:paraId="7C33775F" w14:textId="7395A18A"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1,547</w:t>
            </w:r>
          </w:p>
        </w:tc>
        <w:tc>
          <w:tcPr>
            <w:tcW w:w="1029" w:type="dxa"/>
            <w:shd w:val="clear" w:color="auto" w:fill="auto"/>
            <w:vAlign w:val="center"/>
          </w:tcPr>
          <w:p w14:paraId="36C0FD78" w14:textId="4A8E55ED"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120.74</w:t>
            </w:r>
          </w:p>
        </w:tc>
        <w:tc>
          <w:tcPr>
            <w:tcW w:w="1349" w:type="dxa"/>
            <w:vAlign w:val="center"/>
          </w:tcPr>
          <w:p w14:paraId="5D776D86" w14:textId="3473DEF4"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Hill Farm</w:t>
            </w:r>
          </w:p>
        </w:tc>
        <w:tc>
          <w:tcPr>
            <w:tcW w:w="995" w:type="dxa"/>
            <w:vAlign w:val="center"/>
          </w:tcPr>
          <w:p w14:paraId="49B18AD1" w14:textId="2C637F3B"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15.2</w:t>
            </w:r>
          </w:p>
        </w:tc>
        <w:tc>
          <w:tcPr>
            <w:tcW w:w="5052" w:type="dxa"/>
            <w:vAlign w:val="center"/>
          </w:tcPr>
          <w:p w14:paraId="6C9A587D" w14:textId="36579EAF"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Transformer failure between February 2020 and March 2020 due to grid voltage spikes. Insurance claim submitted and plant fully operational.</w:t>
            </w:r>
          </w:p>
        </w:tc>
      </w:tr>
      <w:tr w:rsidR="00811ECE" w:rsidRPr="00E65CEF" w14:paraId="562374E7" w14:textId="77777777" w:rsidTr="00A32956">
        <w:tc>
          <w:tcPr>
            <w:tcW w:w="1209" w:type="dxa"/>
            <w:shd w:val="clear" w:color="auto" w:fill="auto"/>
            <w:vAlign w:val="center"/>
          </w:tcPr>
          <w:p w14:paraId="068F7985" w14:textId="02A88A47"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1,138</w:t>
            </w:r>
          </w:p>
        </w:tc>
        <w:tc>
          <w:tcPr>
            <w:tcW w:w="1029" w:type="dxa"/>
            <w:shd w:val="clear" w:color="auto" w:fill="auto"/>
            <w:vAlign w:val="center"/>
          </w:tcPr>
          <w:p w14:paraId="414CE7AD" w14:textId="618D1671"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142.82</w:t>
            </w:r>
          </w:p>
        </w:tc>
        <w:tc>
          <w:tcPr>
            <w:tcW w:w="1349" w:type="dxa"/>
            <w:vAlign w:val="center"/>
          </w:tcPr>
          <w:p w14:paraId="49359717" w14:textId="0C502385"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Hall Farm</w:t>
            </w:r>
          </w:p>
        </w:tc>
        <w:tc>
          <w:tcPr>
            <w:tcW w:w="995" w:type="dxa"/>
            <w:vAlign w:val="center"/>
          </w:tcPr>
          <w:p w14:paraId="27F23AE7" w14:textId="40C22901"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11.4</w:t>
            </w:r>
          </w:p>
        </w:tc>
        <w:tc>
          <w:tcPr>
            <w:tcW w:w="5052" w:type="dxa"/>
            <w:vAlign w:val="center"/>
          </w:tcPr>
          <w:p w14:paraId="7C8A065F" w14:textId="22AD62C6"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Transformer failure between March 2020 and April 2020. Insurance claim submitted and plant fully operational.</w:t>
            </w:r>
          </w:p>
        </w:tc>
      </w:tr>
      <w:tr w:rsidR="00811ECE" w:rsidRPr="00E65CEF" w14:paraId="4C7C7C07" w14:textId="77777777" w:rsidTr="00A32956">
        <w:tc>
          <w:tcPr>
            <w:tcW w:w="1209" w:type="dxa"/>
            <w:shd w:val="clear" w:color="auto" w:fill="auto"/>
            <w:vAlign w:val="center"/>
          </w:tcPr>
          <w:p w14:paraId="2948AEA4" w14:textId="2097B41B"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1,264</w:t>
            </w:r>
          </w:p>
        </w:tc>
        <w:tc>
          <w:tcPr>
            <w:tcW w:w="1029" w:type="dxa"/>
            <w:shd w:val="clear" w:color="auto" w:fill="auto"/>
            <w:vAlign w:val="center"/>
          </w:tcPr>
          <w:p w14:paraId="255E719B" w14:textId="5244D9A3"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170.70</w:t>
            </w:r>
          </w:p>
        </w:tc>
        <w:tc>
          <w:tcPr>
            <w:tcW w:w="1349" w:type="dxa"/>
            <w:vAlign w:val="center"/>
          </w:tcPr>
          <w:p w14:paraId="6460928E" w14:textId="5225253E" w:rsidR="00811ECE" w:rsidRPr="005C3886" w:rsidRDefault="00811ECE" w:rsidP="00811ECE">
            <w:pPr>
              <w:jc w:val="center"/>
              <w:rPr>
                <w:rFonts w:ascii="Georgia" w:hAnsi="Georgia"/>
                <w:color w:val="404040" w:themeColor="text1" w:themeTint="BF"/>
                <w:sz w:val="20"/>
                <w:szCs w:val="20"/>
              </w:rPr>
            </w:pPr>
            <w:proofErr w:type="spellStart"/>
            <w:r>
              <w:rPr>
                <w:rFonts w:ascii="Georgia" w:hAnsi="Georgia"/>
                <w:color w:val="404040"/>
                <w:sz w:val="20"/>
                <w:szCs w:val="20"/>
                <w:lang w:eastAsia="en-GB"/>
              </w:rPr>
              <w:t>Hardingham</w:t>
            </w:r>
            <w:proofErr w:type="spellEnd"/>
          </w:p>
        </w:tc>
        <w:tc>
          <w:tcPr>
            <w:tcW w:w="995" w:type="dxa"/>
            <w:vAlign w:val="center"/>
          </w:tcPr>
          <w:p w14:paraId="67E34EA4" w14:textId="4215A12A"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20.1</w:t>
            </w:r>
          </w:p>
        </w:tc>
        <w:tc>
          <w:tcPr>
            <w:tcW w:w="5052" w:type="dxa"/>
            <w:vAlign w:val="center"/>
          </w:tcPr>
          <w:p w14:paraId="1ADA8712" w14:textId="41DCF072"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Series of central inverter faults during the reporting year due to overheating. Replacements completed by manufacturer and plant fully operational.</w:t>
            </w:r>
          </w:p>
        </w:tc>
      </w:tr>
      <w:tr w:rsidR="00811ECE" w:rsidRPr="00E65CEF" w14:paraId="42121262" w14:textId="77777777" w:rsidTr="00A32956">
        <w:tc>
          <w:tcPr>
            <w:tcW w:w="1209" w:type="dxa"/>
            <w:shd w:val="clear" w:color="auto" w:fill="auto"/>
            <w:vAlign w:val="center"/>
          </w:tcPr>
          <w:p w14:paraId="5EAF051D" w14:textId="4875252B"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770.00</w:t>
            </w:r>
          </w:p>
        </w:tc>
        <w:tc>
          <w:tcPr>
            <w:tcW w:w="1029" w:type="dxa"/>
            <w:shd w:val="clear" w:color="auto" w:fill="auto"/>
            <w:vAlign w:val="center"/>
          </w:tcPr>
          <w:p w14:paraId="51F7F5C4" w14:textId="47AAE244"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96.37</w:t>
            </w:r>
          </w:p>
        </w:tc>
        <w:tc>
          <w:tcPr>
            <w:tcW w:w="1349" w:type="dxa"/>
            <w:vAlign w:val="center"/>
          </w:tcPr>
          <w:p w14:paraId="7B640AF0" w14:textId="6A3577D6" w:rsidR="00811ECE" w:rsidRPr="005C3886" w:rsidRDefault="00811ECE" w:rsidP="00811ECE">
            <w:pPr>
              <w:jc w:val="center"/>
              <w:rPr>
                <w:rFonts w:ascii="Georgia" w:hAnsi="Georgia"/>
                <w:color w:val="404040" w:themeColor="text1" w:themeTint="BF"/>
                <w:sz w:val="20"/>
                <w:szCs w:val="20"/>
              </w:rPr>
            </w:pPr>
            <w:proofErr w:type="spellStart"/>
            <w:r>
              <w:rPr>
                <w:rFonts w:ascii="Georgia" w:hAnsi="Georgia"/>
                <w:color w:val="404040"/>
                <w:sz w:val="20"/>
                <w:szCs w:val="20"/>
                <w:lang w:eastAsia="en-GB"/>
              </w:rPr>
              <w:t>Capelands</w:t>
            </w:r>
            <w:proofErr w:type="spellEnd"/>
          </w:p>
        </w:tc>
        <w:tc>
          <w:tcPr>
            <w:tcW w:w="995" w:type="dxa"/>
            <w:vAlign w:val="center"/>
          </w:tcPr>
          <w:p w14:paraId="48049E7C" w14:textId="513C44F8"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8.4</w:t>
            </w:r>
          </w:p>
        </w:tc>
        <w:tc>
          <w:tcPr>
            <w:tcW w:w="5052" w:type="dxa"/>
            <w:vAlign w:val="center"/>
          </w:tcPr>
          <w:p w14:paraId="7702D0D2" w14:textId="69DA8E6F"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Transformer replacement program we initiated in February and completed in March 2020. All revenue losses covered by the EPC contractor.</w:t>
            </w:r>
          </w:p>
        </w:tc>
      </w:tr>
      <w:tr w:rsidR="00811ECE" w:rsidRPr="00E65CEF" w14:paraId="570B93D8" w14:textId="77777777" w:rsidTr="00A32956">
        <w:trPr>
          <w:trHeight w:val="315"/>
        </w:trPr>
        <w:tc>
          <w:tcPr>
            <w:tcW w:w="1209" w:type="dxa"/>
            <w:shd w:val="clear" w:color="auto" w:fill="auto"/>
            <w:vAlign w:val="center"/>
          </w:tcPr>
          <w:p w14:paraId="4A580A73" w14:textId="44B980B5"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350.35</w:t>
            </w:r>
          </w:p>
        </w:tc>
        <w:tc>
          <w:tcPr>
            <w:tcW w:w="1029" w:type="dxa"/>
            <w:shd w:val="clear" w:color="auto" w:fill="auto"/>
            <w:vAlign w:val="center"/>
          </w:tcPr>
          <w:p w14:paraId="7786C20E" w14:textId="4ECD8FFC"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27.67</w:t>
            </w:r>
          </w:p>
        </w:tc>
        <w:tc>
          <w:tcPr>
            <w:tcW w:w="1349" w:type="dxa"/>
            <w:vAlign w:val="center"/>
          </w:tcPr>
          <w:p w14:paraId="2E95B73E" w14:textId="5617D15B"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Gypsum</w:t>
            </w:r>
          </w:p>
        </w:tc>
        <w:tc>
          <w:tcPr>
            <w:tcW w:w="995" w:type="dxa"/>
            <w:vAlign w:val="center"/>
          </w:tcPr>
          <w:p w14:paraId="40A39AB8" w14:textId="0050218F"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4.5</w:t>
            </w:r>
          </w:p>
        </w:tc>
        <w:tc>
          <w:tcPr>
            <w:tcW w:w="5052" w:type="dxa"/>
            <w:vAlign w:val="center"/>
          </w:tcPr>
          <w:p w14:paraId="6549B0AC" w14:textId="0A96B0F8"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 xml:space="preserve">14.5 days DNO outage to undertake repairs to substation. </w:t>
            </w:r>
          </w:p>
        </w:tc>
      </w:tr>
      <w:tr w:rsidR="00811ECE" w:rsidRPr="00E65CEF" w14:paraId="4925D79C" w14:textId="77777777" w:rsidTr="00A32956">
        <w:trPr>
          <w:trHeight w:val="315"/>
        </w:trPr>
        <w:tc>
          <w:tcPr>
            <w:tcW w:w="1209" w:type="dxa"/>
            <w:shd w:val="clear" w:color="auto" w:fill="auto"/>
            <w:vAlign w:val="center"/>
          </w:tcPr>
          <w:p w14:paraId="7233ABBE" w14:textId="435F6AEF"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349.36</w:t>
            </w:r>
          </w:p>
        </w:tc>
        <w:tc>
          <w:tcPr>
            <w:tcW w:w="1029" w:type="dxa"/>
            <w:shd w:val="clear" w:color="auto" w:fill="auto"/>
            <w:vAlign w:val="center"/>
          </w:tcPr>
          <w:p w14:paraId="7377B410" w14:textId="243630AC"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39.97</w:t>
            </w:r>
          </w:p>
        </w:tc>
        <w:tc>
          <w:tcPr>
            <w:tcW w:w="1349" w:type="dxa"/>
            <w:vAlign w:val="center"/>
          </w:tcPr>
          <w:p w14:paraId="435095E7" w14:textId="6E960E9B"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Rookery</w:t>
            </w:r>
          </w:p>
        </w:tc>
        <w:tc>
          <w:tcPr>
            <w:tcW w:w="995" w:type="dxa"/>
            <w:vAlign w:val="center"/>
          </w:tcPr>
          <w:p w14:paraId="05939EC1" w14:textId="630A25FE" w:rsidR="00811ECE" w:rsidRPr="005C3886" w:rsidRDefault="00811ECE" w:rsidP="00811ECE">
            <w:pPr>
              <w:jc w:val="center"/>
              <w:rPr>
                <w:rFonts w:ascii="Georgia" w:hAnsi="Georgia"/>
                <w:color w:val="404040" w:themeColor="text1" w:themeTint="BF"/>
                <w:sz w:val="20"/>
                <w:szCs w:val="20"/>
              </w:rPr>
            </w:pPr>
            <w:r>
              <w:rPr>
                <w:rFonts w:ascii="Georgia" w:hAnsi="Georgia"/>
                <w:color w:val="404040"/>
                <w:sz w:val="20"/>
                <w:szCs w:val="20"/>
                <w:lang w:eastAsia="en-GB"/>
              </w:rPr>
              <w:t>5.o</w:t>
            </w:r>
          </w:p>
        </w:tc>
        <w:tc>
          <w:tcPr>
            <w:tcW w:w="5052" w:type="dxa"/>
            <w:vAlign w:val="center"/>
          </w:tcPr>
          <w:p w14:paraId="673DCE72" w14:textId="6C1799B5" w:rsidR="00811ECE" w:rsidRPr="005C3886" w:rsidRDefault="00811ECE" w:rsidP="00811ECE">
            <w:pPr>
              <w:rPr>
                <w:rFonts w:ascii="Georgia" w:hAnsi="Georgia"/>
                <w:color w:val="404040" w:themeColor="text1" w:themeTint="BF"/>
                <w:sz w:val="20"/>
                <w:szCs w:val="20"/>
              </w:rPr>
            </w:pPr>
            <w:r>
              <w:rPr>
                <w:rFonts w:ascii="Georgia" w:hAnsi="Georgia"/>
                <w:color w:val="404040"/>
                <w:sz w:val="20"/>
                <w:szCs w:val="20"/>
                <w:lang w:eastAsia="en-GB"/>
              </w:rPr>
              <w:t xml:space="preserve">Lower grid voltage causing the Power Plant Controller to behave erratically. </w:t>
            </w:r>
          </w:p>
        </w:tc>
      </w:tr>
    </w:tbl>
    <w:p w14:paraId="20FFC120" w14:textId="77777777" w:rsidR="007B66C1" w:rsidRPr="00040444" w:rsidRDefault="007B66C1" w:rsidP="007B66C1">
      <w:pPr>
        <w:rPr>
          <w:highlight w:val="yellow"/>
        </w:rPr>
      </w:pPr>
    </w:p>
    <w:p w14:paraId="0EA09F8D" w14:textId="5162C278" w:rsidR="007B66C1" w:rsidRDefault="007B66C1" w:rsidP="007B66C1">
      <w:pPr>
        <w:jc w:val="both"/>
        <w:rPr>
          <w:rFonts w:ascii="Georgia" w:hAnsi="Georgia"/>
          <w:color w:val="404040" w:themeColor="text1" w:themeTint="BF"/>
          <w:sz w:val="20"/>
          <w:szCs w:val="20"/>
        </w:rPr>
      </w:pPr>
      <w:r w:rsidRPr="00FA27A9">
        <w:rPr>
          <w:rFonts w:ascii="Georgia" w:hAnsi="Georgia"/>
          <w:color w:val="404040" w:themeColor="text1" w:themeTint="BF"/>
          <w:sz w:val="20"/>
          <w:szCs w:val="20"/>
        </w:rPr>
        <w:t xml:space="preserve">During the financial year, the Company received </w:t>
      </w:r>
      <w:r w:rsidRPr="00F04CA4">
        <w:rPr>
          <w:rFonts w:ascii="Georgia" w:hAnsi="Georgia"/>
          <w:color w:val="404040" w:themeColor="text1" w:themeTint="BF"/>
          <w:sz w:val="20"/>
          <w:szCs w:val="20"/>
        </w:rPr>
        <w:t>£393.4k</w:t>
      </w:r>
      <w:r w:rsidRPr="00FA27A9">
        <w:rPr>
          <w:rFonts w:ascii="Georgia" w:hAnsi="Georgia"/>
          <w:color w:val="404040" w:themeColor="text1" w:themeTint="BF"/>
          <w:sz w:val="20"/>
          <w:szCs w:val="20"/>
        </w:rPr>
        <w:t xml:space="preserve"> in LDs (£</w:t>
      </w:r>
      <w:r>
        <w:rPr>
          <w:rFonts w:ascii="Georgia" w:hAnsi="Georgia"/>
          <w:color w:val="404040" w:themeColor="text1" w:themeTint="BF"/>
          <w:sz w:val="20"/>
          <w:szCs w:val="20"/>
        </w:rPr>
        <w:t>440k</w:t>
      </w:r>
      <w:r w:rsidRPr="00FA27A9">
        <w:rPr>
          <w:rFonts w:ascii="Georgia" w:hAnsi="Georgia"/>
          <w:color w:val="404040" w:themeColor="text1" w:themeTint="BF"/>
          <w:sz w:val="20"/>
          <w:szCs w:val="20"/>
        </w:rPr>
        <w:t xml:space="preserve"> in FY1</w:t>
      </w:r>
      <w:r>
        <w:rPr>
          <w:rFonts w:ascii="Georgia" w:hAnsi="Georgia"/>
          <w:color w:val="404040" w:themeColor="text1" w:themeTint="BF"/>
          <w:sz w:val="20"/>
          <w:szCs w:val="20"/>
        </w:rPr>
        <w:t>8</w:t>
      </w:r>
      <w:r w:rsidRPr="00FA27A9">
        <w:rPr>
          <w:rFonts w:ascii="Georgia" w:hAnsi="Georgia"/>
          <w:color w:val="404040" w:themeColor="text1" w:themeTint="BF"/>
          <w:sz w:val="20"/>
          <w:szCs w:val="20"/>
        </w:rPr>
        <w:t>/1</w:t>
      </w:r>
      <w:r>
        <w:rPr>
          <w:rFonts w:ascii="Georgia" w:hAnsi="Georgia"/>
          <w:color w:val="404040" w:themeColor="text1" w:themeTint="BF"/>
          <w:sz w:val="20"/>
          <w:szCs w:val="20"/>
        </w:rPr>
        <w:t>9</w:t>
      </w:r>
      <w:r w:rsidRPr="00FA27A9">
        <w:rPr>
          <w:rFonts w:ascii="Georgia" w:hAnsi="Georgia"/>
          <w:color w:val="404040" w:themeColor="text1" w:themeTint="BF"/>
          <w:sz w:val="20"/>
          <w:szCs w:val="20"/>
        </w:rPr>
        <w:t>) for underperformance, revenue losses and the rectification of minor equipment defects</w:t>
      </w:r>
      <w:r w:rsidR="00034A59">
        <w:rPr>
          <w:rFonts w:ascii="Georgia" w:hAnsi="Georgia"/>
          <w:color w:val="404040" w:themeColor="text1" w:themeTint="BF"/>
          <w:sz w:val="20"/>
          <w:szCs w:val="20"/>
        </w:rPr>
        <w:t>.</w:t>
      </w:r>
    </w:p>
    <w:p w14:paraId="30709721" w14:textId="6A62A28E" w:rsidR="00034A59" w:rsidRDefault="00034A59" w:rsidP="007B66C1">
      <w:pPr>
        <w:jc w:val="both"/>
        <w:rPr>
          <w:rFonts w:ascii="Georgia" w:hAnsi="Georgia"/>
          <w:color w:val="404040" w:themeColor="text1" w:themeTint="BF"/>
          <w:sz w:val="20"/>
          <w:szCs w:val="20"/>
        </w:rPr>
      </w:pPr>
    </w:p>
    <w:p w14:paraId="65030C0F" w14:textId="40F2798F" w:rsidR="00034A59" w:rsidRDefault="00034A59" w:rsidP="007B66C1">
      <w:pPr>
        <w:jc w:val="both"/>
        <w:rPr>
          <w:rFonts w:ascii="Georgia" w:hAnsi="Georgia"/>
          <w:color w:val="404040" w:themeColor="text1" w:themeTint="BF"/>
          <w:sz w:val="20"/>
          <w:szCs w:val="20"/>
        </w:rPr>
      </w:pPr>
    </w:p>
    <w:p w14:paraId="312E422F" w14:textId="56ADD9BE" w:rsidR="00034A59" w:rsidRDefault="00034A59" w:rsidP="007B66C1">
      <w:pPr>
        <w:jc w:val="both"/>
        <w:rPr>
          <w:rFonts w:ascii="Georgia" w:hAnsi="Georgia"/>
          <w:color w:val="404040" w:themeColor="text1" w:themeTint="BF"/>
          <w:sz w:val="20"/>
          <w:szCs w:val="20"/>
        </w:rPr>
      </w:pPr>
    </w:p>
    <w:p w14:paraId="6687319A" w14:textId="6B86CA24" w:rsidR="00034A59" w:rsidRDefault="00034A59" w:rsidP="007B66C1">
      <w:pPr>
        <w:jc w:val="both"/>
        <w:rPr>
          <w:rFonts w:ascii="Georgia" w:hAnsi="Georgia"/>
          <w:color w:val="404040" w:themeColor="text1" w:themeTint="BF"/>
          <w:sz w:val="20"/>
          <w:szCs w:val="20"/>
        </w:rPr>
      </w:pPr>
    </w:p>
    <w:p w14:paraId="2D05C82E" w14:textId="51DD655A" w:rsidR="00034A59" w:rsidRDefault="00034A59" w:rsidP="007B66C1">
      <w:pPr>
        <w:jc w:val="both"/>
        <w:rPr>
          <w:rFonts w:ascii="Georgia" w:hAnsi="Georgia"/>
          <w:color w:val="404040" w:themeColor="text1" w:themeTint="BF"/>
          <w:sz w:val="20"/>
          <w:szCs w:val="20"/>
        </w:rPr>
      </w:pPr>
    </w:p>
    <w:p w14:paraId="358602F7" w14:textId="712C8C54" w:rsidR="00034A59" w:rsidRDefault="00034A59" w:rsidP="007B66C1">
      <w:pPr>
        <w:jc w:val="both"/>
        <w:rPr>
          <w:rFonts w:ascii="Georgia" w:hAnsi="Georgia"/>
          <w:color w:val="404040" w:themeColor="text1" w:themeTint="BF"/>
          <w:sz w:val="20"/>
          <w:szCs w:val="20"/>
        </w:rPr>
      </w:pPr>
    </w:p>
    <w:p w14:paraId="5510611C" w14:textId="3BF2CE31" w:rsidR="00034A59" w:rsidRDefault="00034A59" w:rsidP="007B66C1">
      <w:pPr>
        <w:jc w:val="both"/>
        <w:rPr>
          <w:rFonts w:ascii="Georgia" w:hAnsi="Georgia"/>
          <w:i/>
          <w:color w:val="404040" w:themeColor="text1" w:themeTint="BF"/>
          <w:sz w:val="20"/>
          <w:szCs w:val="20"/>
        </w:rPr>
      </w:pPr>
    </w:p>
    <w:p w14:paraId="6CDCFECC" w14:textId="7527BF82" w:rsidR="00002E41" w:rsidRDefault="00002E41" w:rsidP="007B66C1">
      <w:pPr>
        <w:jc w:val="both"/>
        <w:rPr>
          <w:rFonts w:ascii="Georgia" w:hAnsi="Georgia"/>
          <w:i/>
          <w:color w:val="404040" w:themeColor="text1" w:themeTint="BF"/>
          <w:sz w:val="20"/>
          <w:szCs w:val="20"/>
        </w:rPr>
      </w:pPr>
    </w:p>
    <w:p w14:paraId="10EAD18B" w14:textId="1B7589F4" w:rsidR="00002E41" w:rsidRDefault="00002E41" w:rsidP="007B66C1">
      <w:pPr>
        <w:jc w:val="both"/>
        <w:rPr>
          <w:rFonts w:ascii="Georgia" w:hAnsi="Georgia"/>
          <w:i/>
          <w:color w:val="404040" w:themeColor="text1" w:themeTint="BF"/>
          <w:sz w:val="20"/>
          <w:szCs w:val="20"/>
        </w:rPr>
      </w:pPr>
    </w:p>
    <w:p w14:paraId="1A6F8C26" w14:textId="0526333D" w:rsidR="00CD64E6" w:rsidRDefault="00CD64E6" w:rsidP="007B66C1">
      <w:pPr>
        <w:jc w:val="both"/>
        <w:rPr>
          <w:rFonts w:ascii="Georgia" w:hAnsi="Georgia"/>
          <w:i/>
          <w:color w:val="404040" w:themeColor="text1" w:themeTint="BF"/>
          <w:sz w:val="20"/>
          <w:szCs w:val="20"/>
        </w:rPr>
      </w:pPr>
    </w:p>
    <w:p w14:paraId="2588641C" w14:textId="2B5A3F7E" w:rsidR="00CD64E6" w:rsidRDefault="00CD64E6" w:rsidP="007B66C1">
      <w:pPr>
        <w:jc w:val="both"/>
        <w:rPr>
          <w:rFonts w:ascii="Georgia" w:hAnsi="Georgia"/>
          <w:i/>
          <w:color w:val="404040" w:themeColor="text1" w:themeTint="BF"/>
          <w:sz w:val="20"/>
          <w:szCs w:val="20"/>
        </w:rPr>
      </w:pPr>
    </w:p>
    <w:p w14:paraId="404284EA" w14:textId="77777777" w:rsidR="00CD64E6" w:rsidRDefault="00CD64E6" w:rsidP="007B66C1">
      <w:pPr>
        <w:jc w:val="both"/>
        <w:rPr>
          <w:rFonts w:ascii="Georgia" w:hAnsi="Georgia"/>
          <w:i/>
          <w:color w:val="404040" w:themeColor="text1" w:themeTint="BF"/>
          <w:sz w:val="20"/>
          <w:szCs w:val="20"/>
        </w:rPr>
      </w:pPr>
    </w:p>
    <w:p w14:paraId="538DC53D" w14:textId="77777777" w:rsidR="00002E41" w:rsidRPr="00DC11C4" w:rsidRDefault="00002E41" w:rsidP="007B66C1">
      <w:pPr>
        <w:jc w:val="both"/>
        <w:rPr>
          <w:rFonts w:ascii="Georgia" w:hAnsi="Georgia"/>
          <w:i/>
          <w:color w:val="404040" w:themeColor="text1" w:themeTint="BF"/>
          <w:sz w:val="20"/>
          <w:szCs w:val="20"/>
        </w:rPr>
      </w:pPr>
    </w:p>
    <w:p w14:paraId="0793EDE5" w14:textId="77777777" w:rsidR="007B66C1" w:rsidRDefault="007B66C1" w:rsidP="007B66C1">
      <w:pPr>
        <w:jc w:val="both"/>
        <w:rPr>
          <w:rFonts w:ascii="Georgia" w:hAnsi="Georgia"/>
          <w:color w:val="404040" w:themeColor="text1" w:themeTint="BF"/>
          <w:sz w:val="20"/>
          <w:szCs w:val="20"/>
        </w:rPr>
      </w:pPr>
    </w:p>
    <w:p w14:paraId="511A1400" w14:textId="77777777" w:rsidR="007B66C1" w:rsidRPr="00587E0F" w:rsidRDefault="007B66C1" w:rsidP="007B66C1">
      <w:pPr>
        <w:pStyle w:val="Heading2"/>
        <w:spacing w:before="0"/>
      </w:pPr>
      <w:r w:rsidRPr="00587E0F">
        <w:t>Report of the Investment Adviser (continued)</w:t>
      </w:r>
    </w:p>
    <w:p w14:paraId="707E2B79" w14:textId="77777777" w:rsidR="007B66C1" w:rsidRPr="00587E0F" w:rsidRDefault="007B66C1" w:rsidP="007B66C1">
      <w:pPr>
        <w:autoSpaceDE w:val="0"/>
        <w:autoSpaceDN w:val="0"/>
        <w:adjustRightInd w:val="0"/>
        <w:jc w:val="both"/>
        <w:rPr>
          <w:rFonts w:ascii="Georgia" w:hAnsi="Georgia" w:cs="Calibri"/>
          <w:color w:val="404040"/>
          <w:sz w:val="20"/>
          <w:szCs w:val="20"/>
        </w:rPr>
      </w:pPr>
    </w:p>
    <w:p w14:paraId="3356BB3E" w14:textId="77777777" w:rsidR="007B66C1" w:rsidRPr="00587E0F" w:rsidRDefault="007B66C1" w:rsidP="007B66C1">
      <w:pPr>
        <w:rPr>
          <w:rFonts w:ascii="Georgia" w:hAnsi="Georgia"/>
          <w:b/>
          <w:color w:val="4A442A" w:themeColor="background2" w:themeShade="40"/>
          <w:sz w:val="20"/>
          <w:szCs w:val="20"/>
        </w:rPr>
      </w:pPr>
      <w:r w:rsidRPr="00587E0F">
        <w:rPr>
          <w:rFonts w:ascii="Georgia" w:hAnsi="Georgia"/>
          <w:b/>
          <w:color w:val="4A442A" w:themeColor="background2" w:themeShade="40"/>
          <w:sz w:val="20"/>
          <w:szCs w:val="20"/>
        </w:rPr>
        <w:t>2. Portfolio: Acquisitions, Performance and Value Enhancement (continued)</w:t>
      </w:r>
    </w:p>
    <w:p w14:paraId="2159FDC9" w14:textId="77777777" w:rsidR="007B66C1" w:rsidRPr="00587E0F" w:rsidRDefault="007B66C1" w:rsidP="007B66C1">
      <w:pPr>
        <w:rPr>
          <w:rFonts w:ascii="Georgia" w:hAnsi="Georgia"/>
          <w:b/>
          <w:color w:val="4A442A" w:themeColor="background2" w:themeShade="40"/>
          <w:sz w:val="20"/>
          <w:szCs w:val="20"/>
        </w:rPr>
      </w:pPr>
    </w:p>
    <w:p w14:paraId="1469CDB5" w14:textId="77777777" w:rsidR="007B66C1" w:rsidRPr="00587E0F" w:rsidRDefault="007B66C1" w:rsidP="007B66C1">
      <w:pPr>
        <w:rPr>
          <w:rFonts w:ascii="Georgia" w:hAnsi="Georgia"/>
          <w:color w:val="4A442A" w:themeColor="background2" w:themeShade="40"/>
          <w:sz w:val="20"/>
          <w:szCs w:val="20"/>
        </w:rPr>
      </w:pPr>
      <w:r w:rsidRPr="00587E0F">
        <w:rPr>
          <w:rFonts w:ascii="Georgia" w:hAnsi="Georgia"/>
          <w:b/>
          <w:color w:val="4A442A" w:themeColor="background2" w:themeShade="40"/>
          <w:sz w:val="20"/>
          <w:szCs w:val="20"/>
        </w:rPr>
        <w:t>Performance (continued)</w:t>
      </w:r>
    </w:p>
    <w:p w14:paraId="165D70D1" w14:textId="77777777" w:rsidR="004C2CBB" w:rsidRPr="00904E51" w:rsidRDefault="004C2CBB" w:rsidP="004C2CBB">
      <w:pPr>
        <w:jc w:val="both"/>
        <w:rPr>
          <w:rFonts w:ascii="Georgia" w:hAnsi="Georgia"/>
          <w:color w:val="404040" w:themeColor="text1" w:themeTint="BF"/>
          <w:sz w:val="20"/>
          <w:szCs w:val="20"/>
          <w:highlight w:val="yellow"/>
        </w:rPr>
      </w:pPr>
    </w:p>
    <w:p w14:paraId="19BDBC26" w14:textId="381FE9A8" w:rsidR="004C2CBB" w:rsidRPr="00FA27A9" w:rsidRDefault="004C2CBB" w:rsidP="004C2CBB">
      <w:pPr>
        <w:jc w:val="both"/>
        <w:rPr>
          <w:rFonts w:ascii="Georgia" w:hAnsi="Georgia"/>
          <w:color w:val="404040" w:themeColor="text1" w:themeTint="BF"/>
          <w:sz w:val="20"/>
          <w:szCs w:val="20"/>
        </w:rPr>
      </w:pPr>
      <w:r w:rsidRPr="009E50EB">
        <w:rPr>
          <w:rFonts w:ascii="Georgia" w:hAnsi="Georgia"/>
          <w:color w:val="404040" w:themeColor="text1" w:themeTint="BF"/>
          <w:sz w:val="20"/>
          <w:szCs w:val="20"/>
        </w:rPr>
        <w:t>In addition, the Company</w:t>
      </w:r>
      <w:r w:rsidR="002D2F63">
        <w:rPr>
          <w:rFonts w:ascii="Georgia" w:hAnsi="Georgia"/>
          <w:color w:val="404040" w:themeColor="text1" w:themeTint="BF"/>
          <w:sz w:val="20"/>
          <w:szCs w:val="20"/>
        </w:rPr>
        <w:t>’s subsidiaries</w:t>
      </w:r>
      <w:r w:rsidRPr="009E50EB">
        <w:rPr>
          <w:rFonts w:ascii="Georgia" w:hAnsi="Georgia"/>
          <w:color w:val="404040" w:themeColor="text1" w:themeTint="BF"/>
          <w:sz w:val="20"/>
          <w:szCs w:val="20"/>
        </w:rPr>
        <w:t xml:space="preserve"> </w:t>
      </w:r>
      <w:r w:rsidR="001129E3">
        <w:rPr>
          <w:rFonts w:ascii="Georgia" w:hAnsi="Georgia"/>
          <w:color w:val="404040" w:themeColor="text1" w:themeTint="BF"/>
          <w:sz w:val="20"/>
          <w:szCs w:val="20"/>
        </w:rPr>
        <w:t>received</w:t>
      </w:r>
      <w:r w:rsidRPr="009E50EB">
        <w:rPr>
          <w:rFonts w:ascii="Georgia" w:hAnsi="Georgia"/>
          <w:color w:val="404040" w:themeColor="text1" w:themeTint="BF"/>
          <w:sz w:val="20"/>
          <w:szCs w:val="20"/>
        </w:rPr>
        <w:t xml:space="preserve"> </w:t>
      </w:r>
      <w:r w:rsidR="0010198D" w:rsidRPr="009C4CFD">
        <w:rPr>
          <w:rFonts w:ascii="Georgia" w:hAnsi="Georgia"/>
          <w:color w:val="404040" w:themeColor="text1" w:themeTint="BF"/>
          <w:sz w:val="20"/>
          <w:szCs w:val="20"/>
        </w:rPr>
        <w:t>£375.4</w:t>
      </w:r>
      <w:r w:rsidR="0010198D" w:rsidRPr="005721FB">
        <w:rPr>
          <w:rFonts w:ascii="Georgia" w:hAnsi="Georgia"/>
          <w:color w:val="404040" w:themeColor="text1" w:themeTint="BF"/>
          <w:sz w:val="20"/>
          <w:szCs w:val="20"/>
        </w:rPr>
        <w:t>k</w:t>
      </w:r>
      <w:r w:rsidR="0010198D" w:rsidRPr="009E50EB">
        <w:rPr>
          <w:rFonts w:ascii="Georgia" w:hAnsi="Georgia"/>
          <w:color w:val="404040" w:themeColor="text1" w:themeTint="BF"/>
          <w:sz w:val="20"/>
          <w:szCs w:val="20"/>
        </w:rPr>
        <w:t xml:space="preserve"> </w:t>
      </w:r>
      <w:r w:rsidRPr="009E50EB">
        <w:rPr>
          <w:rFonts w:ascii="Georgia" w:hAnsi="Georgia"/>
          <w:color w:val="404040" w:themeColor="text1" w:themeTint="BF"/>
          <w:sz w:val="20"/>
          <w:szCs w:val="20"/>
        </w:rPr>
        <w:t>of payments from insurance claims and a further £1.64m of business rates rebates, giving a combined total of £2.</w:t>
      </w:r>
      <w:r>
        <w:rPr>
          <w:rFonts w:ascii="Georgia" w:hAnsi="Georgia"/>
          <w:color w:val="404040" w:themeColor="text1" w:themeTint="BF"/>
          <w:sz w:val="20"/>
          <w:szCs w:val="20"/>
        </w:rPr>
        <w:t>01</w:t>
      </w:r>
      <w:r w:rsidRPr="009E50EB">
        <w:rPr>
          <w:rFonts w:ascii="Georgia" w:hAnsi="Georgia"/>
          <w:color w:val="404040" w:themeColor="text1" w:themeTint="BF"/>
          <w:sz w:val="20"/>
          <w:szCs w:val="20"/>
        </w:rPr>
        <w:t>m (FY18/19 combined: £0.33m).</w:t>
      </w:r>
      <w:r>
        <w:rPr>
          <w:rFonts w:ascii="Georgia" w:hAnsi="Georgia"/>
          <w:color w:val="404040" w:themeColor="text1" w:themeTint="BF"/>
          <w:sz w:val="20"/>
          <w:szCs w:val="20"/>
        </w:rPr>
        <w:t xml:space="preserve"> </w:t>
      </w:r>
    </w:p>
    <w:p w14:paraId="1EE7B674" w14:textId="77777777" w:rsidR="004C2CBB" w:rsidRPr="00FA27A9" w:rsidRDefault="004C2CBB" w:rsidP="004C2CBB">
      <w:pPr>
        <w:jc w:val="both"/>
        <w:rPr>
          <w:rFonts w:ascii="Georgia" w:hAnsi="Georgia"/>
          <w:color w:val="404040" w:themeColor="text1" w:themeTint="BF"/>
          <w:sz w:val="20"/>
          <w:szCs w:val="20"/>
        </w:rPr>
      </w:pPr>
    </w:p>
    <w:p w14:paraId="3A4F3FE8" w14:textId="77777777" w:rsidR="004C2CBB" w:rsidRPr="00FA27A9" w:rsidRDefault="004C2CBB" w:rsidP="004C2CBB">
      <w:pPr>
        <w:jc w:val="both"/>
        <w:rPr>
          <w:rFonts w:ascii="Georgia" w:hAnsi="Georgia"/>
          <w:color w:val="404040" w:themeColor="text1" w:themeTint="BF"/>
          <w:sz w:val="20"/>
          <w:szCs w:val="20"/>
        </w:rPr>
      </w:pPr>
      <w:r w:rsidRPr="00FA27A9">
        <w:rPr>
          <w:rFonts w:ascii="Georgia" w:hAnsi="Georgia"/>
          <w:color w:val="404040" w:themeColor="text1" w:themeTint="BF"/>
          <w:sz w:val="20"/>
          <w:szCs w:val="20"/>
        </w:rPr>
        <w:t>The ability of the Company to collect LDs in the year, notwithstanding that the portfolio overall has performed in line with expectations, reflects the fact that the Company benefits from strong enforceable contractual protections and warranties across its portfolio and that the Investment Adviser has been disciplined in enforcing the Company’s rights to deliver the optimal outcome for its investors.</w:t>
      </w:r>
    </w:p>
    <w:p w14:paraId="0D5370DD" w14:textId="77777777" w:rsidR="004C2CBB" w:rsidRPr="00FA27A9" w:rsidRDefault="004C2CBB" w:rsidP="004C2CBB">
      <w:pPr>
        <w:jc w:val="both"/>
        <w:rPr>
          <w:rFonts w:ascii="Georgia" w:hAnsi="Georgia"/>
          <w:color w:val="404040" w:themeColor="text1" w:themeTint="BF"/>
          <w:sz w:val="20"/>
          <w:szCs w:val="20"/>
        </w:rPr>
      </w:pPr>
    </w:p>
    <w:p w14:paraId="6DFF576B" w14:textId="56D4862A" w:rsidR="001129E3" w:rsidRPr="00736775" w:rsidRDefault="001129E3" w:rsidP="001129E3">
      <w:pPr>
        <w:jc w:val="both"/>
        <w:rPr>
          <w:rFonts w:ascii="Georgia" w:hAnsi="Georgia"/>
          <w:color w:val="404040" w:themeColor="text1" w:themeTint="BF"/>
          <w:sz w:val="20"/>
          <w:szCs w:val="20"/>
        </w:rPr>
      </w:pPr>
      <w:r w:rsidRPr="007153CA">
        <w:rPr>
          <w:rFonts w:ascii="Georgia" w:hAnsi="Georgia"/>
          <w:color w:val="404040" w:themeColor="text1" w:themeTint="BF"/>
          <w:sz w:val="20"/>
          <w:szCs w:val="20"/>
        </w:rPr>
        <w:t>As at 3</w:t>
      </w:r>
      <w:r w:rsidRPr="00800A49">
        <w:rPr>
          <w:rFonts w:ascii="Georgia" w:hAnsi="Georgia"/>
          <w:color w:val="404040" w:themeColor="text1" w:themeTint="BF"/>
          <w:sz w:val="20"/>
          <w:szCs w:val="20"/>
        </w:rPr>
        <w:t>0 June 2020, all but 3</w:t>
      </w:r>
      <w:r w:rsidR="000661D7">
        <w:rPr>
          <w:rFonts w:ascii="Georgia" w:hAnsi="Georgia"/>
          <w:color w:val="404040" w:themeColor="text1" w:themeTint="BF"/>
          <w:sz w:val="20"/>
          <w:szCs w:val="20"/>
        </w:rPr>
        <w:t xml:space="preserve"> </w:t>
      </w:r>
      <w:r w:rsidRPr="007153CA">
        <w:rPr>
          <w:rFonts w:ascii="Georgia" w:hAnsi="Georgia"/>
          <w:color w:val="404040" w:themeColor="text1" w:themeTint="BF"/>
          <w:sz w:val="20"/>
          <w:szCs w:val="20"/>
        </w:rPr>
        <w:t xml:space="preserve">PV plants, with a combined installed capacity of 454.31 </w:t>
      </w:r>
      <w:proofErr w:type="spellStart"/>
      <w:r w:rsidRPr="007153CA">
        <w:rPr>
          <w:rFonts w:ascii="Georgia" w:hAnsi="Georgia"/>
          <w:color w:val="404040" w:themeColor="text1" w:themeTint="BF"/>
          <w:sz w:val="20"/>
          <w:szCs w:val="20"/>
        </w:rPr>
        <w:t>MWp</w:t>
      </w:r>
      <w:proofErr w:type="spellEnd"/>
      <w:r w:rsidRPr="007153CA">
        <w:rPr>
          <w:rFonts w:ascii="Georgia" w:hAnsi="Georgia"/>
          <w:color w:val="404040" w:themeColor="text1" w:themeTint="BF"/>
          <w:sz w:val="20"/>
          <w:szCs w:val="20"/>
        </w:rPr>
        <w:t xml:space="preserve"> had successfully passed their warranty periods and achieved final acceptance, equating to 94.9% of the portfolio. The remaining 3 sites are expected to achieve final acceptance by 31 December 2020.</w:t>
      </w:r>
    </w:p>
    <w:p w14:paraId="77C9947C" w14:textId="77777777" w:rsidR="001129E3" w:rsidRDefault="001129E3" w:rsidP="001129E3">
      <w:pPr>
        <w:jc w:val="both"/>
        <w:rPr>
          <w:rFonts w:ascii="Georgia" w:hAnsi="Georgia"/>
          <w:color w:val="404040" w:themeColor="text1" w:themeTint="BF"/>
          <w:sz w:val="20"/>
          <w:szCs w:val="20"/>
          <w:highlight w:val="green"/>
        </w:rPr>
      </w:pPr>
    </w:p>
    <w:p w14:paraId="0B52598D" w14:textId="60A6655E" w:rsidR="001129E3" w:rsidRPr="00D469CC" w:rsidRDefault="001129E3" w:rsidP="001129E3">
      <w:pPr>
        <w:jc w:val="both"/>
        <w:rPr>
          <w:rFonts w:ascii="Georgia" w:hAnsi="Georgia"/>
          <w:color w:val="404040" w:themeColor="text1" w:themeTint="BF"/>
          <w:sz w:val="20"/>
          <w:szCs w:val="20"/>
        </w:rPr>
      </w:pPr>
      <w:r w:rsidRPr="00587E0F">
        <w:rPr>
          <w:rFonts w:ascii="Georgia" w:hAnsi="Georgia"/>
          <w:color w:val="404040" w:themeColor="text1" w:themeTint="BF"/>
          <w:sz w:val="20"/>
          <w:szCs w:val="20"/>
        </w:rPr>
        <w:t xml:space="preserve">During the financial year 11 plants (combined capacity of 51.47MWp, representing </w:t>
      </w:r>
      <w:r>
        <w:rPr>
          <w:rFonts w:ascii="Georgia" w:hAnsi="Georgia"/>
          <w:color w:val="404040" w:themeColor="text1" w:themeTint="BF"/>
          <w:sz w:val="20"/>
          <w:szCs w:val="20"/>
        </w:rPr>
        <w:t>10.75</w:t>
      </w:r>
      <w:r w:rsidRPr="00587E0F">
        <w:rPr>
          <w:rFonts w:ascii="Georgia" w:hAnsi="Georgia"/>
          <w:color w:val="404040" w:themeColor="text1" w:themeTint="BF"/>
          <w:sz w:val="20"/>
          <w:szCs w:val="20"/>
        </w:rPr>
        <w:t>% of the portfolio)</w:t>
      </w:r>
      <w:r w:rsidR="000661D7">
        <w:rPr>
          <w:rFonts w:ascii="Georgia" w:hAnsi="Georgia"/>
          <w:color w:val="404040" w:themeColor="text1" w:themeTint="BF"/>
          <w:sz w:val="20"/>
          <w:szCs w:val="20"/>
        </w:rPr>
        <w:t>,</w:t>
      </w:r>
      <w:r w:rsidRPr="00587E0F">
        <w:rPr>
          <w:rFonts w:ascii="Georgia" w:hAnsi="Georgia"/>
          <w:color w:val="404040" w:themeColor="text1" w:themeTint="BF"/>
          <w:sz w:val="20"/>
          <w:szCs w:val="20"/>
        </w:rPr>
        <w:t xml:space="preserve"> completed and passed final acceptance testing</w:t>
      </w:r>
      <w:r>
        <w:rPr>
          <w:rFonts w:ascii="Georgia" w:hAnsi="Georgia"/>
          <w:color w:val="404040" w:themeColor="text1" w:themeTint="BF"/>
          <w:sz w:val="20"/>
          <w:szCs w:val="20"/>
        </w:rPr>
        <w:t xml:space="preserve">. </w:t>
      </w:r>
    </w:p>
    <w:p w14:paraId="51562FCA" w14:textId="77777777" w:rsidR="007B66C1" w:rsidRPr="00FA27A9" w:rsidRDefault="007B66C1" w:rsidP="007B66C1">
      <w:pPr>
        <w:jc w:val="both"/>
        <w:rPr>
          <w:rFonts w:ascii="Georgia" w:hAnsi="Georgia"/>
          <w:color w:val="404040" w:themeColor="text1" w:themeTint="BF"/>
          <w:sz w:val="20"/>
          <w:szCs w:val="20"/>
        </w:rPr>
      </w:pPr>
    </w:p>
    <w:p w14:paraId="056EE1B2" w14:textId="727D284D" w:rsidR="001129E3" w:rsidRPr="00FA27A9" w:rsidRDefault="001129E3" w:rsidP="001129E3">
      <w:pPr>
        <w:jc w:val="both"/>
        <w:rPr>
          <w:rFonts w:ascii="Georgia" w:hAnsi="Georgia"/>
          <w:color w:val="404040" w:themeColor="text1" w:themeTint="BF"/>
          <w:sz w:val="20"/>
          <w:szCs w:val="20"/>
        </w:rPr>
      </w:pPr>
      <w:r w:rsidRPr="00FA27A9">
        <w:rPr>
          <w:rFonts w:ascii="Georgia" w:hAnsi="Georgia"/>
          <w:color w:val="404040" w:themeColor="text1" w:themeTint="BF"/>
          <w:sz w:val="20"/>
          <w:szCs w:val="20"/>
        </w:rPr>
        <w:t xml:space="preserve">Final acceptance occurs following </w:t>
      </w:r>
      <w:r>
        <w:rPr>
          <w:rFonts w:ascii="Georgia" w:hAnsi="Georgia"/>
          <w:color w:val="404040" w:themeColor="text1" w:themeTint="BF"/>
          <w:sz w:val="20"/>
          <w:szCs w:val="20"/>
        </w:rPr>
        <w:t xml:space="preserve">the fulfilment of the contractual requirements by the EPC Contractor. These requirements entail the plant’s performance being above the contractually warranted levels over an average </w:t>
      </w:r>
      <w:r w:rsidR="002D2F63">
        <w:rPr>
          <w:rFonts w:ascii="Georgia" w:hAnsi="Georgia"/>
          <w:color w:val="404040" w:themeColor="text1" w:themeTint="BF"/>
          <w:sz w:val="20"/>
          <w:szCs w:val="20"/>
        </w:rPr>
        <w:t>of at</w:t>
      </w:r>
      <w:r w:rsidRPr="00FA27A9">
        <w:rPr>
          <w:rFonts w:ascii="Georgia" w:hAnsi="Georgia"/>
          <w:color w:val="404040" w:themeColor="text1" w:themeTint="BF"/>
          <w:sz w:val="20"/>
          <w:szCs w:val="20"/>
        </w:rPr>
        <w:t xml:space="preserve"> least two years of</w:t>
      </w:r>
      <w:r>
        <w:rPr>
          <w:rFonts w:ascii="Georgia" w:hAnsi="Georgia"/>
          <w:color w:val="404040" w:themeColor="text1" w:themeTint="BF"/>
          <w:sz w:val="20"/>
          <w:szCs w:val="20"/>
        </w:rPr>
        <w:t xml:space="preserve"> testing period</w:t>
      </w:r>
      <w:r w:rsidR="002D2F63">
        <w:rPr>
          <w:rFonts w:ascii="Georgia" w:hAnsi="Georgia"/>
          <w:color w:val="404040" w:themeColor="text1" w:themeTint="BF"/>
          <w:sz w:val="20"/>
          <w:szCs w:val="20"/>
        </w:rPr>
        <w:t>,</w:t>
      </w:r>
      <w:r w:rsidRPr="00FA27A9">
        <w:rPr>
          <w:rFonts w:ascii="Georgia" w:hAnsi="Georgia"/>
          <w:color w:val="404040" w:themeColor="text1" w:themeTint="BF"/>
          <w:sz w:val="20"/>
          <w:szCs w:val="20"/>
        </w:rPr>
        <w:t xml:space="preserve"> as well as </w:t>
      </w:r>
      <w:r>
        <w:rPr>
          <w:rFonts w:ascii="Georgia" w:hAnsi="Georgia"/>
          <w:color w:val="404040" w:themeColor="text1" w:themeTint="BF"/>
          <w:sz w:val="20"/>
          <w:szCs w:val="20"/>
        </w:rPr>
        <w:t xml:space="preserve">the asset being defect free. A </w:t>
      </w:r>
      <w:r w:rsidRPr="00FA27A9">
        <w:rPr>
          <w:rFonts w:ascii="Georgia" w:hAnsi="Georgia"/>
          <w:color w:val="404040" w:themeColor="text1" w:themeTint="BF"/>
          <w:sz w:val="20"/>
          <w:szCs w:val="20"/>
        </w:rPr>
        <w:t xml:space="preserve">comprehensive audit of the site for defects </w:t>
      </w:r>
      <w:r>
        <w:rPr>
          <w:rFonts w:ascii="Georgia" w:hAnsi="Georgia"/>
          <w:color w:val="404040" w:themeColor="text1" w:themeTint="BF"/>
          <w:sz w:val="20"/>
          <w:szCs w:val="20"/>
        </w:rPr>
        <w:t xml:space="preserve">is conducted </w:t>
      </w:r>
      <w:r w:rsidRPr="00FA27A9">
        <w:rPr>
          <w:rFonts w:ascii="Georgia" w:hAnsi="Georgia"/>
          <w:color w:val="404040" w:themeColor="text1" w:themeTint="BF"/>
          <w:sz w:val="20"/>
          <w:szCs w:val="20"/>
        </w:rPr>
        <w:t xml:space="preserve">by BSL, all of which </w:t>
      </w:r>
      <w:r>
        <w:rPr>
          <w:rFonts w:ascii="Georgia" w:hAnsi="Georgia"/>
          <w:color w:val="404040" w:themeColor="text1" w:themeTint="BF"/>
          <w:sz w:val="20"/>
          <w:szCs w:val="20"/>
        </w:rPr>
        <w:t>are</w:t>
      </w:r>
      <w:r w:rsidRPr="00FA27A9">
        <w:rPr>
          <w:rFonts w:ascii="Georgia" w:hAnsi="Georgia"/>
          <w:color w:val="404040" w:themeColor="text1" w:themeTint="BF"/>
          <w:sz w:val="20"/>
          <w:szCs w:val="20"/>
        </w:rPr>
        <w:t xml:space="preserve"> remedied or provided for before </w:t>
      </w:r>
      <w:r>
        <w:rPr>
          <w:rFonts w:ascii="Georgia" w:hAnsi="Georgia"/>
          <w:color w:val="404040" w:themeColor="text1" w:themeTint="BF"/>
          <w:sz w:val="20"/>
          <w:szCs w:val="20"/>
        </w:rPr>
        <w:t xml:space="preserve">the final </w:t>
      </w:r>
      <w:r w:rsidRPr="00FA27A9">
        <w:rPr>
          <w:rFonts w:ascii="Georgia" w:hAnsi="Georgia"/>
          <w:color w:val="404040" w:themeColor="text1" w:themeTint="BF"/>
          <w:sz w:val="20"/>
          <w:szCs w:val="20"/>
        </w:rPr>
        <w:t xml:space="preserve">acceptance is passed. Following this rigorous procedure and </w:t>
      </w:r>
      <w:r>
        <w:rPr>
          <w:rFonts w:ascii="Georgia" w:hAnsi="Georgia"/>
          <w:color w:val="404040" w:themeColor="text1" w:themeTint="BF"/>
          <w:sz w:val="20"/>
          <w:szCs w:val="20"/>
        </w:rPr>
        <w:t>the issuance</w:t>
      </w:r>
      <w:r w:rsidRPr="00FA27A9">
        <w:rPr>
          <w:rFonts w:ascii="Georgia" w:hAnsi="Georgia"/>
          <w:color w:val="404040" w:themeColor="text1" w:themeTint="BF"/>
          <w:sz w:val="20"/>
          <w:szCs w:val="20"/>
        </w:rPr>
        <w:t xml:space="preserve"> of </w:t>
      </w:r>
      <w:r>
        <w:rPr>
          <w:rFonts w:ascii="Georgia" w:hAnsi="Georgia"/>
          <w:color w:val="404040" w:themeColor="text1" w:themeTint="BF"/>
          <w:sz w:val="20"/>
          <w:szCs w:val="20"/>
        </w:rPr>
        <w:t xml:space="preserve">the </w:t>
      </w:r>
      <w:r w:rsidRPr="00FA27A9">
        <w:rPr>
          <w:rFonts w:ascii="Georgia" w:hAnsi="Georgia"/>
          <w:color w:val="404040" w:themeColor="text1" w:themeTint="BF"/>
          <w:sz w:val="20"/>
          <w:szCs w:val="20"/>
        </w:rPr>
        <w:t>final acceptance</w:t>
      </w:r>
      <w:r>
        <w:rPr>
          <w:rFonts w:ascii="Georgia" w:hAnsi="Georgia"/>
          <w:color w:val="404040" w:themeColor="text1" w:themeTint="BF"/>
          <w:sz w:val="20"/>
          <w:szCs w:val="20"/>
        </w:rPr>
        <w:t xml:space="preserve"> certificate</w:t>
      </w:r>
      <w:r w:rsidRPr="00FA27A9">
        <w:rPr>
          <w:rFonts w:ascii="Georgia" w:hAnsi="Georgia"/>
          <w:color w:val="404040" w:themeColor="text1" w:themeTint="BF"/>
          <w:sz w:val="20"/>
          <w:szCs w:val="20"/>
        </w:rPr>
        <w:t xml:space="preserve">, the EPC </w:t>
      </w:r>
      <w:r>
        <w:rPr>
          <w:rFonts w:ascii="Georgia" w:hAnsi="Georgia"/>
          <w:color w:val="404040" w:themeColor="text1" w:themeTint="BF"/>
          <w:sz w:val="20"/>
          <w:szCs w:val="20"/>
        </w:rPr>
        <w:t>Contractor</w:t>
      </w:r>
      <w:r w:rsidRPr="00FA27A9">
        <w:rPr>
          <w:rFonts w:ascii="Georgia" w:hAnsi="Georgia"/>
          <w:color w:val="404040" w:themeColor="text1" w:themeTint="BF"/>
          <w:sz w:val="20"/>
          <w:szCs w:val="20"/>
        </w:rPr>
        <w:t xml:space="preserve"> is released from its </w:t>
      </w:r>
      <w:r>
        <w:rPr>
          <w:rFonts w:ascii="Georgia" w:hAnsi="Georgia"/>
          <w:color w:val="404040" w:themeColor="text1" w:themeTint="BF"/>
          <w:sz w:val="20"/>
          <w:szCs w:val="20"/>
        </w:rPr>
        <w:t xml:space="preserve">contractual </w:t>
      </w:r>
      <w:r w:rsidRPr="00FA27A9">
        <w:rPr>
          <w:rFonts w:ascii="Georgia" w:hAnsi="Georgia"/>
          <w:color w:val="404040" w:themeColor="text1" w:themeTint="BF"/>
          <w:sz w:val="20"/>
          <w:szCs w:val="20"/>
        </w:rPr>
        <w:t xml:space="preserve">obligations, though some warranties </w:t>
      </w:r>
      <w:r>
        <w:rPr>
          <w:rFonts w:ascii="Georgia" w:hAnsi="Georgia"/>
          <w:color w:val="404040" w:themeColor="text1" w:themeTint="BF"/>
          <w:sz w:val="20"/>
          <w:szCs w:val="20"/>
        </w:rPr>
        <w:t xml:space="preserve">will </w:t>
      </w:r>
      <w:r w:rsidRPr="00FA27A9">
        <w:rPr>
          <w:rFonts w:ascii="Georgia" w:hAnsi="Georgia"/>
          <w:color w:val="404040" w:themeColor="text1" w:themeTint="BF"/>
          <w:sz w:val="20"/>
          <w:szCs w:val="20"/>
        </w:rPr>
        <w:t xml:space="preserve">remain </w:t>
      </w:r>
      <w:r>
        <w:rPr>
          <w:rFonts w:ascii="Georgia" w:hAnsi="Georgia"/>
          <w:color w:val="404040" w:themeColor="text1" w:themeTint="BF"/>
          <w:sz w:val="20"/>
          <w:szCs w:val="20"/>
        </w:rPr>
        <w:t xml:space="preserve">in place </w:t>
      </w:r>
      <w:r w:rsidRPr="00FA27A9">
        <w:rPr>
          <w:rFonts w:ascii="Georgia" w:hAnsi="Georgia"/>
          <w:color w:val="404040" w:themeColor="text1" w:themeTint="BF"/>
          <w:sz w:val="20"/>
          <w:szCs w:val="20"/>
        </w:rPr>
        <w:t>for</w:t>
      </w:r>
      <w:r>
        <w:rPr>
          <w:rFonts w:ascii="Georgia" w:hAnsi="Georgia"/>
          <w:color w:val="404040" w:themeColor="text1" w:themeTint="BF"/>
          <w:sz w:val="20"/>
          <w:szCs w:val="20"/>
        </w:rPr>
        <w:t xml:space="preserve"> the </w:t>
      </w:r>
      <w:r w:rsidRPr="00FA27A9">
        <w:rPr>
          <w:rFonts w:ascii="Georgia" w:hAnsi="Georgia"/>
          <w:color w:val="404040" w:themeColor="text1" w:themeTint="BF"/>
          <w:sz w:val="20"/>
          <w:szCs w:val="20"/>
        </w:rPr>
        <w:t xml:space="preserve">full statute of limitations period. </w:t>
      </w:r>
    </w:p>
    <w:p w14:paraId="6F6C9E3B" w14:textId="77777777" w:rsidR="007B66C1" w:rsidRPr="00FA27A9" w:rsidRDefault="007B66C1" w:rsidP="007B66C1">
      <w:pPr>
        <w:jc w:val="both"/>
        <w:rPr>
          <w:rFonts w:ascii="Georgia" w:hAnsi="Georgia"/>
          <w:color w:val="404040" w:themeColor="text1" w:themeTint="BF"/>
          <w:sz w:val="20"/>
          <w:szCs w:val="20"/>
        </w:rPr>
      </w:pPr>
    </w:p>
    <w:p w14:paraId="34FF1FD1" w14:textId="77777777" w:rsidR="007B66C1" w:rsidRPr="00FA27A9" w:rsidRDefault="007B66C1" w:rsidP="007B66C1">
      <w:pPr>
        <w:jc w:val="both"/>
        <w:rPr>
          <w:rFonts w:ascii="Georgia" w:hAnsi="Georgia"/>
          <w:color w:val="404040" w:themeColor="text1" w:themeTint="BF"/>
          <w:sz w:val="20"/>
          <w:szCs w:val="20"/>
        </w:rPr>
      </w:pPr>
      <w:r>
        <w:rPr>
          <w:rFonts w:ascii="Georgia" w:hAnsi="Georgia"/>
          <w:color w:val="404040" w:themeColor="text1" w:themeTint="BF"/>
          <w:sz w:val="20"/>
          <w:szCs w:val="20"/>
        </w:rPr>
        <w:t>Following the</w:t>
      </w:r>
      <w:r w:rsidRPr="00FA27A9">
        <w:rPr>
          <w:rFonts w:ascii="Georgia" w:hAnsi="Georgia"/>
          <w:color w:val="404040" w:themeColor="text1" w:themeTint="BF"/>
          <w:sz w:val="20"/>
          <w:szCs w:val="20"/>
        </w:rPr>
        <w:t xml:space="preserve"> assets pass</w:t>
      </w:r>
      <w:r>
        <w:rPr>
          <w:rFonts w:ascii="Georgia" w:hAnsi="Georgia"/>
          <w:color w:val="404040" w:themeColor="text1" w:themeTint="BF"/>
          <w:sz w:val="20"/>
          <w:szCs w:val="20"/>
        </w:rPr>
        <w:t>ing</w:t>
      </w:r>
      <w:r w:rsidRPr="00FA27A9">
        <w:rPr>
          <w:rFonts w:ascii="Georgia" w:hAnsi="Georgia"/>
          <w:color w:val="404040" w:themeColor="text1" w:themeTint="BF"/>
          <w:sz w:val="20"/>
          <w:szCs w:val="20"/>
        </w:rPr>
        <w:t xml:space="preserve"> their final acceptance, the</w:t>
      </w:r>
      <w:r>
        <w:rPr>
          <w:rFonts w:ascii="Georgia" w:hAnsi="Georgia"/>
          <w:color w:val="404040" w:themeColor="text1" w:themeTint="BF"/>
          <w:sz w:val="20"/>
          <w:szCs w:val="20"/>
        </w:rPr>
        <w:t>y</w:t>
      </w:r>
      <w:r w:rsidRPr="00FA27A9">
        <w:rPr>
          <w:rFonts w:ascii="Georgia" w:hAnsi="Georgia"/>
          <w:color w:val="404040" w:themeColor="text1" w:themeTint="BF"/>
          <w:sz w:val="20"/>
          <w:szCs w:val="20"/>
        </w:rPr>
        <w:t xml:space="preserve"> enter new availability and/or performance guarantees with their respective O&amp;M providers, whilst also benefitting from comprehensive insurance coverage with respect to damage, theft, equipment failure and business interruption.</w:t>
      </w:r>
      <w:r>
        <w:rPr>
          <w:rFonts w:ascii="Georgia" w:hAnsi="Georgia"/>
          <w:color w:val="404040" w:themeColor="text1" w:themeTint="BF"/>
          <w:sz w:val="20"/>
          <w:szCs w:val="20"/>
        </w:rPr>
        <w:t xml:space="preserve"> </w:t>
      </w:r>
    </w:p>
    <w:p w14:paraId="3A745B6F" w14:textId="77777777" w:rsidR="007B66C1" w:rsidRPr="00904E51" w:rsidRDefault="007B66C1" w:rsidP="007B66C1">
      <w:pPr>
        <w:rPr>
          <w:rFonts w:ascii="Georgia" w:hAnsi="Georgia"/>
          <w:b/>
          <w:color w:val="4A442A" w:themeColor="background2" w:themeShade="40"/>
          <w:sz w:val="20"/>
          <w:szCs w:val="20"/>
          <w:highlight w:val="yellow"/>
        </w:rPr>
      </w:pPr>
    </w:p>
    <w:p w14:paraId="49E08C02" w14:textId="4667F2C1" w:rsidR="004C2CBB" w:rsidRDefault="004C2CBB">
      <w:pPr>
        <w:rPr>
          <w:rFonts w:ascii="Georgia" w:hAnsi="Georgia"/>
          <w:color w:val="404040" w:themeColor="text1" w:themeTint="BF"/>
          <w:sz w:val="20"/>
          <w:szCs w:val="20"/>
          <w:highlight w:val="yellow"/>
        </w:rPr>
      </w:pPr>
      <w:r>
        <w:rPr>
          <w:rFonts w:ascii="Georgia" w:hAnsi="Georgia"/>
          <w:color w:val="404040" w:themeColor="text1" w:themeTint="BF"/>
          <w:sz w:val="20"/>
          <w:szCs w:val="20"/>
          <w:highlight w:val="yellow"/>
        </w:rPr>
        <w:br w:type="page"/>
      </w:r>
    </w:p>
    <w:p w14:paraId="33974B0C" w14:textId="77777777" w:rsidR="007B66C1" w:rsidRPr="00DE1603" w:rsidRDefault="007B66C1" w:rsidP="007B66C1">
      <w:pPr>
        <w:pStyle w:val="Heading2"/>
        <w:spacing w:before="0"/>
      </w:pPr>
      <w:r w:rsidRPr="00DE1603">
        <w:lastRenderedPageBreak/>
        <w:t>Report of the Investment Adviser (continued)</w:t>
      </w:r>
    </w:p>
    <w:p w14:paraId="4E26EB91" w14:textId="77777777" w:rsidR="007B66C1" w:rsidRPr="00DE1603" w:rsidRDefault="007B66C1" w:rsidP="007B66C1">
      <w:pPr>
        <w:pStyle w:val="ListParagraph"/>
        <w:ind w:left="0"/>
        <w:jc w:val="both"/>
        <w:rPr>
          <w:rFonts w:ascii="Georgia" w:hAnsi="Georgia"/>
          <w:color w:val="404040" w:themeColor="text1" w:themeTint="BF"/>
          <w:sz w:val="20"/>
          <w:szCs w:val="20"/>
        </w:rPr>
      </w:pPr>
    </w:p>
    <w:p w14:paraId="4627FC35" w14:textId="77777777" w:rsidR="007B66C1" w:rsidRPr="00DE1603" w:rsidRDefault="007B66C1" w:rsidP="007B66C1">
      <w:pPr>
        <w:rPr>
          <w:rFonts w:ascii="Georgia" w:hAnsi="Georgia"/>
          <w:b/>
          <w:color w:val="4A442A" w:themeColor="background2" w:themeShade="40"/>
          <w:sz w:val="20"/>
          <w:szCs w:val="20"/>
        </w:rPr>
      </w:pPr>
      <w:r w:rsidRPr="00DE1603">
        <w:rPr>
          <w:rFonts w:ascii="Georgia" w:hAnsi="Georgia"/>
          <w:b/>
          <w:color w:val="4A442A" w:themeColor="background2" w:themeShade="40"/>
          <w:sz w:val="20"/>
          <w:szCs w:val="20"/>
        </w:rPr>
        <w:t>2. Portfolio: Acquisitions, Performance and Value Enhancement (continued)</w:t>
      </w:r>
    </w:p>
    <w:p w14:paraId="070351A1" w14:textId="77777777" w:rsidR="007B66C1" w:rsidRPr="00DE1603" w:rsidRDefault="007B66C1" w:rsidP="007B66C1">
      <w:pPr>
        <w:rPr>
          <w:rFonts w:ascii="Georgia" w:hAnsi="Georgia"/>
          <w:b/>
          <w:color w:val="4A442A" w:themeColor="background2" w:themeShade="40"/>
          <w:sz w:val="20"/>
          <w:szCs w:val="20"/>
        </w:rPr>
      </w:pPr>
    </w:p>
    <w:p w14:paraId="255F2ED5" w14:textId="77777777" w:rsidR="007B66C1" w:rsidRPr="00DE1603" w:rsidRDefault="007B66C1" w:rsidP="007B66C1">
      <w:pPr>
        <w:rPr>
          <w:rFonts w:ascii="Georgia" w:hAnsi="Georgia"/>
          <w:color w:val="4A442A" w:themeColor="background2" w:themeShade="40"/>
          <w:sz w:val="20"/>
          <w:szCs w:val="20"/>
        </w:rPr>
      </w:pPr>
      <w:r w:rsidRPr="00DE1603">
        <w:rPr>
          <w:rFonts w:ascii="Georgia" w:hAnsi="Georgia"/>
          <w:b/>
          <w:color w:val="4A442A" w:themeColor="background2" w:themeShade="40"/>
          <w:sz w:val="20"/>
          <w:szCs w:val="20"/>
        </w:rPr>
        <w:t>Performance (continued)</w:t>
      </w:r>
    </w:p>
    <w:p w14:paraId="4F9474B3" w14:textId="77777777" w:rsidR="007B66C1" w:rsidRPr="00DE1603" w:rsidRDefault="007B66C1" w:rsidP="007B66C1">
      <w:pPr>
        <w:rPr>
          <w:rFonts w:ascii="Georgia" w:hAnsi="Georgia"/>
          <w:b/>
          <w:color w:val="404040" w:themeColor="text1" w:themeTint="BF"/>
          <w:sz w:val="20"/>
          <w:szCs w:val="20"/>
        </w:rPr>
      </w:pPr>
    </w:p>
    <w:p w14:paraId="231E6F3F" w14:textId="77777777" w:rsidR="004C2CBB" w:rsidRPr="00904E51" w:rsidRDefault="004C2CBB" w:rsidP="004C2CBB">
      <w:pPr>
        <w:jc w:val="both"/>
        <w:rPr>
          <w:rFonts w:ascii="Georgia" w:hAnsi="Georgia"/>
          <w:color w:val="404040" w:themeColor="text1" w:themeTint="BF"/>
          <w:sz w:val="20"/>
          <w:szCs w:val="20"/>
          <w:highlight w:val="yellow"/>
        </w:rPr>
      </w:pPr>
    </w:p>
    <w:p w14:paraId="619E7809" w14:textId="77777777" w:rsidR="004C2CBB" w:rsidRPr="00587E0F" w:rsidRDefault="004C2CBB" w:rsidP="004C2CBB">
      <w:pPr>
        <w:jc w:val="both"/>
        <w:rPr>
          <w:rFonts w:ascii="Georgia" w:hAnsi="Georgia"/>
          <w:color w:val="404040" w:themeColor="text1" w:themeTint="BF"/>
          <w:sz w:val="20"/>
          <w:szCs w:val="20"/>
        </w:rPr>
      </w:pPr>
      <w:r w:rsidRPr="00587E0F">
        <w:rPr>
          <w:rFonts w:ascii="Georgia" w:hAnsi="Georgia"/>
          <w:color w:val="404040" w:themeColor="text1" w:themeTint="BF"/>
          <w:sz w:val="20"/>
          <w:szCs w:val="20"/>
        </w:rPr>
        <w:t>Figure 3. BSIF Portfolio Assets Under EPC Warranty (‘pre-FAC’) and post-FAC, as at 30 June 2020</w:t>
      </w:r>
    </w:p>
    <w:p w14:paraId="176FDB4C" w14:textId="77777777" w:rsidR="004C2CBB" w:rsidRPr="00904E51" w:rsidRDefault="004C2CBB" w:rsidP="004C2CBB">
      <w:pPr>
        <w:jc w:val="center"/>
        <w:rPr>
          <w:rFonts w:ascii="Georgia" w:hAnsi="Georgia" w:cs="Calibri"/>
          <w:b/>
          <w:color w:val="404040" w:themeColor="text1" w:themeTint="BF"/>
          <w:sz w:val="20"/>
          <w:szCs w:val="20"/>
          <w:highlight w:val="yellow"/>
        </w:rPr>
      </w:pPr>
      <w:r>
        <w:rPr>
          <w:noProof/>
          <w:lang w:eastAsia="zh-CN"/>
        </w:rPr>
        <w:drawing>
          <wp:inline distT="0" distB="0" distL="0" distR="0" wp14:anchorId="0DD7055E" wp14:editId="0CF5A80A">
            <wp:extent cx="4758267" cy="2698750"/>
            <wp:effectExtent l="0" t="0" r="4445" b="6350"/>
            <wp:docPr id="20" name="Chart 20">
              <a:extLst xmlns:a="http://schemas.openxmlformats.org/drawingml/2006/main">
                <a:ext uri="{FF2B5EF4-FFF2-40B4-BE49-F238E27FC236}">
                  <a16:creationId xmlns:a16="http://schemas.microsoft.com/office/drawing/2014/main" id="{011AAFCA-AA9D-4C1D-8212-FBFC3DD74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DC0A3D" w14:textId="77777777" w:rsidR="004C2CBB" w:rsidRDefault="004C2CBB" w:rsidP="004C2CBB">
      <w:pPr>
        <w:jc w:val="both"/>
        <w:rPr>
          <w:rFonts w:ascii="Georgia" w:hAnsi="Georgia"/>
          <w:color w:val="404040" w:themeColor="text1" w:themeTint="BF"/>
          <w:sz w:val="20"/>
          <w:szCs w:val="20"/>
          <w:highlight w:val="yellow"/>
        </w:rPr>
      </w:pPr>
    </w:p>
    <w:p w14:paraId="2281BEF2" w14:textId="446026FB" w:rsidR="004C2CBB" w:rsidRPr="00DE51AF" w:rsidRDefault="004C2CBB" w:rsidP="004C2CBB">
      <w:pPr>
        <w:jc w:val="both"/>
        <w:rPr>
          <w:rFonts w:ascii="Georgia" w:hAnsi="Georgia"/>
          <w:color w:val="404040" w:themeColor="text1" w:themeTint="BF"/>
          <w:sz w:val="20"/>
          <w:szCs w:val="20"/>
        </w:rPr>
      </w:pPr>
      <w:r>
        <w:rPr>
          <w:rFonts w:ascii="Georgia" w:hAnsi="Georgia"/>
          <w:color w:val="404040" w:themeColor="text1" w:themeTint="BF"/>
          <w:sz w:val="20"/>
          <w:szCs w:val="20"/>
        </w:rPr>
        <w:t>As at 30 June 2020</w:t>
      </w:r>
      <w:r w:rsidRPr="00DE51AF">
        <w:rPr>
          <w:rFonts w:ascii="Georgia" w:hAnsi="Georgia"/>
          <w:color w:val="404040" w:themeColor="text1" w:themeTint="BF"/>
          <w:sz w:val="20"/>
          <w:szCs w:val="20"/>
        </w:rPr>
        <w:t xml:space="preserve">, the O&amp;M contracts for a further </w:t>
      </w:r>
      <w:r>
        <w:rPr>
          <w:rFonts w:ascii="Georgia" w:hAnsi="Georgia"/>
          <w:color w:val="404040" w:themeColor="text1" w:themeTint="BF"/>
          <w:sz w:val="20"/>
          <w:szCs w:val="20"/>
        </w:rPr>
        <w:t>13</w:t>
      </w:r>
      <w:r w:rsidRPr="00DE51AF">
        <w:rPr>
          <w:rFonts w:ascii="Georgia" w:hAnsi="Georgia"/>
          <w:color w:val="404040" w:themeColor="text1" w:themeTint="BF"/>
          <w:sz w:val="20"/>
          <w:szCs w:val="20"/>
        </w:rPr>
        <w:t xml:space="preserve"> assets (totalling </w:t>
      </w:r>
      <w:r>
        <w:rPr>
          <w:rFonts w:ascii="Georgia" w:hAnsi="Georgia"/>
          <w:color w:val="404040" w:themeColor="text1" w:themeTint="BF"/>
          <w:sz w:val="20"/>
          <w:szCs w:val="20"/>
        </w:rPr>
        <w:t>73.03</w:t>
      </w:r>
      <w:r w:rsidRPr="00DE1603">
        <w:rPr>
          <w:rFonts w:ascii="Georgia" w:hAnsi="Georgia"/>
          <w:color w:val="404040" w:themeColor="text1" w:themeTint="BF"/>
          <w:sz w:val="20"/>
          <w:szCs w:val="20"/>
        </w:rPr>
        <w:t>MWp</w:t>
      </w:r>
      <w:r w:rsidR="002D2F63">
        <w:rPr>
          <w:rFonts w:ascii="Georgia" w:hAnsi="Georgia"/>
          <w:color w:val="404040" w:themeColor="text1" w:themeTint="BF"/>
          <w:sz w:val="20"/>
          <w:szCs w:val="20"/>
        </w:rPr>
        <w:t>) were transferred to</w:t>
      </w:r>
      <w:r w:rsidRPr="00DE51AF">
        <w:rPr>
          <w:rFonts w:ascii="Georgia" w:hAnsi="Georgia"/>
          <w:color w:val="404040" w:themeColor="text1" w:themeTint="BF"/>
          <w:sz w:val="20"/>
          <w:szCs w:val="20"/>
        </w:rPr>
        <w:t xml:space="preserve"> B</w:t>
      </w:r>
      <w:r>
        <w:rPr>
          <w:rFonts w:ascii="Georgia" w:hAnsi="Georgia"/>
          <w:color w:val="404040" w:themeColor="text1" w:themeTint="BF"/>
          <w:sz w:val="20"/>
          <w:szCs w:val="20"/>
        </w:rPr>
        <w:t>luefield Operations Limited (‘BOL’)</w:t>
      </w:r>
      <w:r w:rsidRPr="00DE51AF">
        <w:rPr>
          <w:rFonts w:ascii="Georgia" w:hAnsi="Georgia"/>
          <w:color w:val="404040" w:themeColor="text1" w:themeTint="BF"/>
          <w:sz w:val="20"/>
          <w:szCs w:val="20"/>
        </w:rPr>
        <w:t xml:space="preserve">. BOL now provides </w:t>
      </w:r>
      <w:r w:rsidR="00590624">
        <w:rPr>
          <w:rFonts w:ascii="Georgia" w:hAnsi="Georgia"/>
          <w:color w:val="404040" w:themeColor="text1" w:themeTint="BF"/>
          <w:sz w:val="20"/>
          <w:szCs w:val="20"/>
        </w:rPr>
        <w:t xml:space="preserve">O&amp;M </w:t>
      </w:r>
      <w:r w:rsidRPr="00DE51AF">
        <w:rPr>
          <w:rFonts w:ascii="Georgia" w:hAnsi="Georgia"/>
          <w:color w:val="404040" w:themeColor="text1" w:themeTint="BF"/>
          <w:sz w:val="20"/>
          <w:szCs w:val="20"/>
        </w:rPr>
        <w:t xml:space="preserve">services on a total of </w:t>
      </w:r>
      <w:r>
        <w:rPr>
          <w:rFonts w:ascii="Georgia" w:hAnsi="Georgia"/>
          <w:color w:val="404040" w:themeColor="text1" w:themeTint="BF"/>
          <w:sz w:val="20"/>
          <w:szCs w:val="20"/>
        </w:rPr>
        <w:t>36</w:t>
      </w:r>
      <w:r w:rsidRPr="00DE51AF">
        <w:rPr>
          <w:rFonts w:ascii="Georgia" w:hAnsi="Georgia"/>
          <w:color w:val="404040" w:themeColor="text1" w:themeTint="BF"/>
          <w:sz w:val="20"/>
          <w:szCs w:val="20"/>
        </w:rPr>
        <w:t xml:space="preserve"> plants with a combined capacity </w:t>
      </w:r>
      <w:r w:rsidRPr="00DE1603">
        <w:rPr>
          <w:rFonts w:ascii="Georgia" w:hAnsi="Georgia"/>
          <w:color w:val="404040" w:themeColor="text1" w:themeTint="BF"/>
          <w:sz w:val="20"/>
          <w:szCs w:val="20"/>
        </w:rPr>
        <w:t>of 365.68MWp,</w:t>
      </w:r>
      <w:r>
        <w:rPr>
          <w:rFonts w:ascii="Georgia" w:hAnsi="Georgia"/>
          <w:color w:val="404040" w:themeColor="text1" w:themeTint="BF"/>
          <w:sz w:val="20"/>
          <w:szCs w:val="20"/>
        </w:rPr>
        <w:t xml:space="preserve"> equating to</w:t>
      </w:r>
      <w:r w:rsidRPr="00DE1603">
        <w:rPr>
          <w:rFonts w:ascii="Georgia" w:hAnsi="Georgia"/>
          <w:color w:val="404040" w:themeColor="text1" w:themeTint="BF"/>
          <w:sz w:val="20"/>
          <w:szCs w:val="20"/>
        </w:rPr>
        <w:t xml:space="preserve"> 76.4% of the portfolio.</w:t>
      </w:r>
      <w:r w:rsidRPr="00DE51AF">
        <w:rPr>
          <w:rFonts w:ascii="Georgia" w:hAnsi="Georgia"/>
          <w:color w:val="404040" w:themeColor="text1" w:themeTint="BF"/>
          <w:sz w:val="20"/>
          <w:szCs w:val="20"/>
        </w:rPr>
        <w:t xml:space="preserve"> </w:t>
      </w:r>
    </w:p>
    <w:p w14:paraId="66871C42" w14:textId="77777777" w:rsidR="004C2CBB" w:rsidRPr="00DE51AF" w:rsidRDefault="004C2CBB" w:rsidP="004C2CBB">
      <w:pPr>
        <w:jc w:val="both"/>
        <w:rPr>
          <w:rFonts w:ascii="Georgia" w:hAnsi="Georgia"/>
          <w:color w:val="404040" w:themeColor="text1" w:themeTint="BF"/>
          <w:sz w:val="20"/>
          <w:szCs w:val="20"/>
        </w:rPr>
      </w:pPr>
    </w:p>
    <w:p w14:paraId="79D2BF57" w14:textId="189EA6D3" w:rsidR="004C2CBB" w:rsidRDefault="009A60EC" w:rsidP="004C2CBB">
      <w:pPr>
        <w:jc w:val="both"/>
        <w:rPr>
          <w:rFonts w:ascii="Georgia" w:hAnsi="Georgia"/>
          <w:color w:val="404040" w:themeColor="text1" w:themeTint="BF"/>
          <w:sz w:val="20"/>
          <w:szCs w:val="20"/>
          <w:highlight w:val="yellow"/>
        </w:rPr>
      </w:pPr>
      <w:r>
        <w:rPr>
          <w:rFonts w:ascii="Georgia" w:hAnsi="Georgia"/>
          <w:color w:val="404040" w:themeColor="text1" w:themeTint="BF"/>
          <w:sz w:val="20"/>
          <w:szCs w:val="20"/>
        </w:rPr>
        <w:t xml:space="preserve">Using BOL as the O&amp;M provider to </w:t>
      </w:r>
      <w:r w:rsidRPr="00DE51AF">
        <w:rPr>
          <w:rFonts w:ascii="Georgia" w:hAnsi="Georgia"/>
          <w:color w:val="404040" w:themeColor="text1" w:themeTint="BF"/>
          <w:sz w:val="20"/>
          <w:szCs w:val="20"/>
        </w:rPr>
        <w:t xml:space="preserve">these </w:t>
      </w:r>
      <w:r>
        <w:rPr>
          <w:rFonts w:ascii="Georgia" w:hAnsi="Georgia"/>
          <w:color w:val="404040" w:themeColor="text1" w:themeTint="BF"/>
          <w:sz w:val="20"/>
          <w:szCs w:val="20"/>
        </w:rPr>
        <w:t>36</w:t>
      </w:r>
      <w:r w:rsidRPr="00DE51AF">
        <w:rPr>
          <w:rFonts w:ascii="Georgia" w:hAnsi="Georgia"/>
          <w:color w:val="404040" w:themeColor="text1" w:themeTint="BF"/>
          <w:sz w:val="20"/>
          <w:szCs w:val="20"/>
        </w:rPr>
        <w:t xml:space="preserve"> assets has provided</w:t>
      </w:r>
      <w:r>
        <w:rPr>
          <w:rFonts w:ascii="Georgia" w:hAnsi="Georgia"/>
          <w:color w:val="404040" w:themeColor="text1" w:themeTint="BF"/>
          <w:sz w:val="20"/>
          <w:szCs w:val="20"/>
        </w:rPr>
        <w:t xml:space="preserve"> annual</w:t>
      </w:r>
      <w:r w:rsidRPr="00DE51AF">
        <w:rPr>
          <w:rFonts w:ascii="Georgia" w:hAnsi="Georgia"/>
          <w:color w:val="404040" w:themeColor="text1" w:themeTint="BF"/>
          <w:sz w:val="20"/>
          <w:szCs w:val="20"/>
        </w:rPr>
        <w:t xml:space="preserve"> operational cost savings of </w:t>
      </w:r>
      <w:r w:rsidRPr="00DE1603">
        <w:rPr>
          <w:rFonts w:ascii="Georgia" w:hAnsi="Georgia"/>
          <w:color w:val="404040" w:themeColor="text1" w:themeTint="BF"/>
          <w:sz w:val="20"/>
          <w:szCs w:val="20"/>
        </w:rPr>
        <w:t>c</w:t>
      </w:r>
      <w:r w:rsidR="006E667B" w:rsidRPr="00DE1603">
        <w:rPr>
          <w:rFonts w:ascii="Georgia" w:hAnsi="Georgia"/>
          <w:color w:val="404040" w:themeColor="text1" w:themeTint="BF"/>
          <w:sz w:val="20"/>
          <w:szCs w:val="20"/>
        </w:rPr>
        <w:t>. £</w:t>
      </w:r>
      <w:r w:rsidRPr="00DE1603">
        <w:rPr>
          <w:rFonts w:ascii="Georgia" w:hAnsi="Georgia"/>
          <w:color w:val="404040" w:themeColor="text1" w:themeTint="BF"/>
          <w:sz w:val="20"/>
          <w:szCs w:val="20"/>
        </w:rPr>
        <w:t>269.3k,</w:t>
      </w:r>
      <w:r w:rsidRPr="00DE51AF">
        <w:rPr>
          <w:rFonts w:ascii="Georgia" w:hAnsi="Georgia"/>
          <w:color w:val="404040" w:themeColor="text1" w:themeTint="BF"/>
          <w:sz w:val="20"/>
          <w:szCs w:val="20"/>
        </w:rPr>
        <w:t xml:space="preserve"> in addition to the tangible operational benefits from increased contractual service levels and faster response times through a close operational working relationship with the asset </w:t>
      </w:r>
      <w:r w:rsidR="00AE0D71">
        <w:rPr>
          <w:rFonts w:ascii="Georgia" w:hAnsi="Georgia"/>
          <w:color w:val="404040" w:themeColor="text1" w:themeTint="BF"/>
          <w:sz w:val="20"/>
          <w:szCs w:val="20"/>
        </w:rPr>
        <w:t>manager, BSL.</w:t>
      </w:r>
    </w:p>
    <w:p w14:paraId="25036218" w14:textId="77777777" w:rsidR="004C2CBB" w:rsidRPr="00904E51" w:rsidRDefault="004C2CBB" w:rsidP="004C2CBB">
      <w:pPr>
        <w:pStyle w:val="ListParagraph"/>
        <w:ind w:left="0"/>
        <w:jc w:val="both"/>
        <w:rPr>
          <w:rFonts w:ascii="Georgia" w:hAnsi="Georgia"/>
          <w:color w:val="404040" w:themeColor="text1" w:themeTint="BF"/>
          <w:sz w:val="20"/>
          <w:szCs w:val="20"/>
          <w:highlight w:val="yellow"/>
        </w:rPr>
      </w:pPr>
    </w:p>
    <w:p w14:paraId="0D4DD045" w14:textId="77777777" w:rsidR="007B66C1" w:rsidRPr="00DE1603" w:rsidRDefault="007B66C1" w:rsidP="007B66C1">
      <w:pPr>
        <w:jc w:val="both"/>
        <w:rPr>
          <w:rFonts w:ascii="Georgia" w:hAnsi="Georgia"/>
          <w:color w:val="404040" w:themeColor="text1" w:themeTint="BF"/>
          <w:sz w:val="20"/>
          <w:szCs w:val="20"/>
        </w:rPr>
      </w:pPr>
      <w:r w:rsidRPr="00DE1603">
        <w:rPr>
          <w:rFonts w:ascii="Georgia" w:hAnsi="Georgia"/>
          <w:color w:val="404040" w:themeColor="text1" w:themeTint="BF"/>
          <w:sz w:val="20"/>
          <w:szCs w:val="20"/>
        </w:rPr>
        <w:t xml:space="preserve">The Company’s operating portfolio as at 30 June 2020 and the electricity generated in the 2019/20 financial year is shown below:  </w:t>
      </w:r>
    </w:p>
    <w:p w14:paraId="7D3BA75A" w14:textId="77777777" w:rsidR="007B66C1" w:rsidRPr="00DE1603" w:rsidRDefault="007B66C1" w:rsidP="007B66C1">
      <w:pPr>
        <w:rPr>
          <w:rFonts w:ascii="Georgia" w:hAnsi="Georgia"/>
          <w:b/>
          <w:color w:val="4A442A" w:themeColor="background2" w:themeShade="40"/>
          <w:sz w:val="20"/>
          <w:szCs w:val="20"/>
        </w:rPr>
      </w:pPr>
    </w:p>
    <w:p w14:paraId="5F3FAF77" w14:textId="77777777" w:rsidR="001C6E68" w:rsidRDefault="001C6E68">
      <w:pPr>
        <w:rPr>
          <w:rFonts w:ascii="Georgia" w:hAnsi="Georgia"/>
          <w:color w:val="4A442A" w:themeColor="background2" w:themeShade="40"/>
          <w:sz w:val="20"/>
          <w:szCs w:val="20"/>
        </w:rPr>
      </w:pPr>
      <w:r>
        <w:rPr>
          <w:rFonts w:ascii="Georgia" w:hAnsi="Georgia"/>
          <w:color w:val="4A442A" w:themeColor="background2" w:themeShade="40"/>
          <w:sz w:val="20"/>
          <w:szCs w:val="20"/>
        </w:rPr>
        <w:br w:type="page"/>
      </w:r>
    </w:p>
    <w:p w14:paraId="28A577CF" w14:textId="77777777" w:rsidR="00236403" w:rsidRPr="00DE1603" w:rsidRDefault="00236403" w:rsidP="00236403">
      <w:pPr>
        <w:pStyle w:val="Heading2"/>
        <w:spacing w:before="0"/>
      </w:pPr>
      <w:r w:rsidRPr="00DE1603">
        <w:lastRenderedPageBreak/>
        <w:t>Report of the Investment Adviser (continued)</w:t>
      </w:r>
    </w:p>
    <w:p w14:paraId="6EF216E4" w14:textId="77777777" w:rsidR="00236403" w:rsidRPr="00DE1603" w:rsidRDefault="00236403" w:rsidP="00236403">
      <w:pPr>
        <w:pStyle w:val="ListParagraph"/>
        <w:ind w:left="0"/>
        <w:jc w:val="both"/>
        <w:rPr>
          <w:rFonts w:ascii="Georgia" w:hAnsi="Georgia"/>
          <w:color w:val="404040" w:themeColor="text1" w:themeTint="BF"/>
          <w:sz w:val="20"/>
          <w:szCs w:val="20"/>
        </w:rPr>
      </w:pPr>
    </w:p>
    <w:p w14:paraId="586508BC" w14:textId="77777777" w:rsidR="00236403" w:rsidRPr="00DE1603" w:rsidRDefault="00236403" w:rsidP="00236403">
      <w:pPr>
        <w:rPr>
          <w:rFonts w:ascii="Georgia" w:hAnsi="Georgia"/>
          <w:b/>
          <w:color w:val="4A442A" w:themeColor="background2" w:themeShade="40"/>
          <w:sz w:val="20"/>
          <w:szCs w:val="20"/>
        </w:rPr>
      </w:pPr>
      <w:r w:rsidRPr="00DE1603">
        <w:rPr>
          <w:rFonts w:ascii="Georgia" w:hAnsi="Georgia"/>
          <w:b/>
          <w:color w:val="4A442A" w:themeColor="background2" w:themeShade="40"/>
          <w:sz w:val="20"/>
          <w:szCs w:val="20"/>
        </w:rPr>
        <w:t>2. Portfolio: Acquisitions, Performance and Value Enhancement (continued)</w:t>
      </w:r>
    </w:p>
    <w:p w14:paraId="370D0152" w14:textId="77777777" w:rsidR="00236403" w:rsidRPr="00DE1603" w:rsidRDefault="00236403" w:rsidP="00236403">
      <w:pPr>
        <w:rPr>
          <w:rFonts w:ascii="Georgia" w:hAnsi="Georgia"/>
          <w:b/>
          <w:color w:val="4A442A" w:themeColor="background2" w:themeShade="40"/>
          <w:sz w:val="20"/>
          <w:szCs w:val="20"/>
        </w:rPr>
      </w:pPr>
    </w:p>
    <w:p w14:paraId="08F86548" w14:textId="77777777" w:rsidR="00236403" w:rsidRPr="00DE1603" w:rsidRDefault="00236403" w:rsidP="00236403">
      <w:pPr>
        <w:rPr>
          <w:rFonts w:ascii="Georgia" w:hAnsi="Georgia"/>
          <w:color w:val="4A442A" w:themeColor="background2" w:themeShade="40"/>
          <w:sz w:val="20"/>
          <w:szCs w:val="20"/>
        </w:rPr>
      </w:pPr>
      <w:r w:rsidRPr="00DE1603">
        <w:rPr>
          <w:rFonts w:ascii="Georgia" w:hAnsi="Georgia"/>
          <w:b/>
          <w:color w:val="4A442A" w:themeColor="background2" w:themeShade="40"/>
          <w:sz w:val="20"/>
          <w:szCs w:val="20"/>
        </w:rPr>
        <w:t>Performance (continued)</w:t>
      </w:r>
    </w:p>
    <w:p w14:paraId="7950A9B0" w14:textId="77777777" w:rsidR="00236403" w:rsidRDefault="00236403" w:rsidP="007B66C1">
      <w:pPr>
        <w:rPr>
          <w:rFonts w:ascii="Georgia" w:hAnsi="Georgia"/>
          <w:color w:val="4A442A" w:themeColor="background2" w:themeShade="40"/>
          <w:sz w:val="20"/>
          <w:szCs w:val="20"/>
        </w:rPr>
      </w:pPr>
    </w:p>
    <w:p w14:paraId="366054E4" w14:textId="77777777" w:rsidR="00236403" w:rsidRDefault="00236403" w:rsidP="007B66C1">
      <w:pPr>
        <w:rPr>
          <w:rFonts w:ascii="Georgia" w:hAnsi="Georgia"/>
          <w:color w:val="4A442A" w:themeColor="background2" w:themeShade="40"/>
          <w:sz w:val="20"/>
          <w:szCs w:val="20"/>
        </w:rPr>
      </w:pPr>
    </w:p>
    <w:p w14:paraId="7490220D" w14:textId="268AD028" w:rsidR="007B66C1" w:rsidRPr="00DE1603" w:rsidRDefault="007B66C1" w:rsidP="007B66C1">
      <w:pPr>
        <w:rPr>
          <w:rFonts w:ascii="Georgia" w:hAnsi="Georgia"/>
          <w:color w:val="4A442A" w:themeColor="background2" w:themeShade="40"/>
          <w:sz w:val="20"/>
          <w:szCs w:val="20"/>
        </w:rPr>
      </w:pPr>
      <w:r w:rsidRPr="00DE1603">
        <w:rPr>
          <w:rFonts w:ascii="Georgia" w:hAnsi="Georgia"/>
          <w:color w:val="4A442A" w:themeColor="background2" w:themeShade="40"/>
          <w:sz w:val="20"/>
          <w:szCs w:val="20"/>
        </w:rPr>
        <w:t>Table 4. BSIF Portfolio Generation for 2019/20 by Asset:</w:t>
      </w:r>
    </w:p>
    <w:p w14:paraId="58773E63" w14:textId="77777777" w:rsidR="007B66C1" w:rsidRPr="00904E51" w:rsidRDefault="007B66C1" w:rsidP="007B66C1">
      <w:pPr>
        <w:rPr>
          <w:rFonts w:ascii="Georgia" w:hAnsi="Georgia"/>
          <w:color w:val="4A442A" w:themeColor="background2" w:themeShade="40"/>
          <w:sz w:val="20"/>
          <w:szCs w:val="20"/>
          <w:highlight w:val="yellow"/>
        </w:rPr>
      </w:pPr>
    </w:p>
    <w:tbl>
      <w:tblPr>
        <w:tblW w:w="8530" w:type="dxa"/>
        <w:tblInd w:w="108" w:type="dxa"/>
        <w:tblLook w:val="04A0" w:firstRow="1" w:lastRow="0" w:firstColumn="1" w:lastColumn="0" w:noHBand="0" w:noVBand="1"/>
      </w:tblPr>
      <w:tblGrid>
        <w:gridCol w:w="2610"/>
        <w:gridCol w:w="2200"/>
        <w:gridCol w:w="1780"/>
        <w:gridCol w:w="1940"/>
      </w:tblGrid>
      <w:tr w:rsidR="007B66C1" w:rsidRPr="00641338" w14:paraId="7F845BEE" w14:textId="77777777" w:rsidTr="006F0858">
        <w:trPr>
          <w:trHeight w:val="735"/>
          <w:tblHeader/>
        </w:trPr>
        <w:tc>
          <w:tcPr>
            <w:tcW w:w="261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71A14AEE" w14:textId="77777777" w:rsidR="007B66C1" w:rsidRPr="00641338" w:rsidRDefault="007B66C1" w:rsidP="006F0858">
            <w:pPr>
              <w:rPr>
                <w:rFonts w:ascii="Georgia" w:hAnsi="Georgia"/>
                <w:b/>
                <w:bCs/>
                <w:color w:val="FFFFFF"/>
                <w:sz w:val="18"/>
                <w:szCs w:val="18"/>
                <w:lang w:eastAsia="en-GB"/>
              </w:rPr>
            </w:pPr>
            <w:r w:rsidRPr="00641338">
              <w:rPr>
                <w:rFonts w:ascii="Georgia" w:hAnsi="Georgia"/>
                <w:b/>
                <w:bCs/>
                <w:color w:val="FFFFFF"/>
                <w:sz w:val="18"/>
                <w:szCs w:val="18"/>
              </w:rPr>
              <w:t>Solar Farm Asset</w:t>
            </w:r>
          </w:p>
        </w:tc>
        <w:tc>
          <w:tcPr>
            <w:tcW w:w="2200" w:type="dxa"/>
            <w:tcBorders>
              <w:top w:val="single" w:sz="8" w:space="0" w:color="auto"/>
              <w:left w:val="nil"/>
              <w:bottom w:val="single" w:sz="8" w:space="0" w:color="auto"/>
              <w:right w:val="single" w:sz="8" w:space="0" w:color="auto"/>
            </w:tcBorders>
            <w:shd w:val="clear" w:color="000000" w:fill="365F91"/>
            <w:vAlign w:val="center"/>
            <w:hideMark/>
          </w:tcPr>
          <w:p w14:paraId="53C48D09" w14:textId="77777777" w:rsidR="007B66C1" w:rsidRPr="00641338" w:rsidRDefault="007B66C1" w:rsidP="006F0858">
            <w:pPr>
              <w:rPr>
                <w:rFonts w:ascii="Georgia" w:hAnsi="Georgia"/>
                <w:b/>
                <w:bCs/>
                <w:color w:val="FFFFFF"/>
                <w:sz w:val="18"/>
                <w:szCs w:val="18"/>
              </w:rPr>
            </w:pPr>
            <w:r w:rsidRPr="00641338">
              <w:rPr>
                <w:rFonts w:ascii="Georgia" w:hAnsi="Georgia"/>
                <w:b/>
                <w:bCs/>
                <w:color w:val="FFFFFF"/>
                <w:sz w:val="18"/>
                <w:szCs w:val="18"/>
              </w:rPr>
              <w:t>Total Investment Commitment (GBP)</w:t>
            </w:r>
          </w:p>
        </w:tc>
        <w:tc>
          <w:tcPr>
            <w:tcW w:w="1780" w:type="dxa"/>
            <w:tcBorders>
              <w:top w:val="single" w:sz="8" w:space="0" w:color="auto"/>
              <w:left w:val="nil"/>
              <w:bottom w:val="single" w:sz="8" w:space="0" w:color="auto"/>
              <w:right w:val="single" w:sz="8" w:space="0" w:color="auto"/>
            </w:tcBorders>
            <w:shd w:val="clear" w:color="000000" w:fill="365F91"/>
            <w:vAlign w:val="center"/>
            <w:hideMark/>
          </w:tcPr>
          <w:p w14:paraId="366386C9" w14:textId="77777777" w:rsidR="007B66C1" w:rsidRPr="00641338" w:rsidRDefault="007B66C1" w:rsidP="006F0858">
            <w:pPr>
              <w:rPr>
                <w:rFonts w:ascii="Georgia" w:hAnsi="Georgia"/>
                <w:b/>
                <w:bCs/>
                <w:color w:val="FFFFFF"/>
                <w:sz w:val="18"/>
                <w:szCs w:val="18"/>
              </w:rPr>
            </w:pPr>
            <w:r w:rsidRPr="00641338">
              <w:rPr>
                <w:rFonts w:ascii="Georgia" w:hAnsi="Georgia"/>
                <w:b/>
                <w:bCs/>
                <w:color w:val="FFFFFF"/>
                <w:sz w:val="18"/>
                <w:szCs w:val="18"/>
              </w:rPr>
              <w:t xml:space="preserve">        Installed Capacity (</w:t>
            </w:r>
            <w:proofErr w:type="spellStart"/>
            <w:r w:rsidRPr="00641338">
              <w:rPr>
                <w:rFonts w:ascii="Georgia" w:hAnsi="Georgia"/>
                <w:b/>
                <w:bCs/>
                <w:color w:val="FFFFFF"/>
                <w:sz w:val="18"/>
                <w:szCs w:val="18"/>
              </w:rPr>
              <w:t>MWp</w:t>
            </w:r>
            <w:proofErr w:type="spellEnd"/>
            <w:r w:rsidRPr="00641338">
              <w:rPr>
                <w:rFonts w:ascii="Georgia" w:hAnsi="Georgia"/>
                <w:b/>
                <w:bCs/>
                <w:color w:val="FFFFFF"/>
                <w:sz w:val="18"/>
                <w:szCs w:val="18"/>
              </w:rPr>
              <w:t xml:space="preserve">) </w:t>
            </w:r>
          </w:p>
        </w:tc>
        <w:tc>
          <w:tcPr>
            <w:tcW w:w="1940" w:type="dxa"/>
            <w:tcBorders>
              <w:top w:val="single" w:sz="8" w:space="0" w:color="auto"/>
              <w:left w:val="nil"/>
              <w:bottom w:val="single" w:sz="8" w:space="0" w:color="auto"/>
              <w:right w:val="single" w:sz="8" w:space="0" w:color="auto"/>
            </w:tcBorders>
            <w:shd w:val="clear" w:color="000000" w:fill="365F91"/>
            <w:vAlign w:val="center"/>
            <w:hideMark/>
          </w:tcPr>
          <w:p w14:paraId="233691CE" w14:textId="77777777" w:rsidR="007B66C1" w:rsidRPr="00641338" w:rsidRDefault="007B66C1" w:rsidP="006F0858">
            <w:pPr>
              <w:rPr>
                <w:rFonts w:ascii="Georgia" w:hAnsi="Georgia"/>
                <w:b/>
                <w:bCs/>
                <w:color w:val="FFFFFF"/>
                <w:sz w:val="18"/>
                <w:szCs w:val="18"/>
              </w:rPr>
            </w:pPr>
            <w:r w:rsidRPr="00641338">
              <w:rPr>
                <w:rFonts w:ascii="Georgia" w:hAnsi="Georgia"/>
                <w:b/>
                <w:bCs/>
                <w:color w:val="FFFFFF"/>
                <w:sz w:val="18"/>
                <w:szCs w:val="18"/>
              </w:rPr>
              <w:t xml:space="preserve">Generation to 30 June 2020 (Actual, </w:t>
            </w:r>
            <w:r>
              <w:rPr>
                <w:rFonts w:ascii="Georgia" w:hAnsi="Georgia"/>
                <w:b/>
                <w:bCs/>
                <w:color w:val="FFFFFF"/>
                <w:sz w:val="18"/>
                <w:szCs w:val="18"/>
              </w:rPr>
              <w:t>kWh</w:t>
            </w:r>
            <w:r w:rsidRPr="00641338">
              <w:rPr>
                <w:rFonts w:ascii="Georgia" w:hAnsi="Georgia"/>
                <w:b/>
                <w:bCs/>
                <w:color w:val="FFFFFF"/>
                <w:sz w:val="18"/>
                <w:szCs w:val="18"/>
              </w:rPr>
              <w:t>)</w:t>
            </w:r>
          </w:p>
        </w:tc>
      </w:tr>
      <w:tr w:rsidR="007B66C1" w:rsidRPr="00641338" w14:paraId="6A46E811"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13C7C056"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West Raynham</w:t>
            </w:r>
          </w:p>
        </w:tc>
        <w:tc>
          <w:tcPr>
            <w:tcW w:w="2200" w:type="dxa"/>
            <w:tcBorders>
              <w:top w:val="nil"/>
              <w:left w:val="nil"/>
              <w:bottom w:val="single" w:sz="8" w:space="0" w:color="auto"/>
              <w:right w:val="single" w:sz="8" w:space="0" w:color="auto"/>
            </w:tcBorders>
            <w:shd w:val="clear" w:color="auto" w:fill="auto"/>
            <w:noWrap/>
            <w:vAlign w:val="center"/>
            <w:hideMark/>
          </w:tcPr>
          <w:p w14:paraId="712A54E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55.9</w:t>
            </w:r>
          </w:p>
        </w:tc>
        <w:tc>
          <w:tcPr>
            <w:tcW w:w="1780" w:type="dxa"/>
            <w:tcBorders>
              <w:top w:val="nil"/>
              <w:left w:val="nil"/>
              <w:bottom w:val="single" w:sz="8" w:space="0" w:color="auto"/>
              <w:right w:val="single" w:sz="8" w:space="0" w:color="auto"/>
            </w:tcBorders>
            <w:shd w:val="clear" w:color="auto" w:fill="auto"/>
            <w:noWrap/>
            <w:vAlign w:val="center"/>
            <w:hideMark/>
          </w:tcPr>
          <w:p w14:paraId="0008A5A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50.0</w:t>
            </w:r>
          </w:p>
        </w:tc>
        <w:tc>
          <w:tcPr>
            <w:tcW w:w="1940" w:type="dxa"/>
            <w:tcBorders>
              <w:top w:val="nil"/>
              <w:left w:val="nil"/>
              <w:bottom w:val="single" w:sz="8" w:space="0" w:color="auto"/>
              <w:right w:val="single" w:sz="8" w:space="0" w:color="auto"/>
            </w:tcBorders>
            <w:shd w:val="clear" w:color="auto" w:fill="auto"/>
            <w:noWrap/>
            <w:vAlign w:val="center"/>
          </w:tcPr>
          <w:p w14:paraId="66C68E1D"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53,699,121</w:t>
            </w:r>
          </w:p>
        </w:tc>
      </w:tr>
      <w:tr w:rsidR="007B66C1" w:rsidRPr="00641338" w14:paraId="249BA077"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3D41D37B"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Southwick</w:t>
            </w:r>
          </w:p>
        </w:tc>
        <w:tc>
          <w:tcPr>
            <w:tcW w:w="2200" w:type="dxa"/>
            <w:tcBorders>
              <w:top w:val="nil"/>
              <w:left w:val="nil"/>
              <w:bottom w:val="single" w:sz="8" w:space="0" w:color="auto"/>
              <w:right w:val="single" w:sz="8" w:space="0" w:color="auto"/>
            </w:tcBorders>
            <w:shd w:val="clear" w:color="auto" w:fill="auto"/>
            <w:noWrap/>
            <w:vAlign w:val="center"/>
            <w:hideMark/>
          </w:tcPr>
          <w:p w14:paraId="215AE077"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61.0</w:t>
            </w:r>
          </w:p>
        </w:tc>
        <w:tc>
          <w:tcPr>
            <w:tcW w:w="1780" w:type="dxa"/>
            <w:tcBorders>
              <w:top w:val="nil"/>
              <w:left w:val="nil"/>
              <w:bottom w:val="single" w:sz="8" w:space="0" w:color="auto"/>
              <w:right w:val="single" w:sz="8" w:space="0" w:color="auto"/>
            </w:tcBorders>
            <w:shd w:val="clear" w:color="auto" w:fill="auto"/>
            <w:noWrap/>
            <w:vAlign w:val="center"/>
            <w:hideMark/>
          </w:tcPr>
          <w:p w14:paraId="3661F35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47.9</w:t>
            </w:r>
          </w:p>
        </w:tc>
        <w:tc>
          <w:tcPr>
            <w:tcW w:w="1940" w:type="dxa"/>
            <w:tcBorders>
              <w:top w:val="nil"/>
              <w:left w:val="nil"/>
              <w:bottom w:val="single" w:sz="8" w:space="0" w:color="auto"/>
              <w:right w:val="single" w:sz="8" w:space="0" w:color="auto"/>
            </w:tcBorders>
            <w:shd w:val="clear" w:color="auto" w:fill="auto"/>
            <w:noWrap/>
          </w:tcPr>
          <w:p w14:paraId="66C1670F"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48,405,178</w:t>
            </w:r>
          </w:p>
        </w:tc>
      </w:tr>
      <w:tr w:rsidR="007B66C1" w:rsidRPr="00641338" w14:paraId="02B32F85"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0167ABEF"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Elms</w:t>
            </w:r>
          </w:p>
        </w:tc>
        <w:tc>
          <w:tcPr>
            <w:tcW w:w="2200" w:type="dxa"/>
            <w:tcBorders>
              <w:top w:val="nil"/>
              <w:left w:val="nil"/>
              <w:bottom w:val="single" w:sz="8" w:space="0" w:color="auto"/>
              <w:right w:val="single" w:sz="8" w:space="0" w:color="auto"/>
            </w:tcBorders>
            <w:shd w:val="clear" w:color="auto" w:fill="auto"/>
            <w:noWrap/>
            <w:vAlign w:val="center"/>
            <w:hideMark/>
          </w:tcPr>
          <w:p w14:paraId="013B93D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32.8</w:t>
            </w:r>
          </w:p>
        </w:tc>
        <w:tc>
          <w:tcPr>
            <w:tcW w:w="1780" w:type="dxa"/>
            <w:tcBorders>
              <w:top w:val="nil"/>
              <w:left w:val="nil"/>
              <w:bottom w:val="single" w:sz="8" w:space="0" w:color="auto"/>
              <w:right w:val="single" w:sz="8" w:space="0" w:color="auto"/>
            </w:tcBorders>
            <w:shd w:val="clear" w:color="auto" w:fill="auto"/>
            <w:noWrap/>
            <w:vAlign w:val="center"/>
            <w:hideMark/>
          </w:tcPr>
          <w:p w14:paraId="65A46D4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28.9</w:t>
            </w:r>
          </w:p>
        </w:tc>
        <w:tc>
          <w:tcPr>
            <w:tcW w:w="1940" w:type="dxa"/>
            <w:tcBorders>
              <w:top w:val="nil"/>
              <w:left w:val="nil"/>
              <w:bottom w:val="single" w:sz="8" w:space="0" w:color="auto"/>
              <w:right w:val="single" w:sz="8" w:space="0" w:color="auto"/>
            </w:tcBorders>
            <w:shd w:val="clear" w:color="auto" w:fill="auto"/>
            <w:noWrap/>
          </w:tcPr>
          <w:p w14:paraId="7001735A"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31,156,781</w:t>
            </w:r>
          </w:p>
        </w:tc>
      </w:tr>
      <w:tr w:rsidR="007B66C1" w:rsidRPr="00641338" w14:paraId="67ED762F"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2F32C37B"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Hardingham</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4982081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22.7</w:t>
            </w:r>
          </w:p>
        </w:tc>
        <w:tc>
          <w:tcPr>
            <w:tcW w:w="1780" w:type="dxa"/>
            <w:tcBorders>
              <w:top w:val="nil"/>
              <w:left w:val="nil"/>
              <w:bottom w:val="single" w:sz="8" w:space="0" w:color="auto"/>
              <w:right w:val="single" w:sz="8" w:space="0" w:color="auto"/>
            </w:tcBorders>
            <w:shd w:val="clear" w:color="auto" w:fill="auto"/>
            <w:noWrap/>
            <w:vAlign w:val="center"/>
            <w:hideMark/>
          </w:tcPr>
          <w:p w14:paraId="1C7C88D6"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20.1</w:t>
            </w:r>
          </w:p>
        </w:tc>
        <w:tc>
          <w:tcPr>
            <w:tcW w:w="1940" w:type="dxa"/>
            <w:tcBorders>
              <w:top w:val="nil"/>
              <w:left w:val="nil"/>
              <w:bottom w:val="single" w:sz="8" w:space="0" w:color="auto"/>
              <w:right w:val="single" w:sz="8" w:space="0" w:color="auto"/>
            </w:tcBorders>
            <w:shd w:val="clear" w:color="auto" w:fill="auto"/>
            <w:noWrap/>
          </w:tcPr>
          <w:p w14:paraId="709A3B9A"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19,911,461</w:t>
            </w:r>
          </w:p>
        </w:tc>
      </w:tr>
      <w:tr w:rsidR="007B66C1" w:rsidRPr="00641338" w14:paraId="6A88BF1B"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1BDBD101"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Pentylands</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5AEDC45D"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21.4</w:t>
            </w:r>
          </w:p>
        </w:tc>
        <w:tc>
          <w:tcPr>
            <w:tcW w:w="1780" w:type="dxa"/>
            <w:tcBorders>
              <w:top w:val="nil"/>
              <w:left w:val="nil"/>
              <w:bottom w:val="single" w:sz="8" w:space="0" w:color="auto"/>
              <w:right w:val="single" w:sz="8" w:space="0" w:color="auto"/>
            </w:tcBorders>
            <w:shd w:val="clear" w:color="auto" w:fill="auto"/>
            <w:noWrap/>
            <w:vAlign w:val="center"/>
            <w:hideMark/>
          </w:tcPr>
          <w:p w14:paraId="6E931C0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19.2</w:t>
            </w:r>
          </w:p>
        </w:tc>
        <w:tc>
          <w:tcPr>
            <w:tcW w:w="1940" w:type="dxa"/>
            <w:tcBorders>
              <w:top w:val="nil"/>
              <w:left w:val="nil"/>
              <w:bottom w:val="single" w:sz="8" w:space="0" w:color="auto"/>
              <w:right w:val="single" w:sz="8" w:space="0" w:color="auto"/>
            </w:tcBorders>
            <w:shd w:val="clear" w:color="auto" w:fill="auto"/>
            <w:noWrap/>
          </w:tcPr>
          <w:p w14:paraId="1CA7C04B"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20,044,679</w:t>
            </w:r>
          </w:p>
        </w:tc>
      </w:tr>
      <w:tr w:rsidR="007B66C1" w:rsidRPr="00641338" w14:paraId="431F9A50"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1B18620D"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Molehill</w:t>
            </w:r>
          </w:p>
        </w:tc>
        <w:tc>
          <w:tcPr>
            <w:tcW w:w="2200" w:type="dxa"/>
            <w:tcBorders>
              <w:top w:val="nil"/>
              <w:left w:val="nil"/>
              <w:bottom w:val="single" w:sz="8" w:space="0" w:color="auto"/>
              <w:right w:val="single" w:sz="8" w:space="0" w:color="auto"/>
            </w:tcBorders>
            <w:shd w:val="clear" w:color="auto" w:fill="auto"/>
            <w:noWrap/>
            <w:vAlign w:val="center"/>
            <w:hideMark/>
          </w:tcPr>
          <w:p w14:paraId="11764E23"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23.1</w:t>
            </w:r>
          </w:p>
        </w:tc>
        <w:tc>
          <w:tcPr>
            <w:tcW w:w="1780" w:type="dxa"/>
            <w:tcBorders>
              <w:top w:val="nil"/>
              <w:left w:val="nil"/>
              <w:bottom w:val="single" w:sz="8" w:space="0" w:color="auto"/>
              <w:right w:val="single" w:sz="8" w:space="0" w:color="auto"/>
            </w:tcBorders>
            <w:shd w:val="clear" w:color="auto" w:fill="auto"/>
            <w:noWrap/>
            <w:vAlign w:val="center"/>
            <w:hideMark/>
          </w:tcPr>
          <w:p w14:paraId="02A05E26"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18.0</w:t>
            </w:r>
          </w:p>
        </w:tc>
        <w:tc>
          <w:tcPr>
            <w:tcW w:w="1940" w:type="dxa"/>
            <w:tcBorders>
              <w:top w:val="nil"/>
              <w:left w:val="nil"/>
              <w:bottom w:val="single" w:sz="8" w:space="0" w:color="auto"/>
              <w:right w:val="single" w:sz="8" w:space="0" w:color="auto"/>
            </w:tcBorders>
            <w:shd w:val="clear" w:color="auto" w:fill="auto"/>
            <w:noWrap/>
          </w:tcPr>
          <w:p w14:paraId="5D488B94"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20,917,576</w:t>
            </w:r>
          </w:p>
        </w:tc>
      </w:tr>
      <w:tr w:rsidR="007B66C1" w:rsidRPr="00641338" w14:paraId="54B0692D"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2E6FCEF9"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Hoback</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1263ED1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19.0</w:t>
            </w:r>
          </w:p>
        </w:tc>
        <w:tc>
          <w:tcPr>
            <w:tcW w:w="1780" w:type="dxa"/>
            <w:tcBorders>
              <w:top w:val="nil"/>
              <w:left w:val="nil"/>
              <w:bottom w:val="single" w:sz="8" w:space="0" w:color="auto"/>
              <w:right w:val="single" w:sz="8" w:space="0" w:color="auto"/>
            </w:tcBorders>
            <w:shd w:val="clear" w:color="auto" w:fill="auto"/>
            <w:noWrap/>
            <w:vAlign w:val="center"/>
            <w:hideMark/>
          </w:tcPr>
          <w:p w14:paraId="1E8C5664"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17.5</w:t>
            </w:r>
          </w:p>
        </w:tc>
        <w:tc>
          <w:tcPr>
            <w:tcW w:w="1940" w:type="dxa"/>
            <w:tcBorders>
              <w:top w:val="nil"/>
              <w:left w:val="nil"/>
              <w:bottom w:val="single" w:sz="8" w:space="0" w:color="auto"/>
              <w:right w:val="single" w:sz="8" w:space="0" w:color="auto"/>
            </w:tcBorders>
            <w:shd w:val="clear" w:color="auto" w:fill="auto"/>
            <w:noWrap/>
          </w:tcPr>
          <w:p w14:paraId="08DB008A"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18,712,898</w:t>
            </w:r>
          </w:p>
        </w:tc>
      </w:tr>
      <w:tr w:rsidR="007B66C1" w:rsidRPr="00641338" w14:paraId="50B827D9"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0EBFC249"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Littlebourne</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6D8D235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22.0</w:t>
            </w:r>
          </w:p>
        </w:tc>
        <w:tc>
          <w:tcPr>
            <w:tcW w:w="1780" w:type="dxa"/>
            <w:tcBorders>
              <w:top w:val="nil"/>
              <w:left w:val="nil"/>
              <w:bottom w:val="single" w:sz="8" w:space="0" w:color="auto"/>
              <w:right w:val="single" w:sz="8" w:space="0" w:color="auto"/>
            </w:tcBorders>
            <w:shd w:val="clear" w:color="auto" w:fill="auto"/>
            <w:noWrap/>
            <w:vAlign w:val="center"/>
            <w:hideMark/>
          </w:tcPr>
          <w:p w14:paraId="5A90A82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17.0</w:t>
            </w:r>
          </w:p>
        </w:tc>
        <w:tc>
          <w:tcPr>
            <w:tcW w:w="1940" w:type="dxa"/>
            <w:tcBorders>
              <w:top w:val="nil"/>
              <w:left w:val="nil"/>
              <w:bottom w:val="single" w:sz="8" w:space="0" w:color="auto"/>
              <w:right w:val="single" w:sz="8" w:space="0" w:color="auto"/>
            </w:tcBorders>
            <w:shd w:val="clear" w:color="auto" w:fill="auto"/>
            <w:noWrap/>
          </w:tcPr>
          <w:p w14:paraId="7A8EBB66"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18,590,805</w:t>
            </w:r>
          </w:p>
        </w:tc>
      </w:tr>
      <w:tr w:rsidR="007B66C1" w:rsidRPr="00641338" w14:paraId="70994598"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43DD89F9"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Goosewillow</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2502DCA4"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19.0</w:t>
            </w:r>
          </w:p>
        </w:tc>
        <w:tc>
          <w:tcPr>
            <w:tcW w:w="1780" w:type="dxa"/>
            <w:tcBorders>
              <w:top w:val="nil"/>
              <w:left w:val="nil"/>
              <w:bottom w:val="single" w:sz="8" w:space="0" w:color="auto"/>
              <w:right w:val="single" w:sz="8" w:space="0" w:color="auto"/>
            </w:tcBorders>
            <w:shd w:val="clear" w:color="auto" w:fill="auto"/>
            <w:noWrap/>
            <w:vAlign w:val="center"/>
            <w:hideMark/>
          </w:tcPr>
          <w:p w14:paraId="79D7487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16.9</w:t>
            </w:r>
          </w:p>
        </w:tc>
        <w:tc>
          <w:tcPr>
            <w:tcW w:w="1940" w:type="dxa"/>
            <w:tcBorders>
              <w:top w:val="nil"/>
              <w:left w:val="nil"/>
              <w:bottom w:val="single" w:sz="8" w:space="0" w:color="auto"/>
              <w:right w:val="single" w:sz="8" w:space="0" w:color="auto"/>
            </w:tcBorders>
            <w:shd w:val="clear" w:color="auto" w:fill="auto"/>
            <w:noWrap/>
          </w:tcPr>
          <w:p w14:paraId="53048CC5"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18,447,782</w:t>
            </w:r>
          </w:p>
        </w:tc>
      </w:tr>
      <w:tr w:rsidR="007B66C1" w:rsidRPr="00641338" w14:paraId="68747FF7"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430FC4DD"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Hill Farm</w:t>
            </w:r>
          </w:p>
        </w:tc>
        <w:tc>
          <w:tcPr>
            <w:tcW w:w="2200" w:type="dxa"/>
            <w:tcBorders>
              <w:top w:val="nil"/>
              <w:left w:val="nil"/>
              <w:bottom w:val="single" w:sz="8" w:space="0" w:color="auto"/>
              <w:right w:val="single" w:sz="8" w:space="0" w:color="auto"/>
            </w:tcBorders>
            <w:shd w:val="clear" w:color="auto" w:fill="auto"/>
            <w:noWrap/>
            <w:vAlign w:val="center"/>
            <w:hideMark/>
          </w:tcPr>
          <w:p w14:paraId="4F003AC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17.3</w:t>
            </w:r>
          </w:p>
        </w:tc>
        <w:tc>
          <w:tcPr>
            <w:tcW w:w="1780" w:type="dxa"/>
            <w:tcBorders>
              <w:top w:val="nil"/>
              <w:left w:val="nil"/>
              <w:bottom w:val="single" w:sz="8" w:space="0" w:color="auto"/>
              <w:right w:val="single" w:sz="8" w:space="0" w:color="auto"/>
            </w:tcBorders>
            <w:shd w:val="clear" w:color="auto" w:fill="auto"/>
            <w:noWrap/>
            <w:vAlign w:val="center"/>
            <w:hideMark/>
          </w:tcPr>
          <w:p w14:paraId="56DCFFF3"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15.2</w:t>
            </w:r>
          </w:p>
        </w:tc>
        <w:tc>
          <w:tcPr>
            <w:tcW w:w="1940" w:type="dxa"/>
            <w:tcBorders>
              <w:top w:val="nil"/>
              <w:left w:val="nil"/>
              <w:bottom w:val="single" w:sz="8" w:space="0" w:color="auto"/>
              <w:right w:val="single" w:sz="8" w:space="0" w:color="auto"/>
            </w:tcBorders>
            <w:shd w:val="clear" w:color="auto" w:fill="auto"/>
            <w:noWrap/>
          </w:tcPr>
          <w:p w14:paraId="7753E491"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14,088,665</w:t>
            </w:r>
          </w:p>
        </w:tc>
      </w:tr>
      <w:tr w:rsidR="007B66C1" w:rsidRPr="00641338" w14:paraId="20A174ED"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585E1925"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Roves</w:t>
            </w:r>
          </w:p>
        </w:tc>
        <w:tc>
          <w:tcPr>
            <w:tcW w:w="2200" w:type="dxa"/>
            <w:tcBorders>
              <w:top w:val="nil"/>
              <w:left w:val="nil"/>
              <w:bottom w:val="single" w:sz="8" w:space="0" w:color="auto"/>
              <w:right w:val="single" w:sz="8" w:space="0" w:color="auto"/>
            </w:tcBorders>
            <w:shd w:val="clear" w:color="auto" w:fill="auto"/>
            <w:noWrap/>
            <w:vAlign w:val="center"/>
            <w:hideMark/>
          </w:tcPr>
          <w:p w14:paraId="2CF7884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14.0</w:t>
            </w:r>
          </w:p>
        </w:tc>
        <w:tc>
          <w:tcPr>
            <w:tcW w:w="1780" w:type="dxa"/>
            <w:tcBorders>
              <w:top w:val="nil"/>
              <w:left w:val="nil"/>
              <w:bottom w:val="single" w:sz="8" w:space="0" w:color="auto"/>
              <w:right w:val="single" w:sz="8" w:space="0" w:color="auto"/>
            </w:tcBorders>
            <w:shd w:val="clear" w:color="auto" w:fill="auto"/>
            <w:noWrap/>
            <w:vAlign w:val="center"/>
            <w:hideMark/>
          </w:tcPr>
          <w:p w14:paraId="2F3475A5"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12.7</w:t>
            </w:r>
          </w:p>
        </w:tc>
        <w:tc>
          <w:tcPr>
            <w:tcW w:w="1940" w:type="dxa"/>
            <w:tcBorders>
              <w:top w:val="nil"/>
              <w:left w:val="nil"/>
              <w:bottom w:val="single" w:sz="8" w:space="0" w:color="auto"/>
              <w:right w:val="single" w:sz="8" w:space="0" w:color="auto"/>
            </w:tcBorders>
            <w:shd w:val="clear" w:color="auto" w:fill="auto"/>
            <w:noWrap/>
          </w:tcPr>
          <w:p w14:paraId="0A9210F6"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13,059,353</w:t>
            </w:r>
          </w:p>
        </w:tc>
      </w:tr>
      <w:tr w:rsidR="007B66C1" w:rsidRPr="00641338" w14:paraId="7A05B1C9"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6D0F6D7B"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Pashley</w:t>
            </w:r>
          </w:p>
        </w:tc>
        <w:tc>
          <w:tcPr>
            <w:tcW w:w="2200" w:type="dxa"/>
            <w:tcBorders>
              <w:top w:val="nil"/>
              <w:left w:val="nil"/>
              <w:bottom w:val="single" w:sz="8" w:space="0" w:color="auto"/>
              <w:right w:val="single" w:sz="8" w:space="0" w:color="auto"/>
            </w:tcBorders>
            <w:shd w:val="clear" w:color="auto" w:fill="auto"/>
            <w:noWrap/>
            <w:vAlign w:val="center"/>
            <w:hideMark/>
          </w:tcPr>
          <w:p w14:paraId="03E7E92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15.4</w:t>
            </w:r>
          </w:p>
        </w:tc>
        <w:tc>
          <w:tcPr>
            <w:tcW w:w="1780" w:type="dxa"/>
            <w:tcBorders>
              <w:top w:val="nil"/>
              <w:left w:val="nil"/>
              <w:bottom w:val="single" w:sz="8" w:space="0" w:color="auto"/>
              <w:right w:val="single" w:sz="8" w:space="0" w:color="auto"/>
            </w:tcBorders>
            <w:shd w:val="clear" w:color="auto" w:fill="auto"/>
            <w:noWrap/>
            <w:vAlign w:val="center"/>
            <w:hideMark/>
          </w:tcPr>
          <w:p w14:paraId="72E8D63C"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11.5</w:t>
            </w:r>
          </w:p>
        </w:tc>
        <w:tc>
          <w:tcPr>
            <w:tcW w:w="1940" w:type="dxa"/>
            <w:tcBorders>
              <w:top w:val="nil"/>
              <w:left w:val="nil"/>
              <w:bottom w:val="single" w:sz="8" w:space="0" w:color="auto"/>
              <w:right w:val="single" w:sz="8" w:space="0" w:color="auto"/>
            </w:tcBorders>
            <w:shd w:val="clear" w:color="auto" w:fill="auto"/>
            <w:noWrap/>
          </w:tcPr>
          <w:p w14:paraId="696F9DCD"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13,000,715</w:t>
            </w:r>
          </w:p>
        </w:tc>
      </w:tr>
      <w:tr w:rsidR="007B66C1" w:rsidRPr="00641338" w14:paraId="31704626"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478276F0"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Hall Farm</w:t>
            </w:r>
          </w:p>
        </w:tc>
        <w:tc>
          <w:tcPr>
            <w:tcW w:w="2200" w:type="dxa"/>
            <w:tcBorders>
              <w:top w:val="nil"/>
              <w:left w:val="nil"/>
              <w:bottom w:val="single" w:sz="8" w:space="0" w:color="auto"/>
              <w:right w:val="single" w:sz="8" w:space="0" w:color="auto"/>
            </w:tcBorders>
            <w:shd w:val="clear" w:color="auto" w:fill="auto"/>
            <w:noWrap/>
            <w:vAlign w:val="center"/>
            <w:hideMark/>
          </w:tcPr>
          <w:p w14:paraId="7319A60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13.4</w:t>
            </w:r>
          </w:p>
        </w:tc>
        <w:tc>
          <w:tcPr>
            <w:tcW w:w="1780" w:type="dxa"/>
            <w:tcBorders>
              <w:top w:val="nil"/>
              <w:left w:val="nil"/>
              <w:bottom w:val="single" w:sz="8" w:space="0" w:color="auto"/>
              <w:right w:val="single" w:sz="8" w:space="0" w:color="auto"/>
            </w:tcBorders>
            <w:shd w:val="clear" w:color="auto" w:fill="auto"/>
            <w:noWrap/>
            <w:vAlign w:val="center"/>
            <w:hideMark/>
          </w:tcPr>
          <w:p w14:paraId="3A0380BC"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11.4</w:t>
            </w:r>
          </w:p>
        </w:tc>
        <w:tc>
          <w:tcPr>
            <w:tcW w:w="1940" w:type="dxa"/>
            <w:tcBorders>
              <w:top w:val="nil"/>
              <w:left w:val="nil"/>
              <w:bottom w:val="single" w:sz="8" w:space="0" w:color="auto"/>
              <w:right w:val="single" w:sz="8" w:space="0" w:color="auto"/>
            </w:tcBorders>
            <w:shd w:val="clear" w:color="auto" w:fill="auto"/>
            <w:noWrap/>
          </w:tcPr>
          <w:p w14:paraId="336E81A4"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9,888,645</w:t>
            </w:r>
          </w:p>
        </w:tc>
      </w:tr>
      <w:tr w:rsidR="007B66C1" w:rsidRPr="00641338" w14:paraId="39EC8866"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3B3FE3EA"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Sheppey</w:t>
            </w:r>
          </w:p>
        </w:tc>
        <w:tc>
          <w:tcPr>
            <w:tcW w:w="2200" w:type="dxa"/>
            <w:tcBorders>
              <w:top w:val="nil"/>
              <w:left w:val="nil"/>
              <w:bottom w:val="single" w:sz="8" w:space="0" w:color="auto"/>
              <w:right w:val="single" w:sz="8" w:space="0" w:color="auto"/>
            </w:tcBorders>
            <w:shd w:val="clear" w:color="auto" w:fill="auto"/>
            <w:noWrap/>
            <w:vAlign w:val="center"/>
            <w:hideMark/>
          </w:tcPr>
          <w:p w14:paraId="1D17661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12.0</w:t>
            </w:r>
          </w:p>
        </w:tc>
        <w:tc>
          <w:tcPr>
            <w:tcW w:w="1780" w:type="dxa"/>
            <w:tcBorders>
              <w:top w:val="nil"/>
              <w:left w:val="nil"/>
              <w:bottom w:val="single" w:sz="8" w:space="0" w:color="auto"/>
              <w:right w:val="single" w:sz="8" w:space="0" w:color="auto"/>
            </w:tcBorders>
            <w:shd w:val="clear" w:color="auto" w:fill="auto"/>
            <w:noWrap/>
            <w:vAlign w:val="center"/>
            <w:hideMark/>
          </w:tcPr>
          <w:p w14:paraId="25B56C2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10.6</w:t>
            </w:r>
          </w:p>
        </w:tc>
        <w:tc>
          <w:tcPr>
            <w:tcW w:w="1940" w:type="dxa"/>
            <w:tcBorders>
              <w:top w:val="nil"/>
              <w:left w:val="nil"/>
              <w:bottom w:val="single" w:sz="8" w:space="0" w:color="auto"/>
              <w:right w:val="single" w:sz="8" w:space="0" w:color="auto"/>
            </w:tcBorders>
            <w:shd w:val="clear" w:color="auto" w:fill="auto"/>
            <w:noWrap/>
          </w:tcPr>
          <w:p w14:paraId="3C022905"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11,756,293</w:t>
            </w:r>
          </w:p>
        </w:tc>
      </w:tr>
      <w:tr w:rsidR="007B66C1" w:rsidRPr="00641338" w14:paraId="2C6E9060"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423973E4"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Betingau</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311FCC91"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11.2</w:t>
            </w:r>
          </w:p>
        </w:tc>
        <w:tc>
          <w:tcPr>
            <w:tcW w:w="1780" w:type="dxa"/>
            <w:tcBorders>
              <w:top w:val="nil"/>
              <w:left w:val="nil"/>
              <w:bottom w:val="single" w:sz="8" w:space="0" w:color="auto"/>
              <w:right w:val="single" w:sz="8" w:space="0" w:color="auto"/>
            </w:tcBorders>
            <w:shd w:val="clear" w:color="auto" w:fill="auto"/>
            <w:noWrap/>
            <w:vAlign w:val="center"/>
            <w:hideMark/>
          </w:tcPr>
          <w:p w14:paraId="2BF7AF3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10.0</w:t>
            </w:r>
          </w:p>
        </w:tc>
        <w:tc>
          <w:tcPr>
            <w:tcW w:w="1940" w:type="dxa"/>
            <w:tcBorders>
              <w:top w:val="nil"/>
              <w:left w:val="nil"/>
              <w:bottom w:val="single" w:sz="8" w:space="0" w:color="auto"/>
              <w:right w:val="single" w:sz="8" w:space="0" w:color="auto"/>
            </w:tcBorders>
            <w:shd w:val="clear" w:color="auto" w:fill="auto"/>
            <w:noWrap/>
          </w:tcPr>
          <w:p w14:paraId="580AABD3"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9,166,091</w:t>
            </w:r>
          </w:p>
        </w:tc>
      </w:tr>
      <w:tr w:rsidR="007B66C1" w:rsidRPr="00641338" w14:paraId="4EB2C869"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28A57ABC"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Capelands</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6F62393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8.6</w:t>
            </w:r>
          </w:p>
        </w:tc>
        <w:tc>
          <w:tcPr>
            <w:tcW w:w="1780" w:type="dxa"/>
            <w:tcBorders>
              <w:top w:val="nil"/>
              <w:left w:val="nil"/>
              <w:bottom w:val="single" w:sz="8" w:space="0" w:color="auto"/>
              <w:right w:val="single" w:sz="8" w:space="0" w:color="auto"/>
            </w:tcBorders>
            <w:shd w:val="clear" w:color="auto" w:fill="auto"/>
            <w:noWrap/>
            <w:vAlign w:val="center"/>
            <w:hideMark/>
          </w:tcPr>
          <w:p w14:paraId="2638DDCD"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8.4</w:t>
            </w:r>
          </w:p>
        </w:tc>
        <w:tc>
          <w:tcPr>
            <w:tcW w:w="1940" w:type="dxa"/>
            <w:tcBorders>
              <w:top w:val="nil"/>
              <w:left w:val="nil"/>
              <w:bottom w:val="single" w:sz="8" w:space="0" w:color="auto"/>
              <w:right w:val="single" w:sz="8" w:space="0" w:color="auto"/>
            </w:tcBorders>
            <w:shd w:val="clear" w:color="auto" w:fill="auto"/>
            <w:noWrap/>
          </w:tcPr>
          <w:p w14:paraId="6EA1C295"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8,260,189</w:t>
            </w:r>
          </w:p>
        </w:tc>
      </w:tr>
      <w:tr w:rsidR="007B66C1" w:rsidRPr="00641338" w14:paraId="03A2C017"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3BBF4EC5"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North Beer</w:t>
            </w:r>
          </w:p>
        </w:tc>
        <w:tc>
          <w:tcPr>
            <w:tcW w:w="2200" w:type="dxa"/>
            <w:tcBorders>
              <w:top w:val="nil"/>
              <w:left w:val="nil"/>
              <w:bottom w:val="single" w:sz="8" w:space="0" w:color="auto"/>
              <w:right w:val="single" w:sz="8" w:space="0" w:color="auto"/>
            </w:tcBorders>
            <w:shd w:val="clear" w:color="auto" w:fill="auto"/>
            <w:noWrap/>
            <w:vAlign w:val="center"/>
            <w:hideMark/>
          </w:tcPr>
          <w:p w14:paraId="353DA14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9.3</w:t>
            </w:r>
          </w:p>
        </w:tc>
        <w:tc>
          <w:tcPr>
            <w:tcW w:w="1780" w:type="dxa"/>
            <w:tcBorders>
              <w:top w:val="nil"/>
              <w:left w:val="nil"/>
              <w:bottom w:val="single" w:sz="8" w:space="0" w:color="auto"/>
              <w:right w:val="single" w:sz="8" w:space="0" w:color="auto"/>
            </w:tcBorders>
            <w:shd w:val="clear" w:color="auto" w:fill="auto"/>
            <w:noWrap/>
            <w:vAlign w:val="center"/>
            <w:hideMark/>
          </w:tcPr>
          <w:p w14:paraId="185FEB3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6.9</w:t>
            </w:r>
          </w:p>
        </w:tc>
        <w:tc>
          <w:tcPr>
            <w:tcW w:w="1940" w:type="dxa"/>
            <w:tcBorders>
              <w:top w:val="nil"/>
              <w:left w:val="nil"/>
              <w:bottom w:val="single" w:sz="8" w:space="0" w:color="auto"/>
              <w:right w:val="single" w:sz="8" w:space="0" w:color="auto"/>
            </w:tcBorders>
            <w:shd w:val="clear" w:color="auto" w:fill="auto"/>
            <w:noWrap/>
          </w:tcPr>
          <w:p w14:paraId="32D07EF1"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7,355,070</w:t>
            </w:r>
          </w:p>
        </w:tc>
      </w:tr>
      <w:tr w:rsidR="007B66C1" w:rsidRPr="00641338" w14:paraId="0A742338"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15AFF259"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Ashlawn</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19F0F875"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7.6</w:t>
            </w:r>
          </w:p>
        </w:tc>
        <w:tc>
          <w:tcPr>
            <w:tcW w:w="1780" w:type="dxa"/>
            <w:tcBorders>
              <w:top w:val="nil"/>
              <w:left w:val="nil"/>
              <w:bottom w:val="single" w:sz="8" w:space="0" w:color="auto"/>
              <w:right w:val="single" w:sz="8" w:space="0" w:color="auto"/>
            </w:tcBorders>
            <w:shd w:val="clear" w:color="auto" w:fill="auto"/>
            <w:noWrap/>
            <w:vAlign w:val="center"/>
            <w:hideMark/>
          </w:tcPr>
          <w:p w14:paraId="4C7855DA"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6.6</w:t>
            </w:r>
          </w:p>
        </w:tc>
        <w:tc>
          <w:tcPr>
            <w:tcW w:w="1940" w:type="dxa"/>
            <w:tcBorders>
              <w:top w:val="nil"/>
              <w:left w:val="nil"/>
              <w:bottom w:val="single" w:sz="8" w:space="0" w:color="auto"/>
              <w:right w:val="single" w:sz="8" w:space="0" w:color="auto"/>
            </w:tcBorders>
            <w:shd w:val="clear" w:color="auto" w:fill="auto"/>
            <w:noWrap/>
          </w:tcPr>
          <w:p w14:paraId="3F82729F"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6,784,913</w:t>
            </w:r>
          </w:p>
        </w:tc>
      </w:tr>
      <w:tr w:rsidR="007B66C1" w:rsidRPr="00641338" w14:paraId="46C16913"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2477CC93"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Redlands</w:t>
            </w:r>
          </w:p>
        </w:tc>
        <w:tc>
          <w:tcPr>
            <w:tcW w:w="2200" w:type="dxa"/>
            <w:tcBorders>
              <w:top w:val="nil"/>
              <w:left w:val="nil"/>
              <w:bottom w:val="single" w:sz="8" w:space="0" w:color="auto"/>
              <w:right w:val="single" w:sz="8" w:space="0" w:color="auto"/>
            </w:tcBorders>
            <w:shd w:val="clear" w:color="auto" w:fill="auto"/>
            <w:noWrap/>
            <w:vAlign w:val="center"/>
            <w:hideMark/>
          </w:tcPr>
          <w:p w14:paraId="22EFE3D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6.4</w:t>
            </w:r>
          </w:p>
        </w:tc>
        <w:tc>
          <w:tcPr>
            <w:tcW w:w="1780" w:type="dxa"/>
            <w:tcBorders>
              <w:top w:val="nil"/>
              <w:left w:val="nil"/>
              <w:bottom w:val="single" w:sz="8" w:space="0" w:color="auto"/>
              <w:right w:val="single" w:sz="8" w:space="0" w:color="auto"/>
            </w:tcBorders>
            <w:shd w:val="clear" w:color="auto" w:fill="auto"/>
            <w:noWrap/>
            <w:vAlign w:val="center"/>
            <w:hideMark/>
          </w:tcPr>
          <w:p w14:paraId="6804910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6.2</w:t>
            </w:r>
          </w:p>
        </w:tc>
        <w:tc>
          <w:tcPr>
            <w:tcW w:w="1940" w:type="dxa"/>
            <w:tcBorders>
              <w:top w:val="nil"/>
              <w:left w:val="nil"/>
              <w:bottom w:val="single" w:sz="8" w:space="0" w:color="auto"/>
              <w:right w:val="single" w:sz="8" w:space="0" w:color="auto"/>
            </w:tcBorders>
            <w:shd w:val="clear" w:color="auto" w:fill="auto"/>
            <w:noWrap/>
          </w:tcPr>
          <w:p w14:paraId="123CEF9F"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6,371,584</w:t>
            </w:r>
          </w:p>
        </w:tc>
      </w:tr>
      <w:tr w:rsidR="007B66C1" w:rsidRPr="00641338" w14:paraId="2E34CAB2"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04E8CE3B"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Saxley</w:t>
            </w:r>
            <w:proofErr w:type="spellEnd"/>
          </w:p>
        </w:tc>
        <w:tc>
          <w:tcPr>
            <w:tcW w:w="2200" w:type="dxa"/>
            <w:tcBorders>
              <w:top w:val="nil"/>
              <w:left w:val="nil"/>
              <w:bottom w:val="single" w:sz="8" w:space="0" w:color="auto"/>
              <w:right w:val="single" w:sz="8" w:space="0" w:color="auto"/>
            </w:tcBorders>
            <w:shd w:val="clear" w:color="auto" w:fill="auto"/>
            <w:noWrap/>
            <w:vAlign w:val="center"/>
          </w:tcPr>
          <w:p w14:paraId="723C561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7.0</w:t>
            </w:r>
          </w:p>
        </w:tc>
        <w:tc>
          <w:tcPr>
            <w:tcW w:w="1780" w:type="dxa"/>
            <w:tcBorders>
              <w:top w:val="nil"/>
              <w:left w:val="nil"/>
              <w:bottom w:val="single" w:sz="8" w:space="0" w:color="auto"/>
              <w:right w:val="single" w:sz="8" w:space="0" w:color="auto"/>
            </w:tcBorders>
            <w:shd w:val="clear" w:color="auto" w:fill="auto"/>
            <w:noWrap/>
            <w:vAlign w:val="center"/>
          </w:tcPr>
          <w:p w14:paraId="0FC0AEF1"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5.9</w:t>
            </w:r>
          </w:p>
        </w:tc>
        <w:tc>
          <w:tcPr>
            <w:tcW w:w="1940" w:type="dxa"/>
            <w:tcBorders>
              <w:top w:val="nil"/>
              <w:left w:val="nil"/>
              <w:bottom w:val="single" w:sz="8" w:space="0" w:color="auto"/>
              <w:right w:val="single" w:sz="8" w:space="0" w:color="auto"/>
            </w:tcBorders>
            <w:shd w:val="clear" w:color="auto" w:fill="auto"/>
            <w:noWrap/>
          </w:tcPr>
          <w:p w14:paraId="6E0418B5"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6,038,817</w:t>
            </w:r>
          </w:p>
        </w:tc>
      </w:tr>
      <w:tr w:rsidR="007B66C1" w:rsidRPr="00641338" w14:paraId="6EF33B1E"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3A50DAB8"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Holly Farm</w:t>
            </w:r>
          </w:p>
        </w:tc>
        <w:tc>
          <w:tcPr>
            <w:tcW w:w="2200" w:type="dxa"/>
            <w:tcBorders>
              <w:top w:val="nil"/>
              <w:left w:val="nil"/>
              <w:bottom w:val="single" w:sz="8" w:space="0" w:color="auto"/>
              <w:right w:val="single" w:sz="8" w:space="0" w:color="auto"/>
            </w:tcBorders>
            <w:shd w:val="clear" w:color="auto" w:fill="auto"/>
            <w:noWrap/>
            <w:vAlign w:val="center"/>
          </w:tcPr>
          <w:p w14:paraId="4AE38655"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7.2</w:t>
            </w:r>
          </w:p>
        </w:tc>
        <w:tc>
          <w:tcPr>
            <w:tcW w:w="1780" w:type="dxa"/>
            <w:tcBorders>
              <w:top w:val="nil"/>
              <w:left w:val="nil"/>
              <w:bottom w:val="single" w:sz="8" w:space="0" w:color="auto"/>
              <w:right w:val="single" w:sz="8" w:space="0" w:color="auto"/>
            </w:tcBorders>
            <w:shd w:val="clear" w:color="auto" w:fill="auto"/>
            <w:noWrap/>
            <w:vAlign w:val="center"/>
          </w:tcPr>
          <w:p w14:paraId="15A53B4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7EDFE8CF"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5,672,967</w:t>
            </w:r>
          </w:p>
        </w:tc>
      </w:tr>
      <w:tr w:rsidR="007B66C1" w:rsidRPr="00641338" w14:paraId="0CE9A3D7"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042FD9B9"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East Farm</w:t>
            </w:r>
          </w:p>
        </w:tc>
        <w:tc>
          <w:tcPr>
            <w:tcW w:w="2200" w:type="dxa"/>
            <w:tcBorders>
              <w:top w:val="nil"/>
              <w:left w:val="nil"/>
              <w:bottom w:val="single" w:sz="8" w:space="0" w:color="auto"/>
              <w:right w:val="single" w:sz="8" w:space="0" w:color="auto"/>
            </w:tcBorders>
            <w:shd w:val="clear" w:color="auto" w:fill="auto"/>
            <w:noWrap/>
            <w:vAlign w:val="center"/>
            <w:hideMark/>
          </w:tcPr>
          <w:p w14:paraId="3AC0505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7.2</w:t>
            </w:r>
          </w:p>
        </w:tc>
        <w:tc>
          <w:tcPr>
            <w:tcW w:w="1780" w:type="dxa"/>
            <w:tcBorders>
              <w:top w:val="nil"/>
              <w:left w:val="nil"/>
              <w:bottom w:val="single" w:sz="8" w:space="0" w:color="auto"/>
              <w:right w:val="single" w:sz="8" w:space="0" w:color="auto"/>
            </w:tcBorders>
            <w:shd w:val="clear" w:color="auto" w:fill="auto"/>
            <w:noWrap/>
            <w:vAlign w:val="center"/>
            <w:hideMark/>
          </w:tcPr>
          <w:p w14:paraId="7ED80EE5"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41C064D9"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5,638,773</w:t>
            </w:r>
          </w:p>
        </w:tc>
      </w:tr>
      <w:tr w:rsidR="007B66C1" w:rsidRPr="00641338" w14:paraId="7D0358CD"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7A3F1BC2"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Durrants</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6218EB91"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6.4</w:t>
            </w:r>
          </w:p>
        </w:tc>
        <w:tc>
          <w:tcPr>
            <w:tcW w:w="1780" w:type="dxa"/>
            <w:tcBorders>
              <w:top w:val="nil"/>
              <w:left w:val="nil"/>
              <w:bottom w:val="single" w:sz="8" w:space="0" w:color="auto"/>
              <w:right w:val="single" w:sz="8" w:space="0" w:color="auto"/>
            </w:tcBorders>
            <w:shd w:val="clear" w:color="auto" w:fill="auto"/>
            <w:noWrap/>
            <w:vAlign w:val="center"/>
            <w:hideMark/>
          </w:tcPr>
          <w:p w14:paraId="711210E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5D1EADEE"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5,544,257</w:t>
            </w:r>
          </w:p>
        </w:tc>
      </w:tr>
      <w:tr w:rsidR="007B66C1" w:rsidRPr="00641338" w14:paraId="17F4D350"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0472AC68"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Clapton</w:t>
            </w:r>
          </w:p>
        </w:tc>
        <w:tc>
          <w:tcPr>
            <w:tcW w:w="2200" w:type="dxa"/>
            <w:tcBorders>
              <w:top w:val="nil"/>
              <w:left w:val="nil"/>
              <w:bottom w:val="single" w:sz="8" w:space="0" w:color="auto"/>
              <w:right w:val="single" w:sz="8" w:space="0" w:color="auto"/>
            </w:tcBorders>
            <w:shd w:val="clear" w:color="auto" w:fill="auto"/>
            <w:noWrap/>
            <w:vAlign w:val="center"/>
            <w:hideMark/>
          </w:tcPr>
          <w:p w14:paraId="3E4CD60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6.3</w:t>
            </w:r>
          </w:p>
        </w:tc>
        <w:tc>
          <w:tcPr>
            <w:tcW w:w="1780" w:type="dxa"/>
            <w:tcBorders>
              <w:top w:val="nil"/>
              <w:left w:val="nil"/>
              <w:bottom w:val="single" w:sz="8" w:space="0" w:color="auto"/>
              <w:right w:val="single" w:sz="8" w:space="0" w:color="auto"/>
            </w:tcBorders>
            <w:shd w:val="clear" w:color="auto" w:fill="auto"/>
            <w:noWrap/>
            <w:vAlign w:val="center"/>
            <w:hideMark/>
          </w:tcPr>
          <w:p w14:paraId="24BC29A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6197CF33"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5,485,796</w:t>
            </w:r>
          </w:p>
        </w:tc>
      </w:tr>
      <w:tr w:rsidR="007B66C1" w:rsidRPr="00641338" w14:paraId="45FD95A5"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265B5A3D"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Romsey</w:t>
            </w:r>
          </w:p>
        </w:tc>
        <w:tc>
          <w:tcPr>
            <w:tcW w:w="2200" w:type="dxa"/>
            <w:tcBorders>
              <w:top w:val="nil"/>
              <w:left w:val="nil"/>
              <w:bottom w:val="single" w:sz="8" w:space="0" w:color="auto"/>
              <w:right w:val="single" w:sz="8" w:space="0" w:color="auto"/>
            </w:tcBorders>
            <w:shd w:val="clear" w:color="auto" w:fill="auto"/>
            <w:noWrap/>
            <w:vAlign w:val="center"/>
          </w:tcPr>
          <w:p w14:paraId="19A19627"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5.8</w:t>
            </w:r>
          </w:p>
        </w:tc>
        <w:tc>
          <w:tcPr>
            <w:tcW w:w="1780" w:type="dxa"/>
            <w:tcBorders>
              <w:top w:val="nil"/>
              <w:left w:val="nil"/>
              <w:bottom w:val="single" w:sz="8" w:space="0" w:color="auto"/>
              <w:right w:val="single" w:sz="8" w:space="0" w:color="auto"/>
            </w:tcBorders>
            <w:shd w:val="clear" w:color="auto" w:fill="auto"/>
            <w:noWrap/>
            <w:vAlign w:val="center"/>
          </w:tcPr>
          <w:p w14:paraId="670A0E4A"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07D30899"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5,608,890</w:t>
            </w:r>
          </w:p>
        </w:tc>
      </w:tr>
      <w:tr w:rsidR="007B66C1" w:rsidRPr="00641338" w14:paraId="5408C42C"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2C62C065"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Old Stone</w:t>
            </w:r>
          </w:p>
        </w:tc>
        <w:tc>
          <w:tcPr>
            <w:tcW w:w="2200" w:type="dxa"/>
            <w:tcBorders>
              <w:top w:val="nil"/>
              <w:left w:val="nil"/>
              <w:bottom w:val="single" w:sz="8" w:space="0" w:color="auto"/>
              <w:right w:val="single" w:sz="8" w:space="0" w:color="auto"/>
            </w:tcBorders>
            <w:shd w:val="clear" w:color="auto" w:fill="auto"/>
            <w:noWrap/>
            <w:vAlign w:val="center"/>
            <w:hideMark/>
          </w:tcPr>
          <w:p w14:paraId="637BBA4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5.7</w:t>
            </w:r>
          </w:p>
        </w:tc>
        <w:tc>
          <w:tcPr>
            <w:tcW w:w="1780" w:type="dxa"/>
            <w:tcBorders>
              <w:top w:val="nil"/>
              <w:left w:val="nil"/>
              <w:bottom w:val="single" w:sz="8" w:space="0" w:color="auto"/>
              <w:right w:val="single" w:sz="8" w:space="0" w:color="auto"/>
            </w:tcBorders>
            <w:shd w:val="clear" w:color="auto" w:fill="auto"/>
            <w:noWrap/>
            <w:vAlign w:val="center"/>
            <w:hideMark/>
          </w:tcPr>
          <w:p w14:paraId="1CA642F6"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316392F0"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5,318,042</w:t>
            </w:r>
          </w:p>
        </w:tc>
      </w:tr>
      <w:tr w:rsidR="007B66C1" w:rsidRPr="00641338" w14:paraId="0E542806"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6F5AB4A8"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Salhouse</w:t>
            </w:r>
            <w:proofErr w:type="spellEnd"/>
          </w:p>
        </w:tc>
        <w:tc>
          <w:tcPr>
            <w:tcW w:w="2200" w:type="dxa"/>
            <w:tcBorders>
              <w:top w:val="nil"/>
              <w:left w:val="nil"/>
              <w:bottom w:val="single" w:sz="8" w:space="0" w:color="auto"/>
              <w:right w:val="single" w:sz="8" w:space="0" w:color="auto"/>
            </w:tcBorders>
            <w:shd w:val="clear" w:color="auto" w:fill="auto"/>
            <w:noWrap/>
            <w:vAlign w:val="center"/>
            <w:hideMark/>
          </w:tcPr>
          <w:p w14:paraId="05D187B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5.6</w:t>
            </w:r>
          </w:p>
        </w:tc>
        <w:tc>
          <w:tcPr>
            <w:tcW w:w="1780" w:type="dxa"/>
            <w:tcBorders>
              <w:top w:val="nil"/>
              <w:left w:val="nil"/>
              <w:bottom w:val="single" w:sz="8" w:space="0" w:color="auto"/>
              <w:right w:val="single" w:sz="8" w:space="0" w:color="auto"/>
            </w:tcBorders>
            <w:shd w:val="clear" w:color="auto" w:fill="auto"/>
            <w:noWrap/>
            <w:vAlign w:val="center"/>
            <w:hideMark/>
          </w:tcPr>
          <w:p w14:paraId="52506CE4"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726E58DE"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5,418,876</w:t>
            </w:r>
          </w:p>
        </w:tc>
      </w:tr>
      <w:tr w:rsidR="007B66C1" w:rsidRPr="00641338" w14:paraId="1BC89235"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4D902CE5"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 xml:space="preserve">Frogs </w:t>
            </w:r>
            <w:proofErr w:type="spellStart"/>
            <w:r w:rsidRPr="00641338">
              <w:rPr>
                <w:rFonts w:ascii="Georgia" w:hAnsi="Georgia" w:cs="Calibri"/>
                <w:color w:val="404040" w:themeColor="text1" w:themeTint="BF"/>
                <w:sz w:val="18"/>
                <w:szCs w:val="18"/>
              </w:rPr>
              <w:t>Loke</w:t>
            </w:r>
            <w:proofErr w:type="spellEnd"/>
          </w:p>
        </w:tc>
        <w:tc>
          <w:tcPr>
            <w:tcW w:w="2200" w:type="dxa"/>
            <w:tcBorders>
              <w:top w:val="nil"/>
              <w:left w:val="nil"/>
              <w:bottom w:val="single" w:sz="8" w:space="0" w:color="auto"/>
              <w:right w:val="single" w:sz="8" w:space="0" w:color="auto"/>
            </w:tcBorders>
            <w:shd w:val="clear" w:color="auto" w:fill="auto"/>
            <w:noWrap/>
            <w:vAlign w:val="center"/>
          </w:tcPr>
          <w:p w14:paraId="2F17284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5.6</w:t>
            </w:r>
          </w:p>
        </w:tc>
        <w:tc>
          <w:tcPr>
            <w:tcW w:w="1780" w:type="dxa"/>
            <w:tcBorders>
              <w:top w:val="nil"/>
              <w:left w:val="nil"/>
              <w:bottom w:val="single" w:sz="8" w:space="0" w:color="auto"/>
              <w:right w:val="single" w:sz="8" w:space="0" w:color="auto"/>
            </w:tcBorders>
            <w:shd w:val="clear" w:color="auto" w:fill="auto"/>
            <w:noWrap/>
            <w:vAlign w:val="center"/>
          </w:tcPr>
          <w:p w14:paraId="26720D6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0078224D"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5,140,269</w:t>
            </w:r>
          </w:p>
        </w:tc>
      </w:tr>
      <w:tr w:rsidR="007B66C1" w:rsidRPr="00641338" w14:paraId="1C2808FB"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789DB180"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Place Barton</w:t>
            </w:r>
          </w:p>
        </w:tc>
        <w:tc>
          <w:tcPr>
            <w:tcW w:w="2200" w:type="dxa"/>
            <w:tcBorders>
              <w:top w:val="nil"/>
              <w:left w:val="nil"/>
              <w:bottom w:val="single" w:sz="8" w:space="0" w:color="auto"/>
              <w:right w:val="single" w:sz="8" w:space="0" w:color="auto"/>
            </w:tcBorders>
            <w:shd w:val="clear" w:color="auto" w:fill="auto"/>
            <w:noWrap/>
            <w:vAlign w:val="center"/>
            <w:hideMark/>
          </w:tcPr>
          <w:p w14:paraId="54AF745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5.5</w:t>
            </w:r>
          </w:p>
        </w:tc>
        <w:tc>
          <w:tcPr>
            <w:tcW w:w="1780" w:type="dxa"/>
            <w:tcBorders>
              <w:top w:val="nil"/>
              <w:left w:val="nil"/>
              <w:bottom w:val="single" w:sz="8" w:space="0" w:color="auto"/>
              <w:right w:val="single" w:sz="8" w:space="0" w:color="auto"/>
            </w:tcBorders>
            <w:shd w:val="clear" w:color="auto" w:fill="auto"/>
            <w:noWrap/>
            <w:vAlign w:val="center"/>
            <w:hideMark/>
          </w:tcPr>
          <w:p w14:paraId="6A0E56E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432922C7"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5,345,670</w:t>
            </w:r>
          </w:p>
        </w:tc>
      </w:tr>
      <w:tr w:rsidR="007B66C1" w:rsidRPr="00641338" w14:paraId="5F3488ED"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46ED531C"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Court Farm</w:t>
            </w:r>
          </w:p>
        </w:tc>
        <w:tc>
          <w:tcPr>
            <w:tcW w:w="2200" w:type="dxa"/>
            <w:tcBorders>
              <w:top w:val="nil"/>
              <w:left w:val="nil"/>
              <w:bottom w:val="single" w:sz="8" w:space="0" w:color="auto"/>
              <w:right w:val="single" w:sz="8" w:space="0" w:color="auto"/>
            </w:tcBorders>
            <w:shd w:val="clear" w:color="auto" w:fill="auto"/>
            <w:noWrap/>
            <w:vAlign w:val="center"/>
            <w:hideMark/>
          </w:tcPr>
          <w:p w14:paraId="199A2F6B"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5.5</w:t>
            </w:r>
          </w:p>
        </w:tc>
        <w:tc>
          <w:tcPr>
            <w:tcW w:w="1780" w:type="dxa"/>
            <w:tcBorders>
              <w:top w:val="nil"/>
              <w:left w:val="nil"/>
              <w:bottom w:val="single" w:sz="8" w:space="0" w:color="auto"/>
              <w:right w:val="single" w:sz="8" w:space="0" w:color="auto"/>
            </w:tcBorders>
            <w:shd w:val="clear" w:color="auto" w:fill="auto"/>
            <w:noWrap/>
            <w:vAlign w:val="center"/>
            <w:hideMark/>
          </w:tcPr>
          <w:p w14:paraId="4B19D1F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3898F67A"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5,631,503</w:t>
            </w:r>
          </w:p>
        </w:tc>
      </w:tr>
      <w:tr w:rsidR="007B66C1" w:rsidRPr="00641338" w14:paraId="073C1ECD"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D75C76F"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The Grange</w:t>
            </w:r>
          </w:p>
        </w:tc>
        <w:tc>
          <w:tcPr>
            <w:tcW w:w="2200" w:type="dxa"/>
            <w:tcBorders>
              <w:top w:val="nil"/>
              <w:left w:val="nil"/>
              <w:bottom w:val="single" w:sz="8" w:space="0" w:color="auto"/>
              <w:right w:val="single" w:sz="8" w:space="0" w:color="auto"/>
            </w:tcBorders>
            <w:shd w:val="clear" w:color="auto" w:fill="auto"/>
            <w:noWrap/>
            <w:vAlign w:val="center"/>
          </w:tcPr>
          <w:p w14:paraId="2A70D746"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5.4</w:t>
            </w:r>
          </w:p>
        </w:tc>
        <w:tc>
          <w:tcPr>
            <w:tcW w:w="1780" w:type="dxa"/>
            <w:tcBorders>
              <w:top w:val="nil"/>
              <w:left w:val="nil"/>
              <w:bottom w:val="single" w:sz="8" w:space="0" w:color="auto"/>
              <w:right w:val="single" w:sz="8" w:space="0" w:color="auto"/>
            </w:tcBorders>
            <w:shd w:val="clear" w:color="auto" w:fill="auto"/>
            <w:noWrap/>
            <w:vAlign w:val="center"/>
          </w:tcPr>
          <w:p w14:paraId="45FF6C46"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72E99D15"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5,288,261</w:t>
            </w:r>
          </w:p>
        </w:tc>
      </w:tr>
    </w:tbl>
    <w:p w14:paraId="5DB9EE61" w14:textId="6908140F" w:rsidR="001C6E68" w:rsidRDefault="001C6E68" w:rsidP="007B66C1">
      <w:pPr>
        <w:jc w:val="both"/>
        <w:rPr>
          <w:rFonts w:ascii="Georgia" w:hAnsi="Georgia"/>
          <w:color w:val="404040" w:themeColor="text1" w:themeTint="BF"/>
          <w:sz w:val="20"/>
          <w:szCs w:val="20"/>
        </w:rPr>
      </w:pPr>
    </w:p>
    <w:p w14:paraId="75F684B3" w14:textId="77777777" w:rsidR="001C6E68" w:rsidRDefault="001C6E68">
      <w:pPr>
        <w:rPr>
          <w:rFonts w:ascii="Georgia" w:hAnsi="Georgia"/>
          <w:color w:val="404040" w:themeColor="text1" w:themeTint="BF"/>
          <w:sz w:val="20"/>
          <w:szCs w:val="20"/>
        </w:rPr>
      </w:pPr>
      <w:r>
        <w:rPr>
          <w:rFonts w:ascii="Georgia" w:hAnsi="Georgia"/>
          <w:color w:val="404040" w:themeColor="text1" w:themeTint="BF"/>
          <w:sz w:val="20"/>
          <w:szCs w:val="20"/>
        </w:rPr>
        <w:br w:type="page"/>
      </w:r>
    </w:p>
    <w:p w14:paraId="6BC7BF70" w14:textId="77777777" w:rsidR="007B66C1" w:rsidRDefault="007B66C1" w:rsidP="007B66C1">
      <w:pPr>
        <w:jc w:val="both"/>
        <w:rPr>
          <w:rFonts w:ascii="Georgia" w:hAnsi="Georgia"/>
          <w:color w:val="404040" w:themeColor="text1" w:themeTint="BF"/>
          <w:sz w:val="20"/>
          <w:szCs w:val="20"/>
        </w:rPr>
      </w:pPr>
    </w:p>
    <w:p w14:paraId="64E78040" w14:textId="77777777" w:rsidR="001C6E68" w:rsidRPr="00641338" w:rsidRDefault="001C6E68" w:rsidP="001C6E68">
      <w:pPr>
        <w:pStyle w:val="Heading2"/>
        <w:spacing w:before="0"/>
      </w:pPr>
      <w:r w:rsidRPr="00641338">
        <w:t>Report of the Investment Adviser (continued)</w:t>
      </w:r>
    </w:p>
    <w:p w14:paraId="64567C32" w14:textId="77777777" w:rsidR="001C6E68" w:rsidRPr="00641338" w:rsidRDefault="001C6E68" w:rsidP="007B66C1">
      <w:pPr>
        <w:jc w:val="both"/>
        <w:rPr>
          <w:rFonts w:ascii="Georgia" w:hAnsi="Georgia"/>
          <w:color w:val="404040" w:themeColor="text1" w:themeTint="BF"/>
          <w:sz w:val="20"/>
          <w:szCs w:val="20"/>
        </w:rPr>
      </w:pPr>
    </w:p>
    <w:tbl>
      <w:tblPr>
        <w:tblW w:w="8530" w:type="dxa"/>
        <w:tblInd w:w="108" w:type="dxa"/>
        <w:tblLook w:val="04A0" w:firstRow="1" w:lastRow="0" w:firstColumn="1" w:lastColumn="0" w:noHBand="0" w:noVBand="1"/>
      </w:tblPr>
      <w:tblGrid>
        <w:gridCol w:w="2610"/>
        <w:gridCol w:w="2200"/>
        <w:gridCol w:w="1780"/>
        <w:gridCol w:w="1940"/>
      </w:tblGrid>
      <w:tr w:rsidR="007B66C1" w:rsidRPr="00641338" w14:paraId="47D0D25C" w14:textId="77777777" w:rsidTr="006F0858">
        <w:trPr>
          <w:trHeight w:val="735"/>
          <w:tblHeader/>
        </w:trPr>
        <w:tc>
          <w:tcPr>
            <w:tcW w:w="261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40FAEC42" w14:textId="77777777" w:rsidR="007B66C1" w:rsidRPr="00641338" w:rsidRDefault="007B66C1" w:rsidP="006F0858">
            <w:pPr>
              <w:rPr>
                <w:rFonts w:ascii="Georgia" w:hAnsi="Georgia"/>
                <w:b/>
                <w:bCs/>
                <w:color w:val="FFFFFF"/>
                <w:sz w:val="18"/>
                <w:szCs w:val="18"/>
                <w:lang w:eastAsia="en-GB"/>
              </w:rPr>
            </w:pPr>
            <w:r w:rsidRPr="00641338">
              <w:rPr>
                <w:rFonts w:ascii="Georgia" w:hAnsi="Georgia"/>
                <w:b/>
                <w:bCs/>
                <w:color w:val="FFFFFF"/>
                <w:sz w:val="18"/>
                <w:szCs w:val="18"/>
              </w:rPr>
              <w:t>Solar Farm Asset</w:t>
            </w:r>
          </w:p>
        </w:tc>
        <w:tc>
          <w:tcPr>
            <w:tcW w:w="2200" w:type="dxa"/>
            <w:tcBorders>
              <w:top w:val="single" w:sz="8" w:space="0" w:color="auto"/>
              <w:left w:val="nil"/>
              <w:bottom w:val="single" w:sz="8" w:space="0" w:color="auto"/>
              <w:right w:val="single" w:sz="8" w:space="0" w:color="auto"/>
            </w:tcBorders>
            <w:shd w:val="clear" w:color="000000" w:fill="365F91"/>
            <w:vAlign w:val="center"/>
            <w:hideMark/>
          </w:tcPr>
          <w:p w14:paraId="754684D4" w14:textId="77777777" w:rsidR="007B66C1" w:rsidRPr="00641338" w:rsidRDefault="007B66C1" w:rsidP="006F0858">
            <w:pPr>
              <w:rPr>
                <w:rFonts w:ascii="Georgia" w:hAnsi="Georgia"/>
                <w:b/>
                <w:bCs/>
                <w:color w:val="FFFFFF"/>
                <w:sz w:val="18"/>
                <w:szCs w:val="18"/>
              </w:rPr>
            </w:pPr>
            <w:r w:rsidRPr="00641338">
              <w:rPr>
                <w:rFonts w:ascii="Georgia" w:hAnsi="Georgia"/>
                <w:b/>
                <w:bCs/>
                <w:color w:val="FFFFFF"/>
                <w:sz w:val="18"/>
                <w:szCs w:val="18"/>
              </w:rPr>
              <w:t>Total Investment Commitment (GBP)</w:t>
            </w:r>
          </w:p>
        </w:tc>
        <w:tc>
          <w:tcPr>
            <w:tcW w:w="1780" w:type="dxa"/>
            <w:tcBorders>
              <w:top w:val="single" w:sz="8" w:space="0" w:color="auto"/>
              <w:left w:val="nil"/>
              <w:bottom w:val="single" w:sz="8" w:space="0" w:color="auto"/>
              <w:right w:val="single" w:sz="8" w:space="0" w:color="auto"/>
            </w:tcBorders>
            <w:shd w:val="clear" w:color="000000" w:fill="365F91"/>
            <w:vAlign w:val="center"/>
            <w:hideMark/>
          </w:tcPr>
          <w:p w14:paraId="2D62A597" w14:textId="77777777" w:rsidR="007B66C1" w:rsidRPr="00641338" w:rsidRDefault="007B66C1" w:rsidP="006F0858">
            <w:pPr>
              <w:rPr>
                <w:rFonts w:ascii="Georgia" w:hAnsi="Georgia"/>
                <w:b/>
                <w:bCs/>
                <w:color w:val="FFFFFF"/>
                <w:sz w:val="18"/>
                <w:szCs w:val="18"/>
              </w:rPr>
            </w:pPr>
            <w:r w:rsidRPr="00641338">
              <w:rPr>
                <w:rFonts w:ascii="Georgia" w:hAnsi="Georgia"/>
                <w:b/>
                <w:bCs/>
                <w:color w:val="FFFFFF"/>
                <w:sz w:val="18"/>
                <w:szCs w:val="18"/>
              </w:rPr>
              <w:t xml:space="preserve">        Installed Capacity (</w:t>
            </w:r>
            <w:proofErr w:type="spellStart"/>
            <w:r w:rsidRPr="00641338">
              <w:rPr>
                <w:rFonts w:ascii="Georgia" w:hAnsi="Georgia"/>
                <w:b/>
                <w:bCs/>
                <w:color w:val="FFFFFF"/>
                <w:sz w:val="18"/>
                <w:szCs w:val="18"/>
              </w:rPr>
              <w:t>MWp</w:t>
            </w:r>
            <w:proofErr w:type="spellEnd"/>
            <w:r w:rsidRPr="00641338">
              <w:rPr>
                <w:rFonts w:ascii="Georgia" w:hAnsi="Georgia"/>
                <w:b/>
                <w:bCs/>
                <w:color w:val="FFFFFF"/>
                <w:sz w:val="18"/>
                <w:szCs w:val="18"/>
              </w:rPr>
              <w:t xml:space="preserve">) </w:t>
            </w:r>
          </w:p>
        </w:tc>
        <w:tc>
          <w:tcPr>
            <w:tcW w:w="1940" w:type="dxa"/>
            <w:tcBorders>
              <w:top w:val="single" w:sz="8" w:space="0" w:color="auto"/>
              <w:left w:val="nil"/>
              <w:bottom w:val="single" w:sz="8" w:space="0" w:color="auto"/>
              <w:right w:val="single" w:sz="8" w:space="0" w:color="auto"/>
            </w:tcBorders>
            <w:shd w:val="clear" w:color="000000" w:fill="365F91"/>
            <w:vAlign w:val="center"/>
            <w:hideMark/>
          </w:tcPr>
          <w:p w14:paraId="3C774CF9" w14:textId="77777777" w:rsidR="007B66C1" w:rsidRPr="00641338" w:rsidRDefault="007B66C1" w:rsidP="006F0858">
            <w:pPr>
              <w:rPr>
                <w:rFonts w:ascii="Georgia" w:hAnsi="Georgia"/>
                <w:b/>
                <w:bCs/>
                <w:color w:val="FFFFFF"/>
                <w:sz w:val="18"/>
                <w:szCs w:val="18"/>
              </w:rPr>
            </w:pPr>
            <w:r w:rsidRPr="00641338">
              <w:rPr>
                <w:rFonts w:ascii="Georgia" w:hAnsi="Georgia"/>
                <w:b/>
                <w:bCs/>
                <w:color w:val="FFFFFF"/>
                <w:sz w:val="18"/>
                <w:szCs w:val="18"/>
              </w:rPr>
              <w:t xml:space="preserve">Generation to 30 June 2020 (Actual, </w:t>
            </w:r>
            <w:r>
              <w:rPr>
                <w:rFonts w:ascii="Georgia" w:hAnsi="Georgia"/>
                <w:b/>
                <w:bCs/>
                <w:color w:val="FFFFFF"/>
                <w:sz w:val="18"/>
                <w:szCs w:val="18"/>
              </w:rPr>
              <w:t>kWh</w:t>
            </w:r>
            <w:r w:rsidRPr="00641338">
              <w:rPr>
                <w:rFonts w:ascii="Georgia" w:hAnsi="Georgia"/>
                <w:b/>
                <w:bCs/>
                <w:color w:val="FFFFFF"/>
                <w:sz w:val="18"/>
                <w:szCs w:val="18"/>
              </w:rPr>
              <w:t>)</w:t>
            </w:r>
          </w:p>
        </w:tc>
      </w:tr>
      <w:tr w:rsidR="007B66C1" w:rsidRPr="00641338" w14:paraId="473B6D4D"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hideMark/>
          </w:tcPr>
          <w:p w14:paraId="3122EE76"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Bunns</w:t>
            </w:r>
            <w:proofErr w:type="spellEnd"/>
            <w:r w:rsidRPr="00641338">
              <w:rPr>
                <w:rFonts w:ascii="Georgia" w:hAnsi="Georgia" w:cs="Calibri"/>
                <w:color w:val="404040" w:themeColor="text1" w:themeTint="BF"/>
                <w:sz w:val="18"/>
                <w:szCs w:val="18"/>
              </w:rPr>
              <w:t xml:space="preserve"> Hill</w:t>
            </w:r>
          </w:p>
        </w:tc>
        <w:tc>
          <w:tcPr>
            <w:tcW w:w="2200" w:type="dxa"/>
            <w:tcBorders>
              <w:top w:val="nil"/>
              <w:left w:val="nil"/>
              <w:bottom w:val="single" w:sz="8" w:space="0" w:color="auto"/>
              <w:right w:val="single" w:sz="8" w:space="0" w:color="auto"/>
            </w:tcBorders>
            <w:shd w:val="clear" w:color="auto" w:fill="auto"/>
            <w:noWrap/>
            <w:vAlign w:val="center"/>
            <w:hideMark/>
          </w:tcPr>
          <w:p w14:paraId="2422F2F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5.3</w:t>
            </w:r>
          </w:p>
        </w:tc>
        <w:tc>
          <w:tcPr>
            <w:tcW w:w="1780" w:type="dxa"/>
            <w:tcBorders>
              <w:top w:val="nil"/>
              <w:left w:val="nil"/>
              <w:bottom w:val="single" w:sz="8" w:space="0" w:color="auto"/>
              <w:right w:val="single" w:sz="8" w:space="0" w:color="auto"/>
            </w:tcBorders>
            <w:shd w:val="clear" w:color="auto" w:fill="auto"/>
            <w:noWrap/>
            <w:vAlign w:val="center"/>
            <w:hideMark/>
          </w:tcPr>
          <w:p w14:paraId="6BCEEBBA"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8" w:space="0" w:color="auto"/>
              <w:right w:val="single" w:sz="8" w:space="0" w:color="auto"/>
            </w:tcBorders>
            <w:shd w:val="clear" w:color="auto" w:fill="auto"/>
            <w:noWrap/>
          </w:tcPr>
          <w:p w14:paraId="7C363926" w14:textId="77777777" w:rsidR="007B66C1" w:rsidRPr="00641338" w:rsidRDefault="007B66C1" w:rsidP="006F0858">
            <w:pPr>
              <w:jc w:val="center"/>
              <w:rPr>
                <w:rFonts w:ascii="Georgia" w:hAnsi="Georgia" w:cs="Calibri"/>
                <w:color w:val="404040" w:themeColor="text1" w:themeTint="BF"/>
                <w:sz w:val="18"/>
                <w:szCs w:val="18"/>
              </w:rPr>
            </w:pPr>
            <w:r w:rsidRPr="005D48C1">
              <w:rPr>
                <w:rFonts w:ascii="Georgia" w:hAnsi="Georgia" w:cs="Calibri"/>
                <w:color w:val="404040" w:themeColor="text1" w:themeTint="BF"/>
                <w:sz w:val="18"/>
                <w:szCs w:val="18"/>
              </w:rPr>
              <w:t>5,333,424</w:t>
            </w:r>
          </w:p>
        </w:tc>
      </w:tr>
      <w:tr w:rsidR="007B66C1" w:rsidRPr="00641338" w14:paraId="3C8A955E" w14:textId="77777777" w:rsidTr="006F0858">
        <w:trPr>
          <w:trHeight w:val="315"/>
        </w:trPr>
        <w:tc>
          <w:tcPr>
            <w:tcW w:w="2610" w:type="dxa"/>
            <w:tcBorders>
              <w:top w:val="nil"/>
              <w:left w:val="single" w:sz="8" w:space="0" w:color="auto"/>
              <w:bottom w:val="single" w:sz="4" w:space="0" w:color="auto"/>
              <w:right w:val="single" w:sz="8" w:space="0" w:color="auto"/>
            </w:tcBorders>
            <w:shd w:val="clear" w:color="auto" w:fill="auto"/>
            <w:noWrap/>
            <w:vAlign w:val="center"/>
            <w:hideMark/>
          </w:tcPr>
          <w:p w14:paraId="4DDCFE9C"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Oulton</w:t>
            </w:r>
          </w:p>
        </w:tc>
        <w:tc>
          <w:tcPr>
            <w:tcW w:w="2200" w:type="dxa"/>
            <w:tcBorders>
              <w:top w:val="nil"/>
              <w:left w:val="nil"/>
              <w:bottom w:val="single" w:sz="4" w:space="0" w:color="auto"/>
              <w:right w:val="single" w:sz="8" w:space="0" w:color="auto"/>
            </w:tcBorders>
            <w:shd w:val="clear" w:color="auto" w:fill="auto"/>
            <w:noWrap/>
            <w:vAlign w:val="center"/>
            <w:hideMark/>
          </w:tcPr>
          <w:p w14:paraId="3220862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5.3</w:t>
            </w:r>
          </w:p>
        </w:tc>
        <w:tc>
          <w:tcPr>
            <w:tcW w:w="1780" w:type="dxa"/>
            <w:tcBorders>
              <w:top w:val="nil"/>
              <w:left w:val="nil"/>
              <w:bottom w:val="single" w:sz="4" w:space="0" w:color="auto"/>
              <w:right w:val="single" w:sz="8" w:space="0" w:color="auto"/>
            </w:tcBorders>
            <w:shd w:val="clear" w:color="auto" w:fill="auto"/>
            <w:noWrap/>
            <w:vAlign w:val="center"/>
            <w:hideMark/>
          </w:tcPr>
          <w:p w14:paraId="24C6899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nil"/>
              <w:left w:val="nil"/>
              <w:bottom w:val="single" w:sz="4" w:space="0" w:color="auto"/>
              <w:right w:val="single" w:sz="8" w:space="0" w:color="auto"/>
            </w:tcBorders>
            <w:shd w:val="clear" w:color="auto" w:fill="auto"/>
            <w:noWrap/>
          </w:tcPr>
          <w:p w14:paraId="6F983087"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5,208,613</w:t>
            </w:r>
          </w:p>
        </w:tc>
      </w:tr>
      <w:tr w:rsidR="007B66C1" w:rsidRPr="00641338" w14:paraId="155028E4"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B910766"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Rookery</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75D59C2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5.2</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1ED3BA84"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single" w:sz="4" w:space="0" w:color="auto"/>
              <w:left w:val="nil"/>
              <w:bottom w:val="single" w:sz="4" w:space="0" w:color="auto"/>
              <w:right w:val="single" w:sz="8" w:space="0" w:color="auto"/>
            </w:tcBorders>
            <w:shd w:val="clear" w:color="auto" w:fill="auto"/>
            <w:noWrap/>
          </w:tcPr>
          <w:p w14:paraId="3BA71EAA"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4,928,605</w:t>
            </w:r>
          </w:p>
        </w:tc>
      </w:tr>
      <w:tr w:rsidR="007B66C1" w:rsidRPr="00641338" w14:paraId="70D75B83"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F3D7118"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Kellingley</w:t>
            </w:r>
            <w:proofErr w:type="spellEnd"/>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33287D63"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335F065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single" w:sz="4" w:space="0" w:color="auto"/>
              <w:left w:val="nil"/>
              <w:bottom w:val="single" w:sz="4" w:space="0" w:color="auto"/>
              <w:right w:val="single" w:sz="8" w:space="0" w:color="auto"/>
            </w:tcBorders>
            <w:shd w:val="clear" w:color="auto" w:fill="auto"/>
            <w:noWrap/>
          </w:tcPr>
          <w:p w14:paraId="5F844852"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5,278,718</w:t>
            </w:r>
          </w:p>
        </w:tc>
      </w:tr>
      <w:tr w:rsidR="007B66C1" w:rsidRPr="00641338" w14:paraId="33ED3DA1"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0DE95BF"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Kislingbury</w:t>
            </w:r>
            <w:proofErr w:type="spellEnd"/>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46237C41"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5A62A87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single" w:sz="4" w:space="0" w:color="auto"/>
              <w:left w:val="nil"/>
              <w:bottom w:val="single" w:sz="4" w:space="0" w:color="auto"/>
              <w:right w:val="single" w:sz="8" w:space="0" w:color="auto"/>
            </w:tcBorders>
            <w:shd w:val="clear" w:color="auto" w:fill="auto"/>
            <w:noWrap/>
          </w:tcPr>
          <w:p w14:paraId="15E60227"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5,260,159</w:t>
            </w:r>
          </w:p>
        </w:tc>
      </w:tr>
      <w:tr w:rsidR="007B66C1" w:rsidRPr="00641338" w14:paraId="2792A3C5"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F620A74"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Willows</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5F37CA1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4.6</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7A51FA20"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5.0</w:t>
            </w:r>
          </w:p>
        </w:tc>
        <w:tc>
          <w:tcPr>
            <w:tcW w:w="1940" w:type="dxa"/>
            <w:tcBorders>
              <w:top w:val="single" w:sz="4" w:space="0" w:color="auto"/>
              <w:left w:val="nil"/>
              <w:bottom w:val="single" w:sz="4" w:space="0" w:color="auto"/>
              <w:right w:val="single" w:sz="8" w:space="0" w:color="auto"/>
            </w:tcBorders>
            <w:shd w:val="clear" w:color="auto" w:fill="auto"/>
            <w:noWrap/>
          </w:tcPr>
          <w:p w14:paraId="35F588EC"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4,931,100</w:t>
            </w:r>
          </w:p>
        </w:tc>
      </w:tr>
      <w:tr w:rsidR="007B66C1" w:rsidRPr="00641338" w14:paraId="4C9246DB"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FA194D5"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Trethosa</w:t>
            </w:r>
            <w:proofErr w:type="spellEnd"/>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34D7882C"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5.8</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4B8FBCD3"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4.8</w:t>
            </w:r>
          </w:p>
        </w:tc>
        <w:tc>
          <w:tcPr>
            <w:tcW w:w="1940" w:type="dxa"/>
            <w:tcBorders>
              <w:top w:val="single" w:sz="4" w:space="0" w:color="auto"/>
              <w:left w:val="nil"/>
              <w:bottom w:val="single" w:sz="4" w:space="0" w:color="auto"/>
              <w:right w:val="single" w:sz="8" w:space="0" w:color="auto"/>
            </w:tcBorders>
            <w:shd w:val="clear" w:color="auto" w:fill="auto"/>
            <w:noWrap/>
          </w:tcPr>
          <w:p w14:paraId="644BD75F"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4,885,289</w:t>
            </w:r>
          </w:p>
        </w:tc>
      </w:tr>
      <w:tr w:rsidR="007B66C1" w:rsidRPr="00641338" w14:paraId="2CC2BF7A"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2B51641"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Folly Lane</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18237529"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5.3</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23526C8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4.8</w:t>
            </w:r>
          </w:p>
        </w:tc>
        <w:tc>
          <w:tcPr>
            <w:tcW w:w="1940" w:type="dxa"/>
            <w:tcBorders>
              <w:top w:val="single" w:sz="4" w:space="0" w:color="auto"/>
              <w:left w:val="nil"/>
              <w:bottom w:val="single" w:sz="4" w:space="0" w:color="auto"/>
              <w:right w:val="single" w:sz="8" w:space="0" w:color="auto"/>
            </w:tcBorders>
            <w:shd w:val="clear" w:color="auto" w:fill="auto"/>
            <w:noWrap/>
          </w:tcPr>
          <w:p w14:paraId="2C1B4214"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5,048,029</w:t>
            </w:r>
          </w:p>
        </w:tc>
      </w:tr>
      <w:tr w:rsidR="007B66C1" w:rsidRPr="00641338" w14:paraId="1F787F42"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638665D"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Gypsum</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7CBBDCB7"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4.4</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4E0F5E01"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4.5</w:t>
            </w:r>
          </w:p>
        </w:tc>
        <w:tc>
          <w:tcPr>
            <w:tcW w:w="1940" w:type="dxa"/>
            <w:tcBorders>
              <w:top w:val="single" w:sz="4" w:space="0" w:color="auto"/>
              <w:left w:val="nil"/>
              <w:bottom w:val="single" w:sz="4" w:space="0" w:color="auto"/>
              <w:right w:val="single" w:sz="8" w:space="0" w:color="auto"/>
            </w:tcBorders>
            <w:shd w:val="clear" w:color="auto" w:fill="auto"/>
            <w:noWrap/>
          </w:tcPr>
          <w:p w14:paraId="3E961A37"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4,425,750</w:t>
            </w:r>
          </w:p>
        </w:tc>
      </w:tr>
      <w:tr w:rsidR="007B66C1" w:rsidRPr="00641338" w14:paraId="2392EA9D"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CB6C132"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Tollgate Farm</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3A1E7A2C"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4.6</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3E41D01D"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4.3</w:t>
            </w:r>
          </w:p>
        </w:tc>
        <w:tc>
          <w:tcPr>
            <w:tcW w:w="1940" w:type="dxa"/>
            <w:tcBorders>
              <w:top w:val="single" w:sz="4" w:space="0" w:color="auto"/>
              <w:left w:val="nil"/>
              <w:bottom w:val="single" w:sz="4" w:space="0" w:color="auto"/>
              <w:right w:val="single" w:sz="8" w:space="0" w:color="auto"/>
            </w:tcBorders>
            <w:shd w:val="clear" w:color="auto" w:fill="auto"/>
            <w:noWrap/>
          </w:tcPr>
          <w:p w14:paraId="7DD9B21C"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4,401,838</w:t>
            </w:r>
          </w:p>
        </w:tc>
      </w:tr>
      <w:tr w:rsidR="007B66C1" w:rsidRPr="00641338" w14:paraId="11EEF97A"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63F480C"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Burnaston</w:t>
            </w:r>
            <w:proofErr w:type="spellEnd"/>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54BBEB5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14.4</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484079E4"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4.1</w:t>
            </w:r>
          </w:p>
        </w:tc>
        <w:tc>
          <w:tcPr>
            <w:tcW w:w="1940" w:type="dxa"/>
            <w:tcBorders>
              <w:top w:val="single" w:sz="4" w:space="0" w:color="auto"/>
              <w:left w:val="nil"/>
              <w:bottom w:val="single" w:sz="4" w:space="0" w:color="auto"/>
              <w:right w:val="single" w:sz="8" w:space="0" w:color="auto"/>
            </w:tcBorders>
            <w:shd w:val="clear" w:color="auto" w:fill="auto"/>
            <w:noWrap/>
          </w:tcPr>
          <w:p w14:paraId="6C910162"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4,009,266</w:t>
            </w:r>
          </w:p>
        </w:tc>
      </w:tr>
      <w:tr w:rsidR="007B66C1" w:rsidRPr="00641338" w14:paraId="16A7813A"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7E56DF4"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Galton Manor</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57B7D8B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5.5</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43010133"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bCs/>
                <w:color w:val="404040" w:themeColor="text1" w:themeTint="BF"/>
                <w:sz w:val="18"/>
                <w:szCs w:val="18"/>
              </w:rPr>
              <w:t>3.8</w:t>
            </w:r>
          </w:p>
        </w:tc>
        <w:tc>
          <w:tcPr>
            <w:tcW w:w="1940" w:type="dxa"/>
            <w:tcBorders>
              <w:top w:val="single" w:sz="4" w:space="0" w:color="auto"/>
              <w:left w:val="nil"/>
              <w:bottom w:val="single" w:sz="4" w:space="0" w:color="auto"/>
              <w:right w:val="single" w:sz="8" w:space="0" w:color="auto"/>
            </w:tcBorders>
            <w:shd w:val="clear" w:color="auto" w:fill="auto"/>
            <w:noWrap/>
          </w:tcPr>
          <w:p w14:paraId="1897E7E2"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4,256,607</w:t>
            </w:r>
          </w:p>
        </w:tc>
      </w:tr>
      <w:tr w:rsidR="007B66C1" w:rsidRPr="00641338" w14:paraId="1F432E39"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315436C"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Barvills</w:t>
            </w:r>
            <w:proofErr w:type="spellEnd"/>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51C8464C"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3.3</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0B3DB711"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3.2</w:t>
            </w:r>
          </w:p>
        </w:tc>
        <w:tc>
          <w:tcPr>
            <w:tcW w:w="1940" w:type="dxa"/>
            <w:tcBorders>
              <w:top w:val="single" w:sz="4" w:space="0" w:color="auto"/>
              <w:left w:val="nil"/>
              <w:bottom w:val="single" w:sz="4" w:space="0" w:color="auto"/>
              <w:right w:val="single" w:sz="8" w:space="0" w:color="auto"/>
            </w:tcBorders>
            <w:shd w:val="clear" w:color="auto" w:fill="auto"/>
            <w:noWrap/>
          </w:tcPr>
          <w:p w14:paraId="59A4B867"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3,644,579</w:t>
            </w:r>
          </w:p>
        </w:tc>
      </w:tr>
      <w:tr w:rsidR="007B66C1" w:rsidRPr="00641338" w14:paraId="417241B4"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F50FC46"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Langlands</w:t>
            </w:r>
            <w:proofErr w:type="spellEnd"/>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10EAF2C8"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3.1</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2070A51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2.1</w:t>
            </w:r>
          </w:p>
        </w:tc>
        <w:tc>
          <w:tcPr>
            <w:tcW w:w="1940" w:type="dxa"/>
            <w:tcBorders>
              <w:top w:val="single" w:sz="4" w:space="0" w:color="auto"/>
              <w:left w:val="nil"/>
              <w:bottom w:val="single" w:sz="4" w:space="0" w:color="auto"/>
              <w:right w:val="single" w:sz="8" w:space="0" w:color="auto"/>
            </w:tcBorders>
            <w:shd w:val="clear" w:color="auto" w:fill="auto"/>
            <w:noWrap/>
          </w:tcPr>
          <w:p w14:paraId="1C7B4E29"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2,131,638</w:t>
            </w:r>
          </w:p>
        </w:tc>
      </w:tr>
      <w:tr w:rsidR="007B66C1" w:rsidRPr="00641338" w14:paraId="68C014D0"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74F62D1"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Goshawk (10 micro sites)</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1B8ED042"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2.0</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50D82FC5"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1.1</w:t>
            </w:r>
          </w:p>
        </w:tc>
        <w:tc>
          <w:tcPr>
            <w:tcW w:w="1940" w:type="dxa"/>
            <w:tcBorders>
              <w:top w:val="single" w:sz="4" w:space="0" w:color="auto"/>
              <w:left w:val="nil"/>
              <w:bottom w:val="single" w:sz="4" w:space="0" w:color="auto"/>
              <w:right w:val="single" w:sz="8" w:space="0" w:color="auto"/>
            </w:tcBorders>
            <w:shd w:val="clear" w:color="auto" w:fill="auto"/>
            <w:noWrap/>
          </w:tcPr>
          <w:p w14:paraId="10AD7076"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1,183,623</w:t>
            </w:r>
          </w:p>
        </w:tc>
      </w:tr>
      <w:tr w:rsidR="007B66C1" w:rsidRPr="00641338" w14:paraId="09A43BE4"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BEB6760"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Butteriss</w:t>
            </w:r>
            <w:proofErr w:type="spellEnd"/>
            <w:r w:rsidRPr="00641338">
              <w:rPr>
                <w:rFonts w:ascii="Georgia" w:hAnsi="Georgia" w:cs="Calibri"/>
                <w:color w:val="404040" w:themeColor="text1" w:themeTint="BF"/>
                <w:sz w:val="18"/>
                <w:szCs w:val="18"/>
              </w:rPr>
              <w:t xml:space="preserve"> (20 micro sites)</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00E9925D"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2.3</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1BA0AE03"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0.8</w:t>
            </w:r>
          </w:p>
        </w:tc>
        <w:tc>
          <w:tcPr>
            <w:tcW w:w="1940" w:type="dxa"/>
            <w:tcBorders>
              <w:top w:val="single" w:sz="4" w:space="0" w:color="auto"/>
              <w:left w:val="nil"/>
              <w:bottom w:val="single" w:sz="4" w:space="0" w:color="auto"/>
              <w:right w:val="single" w:sz="8" w:space="0" w:color="auto"/>
            </w:tcBorders>
            <w:shd w:val="clear" w:color="auto" w:fill="auto"/>
            <w:noWrap/>
          </w:tcPr>
          <w:p w14:paraId="7E4073B7"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652,245</w:t>
            </w:r>
          </w:p>
        </w:tc>
      </w:tr>
      <w:tr w:rsidR="007B66C1" w:rsidRPr="00641338" w14:paraId="4E82071B"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C9A5432"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Corby</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479CEF1C"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2.3</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6A8DE334"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0.5</w:t>
            </w:r>
          </w:p>
        </w:tc>
        <w:tc>
          <w:tcPr>
            <w:tcW w:w="1940" w:type="dxa"/>
            <w:tcBorders>
              <w:top w:val="single" w:sz="4" w:space="0" w:color="auto"/>
              <w:left w:val="nil"/>
              <w:bottom w:val="single" w:sz="4" w:space="0" w:color="auto"/>
              <w:right w:val="single" w:sz="8" w:space="0" w:color="auto"/>
            </w:tcBorders>
            <w:shd w:val="clear" w:color="auto" w:fill="auto"/>
            <w:noWrap/>
          </w:tcPr>
          <w:p w14:paraId="60524085"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393,598</w:t>
            </w:r>
          </w:p>
        </w:tc>
      </w:tr>
      <w:tr w:rsidR="007B66C1" w:rsidRPr="00641338" w14:paraId="3599A33D"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D577A03" w14:textId="77777777" w:rsidR="007B66C1" w:rsidRPr="00641338" w:rsidRDefault="007B66C1" w:rsidP="006F0858">
            <w:pPr>
              <w:rPr>
                <w:rFonts w:ascii="Georgia" w:hAnsi="Georgia" w:cs="Calibri"/>
                <w:color w:val="404040" w:themeColor="text1" w:themeTint="BF"/>
                <w:sz w:val="18"/>
                <w:szCs w:val="18"/>
              </w:rPr>
            </w:pPr>
            <w:proofErr w:type="spellStart"/>
            <w:r w:rsidRPr="00641338">
              <w:rPr>
                <w:rFonts w:ascii="Georgia" w:hAnsi="Georgia" w:cs="Calibri"/>
                <w:color w:val="404040" w:themeColor="text1" w:themeTint="BF"/>
                <w:sz w:val="18"/>
                <w:szCs w:val="18"/>
              </w:rPr>
              <w:t>Promothames</w:t>
            </w:r>
            <w:proofErr w:type="spellEnd"/>
            <w:r w:rsidRPr="00641338">
              <w:rPr>
                <w:rFonts w:ascii="Georgia" w:hAnsi="Georgia" w:cs="Calibri"/>
                <w:color w:val="404040" w:themeColor="text1" w:themeTint="BF"/>
                <w:sz w:val="18"/>
                <w:szCs w:val="18"/>
              </w:rPr>
              <w:t xml:space="preserve"> (9 micro sites)</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4FF0B1CF"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1.3</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5FE2419E" w14:textId="77777777" w:rsidR="007B66C1" w:rsidRPr="00641338" w:rsidRDefault="007B66C1" w:rsidP="006F0858">
            <w:pPr>
              <w:jc w:val="right"/>
              <w:rPr>
                <w:rFonts w:ascii="Georgia" w:hAnsi="Georgia" w:cs="Calibri"/>
                <w:color w:val="404040" w:themeColor="text1" w:themeTint="BF"/>
                <w:sz w:val="18"/>
                <w:szCs w:val="18"/>
              </w:rPr>
            </w:pPr>
            <w:r w:rsidRPr="00641338">
              <w:rPr>
                <w:rFonts w:ascii="Georgia" w:hAnsi="Georgia" w:cs="Calibri"/>
                <w:color w:val="404040" w:themeColor="text1" w:themeTint="BF"/>
                <w:sz w:val="18"/>
                <w:szCs w:val="18"/>
              </w:rPr>
              <w:t>0.4</w:t>
            </w:r>
          </w:p>
        </w:tc>
        <w:tc>
          <w:tcPr>
            <w:tcW w:w="1940" w:type="dxa"/>
            <w:tcBorders>
              <w:top w:val="single" w:sz="4" w:space="0" w:color="auto"/>
              <w:left w:val="nil"/>
              <w:bottom w:val="single" w:sz="4" w:space="0" w:color="auto"/>
              <w:right w:val="single" w:sz="8" w:space="0" w:color="auto"/>
            </w:tcBorders>
            <w:shd w:val="clear" w:color="auto" w:fill="auto"/>
            <w:noWrap/>
          </w:tcPr>
          <w:p w14:paraId="05FC2810"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364,835</w:t>
            </w:r>
          </w:p>
        </w:tc>
      </w:tr>
      <w:tr w:rsidR="007B66C1" w:rsidRPr="00641338" w14:paraId="13B76A15" w14:textId="77777777" w:rsidTr="006F0858">
        <w:trPr>
          <w:trHeight w:val="315"/>
        </w:trPr>
        <w:tc>
          <w:tcPr>
            <w:tcW w:w="26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2182231" w14:textId="77777777" w:rsidR="007B66C1" w:rsidRPr="00641338" w:rsidRDefault="007B66C1" w:rsidP="006F0858">
            <w:pPr>
              <w:rPr>
                <w:rFonts w:ascii="Georgia" w:hAnsi="Georgia" w:cs="Calibri"/>
                <w:color w:val="404040" w:themeColor="text1" w:themeTint="BF"/>
                <w:sz w:val="18"/>
                <w:szCs w:val="18"/>
              </w:rPr>
            </w:pPr>
            <w:r>
              <w:rPr>
                <w:rFonts w:ascii="Georgia" w:hAnsi="Georgia" w:cs="Calibri"/>
                <w:color w:val="404040" w:themeColor="text1" w:themeTint="BF"/>
                <w:sz w:val="18"/>
                <w:szCs w:val="18"/>
              </w:rPr>
              <w:t>Little Bear</w:t>
            </w:r>
          </w:p>
        </w:tc>
        <w:tc>
          <w:tcPr>
            <w:tcW w:w="2200" w:type="dxa"/>
            <w:tcBorders>
              <w:top w:val="single" w:sz="4" w:space="0" w:color="auto"/>
              <w:left w:val="nil"/>
              <w:bottom w:val="single" w:sz="4" w:space="0" w:color="auto"/>
              <w:right w:val="single" w:sz="8" w:space="0" w:color="auto"/>
            </w:tcBorders>
            <w:shd w:val="clear" w:color="auto" w:fill="auto"/>
            <w:noWrap/>
            <w:vAlign w:val="center"/>
          </w:tcPr>
          <w:p w14:paraId="52E49322" w14:textId="77777777" w:rsidR="007B66C1" w:rsidRPr="00641338" w:rsidRDefault="007B66C1" w:rsidP="006F0858">
            <w:pPr>
              <w:jc w:val="right"/>
              <w:rPr>
                <w:rFonts w:ascii="Georgia" w:hAnsi="Georgia" w:cs="Calibri"/>
                <w:color w:val="404040" w:themeColor="text1" w:themeTint="BF"/>
                <w:sz w:val="18"/>
                <w:szCs w:val="18"/>
              </w:rPr>
            </w:pPr>
            <w:r>
              <w:rPr>
                <w:rFonts w:ascii="Georgia" w:hAnsi="Georgia" w:cs="Calibri"/>
                <w:color w:val="404040" w:themeColor="text1" w:themeTint="BF"/>
                <w:sz w:val="18"/>
                <w:szCs w:val="18"/>
              </w:rPr>
              <w:t>6.8</w:t>
            </w:r>
          </w:p>
        </w:tc>
        <w:tc>
          <w:tcPr>
            <w:tcW w:w="1780" w:type="dxa"/>
            <w:tcBorders>
              <w:top w:val="single" w:sz="4" w:space="0" w:color="auto"/>
              <w:left w:val="nil"/>
              <w:bottom w:val="single" w:sz="4" w:space="0" w:color="auto"/>
              <w:right w:val="single" w:sz="8" w:space="0" w:color="auto"/>
            </w:tcBorders>
            <w:shd w:val="clear" w:color="auto" w:fill="auto"/>
            <w:noWrap/>
            <w:vAlign w:val="center"/>
          </w:tcPr>
          <w:p w14:paraId="25ED5752" w14:textId="77777777" w:rsidR="007B66C1" w:rsidRPr="00641338" w:rsidRDefault="007B66C1" w:rsidP="006F0858">
            <w:pPr>
              <w:jc w:val="right"/>
              <w:rPr>
                <w:rFonts w:ascii="Georgia" w:hAnsi="Georgia" w:cs="Calibri"/>
                <w:color w:val="404040" w:themeColor="text1" w:themeTint="BF"/>
                <w:sz w:val="18"/>
                <w:szCs w:val="18"/>
              </w:rPr>
            </w:pPr>
            <w:r>
              <w:rPr>
                <w:rFonts w:ascii="Georgia" w:hAnsi="Georgia" w:cs="Calibri"/>
                <w:color w:val="404040" w:themeColor="text1" w:themeTint="BF"/>
                <w:sz w:val="18"/>
                <w:szCs w:val="18"/>
              </w:rPr>
              <w:t>5.0</w:t>
            </w:r>
          </w:p>
        </w:tc>
        <w:tc>
          <w:tcPr>
            <w:tcW w:w="1940" w:type="dxa"/>
            <w:tcBorders>
              <w:top w:val="single" w:sz="4" w:space="0" w:color="auto"/>
              <w:left w:val="nil"/>
              <w:bottom w:val="single" w:sz="4" w:space="0" w:color="auto"/>
              <w:right w:val="single" w:sz="8" w:space="0" w:color="auto"/>
            </w:tcBorders>
            <w:shd w:val="clear" w:color="auto" w:fill="auto"/>
            <w:noWrap/>
          </w:tcPr>
          <w:p w14:paraId="1D3BA1B5" w14:textId="77777777" w:rsidR="007B66C1" w:rsidRPr="00641338" w:rsidRDefault="007B66C1" w:rsidP="006F0858">
            <w:pPr>
              <w:jc w:val="center"/>
              <w:rPr>
                <w:rFonts w:ascii="Georgia" w:hAnsi="Georgia" w:cs="Calibri"/>
                <w:color w:val="404040" w:themeColor="text1" w:themeTint="BF"/>
                <w:sz w:val="18"/>
                <w:szCs w:val="18"/>
              </w:rPr>
            </w:pPr>
            <w:r w:rsidRPr="00E90B2F">
              <w:rPr>
                <w:rFonts w:ascii="Georgia" w:hAnsi="Georgia" w:cs="Calibri"/>
                <w:color w:val="404040" w:themeColor="text1" w:themeTint="BF"/>
                <w:sz w:val="18"/>
                <w:szCs w:val="18"/>
              </w:rPr>
              <w:t>5,507,480</w:t>
            </w:r>
          </w:p>
        </w:tc>
      </w:tr>
      <w:tr w:rsidR="007B66C1" w:rsidRPr="00641338" w14:paraId="2E738E21" w14:textId="77777777" w:rsidTr="006F0858">
        <w:trPr>
          <w:trHeight w:val="315"/>
        </w:trPr>
        <w:tc>
          <w:tcPr>
            <w:tcW w:w="261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E6D6C7C" w14:textId="77777777" w:rsidR="007B66C1" w:rsidRPr="00641338" w:rsidRDefault="007B66C1" w:rsidP="006F0858">
            <w:pPr>
              <w:rPr>
                <w:rFonts w:ascii="Georgia" w:hAnsi="Georgia" w:cs="Calibri"/>
                <w:color w:val="404040" w:themeColor="text1" w:themeTint="BF"/>
                <w:sz w:val="18"/>
                <w:szCs w:val="18"/>
              </w:rPr>
            </w:pPr>
            <w:r w:rsidRPr="00641338">
              <w:rPr>
                <w:rFonts w:ascii="Georgia" w:hAnsi="Georgia"/>
                <w:b/>
                <w:bCs/>
                <w:color w:val="404040" w:themeColor="text1" w:themeTint="BF"/>
                <w:sz w:val="18"/>
                <w:szCs w:val="18"/>
              </w:rPr>
              <w:t>SUB-TOTAL</w:t>
            </w:r>
          </w:p>
        </w:tc>
        <w:tc>
          <w:tcPr>
            <w:tcW w:w="2200" w:type="dxa"/>
            <w:tcBorders>
              <w:top w:val="single" w:sz="4" w:space="0" w:color="auto"/>
              <w:left w:val="nil"/>
              <w:bottom w:val="single" w:sz="8" w:space="0" w:color="auto"/>
              <w:right w:val="single" w:sz="8" w:space="0" w:color="auto"/>
            </w:tcBorders>
            <w:shd w:val="clear" w:color="auto" w:fill="auto"/>
            <w:noWrap/>
            <w:vAlign w:val="center"/>
          </w:tcPr>
          <w:p w14:paraId="46E7CE7A" w14:textId="77777777" w:rsidR="007B66C1" w:rsidRPr="00641338" w:rsidRDefault="007B66C1" w:rsidP="006F0858">
            <w:pPr>
              <w:jc w:val="right"/>
              <w:rPr>
                <w:rFonts w:ascii="Georgia" w:hAnsi="Georgia" w:cs="Calibri"/>
                <w:b/>
                <w:color w:val="404040" w:themeColor="text1" w:themeTint="BF"/>
                <w:sz w:val="18"/>
                <w:szCs w:val="18"/>
              </w:rPr>
            </w:pPr>
            <w:r w:rsidRPr="00641338">
              <w:rPr>
                <w:rFonts w:ascii="Georgia" w:hAnsi="Georgia" w:cs="Calibri"/>
                <w:b/>
                <w:color w:val="404040" w:themeColor="text1" w:themeTint="BF"/>
                <w:sz w:val="18"/>
                <w:szCs w:val="18"/>
              </w:rPr>
              <w:t>55</w:t>
            </w:r>
            <w:r>
              <w:rPr>
                <w:rFonts w:ascii="Georgia" w:hAnsi="Georgia" w:cs="Calibri"/>
                <w:b/>
                <w:color w:val="404040" w:themeColor="text1" w:themeTint="BF"/>
                <w:sz w:val="18"/>
                <w:szCs w:val="18"/>
              </w:rPr>
              <w:t>6</w:t>
            </w:r>
            <w:r w:rsidRPr="00641338">
              <w:rPr>
                <w:rFonts w:ascii="Georgia" w:hAnsi="Georgia" w:cs="Calibri"/>
                <w:b/>
                <w:color w:val="404040" w:themeColor="text1" w:themeTint="BF"/>
                <w:sz w:val="18"/>
                <w:szCs w:val="18"/>
              </w:rPr>
              <w:t>.</w:t>
            </w:r>
            <w:r>
              <w:rPr>
                <w:rFonts w:ascii="Georgia" w:hAnsi="Georgia" w:cs="Calibri"/>
                <w:b/>
                <w:color w:val="404040" w:themeColor="text1" w:themeTint="BF"/>
                <w:sz w:val="18"/>
                <w:szCs w:val="18"/>
              </w:rPr>
              <w:t>8</w:t>
            </w:r>
          </w:p>
        </w:tc>
        <w:tc>
          <w:tcPr>
            <w:tcW w:w="1780" w:type="dxa"/>
            <w:tcBorders>
              <w:top w:val="single" w:sz="4" w:space="0" w:color="auto"/>
              <w:left w:val="nil"/>
              <w:bottom w:val="single" w:sz="8" w:space="0" w:color="auto"/>
              <w:right w:val="single" w:sz="8" w:space="0" w:color="auto"/>
            </w:tcBorders>
            <w:shd w:val="clear" w:color="auto" w:fill="auto"/>
            <w:noWrap/>
            <w:vAlign w:val="center"/>
          </w:tcPr>
          <w:p w14:paraId="45E8FADB" w14:textId="77777777" w:rsidR="007B66C1" w:rsidRPr="00641338" w:rsidRDefault="007B66C1" w:rsidP="006F0858">
            <w:pPr>
              <w:jc w:val="right"/>
              <w:rPr>
                <w:rFonts w:ascii="Georgia" w:hAnsi="Georgia" w:cs="Calibri"/>
                <w:b/>
                <w:color w:val="404040" w:themeColor="text1" w:themeTint="BF"/>
                <w:sz w:val="18"/>
                <w:szCs w:val="18"/>
              </w:rPr>
            </w:pPr>
            <w:r w:rsidRPr="00641338">
              <w:rPr>
                <w:rFonts w:ascii="Georgia" w:hAnsi="Georgia" w:cs="Calibri"/>
                <w:b/>
                <w:color w:val="404040" w:themeColor="text1" w:themeTint="BF"/>
                <w:sz w:val="18"/>
                <w:szCs w:val="18"/>
              </w:rPr>
              <w:t>46</w:t>
            </w:r>
            <w:r>
              <w:rPr>
                <w:rFonts w:ascii="Georgia" w:hAnsi="Georgia" w:cs="Calibri"/>
                <w:b/>
                <w:color w:val="404040" w:themeColor="text1" w:themeTint="BF"/>
                <w:sz w:val="18"/>
                <w:szCs w:val="18"/>
              </w:rPr>
              <w:t>5</w:t>
            </w:r>
            <w:r w:rsidRPr="00641338">
              <w:rPr>
                <w:rFonts w:ascii="Georgia" w:hAnsi="Georgia" w:cs="Calibri"/>
                <w:b/>
                <w:color w:val="404040" w:themeColor="text1" w:themeTint="BF"/>
                <w:sz w:val="18"/>
                <w:szCs w:val="18"/>
              </w:rPr>
              <w:t>.3</w:t>
            </w:r>
          </w:p>
        </w:tc>
        <w:tc>
          <w:tcPr>
            <w:tcW w:w="1940" w:type="dxa"/>
            <w:tcBorders>
              <w:top w:val="single" w:sz="4" w:space="0" w:color="auto"/>
              <w:left w:val="nil"/>
              <w:bottom w:val="single" w:sz="8" w:space="0" w:color="auto"/>
              <w:right w:val="single" w:sz="8" w:space="0" w:color="auto"/>
            </w:tcBorders>
            <w:shd w:val="clear" w:color="auto" w:fill="auto"/>
            <w:noWrap/>
          </w:tcPr>
          <w:p w14:paraId="15EC89EA" w14:textId="77777777" w:rsidR="007B66C1" w:rsidRPr="00871799" w:rsidRDefault="007B66C1" w:rsidP="006F0858">
            <w:pPr>
              <w:jc w:val="center"/>
              <w:rPr>
                <w:rFonts w:ascii="Georgia" w:hAnsi="Georgia" w:cs="Calibri"/>
                <w:b/>
                <w:bCs/>
                <w:color w:val="404040" w:themeColor="text1" w:themeTint="BF"/>
                <w:sz w:val="18"/>
                <w:szCs w:val="18"/>
              </w:rPr>
            </w:pPr>
            <w:r w:rsidRPr="00F04CA4">
              <w:rPr>
                <w:rFonts w:ascii="Georgia" w:hAnsi="Georgia" w:cs="Calibri"/>
                <w:b/>
                <w:bCs/>
                <w:color w:val="404040" w:themeColor="text1" w:themeTint="BF"/>
                <w:sz w:val="18"/>
                <w:szCs w:val="18"/>
              </w:rPr>
              <w:t>487,595,312</w:t>
            </w:r>
          </w:p>
        </w:tc>
      </w:tr>
      <w:tr w:rsidR="007B66C1" w:rsidRPr="00641338" w14:paraId="4F9DB074" w14:textId="77777777" w:rsidTr="006F0858">
        <w:trPr>
          <w:trHeight w:val="315"/>
        </w:trPr>
        <w:tc>
          <w:tcPr>
            <w:tcW w:w="8530" w:type="dxa"/>
            <w:gridSpan w:val="4"/>
            <w:tcBorders>
              <w:top w:val="single" w:sz="8" w:space="0" w:color="auto"/>
              <w:left w:val="single" w:sz="8" w:space="0" w:color="auto"/>
              <w:bottom w:val="single" w:sz="8" w:space="0" w:color="auto"/>
              <w:right w:val="single" w:sz="8" w:space="0" w:color="000000"/>
            </w:tcBorders>
            <w:shd w:val="clear" w:color="000000" w:fill="365F91"/>
            <w:noWrap/>
            <w:vAlign w:val="center"/>
          </w:tcPr>
          <w:p w14:paraId="222063B4" w14:textId="77777777" w:rsidR="007B66C1" w:rsidRPr="00641338" w:rsidRDefault="007B66C1" w:rsidP="006F0858">
            <w:pPr>
              <w:rPr>
                <w:rFonts w:ascii="Georgia" w:hAnsi="Georgia" w:cs="Calibri"/>
                <w:color w:val="4A442A"/>
                <w:sz w:val="18"/>
                <w:szCs w:val="18"/>
              </w:rPr>
            </w:pPr>
            <w:r w:rsidRPr="00641338">
              <w:rPr>
                <w:rFonts w:ascii="Georgia" w:hAnsi="Georgia"/>
                <w:b/>
                <w:bCs/>
                <w:color w:val="FFFFFF"/>
                <w:sz w:val="18"/>
                <w:szCs w:val="18"/>
              </w:rPr>
              <w:t>Assets acquired during the reporting period</w:t>
            </w:r>
            <w:r w:rsidRPr="00641338">
              <w:rPr>
                <w:rFonts w:ascii="Georgia" w:hAnsi="Georgia"/>
                <w:bCs/>
                <w:color w:val="FFFFFF"/>
                <w:sz w:val="18"/>
                <w:szCs w:val="18"/>
              </w:rPr>
              <w:t>  </w:t>
            </w:r>
          </w:p>
        </w:tc>
      </w:tr>
      <w:tr w:rsidR="009A60EC" w:rsidRPr="00641338" w14:paraId="06EA03B4"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F873797" w14:textId="77777777" w:rsidR="009A60EC" w:rsidRPr="00641338" w:rsidRDefault="009A60EC" w:rsidP="009A60EC">
            <w:pPr>
              <w:rPr>
                <w:rFonts w:ascii="Georgia" w:hAnsi="Georgia"/>
                <w:bCs/>
                <w:color w:val="404040" w:themeColor="text1" w:themeTint="BF"/>
                <w:sz w:val="18"/>
                <w:szCs w:val="18"/>
              </w:rPr>
            </w:pPr>
            <w:proofErr w:type="spellStart"/>
            <w:r>
              <w:rPr>
                <w:rFonts w:ascii="Georgia" w:hAnsi="Georgia"/>
                <w:bCs/>
                <w:color w:val="404040" w:themeColor="text1" w:themeTint="BF"/>
                <w:sz w:val="18"/>
                <w:szCs w:val="18"/>
              </w:rPr>
              <w:t>Wormit</w:t>
            </w:r>
            <w:proofErr w:type="spellEnd"/>
          </w:p>
        </w:tc>
        <w:tc>
          <w:tcPr>
            <w:tcW w:w="2200" w:type="dxa"/>
            <w:tcBorders>
              <w:top w:val="nil"/>
              <w:left w:val="single" w:sz="8" w:space="0" w:color="auto"/>
              <w:bottom w:val="single" w:sz="8" w:space="0" w:color="auto"/>
              <w:right w:val="single" w:sz="8" w:space="0" w:color="auto"/>
            </w:tcBorders>
            <w:shd w:val="clear" w:color="auto" w:fill="auto"/>
            <w:noWrap/>
            <w:vAlign w:val="center"/>
          </w:tcPr>
          <w:p w14:paraId="316C99D0" w14:textId="22103DB9" w:rsidR="009A60EC" w:rsidRPr="009A60EC" w:rsidRDefault="009A60EC" w:rsidP="009A60EC">
            <w:pPr>
              <w:jc w:val="right"/>
              <w:rPr>
                <w:rFonts w:ascii="Georgia" w:hAnsi="Georgia" w:cs="Calibri"/>
                <w:color w:val="404040" w:themeColor="text1" w:themeTint="BF"/>
                <w:sz w:val="18"/>
                <w:szCs w:val="18"/>
              </w:rPr>
            </w:pPr>
            <w:r w:rsidRPr="009A60EC">
              <w:rPr>
                <w:rFonts w:ascii="Georgia" w:hAnsi="Georgia" w:cs="Calibri"/>
                <w:color w:val="404040" w:themeColor="text1" w:themeTint="BF"/>
                <w:sz w:val="18"/>
                <w:szCs w:val="18"/>
              </w:rPr>
              <w:t>5.1</w:t>
            </w:r>
          </w:p>
        </w:tc>
        <w:tc>
          <w:tcPr>
            <w:tcW w:w="1780" w:type="dxa"/>
            <w:tcBorders>
              <w:top w:val="nil"/>
              <w:left w:val="single" w:sz="8" w:space="0" w:color="auto"/>
              <w:bottom w:val="single" w:sz="8" w:space="0" w:color="auto"/>
              <w:right w:val="single" w:sz="8" w:space="0" w:color="auto"/>
            </w:tcBorders>
            <w:shd w:val="clear" w:color="auto" w:fill="auto"/>
            <w:noWrap/>
            <w:vAlign w:val="center"/>
          </w:tcPr>
          <w:p w14:paraId="2E558114" w14:textId="3C7854C4" w:rsidR="009A60EC" w:rsidRPr="009A60EC" w:rsidRDefault="009A60EC" w:rsidP="009A60EC">
            <w:pPr>
              <w:jc w:val="right"/>
              <w:rPr>
                <w:rFonts w:ascii="Georgia" w:hAnsi="Georgia" w:cs="Calibri"/>
                <w:color w:val="404040" w:themeColor="text1" w:themeTint="BF"/>
                <w:sz w:val="18"/>
                <w:szCs w:val="18"/>
              </w:rPr>
            </w:pPr>
            <w:r w:rsidRPr="009A60EC">
              <w:rPr>
                <w:rFonts w:ascii="Georgia" w:hAnsi="Georgia" w:cs="Calibri"/>
                <w:color w:val="404040" w:themeColor="text1" w:themeTint="BF"/>
                <w:sz w:val="18"/>
                <w:szCs w:val="18"/>
              </w:rPr>
              <w:t>5.0</w:t>
            </w:r>
          </w:p>
        </w:tc>
        <w:tc>
          <w:tcPr>
            <w:tcW w:w="1940" w:type="dxa"/>
            <w:tcBorders>
              <w:top w:val="nil"/>
              <w:left w:val="single" w:sz="8" w:space="0" w:color="auto"/>
              <w:bottom w:val="single" w:sz="8" w:space="0" w:color="auto"/>
              <w:right w:val="single" w:sz="8" w:space="0" w:color="auto"/>
            </w:tcBorders>
            <w:shd w:val="clear" w:color="auto" w:fill="auto"/>
            <w:noWrap/>
          </w:tcPr>
          <w:p w14:paraId="21459ECE" w14:textId="39CC4701" w:rsidR="009A60EC" w:rsidRPr="009A60EC" w:rsidRDefault="009A60EC" w:rsidP="009A60EC">
            <w:pPr>
              <w:jc w:val="center"/>
              <w:rPr>
                <w:rFonts w:ascii="Georgia" w:hAnsi="Georgia" w:cs="Calibri"/>
                <w:color w:val="404040" w:themeColor="text1" w:themeTint="BF"/>
                <w:sz w:val="18"/>
                <w:szCs w:val="18"/>
              </w:rPr>
            </w:pPr>
            <w:r w:rsidRPr="009A60EC">
              <w:rPr>
                <w:rFonts w:ascii="Georgia" w:hAnsi="Georgia" w:cs="Calibri"/>
                <w:color w:val="404040" w:themeColor="text1" w:themeTint="BF"/>
                <w:sz w:val="18"/>
                <w:szCs w:val="18"/>
              </w:rPr>
              <w:t>2,721,602</w:t>
            </w:r>
          </w:p>
        </w:tc>
      </w:tr>
      <w:tr w:rsidR="009A60EC" w:rsidRPr="00641338" w14:paraId="296950D9"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5A9CD313" w14:textId="77777777" w:rsidR="009A60EC" w:rsidRPr="00641338" w:rsidRDefault="009A60EC" w:rsidP="009A60EC">
            <w:pPr>
              <w:rPr>
                <w:rFonts w:ascii="Georgia" w:hAnsi="Georgia" w:cs="Calibri"/>
                <w:bCs/>
                <w:color w:val="404040" w:themeColor="text1" w:themeTint="BF"/>
                <w:sz w:val="18"/>
                <w:szCs w:val="18"/>
              </w:rPr>
            </w:pPr>
            <w:proofErr w:type="spellStart"/>
            <w:r>
              <w:rPr>
                <w:rFonts w:ascii="Georgia" w:hAnsi="Georgia" w:cs="Calibri"/>
                <w:bCs/>
                <w:color w:val="404040" w:themeColor="text1" w:themeTint="BF"/>
                <w:sz w:val="18"/>
                <w:szCs w:val="18"/>
              </w:rPr>
              <w:t>Gretton</w:t>
            </w:r>
            <w:proofErr w:type="spellEnd"/>
          </w:p>
        </w:tc>
        <w:tc>
          <w:tcPr>
            <w:tcW w:w="2200" w:type="dxa"/>
            <w:tcBorders>
              <w:top w:val="nil"/>
              <w:left w:val="single" w:sz="8" w:space="0" w:color="auto"/>
              <w:bottom w:val="single" w:sz="8" w:space="0" w:color="auto"/>
              <w:right w:val="single" w:sz="8" w:space="0" w:color="auto"/>
            </w:tcBorders>
            <w:shd w:val="clear" w:color="auto" w:fill="auto"/>
            <w:noWrap/>
          </w:tcPr>
          <w:p w14:paraId="4D5A7311" w14:textId="09120AC1" w:rsidR="009A60EC" w:rsidRPr="009A60EC" w:rsidRDefault="009A60EC" w:rsidP="009A60EC">
            <w:pPr>
              <w:jc w:val="right"/>
              <w:rPr>
                <w:rFonts w:ascii="Georgia" w:hAnsi="Georgia"/>
                <w:bCs/>
                <w:color w:val="404040" w:themeColor="text1" w:themeTint="BF"/>
                <w:sz w:val="18"/>
                <w:szCs w:val="18"/>
              </w:rPr>
            </w:pPr>
            <w:r w:rsidRPr="009A60EC">
              <w:rPr>
                <w:rFonts w:ascii="Georgia" w:hAnsi="Georgia" w:cs="Calibri"/>
                <w:color w:val="404040" w:themeColor="text1" w:themeTint="BF"/>
                <w:sz w:val="18"/>
                <w:szCs w:val="18"/>
              </w:rPr>
              <w:t>5.1</w:t>
            </w:r>
          </w:p>
        </w:tc>
        <w:tc>
          <w:tcPr>
            <w:tcW w:w="1780" w:type="dxa"/>
            <w:tcBorders>
              <w:top w:val="nil"/>
              <w:left w:val="single" w:sz="8" w:space="0" w:color="auto"/>
              <w:bottom w:val="single" w:sz="8" w:space="0" w:color="auto"/>
              <w:right w:val="single" w:sz="8" w:space="0" w:color="auto"/>
            </w:tcBorders>
            <w:shd w:val="clear" w:color="auto" w:fill="auto"/>
            <w:noWrap/>
            <w:vAlign w:val="center"/>
          </w:tcPr>
          <w:p w14:paraId="21FD33FC" w14:textId="0D8A8DFB" w:rsidR="009A60EC" w:rsidRPr="009A60EC" w:rsidRDefault="009A60EC" w:rsidP="009A60EC">
            <w:pPr>
              <w:jc w:val="right"/>
              <w:rPr>
                <w:rFonts w:ascii="Georgia" w:hAnsi="Georgia"/>
                <w:color w:val="404040" w:themeColor="text1" w:themeTint="BF"/>
                <w:sz w:val="18"/>
                <w:szCs w:val="18"/>
              </w:rPr>
            </w:pPr>
            <w:r w:rsidRPr="009A60EC">
              <w:rPr>
                <w:rFonts w:ascii="Georgia" w:hAnsi="Georgia"/>
                <w:color w:val="404040" w:themeColor="text1" w:themeTint="BF"/>
                <w:sz w:val="18"/>
                <w:szCs w:val="18"/>
              </w:rPr>
              <w:t>4.9</w:t>
            </w:r>
          </w:p>
        </w:tc>
        <w:tc>
          <w:tcPr>
            <w:tcW w:w="1940" w:type="dxa"/>
            <w:tcBorders>
              <w:top w:val="nil"/>
              <w:left w:val="single" w:sz="8" w:space="0" w:color="auto"/>
              <w:bottom w:val="single" w:sz="8" w:space="0" w:color="auto"/>
              <w:right w:val="single" w:sz="8" w:space="0" w:color="auto"/>
            </w:tcBorders>
            <w:shd w:val="clear" w:color="auto" w:fill="auto"/>
            <w:noWrap/>
          </w:tcPr>
          <w:p w14:paraId="09C0181A" w14:textId="11743DFC" w:rsidR="009A60EC" w:rsidRPr="009A60EC" w:rsidRDefault="009A60EC" w:rsidP="009A60EC">
            <w:pPr>
              <w:jc w:val="center"/>
              <w:rPr>
                <w:rFonts w:ascii="Georgia" w:hAnsi="Georgia" w:cs="Calibri"/>
                <w:color w:val="404040" w:themeColor="text1" w:themeTint="BF"/>
                <w:sz w:val="18"/>
                <w:szCs w:val="18"/>
              </w:rPr>
            </w:pPr>
            <w:r w:rsidRPr="009A60EC">
              <w:rPr>
                <w:rFonts w:ascii="Georgia" w:hAnsi="Georgia" w:cs="Calibri"/>
                <w:color w:val="404040" w:themeColor="text1" w:themeTint="BF"/>
                <w:sz w:val="18"/>
                <w:szCs w:val="18"/>
              </w:rPr>
              <w:t>2,859,254</w:t>
            </w:r>
          </w:p>
        </w:tc>
      </w:tr>
      <w:tr w:rsidR="009A60EC" w:rsidRPr="00641338" w14:paraId="2F4AEC95"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484F5F89" w14:textId="77777777" w:rsidR="009A60EC" w:rsidRPr="00641338" w:rsidRDefault="009A60EC" w:rsidP="009A60EC">
            <w:pPr>
              <w:rPr>
                <w:rFonts w:ascii="Georgia" w:hAnsi="Georgia" w:cs="Calibri"/>
                <w:bCs/>
                <w:color w:val="404040" w:themeColor="text1" w:themeTint="BF"/>
                <w:sz w:val="18"/>
                <w:szCs w:val="18"/>
              </w:rPr>
            </w:pPr>
            <w:r>
              <w:rPr>
                <w:rFonts w:ascii="Georgia" w:hAnsi="Georgia" w:cs="Calibri"/>
                <w:bCs/>
                <w:color w:val="404040" w:themeColor="text1" w:themeTint="BF"/>
                <w:sz w:val="18"/>
                <w:szCs w:val="18"/>
              </w:rPr>
              <w:t>Thornton Lane</w:t>
            </w:r>
          </w:p>
        </w:tc>
        <w:tc>
          <w:tcPr>
            <w:tcW w:w="2200" w:type="dxa"/>
            <w:tcBorders>
              <w:top w:val="nil"/>
              <w:left w:val="single" w:sz="8" w:space="0" w:color="auto"/>
              <w:bottom w:val="single" w:sz="8" w:space="0" w:color="auto"/>
              <w:right w:val="single" w:sz="8" w:space="0" w:color="auto"/>
            </w:tcBorders>
            <w:shd w:val="clear" w:color="auto" w:fill="auto"/>
            <w:noWrap/>
          </w:tcPr>
          <w:p w14:paraId="2810E848" w14:textId="0567B4AE" w:rsidR="009A60EC" w:rsidRPr="009A60EC" w:rsidRDefault="009A60EC" w:rsidP="009A60EC">
            <w:pPr>
              <w:jc w:val="right"/>
              <w:rPr>
                <w:rFonts w:ascii="Georgia" w:hAnsi="Georgia"/>
                <w:bCs/>
                <w:color w:val="404040" w:themeColor="text1" w:themeTint="BF"/>
                <w:sz w:val="18"/>
                <w:szCs w:val="18"/>
              </w:rPr>
            </w:pPr>
            <w:r w:rsidRPr="009A60EC">
              <w:rPr>
                <w:rFonts w:ascii="Georgia" w:hAnsi="Georgia" w:cs="Calibri"/>
                <w:color w:val="404040" w:themeColor="text1" w:themeTint="BF"/>
                <w:sz w:val="18"/>
                <w:szCs w:val="18"/>
              </w:rPr>
              <w:t>3.7</w:t>
            </w:r>
          </w:p>
        </w:tc>
        <w:tc>
          <w:tcPr>
            <w:tcW w:w="1780" w:type="dxa"/>
            <w:tcBorders>
              <w:top w:val="nil"/>
              <w:left w:val="single" w:sz="8" w:space="0" w:color="auto"/>
              <w:bottom w:val="single" w:sz="8" w:space="0" w:color="auto"/>
              <w:right w:val="single" w:sz="8" w:space="0" w:color="auto"/>
            </w:tcBorders>
            <w:shd w:val="clear" w:color="auto" w:fill="auto"/>
            <w:noWrap/>
            <w:vAlign w:val="center"/>
          </w:tcPr>
          <w:p w14:paraId="2BABE002" w14:textId="529E42DE" w:rsidR="009A60EC" w:rsidRPr="009A60EC" w:rsidRDefault="009A60EC" w:rsidP="009A60EC">
            <w:pPr>
              <w:jc w:val="right"/>
              <w:rPr>
                <w:rFonts w:ascii="Georgia" w:hAnsi="Georgia"/>
                <w:color w:val="404040" w:themeColor="text1" w:themeTint="BF"/>
                <w:sz w:val="18"/>
                <w:szCs w:val="18"/>
              </w:rPr>
            </w:pPr>
            <w:r w:rsidRPr="009A60EC">
              <w:rPr>
                <w:rFonts w:ascii="Georgia" w:hAnsi="Georgia"/>
                <w:color w:val="404040" w:themeColor="text1" w:themeTint="BF"/>
                <w:sz w:val="18"/>
                <w:szCs w:val="18"/>
              </w:rPr>
              <w:t>3.6</w:t>
            </w:r>
          </w:p>
        </w:tc>
        <w:tc>
          <w:tcPr>
            <w:tcW w:w="1940" w:type="dxa"/>
            <w:tcBorders>
              <w:top w:val="nil"/>
              <w:left w:val="single" w:sz="8" w:space="0" w:color="auto"/>
              <w:bottom w:val="single" w:sz="8" w:space="0" w:color="auto"/>
              <w:right w:val="single" w:sz="8" w:space="0" w:color="auto"/>
            </w:tcBorders>
            <w:shd w:val="clear" w:color="auto" w:fill="auto"/>
            <w:noWrap/>
          </w:tcPr>
          <w:p w14:paraId="7BBD7BFF" w14:textId="4A21991C" w:rsidR="009A60EC" w:rsidRPr="009A60EC" w:rsidRDefault="009A60EC" w:rsidP="009A60EC">
            <w:pPr>
              <w:jc w:val="center"/>
              <w:rPr>
                <w:rFonts w:ascii="Georgia" w:hAnsi="Georgia" w:cs="Calibri"/>
                <w:color w:val="404040" w:themeColor="text1" w:themeTint="BF"/>
                <w:sz w:val="18"/>
                <w:szCs w:val="18"/>
              </w:rPr>
            </w:pPr>
            <w:r w:rsidRPr="009A60EC">
              <w:rPr>
                <w:rFonts w:ascii="Georgia" w:hAnsi="Georgia" w:cs="Calibri"/>
                <w:color w:val="404040" w:themeColor="text1" w:themeTint="BF"/>
                <w:sz w:val="18"/>
                <w:szCs w:val="18"/>
              </w:rPr>
              <w:t>1,869,690</w:t>
            </w:r>
          </w:p>
        </w:tc>
      </w:tr>
      <w:tr w:rsidR="009A60EC" w:rsidRPr="00641338" w14:paraId="7032FDFE" w14:textId="77777777" w:rsidTr="006F0858">
        <w:trPr>
          <w:trHeight w:val="315"/>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862EF36" w14:textId="77777777" w:rsidR="009A60EC" w:rsidRPr="00641338" w:rsidRDefault="009A60EC" w:rsidP="009A60EC">
            <w:pPr>
              <w:rPr>
                <w:rFonts w:ascii="Georgia" w:hAnsi="Georgia"/>
                <w:bCs/>
                <w:color w:val="404040" w:themeColor="text1" w:themeTint="BF"/>
                <w:sz w:val="18"/>
                <w:szCs w:val="18"/>
              </w:rPr>
            </w:pPr>
            <w:r w:rsidRPr="00641338">
              <w:rPr>
                <w:rFonts w:ascii="Georgia" w:hAnsi="Georgia"/>
                <w:b/>
                <w:bCs/>
                <w:color w:val="404040" w:themeColor="text1" w:themeTint="BF"/>
                <w:sz w:val="18"/>
                <w:szCs w:val="18"/>
              </w:rPr>
              <w:t>SUB-TOTAL</w:t>
            </w:r>
          </w:p>
        </w:tc>
        <w:tc>
          <w:tcPr>
            <w:tcW w:w="2200" w:type="dxa"/>
            <w:tcBorders>
              <w:top w:val="nil"/>
              <w:left w:val="single" w:sz="8" w:space="0" w:color="auto"/>
              <w:bottom w:val="single" w:sz="8" w:space="0" w:color="auto"/>
              <w:right w:val="single" w:sz="8" w:space="0" w:color="auto"/>
            </w:tcBorders>
            <w:shd w:val="clear" w:color="auto" w:fill="auto"/>
            <w:noWrap/>
          </w:tcPr>
          <w:p w14:paraId="367FD7B7" w14:textId="2408E2FC" w:rsidR="009A60EC" w:rsidRPr="009A60EC" w:rsidRDefault="009A60EC" w:rsidP="009A60EC">
            <w:pPr>
              <w:jc w:val="right"/>
              <w:rPr>
                <w:rFonts w:ascii="Georgia" w:hAnsi="Georgia" w:cs="Calibri"/>
                <w:b/>
                <w:color w:val="404040" w:themeColor="text1" w:themeTint="BF"/>
                <w:sz w:val="18"/>
                <w:szCs w:val="18"/>
              </w:rPr>
            </w:pPr>
            <w:r w:rsidRPr="009A60EC">
              <w:rPr>
                <w:rFonts w:ascii="Georgia" w:hAnsi="Georgia" w:cs="Calibri"/>
                <w:color w:val="404040" w:themeColor="text1" w:themeTint="BF"/>
                <w:sz w:val="18"/>
                <w:szCs w:val="18"/>
              </w:rPr>
              <w:t>13.9</w:t>
            </w:r>
          </w:p>
        </w:tc>
        <w:tc>
          <w:tcPr>
            <w:tcW w:w="1780" w:type="dxa"/>
            <w:tcBorders>
              <w:top w:val="nil"/>
              <w:left w:val="single" w:sz="8" w:space="0" w:color="auto"/>
              <w:bottom w:val="single" w:sz="8" w:space="0" w:color="auto"/>
              <w:right w:val="single" w:sz="8" w:space="0" w:color="auto"/>
            </w:tcBorders>
            <w:shd w:val="clear" w:color="auto" w:fill="auto"/>
            <w:noWrap/>
            <w:vAlign w:val="center"/>
          </w:tcPr>
          <w:p w14:paraId="61834CF0" w14:textId="744D48EA" w:rsidR="009A60EC" w:rsidRPr="009A60EC" w:rsidRDefault="009A60EC" w:rsidP="009A60EC">
            <w:pPr>
              <w:jc w:val="right"/>
              <w:rPr>
                <w:rFonts w:ascii="Georgia" w:hAnsi="Georgia" w:cs="Calibri"/>
                <w:b/>
                <w:color w:val="404040" w:themeColor="text1" w:themeTint="BF"/>
                <w:sz w:val="18"/>
                <w:szCs w:val="18"/>
              </w:rPr>
            </w:pPr>
            <w:r w:rsidRPr="009A60EC">
              <w:rPr>
                <w:rFonts w:ascii="Georgia" w:hAnsi="Georgia" w:cs="Calibri"/>
                <w:b/>
                <w:color w:val="404040" w:themeColor="text1" w:themeTint="BF"/>
                <w:sz w:val="18"/>
                <w:szCs w:val="18"/>
              </w:rPr>
              <w:t>13.5</w:t>
            </w:r>
          </w:p>
        </w:tc>
        <w:tc>
          <w:tcPr>
            <w:tcW w:w="1940" w:type="dxa"/>
            <w:tcBorders>
              <w:top w:val="nil"/>
              <w:left w:val="single" w:sz="8" w:space="0" w:color="auto"/>
              <w:bottom w:val="single" w:sz="8" w:space="0" w:color="auto"/>
              <w:right w:val="single" w:sz="8" w:space="0" w:color="auto"/>
            </w:tcBorders>
            <w:shd w:val="clear" w:color="auto" w:fill="auto"/>
            <w:noWrap/>
          </w:tcPr>
          <w:p w14:paraId="052B7BA4" w14:textId="33AA6C97" w:rsidR="009A60EC" w:rsidRPr="009A60EC" w:rsidRDefault="009A60EC" w:rsidP="009A60EC">
            <w:pPr>
              <w:jc w:val="center"/>
              <w:rPr>
                <w:rFonts w:ascii="Georgia" w:hAnsi="Georgia" w:cs="Calibri"/>
                <w:b/>
                <w:bCs/>
                <w:color w:val="404040" w:themeColor="text1" w:themeTint="BF"/>
                <w:sz w:val="18"/>
                <w:szCs w:val="18"/>
              </w:rPr>
            </w:pPr>
            <w:r w:rsidRPr="009A60EC">
              <w:rPr>
                <w:rFonts w:ascii="Georgia" w:hAnsi="Georgia" w:cs="Calibri"/>
                <w:b/>
                <w:bCs/>
                <w:color w:val="404040" w:themeColor="text1" w:themeTint="BF"/>
                <w:sz w:val="18"/>
                <w:szCs w:val="18"/>
              </w:rPr>
              <w:t>7,450,546</w:t>
            </w:r>
          </w:p>
        </w:tc>
      </w:tr>
      <w:tr w:rsidR="009A60EC" w:rsidRPr="00904E51" w14:paraId="5D5E25F0" w14:textId="77777777" w:rsidTr="006F0858">
        <w:trPr>
          <w:trHeight w:val="315"/>
        </w:trPr>
        <w:tc>
          <w:tcPr>
            <w:tcW w:w="2610" w:type="dxa"/>
            <w:tcBorders>
              <w:top w:val="nil"/>
              <w:left w:val="single" w:sz="8" w:space="0" w:color="auto"/>
              <w:bottom w:val="single" w:sz="8" w:space="0" w:color="auto"/>
              <w:right w:val="single" w:sz="8" w:space="0" w:color="auto"/>
            </w:tcBorders>
            <w:shd w:val="clear" w:color="000000" w:fill="BFBFBF"/>
            <w:noWrap/>
            <w:vAlign w:val="center"/>
          </w:tcPr>
          <w:p w14:paraId="6F46FB0C" w14:textId="77777777" w:rsidR="009A60EC" w:rsidRPr="00641338" w:rsidRDefault="009A60EC" w:rsidP="009A60EC">
            <w:pPr>
              <w:rPr>
                <w:rFonts w:ascii="Georgia" w:hAnsi="Georgia"/>
                <w:bCs/>
                <w:color w:val="404040" w:themeColor="text1" w:themeTint="BF"/>
                <w:sz w:val="18"/>
                <w:szCs w:val="18"/>
              </w:rPr>
            </w:pPr>
            <w:r w:rsidRPr="00641338">
              <w:rPr>
                <w:rFonts w:ascii="Georgia" w:hAnsi="Georgia"/>
                <w:b/>
                <w:bCs/>
                <w:color w:val="404040" w:themeColor="text1" w:themeTint="BF"/>
                <w:sz w:val="18"/>
                <w:szCs w:val="18"/>
              </w:rPr>
              <w:t>GRAND TOTAL</w:t>
            </w:r>
          </w:p>
        </w:tc>
        <w:tc>
          <w:tcPr>
            <w:tcW w:w="2200" w:type="dxa"/>
            <w:tcBorders>
              <w:top w:val="nil"/>
              <w:left w:val="single" w:sz="8" w:space="0" w:color="auto"/>
              <w:bottom w:val="single" w:sz="8" w:space="0" w:color="auto"/>
              <w:right w:val="single" w:sz="8" w:space="0" w:color="auto"/>
            </w:tcBorders>
            <w:shd w:val="clear" w:color="000000" w:fill="BFBFBF"/>
            <w:noWrap/>
            <w:vAlign w:val="center"/>
          </w:tcPr>
          <w:p w14:paraId="1119EC48" w14:textId="319D7D3E" w:rsidR="009A60EC" w:rsidRPr="009A60EC" w:rsidRDefault="009A60EC" w:rsidP="009A60EC">
            <w:pPr>
              <w:jc w:val="right"/>
              <w:rPr>
                <w:rFonts w:ascii="Georgia" w:hAnsi="Georgia" w:cs="Calibri"/>
                <w:color w:val="404040" w:themeColor="text1" w:themeTint="BF"/>
                <w:sz w:val="18"/>
                <w:szCs w:val="18"/>
              </w:rPr>
            </w:pPr>
            <w:r w:rsidRPr="009A60EC">
              <w:rPr>
                <w:rFonts w:ascii="Georgia" w:hAnsi="Georgia" w:cs="Calibri"/>
                <w:b/>
                <w:bCs/>
                <w:color w:val="404040" w:themeColor="text1" w:themeTint="BF"/>
                <w:sz w:val="18"/>
                <w:szCs w:val="18"/>
              </w:rPr>
              <w:t>570.7</w:t>
            </w:r>
          </w:p>
        </w:tc>
        <w:tc>
          <w:tcPr>
            <w:tcW w:w="1780" w:type="dxa"/>
            <w:tcBorders>
              <w:top w:val="nil"/>
              <w:left w:val="single" w:sz="8" w:space="0" w:color="auto"/>
              <w:bottom w:val="single" w:sz="8" w:space="0" w:color="auto"/>
              <w:right w:val="single" w:sz="8" w:space="0" w:color="auto"/>
            </w:tcBorders>
            <w:shd w:val="clear" w:color="000000" w:fill="BFBFBF"/>
            <w:noWrap/>
            <w:vAlign w:val="center"/>
          </w:tcPr>
          <w:p w14:paraId="2A8A2F72" w14:textId="36EFABA9" w:rsidR="009A60EC" w:rsidRPr="009A60EC" w:rsidRDefault="009A60EC" w:rsidP="009A60EC">
            <w:pPr>
              <w:jc w:val="right"/>
              <w:rPr>
                <w:rFonts w:ascii="Georgia" w:hAnsi="Georgia" w:cs="Calibri"/>
                <w:color w:val="404040" w:themeColor="text1" w:themeTint="BF"/>
                <w:sz w:val="18"/>
                <w:szCs w:val="18"/>
              </w:rPr>
            </w:pPr>
            <w:r w:rsidRPr="009A60EC">
              <w:rPr>
                <w:rFonts w:ascii="Georgia" w:hAnsi="Georgia" w:cs="Calibri"/>
                <w:b/>
                <w:bCs/>
                <w:color w:val="404040" w:themeColor="text1" w:themeTint="BF"/>
                <w:sz w:val="18"/>
                <w:szCs w:val="18"/>
              </w:rPr>
              <w:t>478.8</w:t>
            </w:r>
          </w:p>
        </w:tc>
        <w:tc>
          <w:tcPr>
            <w:tcW w:w="1940" w:type="dxa"/>
            <w:tcBorders>
              <w:top w:val="nil"/>
              <w:left w:val="single" w:sz="8" w:space="0" w:color="auto"/>
              <w:bottom w:val="single" w:sz="8" w:space="0" w:color="auto"/>
              <w:right w:val="single" w:sz="8" w:space="0" w:color="auto"/>
            </w:tcBorders>
            <w:shd w:val="clear" w:color="000000" w:fill="BFBFBF"/>
            <w:noWrap/>
          </w:tcPr>
          <w:p w14:paraId="124ADF1D" w14:textId="46E41274" w:rsidR="009A60EC" w:rsidRPr="009A60EC" w:rsidRDefault="009A60EC" w:rsidP="009A60EC">
            <w:pPr>
              <w:jc w:val="center"/>
              <w:rPr>
                <w:rFonts w:ascii="Georgia" w:hAnsi="Georgia" w:cs="Calibri"/>
                <w:b/>
                <w:bCs/>
                <w:color w:val="404040" w:themeColor="text1" w:themeTint="BF"/>
                <w:sz w:val="18"/>
                <w:szCs w:val="18"/>
              </w:rPr>
            </w:pPr>
            <w:r w:rsidRPr="009A60EC">
              <w:rPr>
                <w:rFonts w:ascii="Georgia" w:hAnsi="Georgia" w:cs="Calibri"/>
                <w:b/>
                <w:bCs/>
                <w:color w:val="404040" w:themeColor="text1" w:themeTint="BF"/>
                <w:sz w:val="18"/>
                <w:szCs w:val="18"/>
              </w:rPr>
              <w:t>495,045,857</w:t>
            </w:r>
          </w:p>
        </w:tc>
      </w:tr>
    </w:tbl>
    <w:p w14:paraId="7FE2502F" w14:textId="77777777" w:rsidR="007B66C1" w:rsidRPr="00904E51" w:rsidRDefault="007B66C1" w:rsidP="007B66C1">
      <w:pPr>
        <w:jc w:val="both"/>
        <w:rPr>
          <w:rFonts w:ascii="Georgia" w:hAnsi="Georgia"/>
          <w:color w:val="404040" w:themeColor="text1" w:themeTint="BF"/>
          <w:sz w:val="20"/>
          <w:szCs w:val="20"/>
          <w:highlight w:val="yellow"/>
        </w:rPr>
      </w:pPr>
    </w:p>
    <w:p w14:paraId="282B1FC6" w14:textId="77777777" w:rsidR="007B66C1" w:rsidRPr="006C4783" w:rsidRDefault="007B66C1" w:rsidP="007B66C1">
      <w:pPr>
        <w:jc w:val="both"/>
        <w:rPr>
          <w:rFonts w:ascii="Georgia" w:hAnsi="Georgia"/>
          <w:color w:val="404040" w:themeColor="text1" w:themeTint="BF"/>
          <w:sz w:val="20"/>
          <w:szCs w:val="20"/>
        </w:rPr>
      </w:pPr>
    </w:p>
    <w:p w14:paraId="196EBCC8" w14:textId="77777777" w:rsidR="007B66C1" w:rsidRPr="006C4783" w:rsidRDefault="007B66C1" w:rsidP="007B66C1">
      <w:pPr>
        <w:rPr>
          <w:rFonts w:ascii="Georgia" w:hAnsi="Georgia"/>
          <w:color w:val="404040" w:themeColor="text1" w:themeTint="BF"/>
          <w:sz w:val="20"/>
          <w:szCs w:val="20"/>
        </w:rPr>
      </w:pPr>
      <w:r w:rsidRPr="006C4783">
        <w:rPr>
          <w:rFonts w:ascii="Georgia" w:hAnsi="Georgia"/>
          <w:b/>
          <w:color w:val="404040" w:themeColor="text1" w:themeTint="BF"/>
          <w:sz w:val="20"/>
          <w:szCs w:val="20"/>
        </w:rPr>
        <w:t>Value Enhancement Initiatives</w:t>
      </w:r>
    </w:p>
    <w:p w14:paraId="484D13EE" w14:textId="77777777" w:rsidR="007B66C1" w:rsidRPr="006C4783" w:rsidRDefault="007B66C1" w:rsidP="007B66C1">
      <w:pPr>
        <w:rPr>
          <w:rFonts w:ascii="Georgia" w:hAnsi="Georgia" w:cs="Calibri"/>
          <w:b/>
          <w:color w:val="404040" w:themeColor="text1" w:themeTint="BF"/>
          <w:sz w:val="20"/>
          <w:szCs w:val="20"/>
        </w:rPr>
      </w:pPr>
    </w:p>
    <w:p w14:paraId="5002720B" w14:textId="77777777"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As previously reported, the Investment Adviser continues to focus on initiatives that seek to enhance and create additional value for the portfolio, through the optimisation of both operations and revenues.</w:t>
      </w:r>
    </w:p>
    <w:p w14:paraId="08DDEF02" w14:textId="77777777" w:rsidR="007B66C1" w:rsidRPr="006C4783" w:rsidRDefault="007B66C1" w:rsidP="007B66C1">
      <w:pPr>
        <w:rPr>
          <w:rFonts w:ascii="Georgia" w:hAnsi="Georgia"/>
          <w:color w:val="404040" w:themeColor="text1" w:themeTint="BF"/>
          <w:sz w:val="20"/>
          <w:szCs w:val="20"/>
        </w:rPr>
      </w:pPr>
    </w:p>
    <w:p w14:paraId="4526DF7E" w14:textId="7E870C98"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 xml:space="preserve">The most significant of these initiatives is a wide ranging asset life extension programme, which seeks to allow the SPVs to extend the available tenor of the PV plants (above 2MWp of installed capacity) up to 40 years (with the majority of the </w:t>
      </w:r>
      <w:r w:rsidRPr="00AE0D71">
        <w:rPr>
          <w:rFonts w:ascii="Georgia" w:hAnsi="Georgia"/>
          <w:color w:val="404040" w:themeColor="text1" w:themeTint="BF"/>
          <w:sz w:val="20"/>
          <w:szCs w:val="20"/>
        </w:rPr>
        <w:t>assets’ leases and planning approvals currently</w:t>
      </w:r>
      <w:r w:rsidR="00634E8C" w:rsidRPr="00AE0D71">
        <w:rPr>
          <w:rFonts w:ascii="Georgia" w:hAnsi="Georgia"/>
          <w:color w:val="404040" w:themeColor="text1" w:themeTint="BF"/>
          <w:sz w:val="20"/>
          <w:szCs w:val="20"/>
        </w:rPr>
        <w:t xml:space="preserve"> envisaging an average term of more than </w:t>
      </w:r>
      <w:r w:rsidRPr="00AE0D71">
        <w:rPr>
          <w:rFonts w:ascii="Georgia" w:hAnsi="Georgia"/>
          <w:color w:val="404040" w:themeColor="text1" w:themeTint="BF"/>
          <w:sz w:val="20"/>
          <w:szCs w:val="20"/>
        </w:rPr>
        <w:t>25 years).</w:t>
      </w:r>
      <w:r w:rsidRPr="006C4783">
        <w:rPr>
          <w:rFonts w:ascii="Georgia" w:hAnsi="Georgia"/>
          <w:color w:val="404040" w:themeColor="text1" w:themeTint="BF"/>
          <w:sz w:val="20"/>
          <w:szCs w:val="20"/>
        </w:rPr>
        <w:t xml:space="preserve"> </w:t>
      </w:r>
    </w:p>
    <w:p w14:paraId="7F58AE59" w14:textId="77777777" w:rsidR="007B66C1" w:rsidRPr="006C4783" w:rsidRDefault="007B66C1" w:rsidP="007B66C1">
      <w:pPr>
        <w:jc w:val="both"/>
        <w:rPr>
          <w:rFonts w:ascii="Georgia" w:hAnsi="Georgia"/>
          <w:color w:val="404040" w:themeColor="text1" w:themeTint="BF"/>
          <w:sz w:val="20"/>
          <w:szCs w:val="20"/>
        </w:rPr>
      </w:pPr>
    </w:p>
    <w:p w14:paraId="08259AC6" w14:textId="28F2C467"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In addition to extending the tenor and inserting battery storage optionality, each SPV is also including options around the future optimisation of each plant. Examples of this include rights to re</w:t>
      </w:r>
      <w:r w:rsidR="006C69DC">
        <w:rPr>
          <w:rFonts w:ascii="Georgia" w:hAnsi="Georgia"/>
          <w:color w:val="404040" w:themeColor="text1" w:themeTint="BF"/>
          <w:sz w:val="20"/>
          <w:szCs w:val="20"/>
        </w:rPr>
        <w:t>-</w:t>
      </w:r>
      <w:r w:rsidRPr="006C4783">
        <w:rPr>
          <w:rFonts w:ascii="Georgia" w:hAnsi="Georgia"/>
          <w:color w:val="404040" w:themeColor="text1" w:themeTint="BF"/>
          <w:sz w:val="20"/>
          <w:szCs w:val="20"/>
        </w:rPr>
        <w:t xml:space="preserve">powering, reconfiguring, or permitting the laying of additional conducting media (primarily cables to support the installation of batteries). </w:t>
      </w:r>
    </w:p>
    <w:p w14:paraId="7ED351DB" w14:textId="77777777" w:rsidR="007B66C1" w:rsidRPr="006C4783" w:rsidRDefault="007B66C1" w:rsidP="007B66C1">
      <w:pPr>
        <w:pStyle w:val="Heading2"/>
        <w:spacing w:before="0"/>
      </w:pPr>
      <w:r w:rsidRPr="006C4783">
        <w:lastRenderedPageBreak/>
        <w:t>Report of the Investment Adviser (continued)</w:t>
      </w:r>
    </w:p>
    <w:p w14:paraId="0BF82B95" w14:textId="77777777" w:rsidR="007B66C1" w:rsidRPr="006C4783" w:rsidRDefault="007B66C1" w:rsidP="007B66C1">
      <w:pPr>
        <w:rPr>
          <w:rFonts w:ascii="Georgia" w:hAnsi="Georgia"/>
          <w:color w:val="000000" w:themeColor="text1"/>
          <w:sz w:val="20"/>
        </w:rPr>
      </w:pPr>
    </w:p>
    <w:p w14:paraId="4AACB1B2" w14:textId="77777777" w:rsidR="007B66C1" w:rsidRPr="006C4783" w:rsidRDefault="007B66C1" w:rsidP="007B66C1">
      <w:pPr>
        <w:rPr>
          <w:rFonts w:ascii="Georgia" w:hAnsi="Georgia"/>
          <w:b/>
          <w:color w:val="404040" w:themeColor="text1" w:themeTint="BF"/>
          <w:sz w:val="20"/>
          <w:szCs w:val="20"/>
        </w:rPr>
      </w:pPr>
      <w:r w:rsidRPr="006C4783">
        <w:rPr>
          <w:rFonts w:ascii="Georgia" w:hAnsi="Georgia"/>
          <w:b/>
          <w:color w:val="404040" w:themeColor="text1" w:themeTint="BF"/>
          <w:sz w:val="20"/>
          <w:szCs w:val="20"/>
        </w:rPr>
        <w:t>2. Portfolio: Acquisitions, Performance and Value Enhancement (continued)</w:t>
      </w:r>
    </w:p>
    <w:p w14:paraId="5E29C6D7" w14:textId="77777777" w:rsidR="007B66C1" w:rsidRPr="006C4783" w:rsidRDefault="007B66C1" w:rsidP="007B66C1">
      <w:pPr>
        <w:rPr>
          <w:rFonts w:ascii="Georgia" w:hAnsi="Georgia"/>
          <w:b/>
          <w:color w:val="262626" w:themeColor="text1" w:themeTint="D9"/>
          <w:sz w:val="20"/>
          <w:szCs w:val="20"/>
        </w:rPr>
      </w:pPr>
    </w:p>
    <w:p w14:paraId="03BE0365" w14:textId="77777777" w:rsidR="007B66C1" w:rsidRPr="006C4783" w:rsidRDefault="007B66C1" w:rsidP="007B66C1">
      <w:pPr>
        <w:rPr>
          <w:rFonts w:ascii="Georgia" w:hAnsi="Georgia"/>
          <w:color w:val="404040" w:themeColor="text1" w:themeTint="BF"/>
          <w:sz w:val="20"/>
          <w:szCs w:val="20"/>
        </w:rPr>
      </w:pPr>
      <w:r w:rsidRPr="006C4783">
        <w:rPr>
          <w:rFonts w:ascii="Georgia" w:hAnsi="Georgia"/>
          <w:b/>
          <w:color w:val="404040" w:themeColor="text1" w:themeTint="BF"/>
          <w:sz w:val="20"/>
          <w:szCs w:val="20"/>
        </w:rPr>
        <w:t>Value Enhancement Initiatives (continued)</w:t>
      </w:r>
    </w:p>
    <w:p w14:paraId="2B94F2A3" w14:textId="77777777" w:rsidR="007B66C1" w:rsidRPr="006C4783" w:rsidRDefault="007B66C1" w:rsidP="007B66C1">
      <w:pPr>
        <w:rPr>
          <w:rFonts w:ascii="Georgia" w:hAnsi="Georgia"/>
          <w:color w:val="000000" w:themeColor="text1"/>
          <w:sz w:val="32"/>
        </w:rPr>
      </w:pPr>
    </w:p>
    <w:p w14:paraId="0C2D32DB" w14:textId="77777777"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The discussions on lease extensions also present an opportunity for landowners to request variations and where these do not materially affect the operation of the plants or adversely impact the economics of its investment, the Company makes every effort to be sympathetic to the landowner’s wishes (such as rights to graze livestock on the sites).</w:t>
      </w:r>
    </w:p>
    <w:p w14:paraId="3D04B4A8" w14:textId="77777777" w:rsidR="007B66C1" w:rsidRPr="006C4783" w:rsidRDefault="007B66C1" w:rsidP="007B66C1">
      <w:pPr>
        <w:jc w:val="both"/>
        <w:rPr>
          <w:rFonts w:ascii="Georgia" w:hAnsi="Georgia"/>
          <w:color w:val="404040" w:themeColor="text1" w:themeTint="BF"/>
          <w:sz w:val="20"/>
          <w:szCs w:val="20"/>
        </w:rPr>
      </w:pPr>
    </w:p>
    <w:p w14:paraId="27C1F41A" w14:textId="2278D683" w:rsidR="00F20D0A" w:rsidRPr="00AE0D71"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Over the last 12 months the pro</w:t>
      </w:r>
      <w:r w:rsidR="006C69DC">
        <w:rPr>
          <w:rFonts w:ascii="Georgia" w:hAnsi="Georgia"/>
          <w:color w:val="404040" w:themeColor="text1" w:themeTint="BF"/>
          <w:sz w:val="20"/>
          <w:szCs w:val="20"/>
        </w:rPr>
        <w:t>gramme</w:t>
      </w:r>
      <w:r w:rsidRPr="006C4783">
        <w:rPr>
          <w:rFonts w:ascii="Georgia" w:hAnsi="Georgia"/>
          <w:color w:val="404040" w:themeColor="text1" w:themeTint="BF"/>
          <w:sz w:val="20"/>
          <w:szCs w:val="20"/>
        </w:rPr>
        <w:t xml:space="preserve"> has </w:t>
      </w:r>
      <w:r>
        <w:rPr>
          <w:rFonts w:ascii="Georgia" w:hAnsi="Georgia"/>
          <w:color w:val="404040" w:themeColor="text1" w:themeTint="BF"/>
          <w:sz w:val="20"/>
          <w:szCs w:val="20"/>
        </w:rPr>
        <w:t>continued to progress well</w:t>
      </w:r>
      <w:r w:rsidRPr="006C4783">
        <w:rPr>
          <w:rFonts w:ascii="Georgia" w:hAnsi="Georgia"/>
          <w:color w:val="404040" w:themeColor="text1" w:themeTint="BF"/>
          <w:sz w:val="20"/>
          <w:szCs w:val="20"/>
        </w:rPr>
        <w:t xml:space="preserve">, with negotiations concluded and </w:t>
      </w:r>
      <w:r w:rsidRPr="00AE0D71">
        <w:rPr>
          <w:rFonts w:ascii="Georgia" w:hAnsi="Georgia"/>
          <w:color w:val="404040" w:themeColor="text1" w:themeTint="BF"/>
          <w:sz w:val="20"/>
          <w:szCs w:val="20"/>
        </w:rPr>
        <w:t>lease variations exercised (through option agreements) on 2</w:t>
      </w:r>
      <w:r w:rsidR="00C8542D" w:rsidRPr="00AE0D71">
        <w:rPr>
          <w:rFonts w:ascii="Georgia" w:hAnsi="Georgia"/>
          <w:color w:val="404040" w:themeColor="text1" w:themeTint="BF"/>
          <w:sz w:val="20"/>
          <w:szCs w:val="20"/>
        </w:rPr>
        <w:t>9</w:t>
      </w:r>
      <w:r w:rsidRPr="00AE0D71">
        <w:rPr>
          <w:rFonts w:ascii="Georgia" w:hAnsi="Georgia"/>
          <w:color w:val="404040" w:themeColor="text1" w:themeTint="BF"/>
          <w:sz w:val="20"/>
          <w:szCs w:val="20"/>
        </w:rPr>
        <w:t xml:space="preserve"> assets with a combined total of </w:t>
      </w:r>
      <w:r w:rsidR="00DC6EFD" w:rsidRPr="00AE0D71">
        <w:rPr>
          <w:rFonts w:ascii="Georgia" w:hAnsi="Georgia"/>
          <w:color w:val="404040" w:themeColor="text1" w:themeTint="BF"/>
          <w:sz w:val="20"/>
          <w:szCs w:val="20"/>
        </w:rPr>
        <w:t>245MWp</w:t>
      </w:r>
      <w:r w:rsidRPr="00AE0D71">
        <w:rPr>
          <w:rFonts w:ascii="Georgia" w:hAnsi="Georgia"/>
          <w:color w:val="404040" w:themeColor="text1" w:themeTint="BF"/>
          <w:sz w:val="20"/>
          <w:szCs w:val="20"/>
        </w:rPr>
        <w:t xml:space="preserve">, representing </w:t>
      </w:r>
      <w:r w:rsidR="00FB7659" w:rsidRPr="00AE0D71">
        <w:rPr>
          <w:rFonts w:ascii="Georgia" w:hAnsi="Georgia"/>
          <w:color w:val="404040" w:themeColor="text1" w:themeTint="BF"/>
          <w:sz w:val="20"/>
          <w:szCs w:val="20"/>
        </w:rPr>
        <w:t>50</w:t>
      </w:r>
      <w:r w:rsidR="00B10246" w:rsidRPr="00AE0D71">
        <w:rPr>
          <w:rFonts w:ascii="Georgia" w:hAnsi="Georgia"/>
          <w:color w:val="404040" w:themeColor="text1" w:themeTint="BF"/>
          <w:sz w:val="20"/>
          <w:szCs w:val="20"/>
        </w:rPr>
        <w:t>.0</w:t>
      </w:r>
      <w:r w:rsidR="00607A79" w:rsidRPr="00AE0D71">
        <w:rPr>
          <w:rFonts w:ascii="Georgia" w:hAnsi="Georgia"/>
          <w:color w:val="404040" w:themeColor="text1" w:themeTint="BF"/>
          <w:sz w:val="20"/>
          <w:szCs w:val="20"/>
        </w:rPr>
        <w:t>0</w:t>
      </w:r>
      <w:r w:rsidR="00FB7659" w:rsidRPr="00AE0D71">
        <w:rPr>
          <w:rFonts w:ascii="Georgia" w:hAnsi="Georgia"/>
          <w:color w:val="404040" w:themeColor="text1" w:themeTint="BF"/>
          <w:sz w:val="20"/>
          <w:szCs w:val="20"/>
        </w:rPr>
        <w:t>%</w:t>
      </w:r>
      <w:r w:rsidRPr="00AE0D71">
        <w:rPr>
          <w:rFonts w:ascii="Georgia" w:hAnsi="Georgia"/>
          <w:color w:val="404040" w:themeColor="text1" w:themeTint="BF"/>
          <w:sz w:val="20"/>
          <w:szCs w:val="20"/>
        </w:rPr>
        <w:t xml:space="preserve"> of the portfolio</w:t>
      </w:r>
      <w:r w:rsidR="00221EF9" w:rsidRPr="00AE0D71">
        <w:rPr>
          <w:rFonts w:ascii="Georgia" w:hAnsi="Georgia"/>
          <w:color w:val="404040" w:themeColor="text1" w:themeTint="BF"/>
          <w:sz w:val="20"/>
          <w:szCs w:val="20"/>
        </w:rPr>
        <w:t xml:space="preserve"> as at 30 June 2020</w:t>
      </w:r>
      <w:r w:rsidRPr="00AE0D71">
        <w:rPr>
          <w:rFonts w:ascii="Georgia" w:hAnsi="Georgia"/>
          <w:color w:val="404040" w:themeColor="text1" w:themeTint="BF"/>
          <w:sz w:val="20"/>
          <w:szCs w:val="20"/>
        </w:rPr>
        <w:t>. Of these 2</w:t>
      </w:r>
      <w:r w:rsidR="00607A79" w:rsidRPr="00AE0D71">
        <w:rPr>
          <w:rFonts w:ascii="Georgia" w:hAnsi="Georgia"/>
          <w:color w:val="404040" w:themeColor="text1" w:themeTint="BF"/>
          <w:sz w:val="20"/>
          <w:szCs w:val="20"/>
        </w:rPr>
        <w:t>9</w:t>
      </w:r>
      <w:r w:rsidRPr="00AE0D71">
        <w:rPr>
          <w:rFonts w:ascii="Georgia" w:hAnsi="Georgia"/>
          <w:color w:val="404040" w:themeColor="text1" w:themeTint="BF"/>
          <w:sz w:val="20"/>
          <w:szCs w:val="20"/>
        </w:rPr>
        <w:t xml:space="preserve"> assets, 23 (combined total of 205.6MWp) have </w:t>
      </w:r>
      <w:r w:rsidR="00183E45" w:rsidRPr="00AE0D71">
        <w:rPr>
          <w:rFonts w:ascii="Georgia" w:hAnsi="Georgia"/>
          <w:color w:val="404040" w:themeColor="text1" w:themeTint="BF"/>
          <w:sz w:val="20"/>
          <w:szCs w:val="20"/>
        </w:rPr>
        <w:t xml:space="preserve">received successful </w:t>
      </w:r>
      <w:r w:rsidRPr="00AE0D71">
        <w:rPr>
          <w:rFonts w:ascii="Georgia" w:hAnsi="Georgia"/>
          <w:color w:val="404040" w:themeColor="text1" w:themeTint="BF"/>
          <w:sz w:val="20"/>
          <w:szCs w:val="20"/>
        </w:rPr>
        <w:t xml:space="preserve">planning </w:t>
      </w:r>
      <w:r w:rsidR="00537A73" w:rsidRPr="00AE0D71">
        <w:rPr>
          <w:rFonts w:ascii="Georgia" w:hAnsi="Georgia"/>
          <w:color w:val="404040" w:themeColor="text1" w:themeTint="BF"/>
          <w:sz w:val="20"/>
          <w:szCs w:val="20"/>
        </w:rPr>
        <w:t>determinations</w:t>
      </w:r>
      <w:r w:rsidRPr="00AE0D71">
        <w:rPr>
          <w:rFonts w:ascii="Georgia" w:hAnsi="Georgia"/>
          <w:color w:val="404040" w:themeColor="text1" w:themeTint="BF"/>
          <w:sz w:val="20"/>
          <w:szCs w:val="20"/>
        </w:rPr>
        <w:t xml:space="preserve"> following the execution of the extension options. </w:t>
      </w:r>
    </w:p>
    <w:p w14:paraId="5E085AD1" w14:textId="77777777" w:rsidR="00F20D0A" w:rsidRPr="00AE0D71" w:rsidRDefault="00F20D0A" w:rsidP="007B66C1">
      <w:pPr>
        <w:jc w:val="both"/>
        <w:rPr>
          <w:rFonts w:ascii="Georgia" w:hAnsi="Georgia"/>
          <w:color w:val="404040" w:themeColor="text1" w:themeTint="BF"/>
          <w:sz w:val="20"/>
          <w:szCs w:val="20"/>
        </w:rPr>
      </w:pPr>
    </w:p>
    <w:p w14:paraId="7893543D" w14:textId="545FE5D4" w:rsidR="007B66C1" w:rsidRPr="006C4783" w:rsidRDefault="007B66C1" w:rsidP="007B66C1">
      <w:pPr>
        <w:jc w:val="both"/>
        <w:rPr>
          <w:rFonts w:ascii="Georgia" w:hAnsi="Georgia"/>
          <w:color w:val="404040" w:themeColor="text1" w:themeTint="BF"/>
          <w:sz w:val="20"/>
          <w:szCs w:val="20"/>
        </w:rPr>
      </w:pPr>
      <w:r w:rsidRPr="00AE0D71">
        <w:rPr>
          <w:rFonts w:ascii="Georgia" w:hAnsi="Georgia"/>
          <w:color w:val="404040" w:themeColor="text1" w:themeTint="BF"/>
          <w:sz w:val="20"/>
          <w:szCs w:val="20"/>
        </w:rPr>
        <w:t>To date, 100% of the planning submission</w:t>
      </w:r>
      <w:r w:rsidR="00737F55" w:rsidRPr="00AE0D71">
        <w:rPr>
          <w:rFonts w:ascii="Georgia" w:hAnsi="Georgia"/>
          <w:color w:val="404040" w:themeColor="text1" w:themeTint="BF"/>
          <w:sz w:val="20"/>
          <w:szCs w:val="20"/>
        </w:rPr>
        <w:t>s</w:t>
      </w:r>
      <w:r w:rsidRPr="00AE0D71">
        <w:rPr>
          <w:rFonts w:ascii="Georgia" w:hAnsi="Georgia"/>
          <w:color w:val="404040" w:themeColor="text1" w:themeTint="BF"/>
          <w:sz w:val="20"/>
          <w:szCs w:val="20"/>
        </w:rPr>
        <w:t xml:space="preserve"> ha</w:t>
      </w:r>
      <w:r w:rsidR="00737F55" w:rsidRPr="00AE0D71">
        <w:rPr>
          <w:rFonts w:ascii="Georgia" w:hAnsi="Georgia"/>
          <w:color w:val="404040" w:themeColor="text1" w:themeTint="BF"/>
          <w:sz w:val="20"/>
          <w:szCs w:val="20"/>
        </w:rPr>
        <w:t>ve</w:t>
      </w:r>
      <w:r w:rsidRPr="00AE0D71">
        <w:rPr>
          <w:rFonts w:ascii="Georgia" w:hAnsi="Georgia"/>
          <w:color w:val="404040" w:themeColor="text1" w:themeTint="BF"/>
          <w:sz w:val="20"/>
          <w:szCs w:val="20"/>
        </w:rPr>
        <w:t xml:space="preserve"> been successful, often with the amended terms receiving unanimous support from the relevant planning authority. </w:t>
      </w:r>
      <w:r w:rsidR="003032B3" w:rsidRPr="00AE0D71">
        <w:rPr>
          <w:rFonts w:ascii="Georgia" w:hAnsi="Georgia"/>
          <w:color w:val="404040" w:themeColor="text1" w:themeTint="BF"/>
          <w:sz w:val="20"/>
          <w:szCs w:val="20"/>
        </w:rPr>
        <w:t xml:space="preserve">At the time of writing, </w:t>
      </w:r>
      <w:r w:rsidRPr="00AE0D71">
        <w:rPr>
          <w:rFonts w:ascii="Georgia" w:hAnsi="Georgia"/>
          <w:color w:val="404040" w:themeColor="text1" w:themeTint="BF"/>
          <w:sz w:val="20"/>
          <w:szCs w:val="20"/>
        </w:rPr>
        <w:t xml:space="preserve">Sheppey (10.6MWp) is currently awaiting approval, with a further 4 assets (20MWp) being prepared for submission in </w:t>
      </w:r>
      <w:r w:rsidR="00621922" w:rsidRPr="00AE0D71">
        <w:rPr>
          <w:rFonts w:ascii="Georgia" w:hAnsi="Georgia"/>
          <w:color w:val="404040" w:themeColor="text1" w:themeTint="BF"/>
          <w:sz w:val="20"/>
          <w:szCs w:val="20"/>
        </w:rPr>
        <w:t>October 2020</w:t>
      </w:r>
      <w:r w:rsidRPr="00AE0D71">
        <w:rPr>
          <w:rFonts w:ascii="Georgia" w:hAnsi="Georgia"/>
          <w:color w:val="404040" w:themeColor="text1" w:themeTint="BF"/>
          <w:sz w:val="20"/>
          <w:szCs w:val="20"/>
        </w:rPr>
        <w:t xml:space="preserve">. </w:t>
      </w:r>
    </w:p>
    <w:p w14:paraId="4713A5BD" w14:textId="77777777" w:rsidR="007B66C1" w:rsidRPr="006C4783" w:rsidRDefault="007B66C1" w:rsidP="007B66C1">
      <w:pPr>
        <w:jc w:val="both"/>
        <w:rPr>
          <w:rFonts w:ascii="Georgia" w:hAnsi="Georgia"/>
          <w:color w:val="000000" w:themeColor="text1"/>
          <w:sz w:val="20"/>
          <w:szCs w:val="20"/>
        </w:rPr>
      </w:pPr>
    </w:p>
    <w:p w14:paraId="57CA2DFB" w14:textId="2B5EBF4C"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As a reflection of the successful progress made regarding negotiations with landlords</w:t>
      </w:r>
      <w:r w:rsidR="005D7DB8">
        <w:rPr>
          <w:rFonts w:ascii="Georgia" w:hAnsi="Georgia"/>
          <w:color w:val="404040" w:themeColor="text1" w:themeTint="BF"/>
          <w:sz w:val="20"/>
          <w:szCs w:val="20"/>
        </w:rPr>
        <w:t xml:space="preserve"> and </w:t>
      </w:r>
      <w:r w:rsidR="00231C24">
        <w:rPr>
          <w:rFonts w:ascii="Georgia" w:hAnsi="Georgia"/>
          <w:color w:val="404040" w:themeColor="text1" w:themeTint="BF"/>
          <w:sz w:val="20"/>
          <w:szCs w:val="20"/>
        </w:rPr>
        <w:t xml:space="preserve">receipt of positive </w:t>
      </w:r>
      <w:r w:rsidR="005D7DB8">
        <w:rPr>
          <w:rFonts w:ascii="Georgia" w:hAnsi="Georgia"/>
          <w:color w:val="404040" w:themeColor="text1" w:themeTint="BF"/>
          <w:sz w:val="20"/>
          <w:szCs w:val="20"/>
        </w:rPr>
        <w:t>planning</w:t>
      </w:r>
      <w:r w:rsidR="00231C24">
        <w:rPr>
          <w:rFonts w:ascii="Georgia" w:hAnsi="Georgia"/>
          <w:color w:val="404040" w:themeColor="text1" w:themeTint="BF"/>
          <w:sz w:val="20"/>
          <w:szCs w:val="20"/>
        </w:rPr>
        <w:t xml:space="preserve"> determinations</w:t>
      </w:r>
      <w:r w:rsidRPr="006C4783">
        <w:rPr>
          <w:rFonts w:ascii="Georgia" w:hAnsi="Georgia"/>
          <w:color w:val="404040" w:themeColor="text1" w:themeTint="BF"/>
          <w:sz w:val="20"/>
          <w:szCs w:val="20"/>
        </w:rPr>
        <w:t xml:space="preserve"> the Directors believe it appropriate</w:t>
      </w:r>
      <w:r w:rsidR="000661D7">
        <w:rPr>
          <w:rFonts w:ascii="Georgia" w:hAnsi="Georgia"/>
          <w:color w:val="404040" w:themeColor="text1" w:themeTint="BF"/>
          <w:sz w:val="20"/>
          <w:szCs w:val="20"/>
        </w:rPr>
        <w:t>, within the June 202</w:t>
      </w:r>
      <w:r w:rsidR="00A61350">
        <w:rPr>
          <w:rFonts w:ascii="Georgia" w:hAnsi="Georgia"/>
          <w:color w:val="404040" w:themeColor="text1" w:themeTint="BF"/>
          <w:sz w:val="20"/>
          <w:szCs w:val="20"/>
        </w:rPr>
        <w:t xml:space="preserve">0 Directors’ Valuation, </w:t>
      </w:r>
      <w:r w:rsidRPr="006C4783">
        <w:rPr>
          <w:rFonts w:ascii="Georgia" w:hAnsi="Georgia"/>
          <w:color w:val="404040" w:themeColor="text1" w:themeTint="BF"/>
          <w:sz w:val="20"/>
          <w:szCs w:val="20"/>
        </w:rPr>
        <w:t xml:space="preserve">to </w:t>
      </w:r>
      <w:r w:rsidR="00954052" w:rsidRPr="00D274FE">
        <w:rPr>
          <w:rFonts w:ascii="Georgia" w:hAnsi="Georgia"/>
          <w:color w:val="404040" w:themeColor="text1" w:themeTint="BF"/>
          <w:sz w:val="20"/>
          <w:szCs w:val="20"/>
        </w:rPr>
        <w:t xml:space="preserve">value </w:t>
      </w:r>
      <w:r w:rsidR="00B30231" w:rsidRPr="00D274FE">
        <w:rPr>
          <w:rFonts w:ascii="Georgia" w:hAnsi="Georgia"/>
          <w:color w:val="404040" w:themeColor="text1" w:themeTint="BF"/>
          <w:sz w:val="20"/>
          <w:szCs w:val="20"/>
        </w:rPr>
        <w:t>245</w:t>
      </w:r>
      <w:r w:rsidR="0026140B" w:rsidRPr="00D274FE">
        <w:rPr>
          <w:rFonts w:ascii="Georgia" w:hAnsi="Georgia"/>
          <w:color w:val="404040" w:themeColor="text1" w:themeTint="BF"/>
          <w:sz w:val="20"/>
          <w:szCs w:val="20"/>
        </w:rPr>
        <w:t>MWp</w:t>
      </w:r>
      <w:r w:rsidR="00C83395" w:rsidRPr="00D274FE">
        <w:rPr>
          <w:rFonts w:ascii="Georgia" w:hAnsi="Georgia"/>
          <w:color w:val="404040" w:themeColor="text1" w:themeTint="BF"/>
          <w:sz w:val="20"/>
          <w:szCs w:val="20"/>
        </w:rPr>
        <w:t xml:space="preserve"> </w:t>
      </w:r>
      <w:r w:rsidR="00B6122D" w:rsidRPr="00D274FE">
        <w:rPr>
          <w:rFonts w:ascii="Georgia" w:hAnsi="Georgia"/>
          <w:color w:val="404040" w:themeColor="text1" w:themeTint="BF"/>
          <w:sz w:val="20"/>
          <w:szCs w:val="20"/>
        </w:rPr>
        <w:t xml:space="preserve">(106.5MWp in Jun 19) </w:t>
      </w:r>
      <w:r w:rsidR="00C62E98" w:rsidRPr="00D274FE">
        <w:rPr>
          <w:rFonts w:ascii="Georgia" w:hAnsi="Georgia"/>
          <w:color w:val="404040" w:themeColor="text1" w:themeTint="BF"/>
          <w:sz w:val="20"/>
          <w:szCs w:val="20"/>
        </w:rPr>
        <w:t>of</w:t>
      </w:r>
      <w:r w:rsidR="00C62E98">
        <w:rPr>
          <w:rFonts w:ascii="Georgia" w:hAnsi="Georgia"/>
          <w:color w:val="404040" w:themeColor="text1" w:themeTint="BF"/>
          <w:sz w:val="20"/>
          <w:szCs w:val="20"/>
        </w:rPr>
        <w:t xml:space="preserve"> the portfolio on the basis of</w:t>
      </w:r>
      <w:r w:rsidR="00AF2B00">
        <w:rPr>
          <w:rFonts w:ascii="Georgia" w:hAnsi="Georgia"/>
          <w:color w:val="404040" w:themeColor="text1" w:themeTint="BF"/>
          <w:sz w:val="20"/>
          <w:szCs w:val="20"/>
        </w:rPr>
        <w:t xml:space="preserve"> a</w:t>
      </w:r>
      <w:r w:rsidR="00C62E98">
        <w:rPr>
          <w:rFonts w:ascii="Georgia" w:hAnsi="Georgia"/>
          <w:color w:val="404040" w:themeColor="text1" w:themeTint="BF"/>
          <w:sz w:val="20"/>
          <w:szCs w:val="20"/>
        </w:rPr>
        <w:t xml:space="preserve"> 40</w:t>
      </w:r>
      <w:r w:rsidR="000E3577">
        <w:rPr>
          <w:rFonts w:ascii="Georgia" w:hAnsi="Georgia"/>
          <w:color w:val="404040" w:themeColor="text1" w:themeTint="BF"/>
          <w:sz w:val="20"/>
          <w:szCs w:val="20"/>
        </w:rPr>
        <w:t xml:space="preserve"> </w:t>
      </w:r>
      <w:r w:rsidR="00C62E98">
        <w:rPr>
          <w:rFonts w:ascii="Georgia" w:hAnsi="Georgia"/>
          <w:color w:val="404040" w:themeColor="text1" w:themeTint="BF"/>
          <w:sz w:val="20"/>
          <w:szCs w:val="20"/>
        </w:rPr>
        <w:t>y</w:t>
      </w:r>
      <w:r w:rsidR="000E3577">
        <w:rPr>
          <w:rFonts w:ascii="Georgia" w:hAnsi="Georgia"/>
          <w:color w:val="404040" w:themeColor="text1" w:themeTint="BF"/>
          <w:sz w:val="20"/>
          <w:szCs w:val="20"/>
        </w:rPr>
        <w:t>ea</w:t>
      </w:r>
      <w:r w:rsidR="00C62E98">
        <w:rPr>
          <w:rFonts w:ascii="Georgia" w:hAnsi="Georgia"/>
          <w:color w:val="404040" w:themeColor="text1" w:themeTint="BF"/>
          <w:sz w:val="20"/>
          <w:szCs w:val="20"/>
        </w:rPr>
        <w:t xml:space="preserve">r </w:t>
      </w:r>
      <w:r w:rsidR="00454149">
        <w:rPr>
          <w:rFonts w:ascii="Georgia" w:hAnsi="Georgia"/>
          <w:color w:val="404040" w:themeColor="text1" w:themeTint="BF"/>
          <w:sz w:val="20"/>
          <w:szCs w:val="20"/>
        </w:rPr>
        <w:t>operational life</w:t>
      </w:r>
      <w:r w:rsidR="00B6122D">
        <w:rPr>
          <w:rFonts w:ascii="Georgia" w:hAnsi="Georgia"/>
          <w:color w:val="404040" w:themeColor="text1" w:themeTint="BF"/>
          <w:sz w:val="20"/>
          <w:szCs w:val="20"/>
        </w:rPr>
        <w:t>.</w:t>
      </w:r>
    </w:p>
    <w:p w14:paraId="0252ECB9" w14:textId="77777777" w:rsidR="007B66C1" w:rsidRPr="006C4783" w:rsidRDefault="007B66C1" w:rsidP="007B66C1">
      <w:pPr>
        <w:jc w:val="both"/>
        <w:rPr>
          <w:rFonts w:ascii="Georgia" w:hAnsi="Georgia"/>
          <w:color w:val="404040" w:themeColor="text1" w:themeTint="BF"/>
          <w:sz w:val="20"/>
          <w:szCs w:val="20"/>
        </w:rPr>
      </w:pPr>
    </w:p>
    <w:p w14:paraId="3B52AAB7" w14:textId="3841E153" w:rsidR="006C69DC" w:rsidRDefault="00D274FE" w:rsidP="007B66C1">
      <w:pPr>
        <w:jc w:val="both"/>
        <w:rPr>
          <w:rFonts w:ascii="Georgia" w:hAnsi="Georgia"/>
          <w:color w:val="404040" w:themeColor="text1" w:themeTint="BF"/>
          <w:sz w:val="20"/>
          <w:szCs w:val="20"/>
        </w:rPr>
      </w:pPr>
      <w:r w:rsidRPr="00D274FE">
        <w:rPr>
          <w:rFonts w:ascii="Georgia" w:hAnsi="Georgia"/>
          <w:color w:val="404040" w:themeColor="text1" w:themeTint="BF"/>
          <w:sz w:val="20"/>
          <w:szCs w:val="20"/>
        </w:rPr>
        <w:t xml:space="preserve">Looking ahead, if the Company were to decide it appropriate to value all assets on the basis of 40 year operational lives (being the remaining 50% of the portfolio) the prospective </w:t>
      </w:r>
      <w:r w:rsidR="007242D6">
        <w:rPr>
          <w:rFonts w:ascii="Georgia" w:hAnsi="Georgia"/>
          <w:color w:val="404040" w:themeColor="text1" w:themeTint="BF"/>
          <w:sz w:val="20"/>
          <w:szCs w:val="20"/>
        </w:rPr>
        <w:t xml:space="preserve">valuation uplift would be c  </w:t>
      </w:r>
      <w:r w:rsidR="007242D6" w:rsidRPr="00D274FE">
        <w:rPr>
          <w:rFonts w:ascii="Georgia" w:hAnsi="Georgia"/>
          <w:color w:val="404040" w:themeColor="text1" w:themeTint="BF"/>
          <w:sz w:val="20"/>
          <w:szCs w:val="20"/>
        </w:rPr>
        <w:t>.£29.9m or c.8.1pps.</w:t>
      </w:r>
    </w:p>
    <w:p w14:paraId="3CB2A006" w14:textId="77777777" w:rsidR="00D274FE" w:rsidRPr="006C4783" w:rsidRDefault="00D274FE" w:rsidP="007B66C1">
      <w:pPr>
        <w:jc w:val="both"/>
        <w:rPr>
          <w:rFonts w:ascii="Georgia" w:hAnsi="Georgia"/>
          <w:color w:val="404040" w:themeColor="text1" w:themeTint="BF"/>
          <w:sz w:val="20"/>
          <w:szCs w:val="20"/>
        </w:rPr>
      </w:pPr>
    </w:p>
    <w:p w14:paraId="406E1061" w14:textId="77777777"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Beyond life extensions, the Investment Adviser is continuing to discuss opportunities within the UK’s burgeoning long term corporate and direct wire PPA market, as both routes have the potential to provide predictable and reliable income streams over the long term (in some cases up to 25 years).</w:t>
      </w:r>
    </w:p>
    <w:p w14:paraId="59773C38" w14:textId="77777777" w:rsidR="007B66C1" w:rsidRPr="006C4783" w:rsidRDefault="007B66C1" w:rsidP="007B66C1">
      <w:pPr>
        <w:jc w:val="both"/>
        <w:rPr>
          <w:rFonts w:ascii="Georgia" w:hAnsi="Georgia"/>
          <w:color w:val="404040" w:themeColor="text1" w:themeTint="BF"/>
          <w:sz w:val="20"/>
          <w:szCs w:val="20"/>
        </w:rPr>
      </w:pPr>
    </w:p>
    <w:p w14:paraId="4E4E0829" w14:textId="00B2661D"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 xml:space="preserve">The Company’s strategy remains the same, however, and it will continue to apply stringent capital discipline to ensure that only assets that are accretive to </w:t>
      </w:r>
      <w:r w:rsidR="00DC6EFD">
        <w:rPr>
          <w:rFonts w:ascii="Georgia" w:hAnsi="Georgia"/>
          <w:color w:val="404040" w:themeColor="text1" w:themeTint="BF"/>
          <w:sz w:val="20"/>
          <w:szCs w:val="20"/>
        </w:rPr>
        <w:t>S</w:t>
      </w:r>
      <w:r w:rsidRPr="006C4783">
        <w:rPr>
          <w:rFonts w:ascii="Georgia" w:hAnsi="Georgia"/>
          <w:color w:val="404040" w:themeColor="text1" w:themeTint="BF"/>
          <w:sz w:val="20"/>
          <w:szCs w:val="20"/>
        </w:rPr>
        <w:t xml:space="preserve">hareholders’ returns are acquired. However, it is confident that this can be achieved through a mix of carefully selected development investment, private wire or corporate PPA backed new build installations and return adjusted additions from co-located storage and solar.  </w:t>
      </w:r>
    </w:p>
    <w:p w14:paraId="229BE23D" w14:textId="77777777" w:rsidR="007B66C1" w:rsidRPr="00904E51" w:rsidRDefault="007B66C1" w:rsidP="007B66C1">
      <w:pPr>
        <w:pStyle w:val="ListParagraph"/>
        <w:ind w:left="0"/>
        <w:jc w:val="both"/>
        <w:rPr>
          <w:highlight w:val="yellow"/>
        </w:rPr>
      </w:pPr>
    </w:p>
    <w:p w14:paraId="514313BA" w14:textId="6FD6E81D" w:rsidR="007B66C1" w:rsidRPr="006C4783" w:rsidRDefault="007B66C1" w:rsidP="007B66C1">
      <w:pPr>
        <w:jc w:val="both"/>
        <w:rPr>
          <w:rFonts w:ascii="Georgia" w:hAnsi="Georgia"/>
          <w:color w:val="404040" w:themeColor="text1" w:themeTint="BF"/>
          <w:sz w:val="20"/>
          <w:szCs w:val="20"/>
        </w:rPr>
      </w:pPr>
      <w:r w:rsidRPr="006C4783">
        <w:rPr>
          <w:rFonts w:ascii="Georgia" w:hAnsi="Georgia"/>
          <w:color w:val="404040" w:themeColor="text1" w:themeTint="BF"/>
          <w:sz w:val="20"/>
          <w:szCs w:val="20"/>
        </w:rPr>
        <w:t xml:space="preserve">A further discipline the Investment Adviser is progressing is the review of previous business rates levied on each asset holding SPV. On occasion, the rateable amounts are miscalculated by the local Ratings Offices and, if these can be identified </w:t>
      </w:r>
      <w:r w:rsidR="00C67CD5">
        <w:rPr>
          <w:rFonts w:ascii="Georgia" w:hAnsi="Georgia"/>
          <w:color w:val="404040" w:themeColor="text1" w:themeTint="BF"/>
          <w:sz w:val="20"/>
          <w:szCs w:val="20"/>
        </w:rPr>
        <w:t>and</w:t>
      </w:r>
      <w:r w:rsidRPr="006C4783">
        <w:rPr>
          <w:rFonts w:ascii="Georgia" w:hAnsi="Georgia"/>
          <w:color w:val="404040" w:themeColor="text1" w:themeTint="BF"/>
          <w:sz w:val="20"/>
          <w:szCs w:val="20"/>
        </w:rPr>
        <w:t xml:space="preserve"> formally accepted as being incorrect, rebates are issued. </w:t>
      </w:r>
    </w:p>
    <w:p w14:paraId="1558B10C" w14:textId="77777777" w:rsidR="007B66C1" w:rsidRPr="006C4783" w:rsidRDefault="007B66C1" w:rsidP="007B66C1">
      <w:pPr>
        <w:jc w:val="both"/>
        <w:rPr>
          <w:rFonts w:ascii="Georgia" w:hAnsi="Georgia"/>
          <w:color w:val="404040" w:themeColor="text1" w:themeTint="BF"/>
          <w:sz w:val="20"/>
          <w:szCs w:val="20"/>
        </w:rPr>
      </w:pPr>
    </w:p>
    <w:p w14:paraId="068CD11C" w14:textId="2FC268C0" w:rsidR="007B66C1" w:rsidRDefault="006C69DC" w:rsidP="006C69DC">
      <w:pPr>
        <w:jc w:val="both"/>
      </w:pPr>
      <w:r>
        <w:rPr>
          <w:rFonts w:ascii="Georgia" w:hAnsi="Georgia"/>
          <w:color w:val="404040" w:themeColor="text1" w:themeTint="BF"/>
          <w:sz w:val="20"/>
          <w:szCs w:val="20"/>
        </w:rPr>
        <w:t>The historical rates payments made by 39 SPVs between the 2012/13 and 2018/19 tax years were reviewed, as well as the 2 remaining years in the current cycle (2019/20 and 2020/21). A range of discrepancies was identified which has led to a total of £1.9m in rebates and future savings being secured (net of professional fees). A second phase, reviewing historical rates payments relating only to the 2017 cycle, is now underway for 16 assets.</w:t>
      </w:r>
    </w:p>
    <w:p w14:paraId="3A597F34" w14:textId="1671CC14" w:rsidR="00714920" w:rsidRDefault="00714920">
      <w:pPr>
        <w:rPr>
          <w:highlight w:val="yellow"/>
        </w:rPr>
      </w:pPr>
    </w:p>
    <w:p w14:paraId="26AEDB1B" w14:textId="1D186B5C" w:rsidR="00714920" w:rsidRDefault="00714920">
      <w:pPr>
        <w:rPr>
          <w:highlight w:val="yellow"/>
        </w:rPr>
      </w:pPr>
    </w:p>
    <w:p w14:paraId="4CDB6603" w14:textId="17E566C5" w:rsidR="00714920" w:rsidRDefault="00714920">
      <w:pPr>
        <w:rPr>
          <w:highlight w:val="yellow"/>
        </w:rPr>
      </w:pPr>
    </w:p>
    <w:p w14:paraId="56A459B3" w14:textId="7A120276" w:rsidR="00714920" w:rsidRDefault="00714920">
      <w:pPr>
        <w:rPr>
          <w:highlight w:val="yellow"/>
        </w:rPr>
      </w:pPr>
    </w:p>
    <w:p w14:paraId="1FF5724A" w14:textId="77777777" w:rsidR="00714920" w:rsidRDefault="00714920">
      <w:pPr>
        <w:rPr>
          <w:rFonts w:ascii="Georgia" w:hAnsi="Georgia"/>
          <w:color w:val="000000" w:themeColor="text1"/>
          <w:sz w:val="32"/>
          <w:highlight w:val="yellow"/>
        </w:rPr>
      </w:pPr>
    </w:p>
    <w:p w14:paraId="4FB16A8B" w14:textId="77777777" w:rsidR="007B66C1" w:rsidRDefault="007B66C1" w:rsidP="00475D47">
      <w:pPr>
        <w:rPr>
          <w:highlight w:val="yellow"/>
        </w:rPr>
      </w:pPr>
    </w:p>
    <w:p w14:paraId="7CF2F2A9" w14:textId="77777777" w:rsidR="007B66C1" w:rsidRPr="00475D47" w:rsidRDefault="007B66C1" w:rsidP="007B66C1">
      <w:pPr>
        <w:pStyle w:val="Heading2"/>
        <w:spacing w:before="0"/>
      </w:pPr>
      <w:r w:rsidRPr="00475D47">
        <w:lastRenderedPageBreak/>
        <w:t>Report of the Investment Adviser (continued)</w:t>
      </w:r>
    </w:p>
    <w:p w14:paraId="0F544757" w14:textId="77777777" w:rsidR="007B66C1" w:rsidRPr="00475D47" w:rsidRDefault="007B66C1" w:rsidP="007B66C1"/>
    <w:p w14:paraId="2F419785" w14:textId="77777777" w:rsidR="007B66C1" w:rsidRPr="00475D47" w:rsidRDefault="007B66C1" w:rsidP="007B66C1">
      <w:pPr>
        <w:rPr>
          <w:rFonts w:ascii="Georgia" w:hAnsi="Georgia"/>
          <w:b/>
          <w:color w:val="4A442A" w:themeColor="background2" w:themeShade="40"/>
          <w:sz w:val="20"/>
          <w:szCs w:val="20"/>
        </w:rPr>
      </w:pPr>
      <w:r w:rsidRPr="00475D47">
        <w:rPr>
          <w:rFonts w:ascii="Georgia" w:hAnsi="Georgia"/>
          <w:b/>
          <w:color w:val="4A442A" w:themeColor="background2" w:themeShade="40"/>
          <w:sz w:val="20"/>
          <w:szCs w:val="20"/>
        </w:rPr>
        <w:t>2. Portfolio: Acquisitions, Performance and Value Enhancement (continued)</w:t>
      </w:r>
    </w:p>
    <w:p w14:paraId="025E84AA" w14:textId="77777777" w:rsidR="007B66C1" w:rsidRPr="00904E51" w:rsidRDefault="007B66C1" w:rsidP="007B66C1">
      <w:pPr>
        <w:contextualSpacing/>
        <w:jc w:val="both"/>
        <w:rPr>
          <w:rFonts w:ascii="Georgia" w:hAnsi="Georgia"/>
          <w:i/>
          <w:color w:val="404040" w:themeColor="text1" w:themeTint="BF"/>
          <w:sz w:val="20"/>
          <w:szCs w:val="20"/>
          <w:highlight w:val="yellow"/>
        </w:rPr>
      </w:pPr>
    </w:p>
    <w:p w14:paraId="7F141BD6" w14:textId="77777777" w:rsidR="007B66C1" w:rsidRPr="006D40FD" w:rsidRDefault="007B66C1" w:rsidP="007B66C1">
      <w:pPr>
        <w:contextualSpacing/>
        <w:jc w:val="both"/>
        <w:rPr>
          <w:rFonts w:ascii="Georgia" w:hAnsi="Georgia"/>
          <w:i/>
          <w:color w:val="404040" w:themeColor="text1" w:themeTint="BF"/>
          <w:sz w:val="20"/>
          <w:szCs w:val="20"/>
        </w:rPr>
      </w:pPr>
      <w:r w:rsidRPr="006D40FD">
        <w:rPr>
          <w:rFonts w:ascii="Georgia" w:hAnsi="Georgia"/>
          <w:i/>
          <w:color w:val="404040" w:themeColor="text1" w:themeTint="BF"/>
          <w:sz w:val="20"/>
          <w:szCs w:val="20"/>
        </w:rPr>
        <w:t>PPA Strategy</w:t>
      </w:r>
    </w:p>
    <w:p w14:paraId="417CD5C8" w14:textId="77777777" w:rsidR="007B66C1" w:rsidRPr="006D40FD" w:rsidRDefault="007B66C1" w:rsidP="007B66C1">
      <w:pPr>
        <w:pStyle w:val="ListParagraph"/>
        <w:ind w:left="0"/>
        <w:jc w:val="both"/>
        <w:rPr>
          <w:rFonts w:ascii="Georgia" w:hAnsi="Georgia"/>
          <w:color w:val="404040" w:themeColor="text1" w:themeTint="BF"/>
          <w:sz w:val="20"/>
          <w:szCs w:val="20"/>
        </w:rPr>
      </w:pPr>
    </w:p>
    <w:p w14:paraId="6D223FEE" w14:textId="4536E68A" w:rsidR="007B66C1" w:rsidRPr="006D40FD" w:rsidRDefault="007B66C1" w:rsidP="007B66C1">
      <w:pPr>
        <w:pStyle w:val="ListParagraph"/>
        <w:ind w:left="0"/>
        <w:jc w:val="both"/>
        <w:rPr>
          <w:rFonts w:ascii="Georgia" w:hAnsi="Georgia"/>
          <w:color w:val="404040" w:themeColor="text1" w:themeTint="BF"/>
          <w:sz w:val="20"/>
          <w:szCs w:val="20"/>
        </w:rPr>
      </w:pPr>
      <w:r w:rsidRPr="006D40FD">
        <w:rPr>
          <w:rFonts w:ascii="Georgia" w:hAnsi="Georgia"/>
          <w:color w:val="404040" w:themeColor="text1" w:themeTint="BF"/>
          <w:sz w:val="20"/>
          <w:szCs w:val="20"/>
        </w:rPr>
        <w:t xml:space="preserve">Over the year the Company maintained its strategy of fixing power </w:t>
      </w:r>
      <w:r w:rsidR="001D22CC">
        <w:rPr>
          <w:rFonts w:ascii="Georgia" w:hAnsi="Georgia"/>
          <w:color w:val="404040" w:themeColor="text1" w:themeTint="BF"/>
          <w:sz w:val="20"/>
          <w:szCs w:val="20"/>
        </w:rPr>
        <w:t>price</w:t>
      </w:r>
      <w:r w:rsidRPr="006D40FD">
        <w:rPr>
          <w:rFonts w:ascii="Georgia" w:hAnsi="Georgia"/>
          <w:color w:val="404040" w:themeColor="text1" w:themeTint="BF"/>
          <w:sz w:val="20"/>
          <w:szCs w:val="20"/>
        </w:rPr>
        <w:t xml:space="preserve"> contracts for periods between 12 and 36 months</w:t>
      </w:r>
      <w:r w:rsidR="00246B03">
        <w:rPr>
          <w:rFonts w:ascii="Georgia" w:hAnsi="Georgia"/>
          <w:color w:val="404040" w:themeColor="text1" w:themeTint="BF"/>
          <w:sz w:val="20"/>
          <w:szCs w:val="20"/>
        </w:rPr>
        <w:t xml:space="preserve"> with</w:t>
      </w:r>
      <w:r w:rsidR="001A0EFA">
        <w:rPr>
          <w:rFonts w:ascii="Georgia" w:hAnsi="Georgia"/>
          <w:color w:val="404040" w:themeColor="text1" w:themeTint="BF"/>
          <w:sz w:val="20"/>
          <w:szCs w:val="20"/>
        </w:rPr>
        <w:t xml:space="preserve"> </w:t>
      </w:r>
      <w:r w:rsidR="00246B03">
        <w:rPr>
          <w:rFonts w:ascii="Georgia" w:hAnsi="Georgia"/>
          <w:color w:val="404040" w:themeColor="text1" w:themeTint="BF"/>
          <w:sz w:val="20"/>
          <w:szCs w:val="20"/>
        </w:rPr>
        <w:t>t</w:t>
      </w:r>
      <w:r w:rsidRPr="006D40FD">
        <w:rPr>
          <w:rFonts w:ascii="Georgia" w:hAnsi="Georgia"/>
          <w:color w:val="404040" w:themeColor="text1" w:themeTint="BF"/>
          <w:sz w:val="20"/>
          <w:szCs w:val="20"/>
        </w:rPr>
        <w:t xml:space="preserve">he majority of contracts </w:t>
      </w:r>
      <w:r w:rsidR="00246B03">
        <w:rPr>
          <w:rFonts w:ascii="Georgia" w:hAnsi="Georgia"/>
          <w:color w:val="404040" w:themeColor="text1" w:themeTint="BF"/>
          <w:sz w:val="20"/>
          <w:szCs w:val="20"/>
        </w:rPr>
        <w:t xml:space="preserve">continuing to </w:t>
      </w:r>
      <w:r w:rsidR="003145D7">
        <w:rPr>
          <w:rFonts w:ascii="Georgia" w:hAnsi="Georgia"/>
          <w:color w:val="404040" w:themeColor="text1" w:themeTint="BF"/>
          <w:sz w:val="20"/>
          <w:szCs w:val="20"/>
        </w:rPr>
        <w:t xml:space="preserve">be </w:t>
      </w:r>
      <w:r w:rsidRPr="006D40FD">
        <w:rPr>
          <w:rFonts w:ascii="Georgia" w:hAnsi="Georgia"/>
          <w:color w:val="404040" w:themeColor="text1" w:themeTint="BF"/>
          <w:sz w:val="20"/>
          <w:szCs w:val="20"/>
        </w:rPr>
        <w:t>struck for a minimum of 18 months</w:t>
      </w:r>
      <w:r w:rsidR="00246B03">
        <w:rPr>
          <w:rFonts w:ascii="Georgia" w:hAnsi="Georgia"/>
          <w:color w:val="404040" w:themeColor="text1" w:themeTint="BF"/>
          <w:sz w:val="20"/>
          <w:szCs w:val="20"/>
        </w:rPr>
        <w:t xml:space="preserve"> (</w:t>
      </w:r>
      <w:r w:rsidRPr="006D40FD">
        <w:rPr>
          <w:rFonts w:ascii="Georgia" w:hAnsi="Georgia"/>
          <w:color w:val="404040" w:themeColor="text1" w:themeTint="BF"/>
          <w:sz w:val="20"/>
          <w:szCs w:val="20"/>
        </w:rPr>
        <w:t>the average required duration under the LTF agreement</w:t>
      </w:r>
      <w:r w:rsidR="00246B03">
        <w:rPr>
          <w:rFonts w:ascii="Georgia" w:hAnsi="Georgia"/>
          <w:color w:val="404040" w:themeColor="text1" w:themeTint="BF"/>
          <w:sz w:val="20"/>
          <w:szCs w:val="20"/>
        </w:rPr>
        <w:t xml:space="preserve"> with Aviva)</w:t>
      </w:r>
      <w:r w:rsidRPr="006D40FD">
        <w:rPr>
          <w:rFonts w:ascii="Georgia" w:hAnsi="Georgia"/>
          <w:color w:val="404040" w:themeColor="text1" w:themeTint="BF"/>
          <w:sz w:val="20"/>
          <w:szCs w:val="20"/>
        </w:rPr>
        <w:t xml:space="preserve">. </w:t>
      </w:r>
    </w:p>
    <w:p w14:paraId="55FB8B57" w14:textId="77777777" w:rsidR="007B66C1" w:rsidRPr="00904E51" w:rsidRDefault="007B66C1" w:rsidP="007B66C1">
      <w:pPr>
        <w:pStyle w:val="ListParagraph"/>
        <w:rPr>
          <w:rFonts w:ascii="Georgia" w:hAnsi="Georgia"/>
          <w:color w:val="404040" w:themeColor="text1" w:themeTint="BF"/>
          <w:sz w:val="20"/>
          <w:szCs w:val="20"/>
          <w:highlight w:val="yellow"/>
        </w:rPr>
      </w:pPr>
    </w:p>
    <w:p w14:paraId="2E1D6871" w14:textId="77777777" w:rsidR="007B66C1" w:rsidRPr="006D40FD" w:rsidRDefault="007B66C1" w:rsidP="007B66C1">
      <w:pPr>
        <w:pStyle w:val="ListParagraph"/>
        <w:ind w:left="0"/>
        <w:jc w:val="both"/>
        <w:rPr>
          <w:rFonts w:ascii="Georgia" w:hAnsi="Georgia"/>
          <w:color w:val="404040" w:themeColor="text1" w:themeTint="BF"/>
          <w:sz w:val="20"/>
          <w:szCs w:val="20"/>
        </w:rPr>
      </w:pPr>
      <w:r w:rsidRPr="006D40FD">
        <w:rPr>
          <w:rFonts w:ascii="Georgia" w:hAnsi="Georgia"/>
          <w:color w:val="404040" w:themeColor="text1" w:themeTint="BF"/>
          <w:sz w:val="20"/>
          <w:szCs w:val="20"/>
        </w:rPr>
        <w:t xml:space="preserve">The Company has continued to implement the approach of fixing power prices evenly throughout the year, in order to mitigate the Company’s exposure to seasonal fluctuations and short term events which have the potential to increase volatility in the price of electricity in the UK. </w:t>
      </w:r>
    </w:p>
    <w:p w14:paraId="393C76BE" w14:textId="77777777" w:rsidR="007B66C1" w:rsidRPr="006D40FD" w:rsidRDefault="007B66C1" w:rsidP="007B66C1">
      <w:pPr>
        <w:pStyle w:val="ListParagraph"/>
        <w:ind w:left="0"/>
        <w:rPr>
          <w:rFonts w:ascii="Georgia" w:hAnsi="Georgia"/>
          <w:color w:val="404040" w:themeColor="text1" w:themeTint="BF"/>
          <w:sz w:val="20"/>
          <w:szCs w:val="20"/>
        </w:rPr>
      </w:pPr>
    </w:p>
    <w:p w14:paraId="5FA419A2" w14:textId="69197139" w:rsidR="007B66C1" w:rsidRPr="00904E51" w:rsidRDefault="007B66C1" w:rsidP="007B66C1">
      <w:pPr>
        <w:pStyle w:val="ListParagraph"/>
        <w:ind w:left="0"/>
        <w:jc w:val="both"/>
        <w:rPr>
          <w:rFonts w:ascii="Georgia" w:hAnsi="Georgia"/>
          <w:color w:val="404040" w:themeColor="text1" w:themeTint="BF"/>
          <w:sz w:val="20"/>
          <w:szCs w:val="20"/>
          <w:highlight w:val="yellow"/>
        </w:rPr>
      </w:pPr>
      <w:r w:rsidRPr="006D40FD">
        <w:rPr>
          <w:rFonts w:ascii="Georgia" w:hAnsi="Georgia"/>
          <w:color w:val="404040" w:themeColor="text1" w:themeTint="BF"/>
          <w:sz w:val="20"/>
          <w:szCs w:val="20"/>
        </w:rPr>
        <w:t xml:space="preserve">Prices </w:t>
      </w:r>
      <w:r w:rsidR="005C3D01">
        <w:rPr>
          <w:rFonts w:ascii="Georgia" w:hAnsi="Georgia"/>
          <w:color w:val="404040" w:themeColor="text1" w:themeTint="BF"/>
          <w:sz w:val="20"/>
          <w:szCs w:val="20"/>
        </w:rPr>
        <w:t xml:space="preserve">can be </w:t>
      </w:r>
      <w:r w:rsidRPr="006D40FD">
        <w:rPr>
          <w:rFonts w:ascii="Georgia" w:hAnsi="Georgia"/>
          <w:color w:val="404040" w:themeColor="text1" w:themeTint="BF"/>
          <w:sz w:val="20"/>
          <w:szCs w:val="20"/>
        </w:rPr>
        <w:t>agreed up to 3 months in advance of the commencement of the fixing period and PPA counterparties are selected on a competitive basis</w:t>
      </w:r>
      <w:r w:rsidR="005C3D01">
        <w:rPr>
          <w:rFonts w:ascii="Georgia" w:hAnsi="Georgia"/>
          <w:color w:val="404040" w:themeColor="text1" w:themeTint="BF"/>
          <w:sz w:val="20"/>
          <w:szCs w:val="20"/>
        </w:rPr>
        <w:t xml:space="preserve">, </w:t>
      </w:r>
      <w:r w:rsidRPr="006D40FD">
        <w:rPr>
          <w:rFonts w:ascii="Georgia" w:hAnsi="Georgia"/>
          <w:color w:val="404040" w:themeColor="text1" w:themeTint="BF"/>
          <w:sz w:val="20"/>
          <w:szCs w:val="20"/>
        </w:rPr>
        <w:t>but with a clear focus on achieving</w:t>
      </w:r>
      <w:r w:rsidR="00B71DFF">
        <w:rPr>
          <w:rFonts w:ascii="Georgia" w:hAnsi="Georgia"/>
          <w:color w:val="404040" w:themeColor="text1" w:themeTint="BF"/>
          <w:sz w:val="20"/>
          <w:szCs w:val="20"/>
        </w:rPr>
        <w:t xml:space="preserve"> value and</w:t>
      </w:r>
      <w:r w:rsidRPr="006D40FD">
        <w:rPr>
          <w:rFonts w:ascii="Georgia" w:hAnsi="Georgia"/>
          <w:color w:val="404040" w:themeColor="text1" w:themeTint="BF"/>
          <w:sz w:val="20"/>
          <w:szCs w:val="20"/>
        </w:rPr>
        <w:t xml:space="preserve"> diversification of counterparty risk. </w:t>
      </w:r>
    </w:p>
    <w:p w14:paraId="3578480D" w14:textId="77777777" w:rsidR="007B66C1" w:rsidRPr="00904E51" w:rsidRDefault="007B66C1" w:rsidP="007B66C1">
      <w:pPr>
        <w:rPr>
          <w:highlight w:val="yellow"/>
        </w:rPr>
      </w:pPr>
    </w:p>
    <w:p w14:paraId="6270D949" w14:textId="4F45AF6C" w:rsidR="007B66C1" w:rsidRDefault="007B66C1" w:rsidP="007B66C1">
      <w:pPr>
        <w:pStyle w:val="ListParagraph"/>
        <w:ind w:left="0"/>
        <w:jc w:val="both"/>
        <w:rPr>
          <w:rFonts w:ascii="Georgia" w:hAnsi="Georgia"/>
          <w:color w:val="404040" w:themeColor="text1" w:themeTint="BF"/>
          <w:sz w:val="20"/>
          <w:szCs w:val="20"/>
        </w:rPr>
      </w:pPr>
      <w:r w:rsidRPr="00C24297">
        <w:rPr>
          <w:rFonts w:ascii="Georgia" w:hAnsi="Georgia"/>
          <w:color w:val="404040" w:themeColor="text1" w:themeTint="BF"/>
          <w:sz w:val="20"/>
          <w:szCs w:val="20"/>
        </w:rPr>
        <w:t>The graph below shows that as at 30 June 2020 the Company has a price confidence level of 100% to December 2020 and c.8</w:t>
      </w:r>
      <w:r>
        <w:rPr>
          <w:rFonts w:ascii="Georgia" w:hAnsi="Georgia"/>
          <w:color w:val="404040" w:themeColor="text1" w:themeTint="BF"/>
          <w:sz w:val="20"/>
          <w:szCs w:val="20"/>
        </w:rPr>
        <w:t>2</w:t>
      </w:r>
      <w:r w:rsidRPr="00C24297">
        <w:rPr>
          <w:rFonts w:ascii="Georgia" w:hAnsi="Georgia"/>
          <w:color w:val="404040" w:themeColor="text1" w:themeTint="BF"/>
          <w:sz w:val="20"/>
          <w:szCs w:val="20"/>
        </w:rPr>
        <w:t xml:space="preserve">% to June 2021 over </w:t>
      </w:r>
      <w:r w:rsidR="001A2416">
        <w:rPr>
          <w:rFonts w:ascii="Georgia" w:hAnsi="Georgia"/>
          <w:color w:val="404040" w:themeColor="text1" w:themeTint="BF"/>
          <w:sz w:val="20"/>
          <w:szCs w:val="20"/>
        </w:rPr>
        <w:t>the pricing of its</w:t>
      </w:r>
      <w:r w:rsidRPr="00C24297">
        <w:rPr>
          <w:rFonts w:ascii="Georgia" w:hAnsi="Georgia"/>
          <w:color w:val="404040" w:themeColor="text1" w:themeTint="BF"/>
          <w:sz w:val="20"/>
          <w:szCs w:val="20"/>
        </w:rPr>
        <w:t xml:space="preserve"> power and subsidy revenue streams. </w:t>
      </w:r>
    </w:p>
    <w:p w14:paraId="1E4CB910" w14:textId="77777777" w:rsidR="007B66C1" w:rsidRPr="00C24297" w:rsidRDefault="007B66C1" w:rsidP="007B66C1">
      <w:pPr>
        <w:pStyle w:val="ListParagraph"/>
        <w:ind w:left="0"/>
        <w:jc w:val="both"/>
        <w:rPr>
          <w:rFonts w:ascii="Georgia" w:hAnsi="Georgia"/>
          <w:color w:val="404040" w:themeColor="text1" w:themeTint="BF"/>
          <w:sz w:val="20"/>
          <w:szCs w:val="20"/>
        </w:rPr>
      </w:pPr>
    </w:p>
    <w:p w14:paraId="006451BD" w14:textId="77777777" w:rsidR="007B66C1" w:rsidRPr="00C24297" w:rsidRDefault="007B66C1" w:rsidP="007B66C1">
      <w:pPr>
        <w:pStyle w:val="ListParagraph"/>
        <w:ind w:left="0"/>
        <w:jc w:val="both"/>
        <w:rPr>
          <w:rFonts w:ascii="Georgia" w:hAnsi="Georgia"/>
          <w:i/>
          <w:color w:val="404040" w:themeColor="text1" w:themeTint="BF"/>
          <w:sz w:val="16"/>
          <w:szCs w:val="18"/>
        </w:rPr>
      </w:pPr>
      <w:r w:rsidRPr="00C24297">
        <w:rPr>
          <w:rFonts w:ascii="Georgia" w:hAnsi="Georgia"/>
          <w:i/>
          <w:color w:val="404040" w:themeColor="text1" w:themeTint="BF"/>
          <w:sz w:val="16"/>
          <w:szCs w:val="18"/>
        </w:rPr>
        <w:t>Figure 3. % of BSIF revenues fixed as at 30 June 2020</w:t>
      </w:r>
    </w:p>
    <w:p w14:paraId="23A0789C" w14:textId="77777777" w:rsidR="007B66C1" w:rsidRDefault="007B66C1" w:rsidP="007B66C1">
      <w:pPr>
        <w:pStyle w:val="ListParagraph"/>
        <w:ind w:left="0"/>
        <w:jc w:val="both"/>
        <w:rPr>
          <w:rFonts w:ascii="Georgia" w:hAnsi="Georgia"/>
          <w:i/>
          <w:color w:val="404040" w:themeColor="text1" w:themeTint="BF"/>
          <w:sz w:val="16"/>
          <w:szCs w:val="18"/>
          <w:highlight w:val="yellow"/>
        </w:rPr>
      </w:pPr>
    </w:p>
    <w:p w14:paraId="5E3FADF2" w14:textId="77777777" w:rsidR="007B66C1" w:rsidRDefault="007B66C1" w:rsidP="007B66C1">
      <w:pPr>
        <w:pStyle w:val="ListParagraph"/>
        <w:ind w:left="0"/>
        <w:jc w:val="both"/>
        <w:rPr>
          <w:rFonts w:ascii="Georgia" w:hAnsi="Georgia"/>
          <w:i/>
          <w:color w:val="404040" w:themeColor="text1" w:themeTint="BF"/>
          <w:sz w:val="16"/>
          <w:szCs w:val="18"/>
          <w:highlight w:val="yellow"/>
        </w:rPr>
      </w:pPr>
      <w:r>
        <w:rPr>
          <w:noProof/>
          <w:lang w:eastAsia="zh-CN"/>
        </w:rPr>
        <w:drawing>
          <wp:inline distT="0" distB="0" distL="0" distR="0" wp14:anchorId="726DD934" wp14:editId="7B328E42">
            <wp:extent cx="5689154" cy="3317767"/>
            <wp:effectExtent l="0" t="0" r="6985" b="0"/>
            <wp:docPr id="35425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9154" cy="3317767"/>
                    </a:xfrm>
                    <a:prstGeom prst="rect">
                      <a:avLst/>
                    </a:prstGeom>
                  </pic:spPr>
                </pic:pic>
              </a:graphicData>
            </a:graphic>
          </wp:inline>
        </w:drawing>
      </w:r>
    </w:p>
    <w:p w14:paraId="70F11556" w14:textId="77777777" w:rsidR="00475CDA" w:rsidRPr="00475973" w:rsidRDefault="00475CDA" w:rsidP="00475CDA">
      <w:pPr>
        <w:rPr>
          <w:rFonts w:ascii="Georgia" w:hAnsi="Georgia"/>
          <w:color w:val="404040" w:themeColor="text1" w:themeTint="BF"/>
          <w:sz w:val="16"/>
          <w:szCs w:val="16"/>
        </w:rPr>
      </w:pPr>
      <w:r w:rsidRPr="00475973">
        <w:rPr>
          <w:rFonts w:ascii="Georgia" w:hAnsi="Georgia"/>
          <w:color w:val="404040" w:themeColor="text1" w:themeTint="BF"/>
          <w:sz w:val="16"/>
          <w:szCs w:val="16"/>
        </w:rPr>
        <w:t xml:space="preserve">Note: There </w:t>
      </w:r>
      <w:r>
        <w:rPr>
          <w:rFonts w:ascii="Georgia" w:hAnsi="Georgia"/>
          <w:color w:val="404040" w:themeColor="text1" w:themeTint="BF"/>
          <w:sz w:val="16"/>
          <w:szCs w:val="16"/>
        </w:rPr>
        <w:t>is</w:t>
      </w:r>
      <w:r w:rsidRPr="00475973">
        <w:rPr>
          <w:rFonts w:ascii="Georgia" w:hAnsi="Georgia"/>
          <w:color w:val="404040" w:themeColor="text1" w:themeTint="BF"/>
          <w:sz w:val="16"/>
          <w:szCs w:val="16"/>
        </w:rPr>
        <w:t xml:space="preserve"> c.95MWp of </w:t>
      </w:r>
      <w:r>
        <w:rPr>
          <w:rFonts w:ascii="Georgia" w:hAnsi="Georgia"/>
          <w:color w:val="404040" w:themeColor="text1" w:themeTint="BF"/>
          <w:sz w:val="16"/>
          <w:szCs w:val="16"/>
        </w:rPr>
        <w:t>capacity</w:t>
      </w:r>
      <w:r w:rsidRPr="00475973">
        <w:rPr>
          <w:rFonts w:ascii="Georgia" w:hAnsi="Georgia"/>
          <w:color w:val="404040" w:themeColor="text1" w:themeTint="BF"/>
          <w:sz w:val="16"/>
          <w:szCs w:val="16"/>
        </w:rPr>
        <w:t xml:space="preserve"> (some 20% of the portfolio) which benefit</w:t>
      </w:r>
      <w:r>
        <w:rPr>
          <w:rFonts w:ascii="Georgia" w:hAnsi="Georgia"/>
          <w:color w:val="404040" w:themeColor="text1" w:themeTint="BF"/>
          <w:sz w:val="16"/>
          <w:szCs w:val="16"/>
        </w:rPr>
        <w:t>s</w:t>
      </w:r>
      <w:r w:rsidRPr="00475973">
        <w:rPr>
          <w:rFonts w:ascii="Georgia" w:hAnsi="Georgia"/>
          <w:color w:val="404040" w:themeColor="text1" w:themeTint="BF"/>
          <w:sz w:val="16"/>
          <w:szCs w:val="16"/>
        </w:rPr>
        <w:t xml:space="preserve"> from long term offtake agreements, with 10 years remaining. These agreements have built in floor prices, </w:t>
      </w:r>
      <w:r>
        <w:rPr>
          <w:rFonts w:ascii="Georgia" w:hAnsi="Georgia"/>
          <w:color w:val="404040" w:themeColor="text1" w:themeTint="BF"/>
          <w:sz w:val="16"/>
          <w:szCs w:val="16"/>
        </w:rPr>
        <w:t xml:space="preserve">which are automatically applied in the absence of direct short-term power price fixes. </w:t>
      </w:r>
      <w:r w:rsidRPr="00475973">
        <w:rPr>
          <w:rFonts w:ascii="Georgia" w:hAnsi="Georgia"/>
          <w:color w:val="404040" w:themeColor="text1" w:themeTint="BF"/>
          <w:sz w:val="16"/>
          <w:szCs w:val="16"/>
        </w:rPr>
        <w:t xml:space="preserve"> </w:t>
      </w:r>
    </w:p>
    <w:p w14:paraId="1B323838" w14:textId="77777777" w:rsidR="007B66C1" w:rsidRDefault="007B66C1" w:rsidP="007B66C1"/>
    <w:p w14:paraId="32C623E6" w14:textId="0A3DD447" w:rsidR="002F4665" w:rsidRPr="00E14976" w:rsidRDefault="002F4665" w:rsidP="002F4665">
      <w:pPr>
        <w:jc w:val="both"/>
        <w:rPr>
          <w:rFonts w:ascii="Georgia" w:hAnsi="Georgia"/>
          <w:color w:val="404040" w:themeColor="text1" w:themeTint="BF"/>
          <w:sz w:val="20"/>
          <w:szCs w:val="20"/>
        </w:rPr>
      </w:pPr>
      <w:r w:rsidRPr="00E14976">
        <w:rPr>
          <w:rFonts w:ascii="Georgia" w:hAnsi="Georgia"/>
          <w:color w:val="404040" w:themeColor="text1" w:themeTint="BF"/>
          <w:sz w:val="20"/>
          <w:szCs w:val="20"/>
        </w:rPr>
        <w:t>The Company’s strategy of fixing prices over periods of 12-36 months means the portfolio retains the flexibility to</w:t>
      </w:r>
      <w:r w:rsidR="000E3577">
        <w:rPr>
          <w:rFonts w:ascii="Georgia" w:hAnsi="Georgia"/>
          <w:color w:val="404040" w:themeColor="text1" w:themeTint="BF"/>
          <w:sz w:val="20"/>
          <w:szCs w:val="20"/>
        </w:rPr>
        <w:t xml:space="preserve"> capitalise on periods of above-</w:t>
      </w:r>
      <w:r w:rsidRPr="00E14976">
        <w:rPr>
          <w:rFonts w:ascii="Georgia" w:hAnsi="Georgia"/>
          <w:color w:val="404040" w:themeColor="text1" w:themeTint="BF"/>
          <w:sz w:val="20"/>
          <w:szCs w:val="20"/>
        </w:rPr>
        <w:t>forecasted power prices, as it successfully did during September 201</w:t>
      </w:r>
      <w:r>
        <w:rPr>
          <w:rFonts w:ascii="Georgia" w:hAnsi="Georgia"/>
          <w:color w:val="404040" w:themeColor="text1" w:themeTint="BF"/>
          <w:sz w:val="20"/>
          <w:szCs w:val="20"/>
        </w:rPr>
        <w:t>8</w:t>
      </w:r>
      <w:r w:rsidRPr="00E14976">
        <w:rPr>
          <w:rFonts w:ascii="Georgia" w:hAnsi="Georgia"/>
          <w:color w:val="404040" w:themeColor="text1" w:themeTint="BF"/>
          <w:sz w:val="20"/>
          <w:szCs w:val="20"/>
        </w:rPr>
        <w:t xml:space="preserve"> when power prices rose to their highest level for 8 years. This flexibility was made possible by the Board and Investment Adviser’s strategy of securing leverage at the portfolio, rather than asset</w:t>
      </w:r>
      <w:r w:rsidR="000E3577">
        <w:rPr>
          <w:rFonts w:ascii="Georgia" w:hAnsi="Georgia"/>
          <w:color w:val="404040" w:themeColor="text1" w:themeTint="BF"/>
          <w:sz w:val="20"/>
          <w:szCs w:val="20"/>
        </w:rPr>
        <w:t>,</w:t>
      </w:r>
      <w:r w:rsidRPr="00E14976">
        <w:rPr>
          <w:rFonts w:ascii="Georgia" w:hAnsi="Georgia"/>
          <w:color w:val="404040" w:themeColor="text1" w:themeTint="BF"/>
          <w:sz w:val="20"/>
          <w:szCs w:val="20"/>
        </w:rPr>
        <w:t xml:space="preserve"> level.</w:t>
      </w:r>
    </w:p>
    <w:p w14:paraId="765BF80E" w14:textId="77777777" w:rsidR="002F4665" w:rsidRPr="00E14976" w:rsidRDefault="002F4665" w:rsidP="002F4665">
      <w:pPr>
        <w:pStyle w:val="ListParagraph"/>
        <w:ind w:left="0"/>
        <w:jc w:val="both"/>
        <w:rPr>
          <w:rFonts w:ascii="Georgia" w:hAnsi="Georgia"/>
          <w:color w:val="404040" w:themeColor="text1" w:themeTint="BF"/>
          <w:sz w:val="20"/>
          <w:szCs w:val="20"/>
        </w:rPr>
      </w:pPr>
    </w:p>
    <w:p w14:paraId="4148388E" w14:textId="0EE4F151" w:rsidR="002F4665" w:rsidRPr="00E14976" w:rsidRDefault="002F4665" w:rsidP="002F4665">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Furthermore, t</w:t>
      </w:r>
      <w:r w:rsidRPr="00E14976">
        <w:rPr>
          <w:rFonts w:ascii="Georgia" w:hAnsi="Georgia"/>
          <w:color w:val="404040" w:themeColor="text1" w:themeTint="BF"/>
          <w:sz w:val="20"/>
          <w:szCs w:val="20"/>
        </w:rPr>
        <w:t>his also gives the Company t</w:t>
      </w:r>
      <w:r w:rsidR="00475CDA">
        <w:rPr>
          <w:rFonts w:ascii="Georgia" w:hAnsi="Georgia"/>
          <w:color w:val="404040" w:themeColor="text1" w:themeTint="BF"/>
          <w:sz w:val="20"/>
          <w:szCs w:val="20"/>
        </w:rPr>
        <w:t>he flexibility to explore value-</w:t>
      </w:r>
      <w:r w:rsidRPr="00E14976">
        <w:rPr>
          <w:rFonts w:ascii="Georgia" w:hAnsi="Georgia"/>
          <w:color w:val="404040" w:themeColor="text1" w:themeTint="BF"/>
          <w:sz w:val="20"/>
          <w:szCs w:val="20"/>
        </w:rPr>
        <w:t>enhancing options</w:t>
      </w:r>
      <w:r w:rsidR="000E3577">
        <w:rPr>
          <w:rFonts w:ascii="Georgia" w:hAnsi="Georgia"/>
          <w:color w:val="404040" w:themeColor="text1" w:themeTint="BF"/>
          <w:sz w:val="20"/>
          <w:szCs w:val="20"/>
        </w:rPr>
        <w:t>,</w:t>
      </w:r>
      <w:r w:rsidRPr="00E14976">
        <w:rPr>
          <w:rFonts w:ascii="Georgia" w:hAnsi="Georgia"/>
          <w:color w:val="404040" w:themeColor="text1" w:themeTint="BF"/>
          <w:sz w:val="20"/>
          <w:szCs w:val="20"/>
        </w:rPr>
        <w:t xml:space="preserve"> such as negotiating corporate PPA offtakes, as well as maximising potential economies of scale by taking advantage of opportunities available only to owners who can commit significant volumes of generating capacity. </w:t>
      </w:r>
    </w:p>
    <w:p w14:paraId="70A37B81" w14:textId="77777777" w:rsidR="007B66C1" w:rsidRDefault="007B66C1" w:rsidP="007B66C1"/>
    <w:p w14:paraId="4AC608C9" w14:textId="77777777" w:rsidR="007B66C1" w:rsidRDefault="007B66C1" w:rsidP="007B66C1"/>
    <w:p w14:paraId="226E183B" w14:textId="2A587E08" w:rsidR="007B66C1" w:rsidRPr="00C15BC9" w:rsidRDefault="007B66C1" w:rsidP="007B66C1">
      <w:pPr>
        <w:pStyle w:val="Heading2"/>
        <w:spacing w:before="0"/>
      </w:pPr>
      <w:r w:rsidRPr="00C15BC9">
        <w:lastRenderedPageBreak/>
        <w:t>Report of the Investment Adviser (continued)</w:t>
      </w:r>
    </w:p>
    <w:p w14:paraId="74A45A95" w14:textId="77777777" w:rsidR="007B66C1" w:rsidRPr="00904E51" w:rsidRDefault="007B66C1" w:rsidP="007B66C1">
      <w:pPr>
        <w:rPr>
          <w:rFonts w:ascii="Georgia" w:hAnsi="Georgia"/>
          <w:b/>
          <w:color w:val="4A442A" w:themeColor="background2" w:themeShade="40"/>
          <w:sz w:val="20"/>
          <w:szCs w:val="20"/>
          <w:highlight w:val="yellow"/>
        </w:rPr>
      </w:pPr>
    </w:p>
    <w:p w14:paraId="60340D73" w14:textId="77777777" w:rsidR="007B66C1" w:rsidRPr="00E14976" w:rsidRDefault="007B66C1" w:rsidP="007B66C1">
      <w:pPr>
        <w:rPr>
          <w:rFonts w:ascii="Georgia" w:hAnsi="Georgia"/>
          <w:b/>
          <w:color w:val="4A442A" w:themeColor="background2" w:themeShade="40"/>
          <w:sz w:val="20"/>
          <w:szCs w:val="20"/>
        </w:rPr>
      </w:pPr>
      <w:r w:rsidRPr="00E14976">
        <w:rPr>
          <w:rFonts w:ascii="Georgia" w:hAnsi="Georgia"/>
          <w:b/>
          <w:color w:val="4A442A" w:themeColor="background2" w:themeShade="40"/>
          <w:sz w:val="20"/>
          <w:szCs w:val="20"/>
        </w:rPr>
        <w:t>2. Portfolio: Acquisitions, Performance and Value Enhancement (continued)</w:t>
      </w:r>
    </w:p>
    <w:p w14:paraId="7026C08B"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19B58B0A" w14:textId="77777777" w:rsidR="007B66C1" w:rsidRPr="00B64197" w:rsidRDefault="007B66C1" w:rsidP="007B66C1">
      <w:pPr>
        <w:pStyle w:val="ListParagraph"/>
        <w:ind w:left="0"/>
        <w:jc w:val="both"/>
        <w:rPr>
          <w:rFonts w:ascii="Georgia" w:hAnsi="Georgia"/>
          <w:i/>
          <w:color w:val="404040" w:themeColor="text1" w:themeTint="BF"/>
          <w:sz w:val="20"/>
          <w:szCs w:val="20"/>
        </w:rPr>
      </w:pPr>
      <w:r w:rsidRPr="00B64197">
        <w:rPr>
          <w:rFonts w:ascii="Georgia" w:hAnsi="Georgia"/>
          <w:i/>
          <w:color w:val="404040" w:themeColor="text1" w:themeTint="BF"/>
          <w:sz w:val="20"/>
          <w:szCs w:val="20"/>
        </w:rPr>
        <w:t>Revenues and Power Price</w:t>
      </w:r>
    </w:p>
    <w:p w14:paraId="64A3B075" w14:textId="77777777" w:rsidR="007B66C1" w:rsidRPr="00904E51" w:rsidRDefault="007B66C1" w:rsidP="007B66C1">
      <w:pPr>
        <w:jc w:val="both"/>
        <w:rPr>
          <w:rFonts w:ascii="Georgia" w:hAnsi="Georgia"/>
          <w:color w:val="404040" w:themeColor="text1" w:themeTint="BF"/>
          <w:sz w:val="20"/>
          <w:szCs w:val="20"/>
          <w:highlight w:val="yellow"/>
        </w:rPr>
      </w:pPr>
    </w:p>
    <w:p w14:paraId="0ED1742D" w14:textId="77777777" w:rsidR="00475CDA" w:rsidRPr="00A04D39" w:rsidRDefault="00475CDA" w:rsidP="00475CDA">
      <w:pPr>
        <w:jc w:val="both"/>
        <w:rPr>
          <w:rFonts w:ascii="Georgia" w:hAnsi="Georgia"/>
          <w:color w:val="404040" w:themeColor="text1" w:themeTint="BF"/>
          <w:sz w:val="20"/>
          <w:szCs w:val="20"/>
        </w:rPr>
      </w:pPr>
      <w:r w:rsidRPr="00A04D39">
        <w:rPr>
          <w:rFonts w:ascii="Georgia" w:hAnsi="Georgia"/>
          <w:color w:val="404040" w:themeColor="text1" w:themeTint="BF"/>
          <w:sz w:val="20"/>
          <w:szCs w:val="20"/>
        </w:rPr>
        <w:t xml:space="preserve">The portfolio’s revenue streams in the reporting period, excluding ROC recycle estimates, show that the sale of electricity accounted for 41.0% of the Company’s income. Regulated revenues from the sale of </w:t>
      </w:r>
      <w:proofErr w:type="spellStart"/>
      <w:r w:rsidRPr="00A04D39">
        <w:rPr>
          <w:rFonts w:ascii="Georgia" w:hAnsi="Georgia"/>
          <w:color w:val="404040" w:themeColor="text1" w:themeTint="BF"/>
          <w:sz w:val="20"/>
          <w:szCs w:val="20"/>
        </w:rPr>
        <w:t>FiTs</w:t>
      </w:r>
      <w:proofErr w:type="spellEnd"/>
      <w:r w:rsidRPr="00A04D39">
        <w:rPr>
          <w:rFonts w:ascii="Georgia" w:hAnsi="Georgia"/>
          <w:color w:val="404040" w:themeColor="text1" w:themeTint="BF"/>
          <w:sz w:val="20"/>
          <w:szCs w:val="20"/>
        </w:rPr>
        <w:t xml:space="preserve"> and ROCs accounted for 59.0%.</w:t>
      </w:r>
    </w:p>
    <w:p w14:paraId="29B0F744" w14:textId="77777777" w:rsidR="007B66C1" w:rsidRPr="00904E51" w:rsidRDefault="007B66C1" w:rsidP="007B66C1">
      <w:pPr>
        <w:jc w:val="both"/>
        <w:rPr>
          <w:rFonts w:ascii="Georgia" w:hAnsi="Georgia"/>
          <w:color w:val="404040" w:themeColor="text1" w:themeTint="BF"/>
          <w:sz w:val="20"/>
          <w:szCs w:val="20"/>
          <w:highlight w:val="yellow"/>
        </w:rPr>
      </w:pPr>
    </w:p>
    <w:p w14:paraId="06525950" w14:textId="6D4CF4DD" w:rsidR="007B66C1" w:rsidRDefault="00475CDA" w:rsidP="007B66C1">
      <w:pPr>
        <w:jc w:val="both"/>
        <w:rPr>
          <w:rFonts w:ascii="Georgia" w:hAnsi="Georgia"/>
          <w:color w:val="404040" w:themeColor="text1" w:themeTint="BF"/>
          <w:sz w:val="20"/>
          <w:szCs w:val="20"/>
        </w:rPr>
      </w:pPr>
      <w:r w:rsidRPr="00E33526">
        <w:rPr>
          <w:rFonts w:ascii="Georgia" w:hAnsi="Georgia"/>
          <w:color w:val="404040" w:themeColor="text1" w:themeTint="BF"/>
          <w:sz w:val="20"/>
          <w:szCs w:val="20"/>
        </w:rPr>
        <w:t xml:space="preserve">Looking back over the Company’s financial year, </w:t>
      </w:r>
      <w:r>
        <w:rPr>
          <w:rFonts w:ascii="Georgia" w:hAnsi="Georgia"/>
          <w:color w:val="404040" w:themeColor="text1" w:themeTint="BF"/>
          <w:sz w:val="20"/>
          <w:szCs w:val="20"/>
        </w:rPr>
        <w:t xml:space="preserve">the </w:t>
      </w:r>
      <w:r w:rsidRPr="00E33526">
        <w:rPr>
          <w:rFonts w:ascii="Georgia" w:hAnsi="Georgia"/>
          <w:color w:val="404040" w:themeColor="text1" w:themeTint="BF"/>
          <w:sz w:val="20"/>
          <w:szCs w:val="20"/>
        </w:rPr>
        <w:t>wholesale power market movement has been</w:t>
      </w:r>
      <w:r>
        <w:rPr>
          <w:rFonts w:ascii="Georgia" w:hAnsi="Georgia"/>
          <w:color w:val="404040" w:themeColor="text1" w:themeTint="BF"/>
          <w:sz w:val="20"/>
          <w:szCs w:val="20"/>
        </w:rPr>
        <w:t xml:space="preserve"> weaker than the period to June </w:t>
      </w:r>
      <w:r w:rsidR="0019209D">
        <w:rPr>
          <w:rFonts w:ascii="Georgia" w:hAnsi="Georgia"/>
          <w:color w:val="404040" w:themeColor="text1" w:themeTint="BF"/>
          <w:sz w:val="20"/>
          <w:szCs w:val="20"/>
        </w:rPr>
        <w:t>20</w:t>
      </w:r>
      <w:r>
        <w:rPr>
          <w:rFonts w:ascii="Georgia" w:hAnsi="Georgia"/>
          <w:color w:val="404040" w:themeColor="text1" w:themeTint="BF"/>
          <w:sz w:val="20"/>
          <w:szCs w:val="20"/>
        </w:rPr>
        <w:t>19.</w:t>
      </w:r>
    </w:p>
    <w:p w14:paraId="3E0EC78F" w14:textId="77777777" w:rsidR="00475CDA" w:rsidRPr="00DA0B42" w:rsidRDefault="00475CDA" w:rsidP="007B66C1">
      <w:pPr>
        <w:jc w:val="both"/>
        <w:rPr>
          <w:rFonts w:ascii="Georgia" w:hAnsi="Georgia"/>
          <w:color w:val="404040" w:themeColor="text1" w:themeTint="BF"/>
          <w:sz w:val="20"/>
          <w:szCs w:val="20"/>
        </w:rPr>
      </w:pPr>
    </w:p>
    <w:p w14:paraId="203912E1" w14:textId="3DCF8FD4" w:rsidR="007B66C1" w:rsidRDefault="007B66C1" w:rsidP="007B66C1">
      <w:pPr>
        <w:jc w:val="both"/>
        <w:rPr>
          <w:rFonts w:ascii="Georgia" w:hAnsi="Georgia"/>
          <w:color w:val="404040" w:themeColor="text1" w:themeTint="BF"/>
          <w:sz w:val="20"/>
          <w:szCs w:val="20"/>
        </w:rPr>
      </w:pPr>
      <w:r w:rsidRPr="00DA0B42">
        <w:rPr>
          <w:rFonts w:ascii="Georgia" w:hAnsi="Georgia"/>
          <w:color w:val="404040" w:themeColor="text1" w:themeTint="BF"/>
          <w:sz w:val="20"/>
          <w:szCs w:val="20"/>
        </w:rPr>
        <w:t>Prices continued to be impacted by the global oversupply of LNG, and the saturated UK gas storage levels, both of which have been key drivers of the UK power market since March 2019</w:t>
      </w:r>
      <w:r>
        <w:rPr>
          <w:rFonts w:ascii="Georgia" w:hAnsi="Georgia"/>
          <w:color w:val="404040" w:themeColor="text1" w:themeTint="BF"/>
          <w:sz w:val="20"/>
          <w:szCs w:val="20"/>
        </w:rPr>
        <w:t xml:space="preserve"> but conditions were exacerbated by the</w:t>
      </w:r>
      <w:r w:rsidRPr="00DA0B42">
        <w:rPr>
          <w:rFonts w:ascii="Georgia" w:hAnsi="Georgia"/>
          <w:color w:val="404040" w:themeColor="text1" w:themeTint="BF"/>
          <w:sz w:val="20"/>
          <w:szCs w:val="20"/>
        </w:rPr>
        <w:t xml:space="preserve"> </w:t>
      </w:r>
      <w:r>
        <w:rPr>
          <w:rFonts w:ascii="Georgia" w:hAnsi="Georgia"/>
          <w:color w:val="404040" w:themeColor="text1" w:themeTint="BF"/>
          <w:sz w:val="20"/>
          <w:szCs w:val="20"/>
        </w:rPr>
        <w:t>stringent lock down conditions imposed in March 20</w:t>
      </w:r>
      <w:r w:rsidR="00475CDA">
        <w:rPr>
          <w:rFonts w:ascii="Georgia" w:hAnsi="Georgia"/>
          <w:color w:val="404040" w:themeColor="text1" w:themeTint="BF"/>
          <w:sz w:val="20"/>
          <w:szCs w:val="20"/>
        </w:rPr>
        <w:t>20</w:t>
      </w:r>
      <w:r>
        <w:rPr>
          <w:rFonts w:ascii="Georgia" w:hAnsi="Georgia"/>
          <w:color w:val="404040" w:themeColor="text1" w:themeTint="BF"/>
          <w:sz w:val="20"/>
          <w:szCs w:val="20"/>
        </w:rPr>
        <w:t xml:space="preserve"> in response to Covid-19 and the material depression this created regarding overall </w:t>
      </w:r>
      <w:r w:rsidRPr="00DA0B42">
        <w:rPr>
          <w:rFonts w:ascii="Georgia" w:hAnsi="Georgia"/>
          <w:color w:val="404040" w:themeColor="text1" w:themeTint="BF"/>
          <w:sz w:val="20"/>
          <w:szCs w:val="20"/>
        </w:rPr>
        <w:t xml:space="preserve">demand </w:t>
      </w:r>
      <w:r>
        <w:rPr>
          <w:rFonts w:ascii="Georgia" w:hAnsi="Georgia"/>
          <w:color w:val="404040" w:themeColor="text1" w:themeTint="BF"/>
          <w:sz w:val="20"/>
          <w:szCs w:val="20"/>
        </w:rPr>
        <w:t xml:space="preserve">for electricity </w:t>
      </w:r>
      <w:r w:rsidRPr="00DA0B42">
        <w:rPr>
          <w:rFonts w:ascii="Georgia" w:hAnsi="Georgia"/>
          <w:color w:val="404040" w:themeColor="text1" w:themeTint="BF"/>
          <w:sz w:val="20"/>
          <w:szCs w:val="20"/>
        </w:rPr>
        <w:t>in the UK</w:t>
      </w:r>
      <w:r>
        <w:rPr>
          <w:rFonts w:ascii="Georgia" w:hAnsi="Georgia"/>
          <w:color w:val="404040" w:themeColor="text1" w:themeTint="BF"/>
          <w:sz w:val="20"/>
          <w:szCs w:val="20"/>
        </w:rPr>
        <w:t>.</w:t>
      </w:r>
    </w:p>
    <w:p w14:paraId="3F99BF76" w14:textId="77777777" w:rsidR="005E333A" w:rsidRDefault="005E333A" w:rsidP="007B66C1">
      <w:pPr>
        <w:jc w:val="both"/>
        <w:rPr>
          <w:rFonts w:ascii="Georgia" w:hAnsi="Georgia"/>
          <w:color w:val="404040" w:themeColor="text1" w:themeTint="BF"/>
          <w:sz w:val="20"/>
          <w:szCs w:val="20"/>
        </w:rPr>
      </w:pPr>
    </w:p>
    <w:p w14:paraId="12222EC3" w14:textId="4C7E33C3" w:rsidR="005E333A" w:rsidRPr="00CF6EBB" w:rsidRDefault="002D644F" w:rsidP="001D2476">
      <w:pPr>
        <w:jc w:val="both"/>
        <w:rPr>
          <w:rFonts w:ascii="Georgia" w:hAnsi="Georgia"/>
          <w:color w:val="404040" w:themeColor="text1" w:themeTint="BF"/>
          <w:sz w:val="20"/>
          <w:szCs w:val="20"/>
        </w:rPr>
      </w:pPr>
      <w:r w:rsidRPr="00CF6EBB">
        <w:rPr>
          <w:rFonts w:ascii="Georgia" w:hAnsi="Georgia"/>
          <w:color w:val="404040" w:themeColor="text1" w:themeTint="BF"/>
          <w:sz w:val="20"/>
          <w:szCs w:val="20"/>
        </w:rPr>
        <w:t xml:space="preserve">Whilst </w:t>
      </w:r>
      <w:r w:rsidR="005E333A" w:rsidRPr="00CF6EBB">
        <w:rPr>
          <w:rFonts w:ascii="Georgia" w:hAnsi="Georgia"/>
          <w:color w:val="404040" w:themeColor="text1" w:themeTint="BF"/>
          <w:sz w:val="20"/>
          <w:szCs w:val="20"/>
        </w:rPr>
        <w:t>European carbon prices did offer some support to the UK power marke</w:t>
      </w:r>
      <w:r w:rsidR="00997004" w:rsidRPr="00CF6EBB">
        <w:rPr>
          <w:rFonts w:ascii="Georgia" w:hAnsi="Georgia"/>
          <w:color w:val="404040" w:themeColor="text1" w:themeTint="BF"/>
          <w:sz w:val="20"/>
          <w:szCs w:val="20"/>
        </w:rPr>
        <w:t>t</w:t>
      </w:r>
      <w:r w:rsidR="00D42FA7" w:rsidRPr="00CF6EBB">
        <w:rPr>
          <w:rFonts w:ascii="Georgia" w:hAnsi="Georgia"/>
          <w:color w:val="404040" w:themeColor="text1" w:themeTint="BF"/>
          <w:sz w:val="20"/>
          <w:szCs w:val="20"/>
        </w:rPr>
        <w:t xml:space="preserve"> </w:t>
      </w:r>
      <w:r w:rsidR="00A73F30" w:rsidRPr="00CF6EBB">
        <w:rPr>
          <w:rFonts w:ascii="Georgia" w:hAnsi="Georgia"/>
          <w:color w:val="404040" w:themeColor="text1" w:themeTint="BF"/>
          <w:sz w:val="20"/>
          <w:szCs w:val="20"/>
        </w:rPr>
        <w:t>up to Mar</w:t>
      </w:r>
      <w:r w:rsidR="00475CDA">
        <w:rPr>
          <w:rFonts w:ascii="Georgia" w:hAnsi="Georgia"/>
          <w:color w:val="404040" w:themeColor="text1" w:themeTint="BF"/>
          <w:sz w:val="20"/>
          <w:szCs w:val="20"/>
        </w:rPr>
        <w:t>ch</w:t>
      </w:r>
      <w:r w:rsidR="00A73F30" w:rsidRPr="00CF6EBB">
        <w:rPr>
          <w:rFonts w:ascii="Georgia" w:hAnsi="Georgia"/>
          <w:color w:val="404040" w:themeColor="text1" w:themeTint="BF"/>
          <w:sz w:val="20"/>
          <w:szCs w:val="20"/>
        </w:rPr>
        <w:t xml:space="preserve"> </w:t>
      </w:r>
      <w:r w:rsidR="00475CDA">
        <w:rPr>
          <w:rFonts w:ascii="Georgia" w:hAnsi="Georgia"/>
          <w:color w:val="404040" w:themeColor="text1" w:themeTint="BF"/>
          <w:sz w:val="20"/>
          <w:szCs w:val="20"/>
        </w:rPr>
        <w:t>20</w:t>
      </w:r>
      <w:r w:rsidR="00A73F30" w:rsidRPr="00CF6EBB">
        <w:rPr>
          <w:rFonts w:ascii="Georgia" w:hAnsi="Georgia"/>
          <w:color w:val="404040" w:themeColor="text1" w:themeTint="BF"/>
          <w:sz w:val="20"/>
          <w:szCs w:val="20"/>
        </w:rPr>
        <w:t>20</w:t>
      </w:r>
      <w:r w:rsidR="005E333A" w:rsidRPr="00CF6EBB">
        <w:rPr>
          <w:rFonts w:ascii="Georgia" w:hAnsi="Georgia"/>
          <w:color w:val="404040" w:themeColor="text1" w:themeTint="BF"/>
          <w:sz w:val="20"/>
          <w:szCs w:val="20"/>
        </w:rPr>
        <w:t>,</w:t>
      </w:r>
      <w:r w:rsidR="00F70E0D" w:rsidRPr="00CF6EBB">
        <w:rPr>
          <w:rFonts w:ascii="Georgia" w:hAnsi="Georgia"/>
          <w:color w:val="404040" w:themeColor="text1" w:themeTint="BF"/>
          <w:sz w:val="20"/>
          <w:szCs w:val="20"/>
        </w:rPr>
        <w:t xml:space="preserve"> </w:t>
      </w:r>
      <w:r w:rsidR="005E4B3D" w:rsidRPr="00CF6EBB">
        <w:rPr>
          <w:rFonts w:ascii="Georgia" w:hAnsi="Georgia"/>
          <w:color w:val="404040" w:themeColor="text1" w:themeTint="BF"/>
          <w:sz w:val="20"/>
          <w:szCs w:val="20"/>
        </w:rPr>
        <w:t xml:space="preserve">they were </w:t>
      </w:r>
      <w:r w:rsidR="00EA4B84" w:rsidRPr="00CF6EBB">
        <w:rPr>
          <w:rFonts w:ascii="Georgia" w:hAnsi="Georgia"/>
          <w:color w:val="404040" w:themeColor="text1" w:themeTint="BF"/>
          <w:sz w:val="20"/>
          <w:szCs w:val="20"/>
        </w:rPr>
        <w:t xml:space="preserve">also dramatically impacted </w:t>
      </w:r>
      <w:r w:rsidR="00A661F2" w:rsidRPr="00CF6EBB">
        <w:rPr>
          <w:rFonts w:ascii="Georgia" w:hAnsi="Georgia"/>
          <w:color w:val="404040" w:themeColor="text1" w:themeTint="BF"/>
          <w:sz w:val="20"/>
          <w:szCs w:val="20"/>
        </w:rPr>
        <w:t xml:space="preserve">by the </w:t>
      </w:r>
      <w:r w:rsidR="004B05C4" w:rsidRPr="00CF6EBB">
        <w:rPr>
          <w:rFonts w:ascii="Georgia" w:hAnsi="Georgia"/>
          <w:color w:val="404040" w:themeColor="text1" w:themeTint="BF"/>
          <w:sz w:val="20"/>
          <w:szCs w:val="20"/>
        </w:rPr>
        <w:t xml:space="preserve">onset of </w:t>
      </w:r>
      <w:r w:rsidR="00570096" w:rsidRPr="00CF6EBB">
        <w:rPr>
          <w:rFonts w:ascii="Georgia" w:hAnsi="Georgia"/>
          <w:color w:val="404040" w:themeColor="text1" w:themeTint="BF"/>
          <w:sz w:val="20"/>
          <w:szCs w:val="20"/>
        </w:rPr>
        <w:t xml:space="preserve">Covid-19 </w:t>
      </w:r>
      <w:r w:rsidR="00275690" w:rsidRPr="00CF6EBB">
        <w:rPr>
          <w:rFonts w:ascii="Georgia" w:hAnsi="Georgia"/>
          <w:color w:val="404040" w:themeColor="text1" w:themeTint="BF"/>
          <w:sz w:val="20"/>
          <w:szCs w:val="20"/>
        </w:rPr>
        <w:t xml:space="preserve">as lockdown measures introduced across Europe </w:t>
      </w:r>
      <w:r w:rsidR="007D57B6" w:rsidRPr="00CF6EBB">
        <w:rPr>
          <w:rFonts w:ascii="Georgia" w:hAnsi="Georgia"/>
          <w:color w:val="404040" w:themeColor="text1" w:themeTint="BF"/>
          <w:sz w:val="20"/>
          <w:szCs w:val="20"/>
        </w:rPr>
        <w:t>severely reduced</w:t>
      </w:r>
      <w:r w:rsidR="00275690" w:rsidRPr="00CF6EBB">
        <w:rPr>
          <w:rFonts w:ascii="Georgia" w:hAnsi="Georgia"/>
          <w:color w:val="404040" w:themeColor="text1" w:themeTint="BF"/>
          <w:sz w:val="20"/>
          <w:szCs w:val="20"/>
        </w:rPr>
        <w:t xml:space="preserve"> </w:t>
      </w:r>
      <w:r w:rsidR="006D7BF2" w:rsidRPr="00CF6EBB">
        <w:rPr>
          <w:rFonts w:ascii="Georgia" w:hAnsi="Georgia"/>
          <w:color w:val="404040" w:themeColor="text1" w:themeTint="BF"/>
          <w:sz w:val="20"/>
          <w:szCs w:val="20"/>
        </w:rPr>
        <w:t xml:space="preserve">both </w:t>
      </w:r>
      <w:r w:rsidR="00275690" w:rsidRPr="00CF6EBB">
        <w:rPr>
          <w:rFonts w:ascii="Georgia" w:hAnsi="Georgia"/>
          <w:color w:val="404040" w:themeColor="text1" w:themeTint="BF"/>
          <w:sz w:val="20"/>
          <w:szCs w:val="20"/>
        </w:rPr>
        <w:t>industr</w:t>
      </w:r>
      <w:r w:rsidR="006D7BF2" w:rsidRPr="00CF6EBB">
        <w:rPr>
          <w:rFonts w:ascii="Georgia" w:hAnsi="Georgia"/>
          <w:color w:val="404040" w:themeColor="text1" w:themeTint="BF"/>
          <w:sz w:val="20"/>
          <w:szCs w:val="20"/>
        </w:rPr>
        <w:t>ial</w:t>
      </w:r>
      <w:r w:rsidR="00275690" w:rsidRPr="00CF6EBB">
        <w:rPr>
          <w:rFonts w:ascii="Georgia" w:hAnsi="Georgia"/>
          <w:color w:val="404040" w:themeColor="text1" w:themeTint="BF"/>
          <w:sz w:val="20"/>
          <w:szCs w:val="20"/>
        </w:rPr>
        <w:t xml:space="preserve"> demand </w:t>
      </w:r>
      <w:r w:rsidR="006D7BF2" w:rsidRPr="00CF6EBB">
        <w:rPr>
          <w:rFonts w:ascii="Georgia" w:hAnsi="Georgia"/>
          <w:color w:val="404040" w:themeColor="text1" w:themeTint="BF"/>
          <w:sz w:val="20"/>
          <w:szCs w:val="20"/>
        </w:rPr>
        <w:t xml:space="preserve">and emissions from the </w:t>
      </w:r>
      <w:r w:rsidR="00275690" w:rsidRPr="00CF6EBB">
        <w:rPr>
          <w:rFonts w:ascii="Georgia" w:hAnsi="Georgia"/>
          <w:color w:val="404040" w:themeColor="text1" w:themeTint="BF"/>
          <w:sz w:val="20"/>
          <w:szCs w:val="20"/>
        </w:rPr>
        <w:t>aviation sector</w:t>
      </w:r>
      <w:r w:rsidR="009A5B7F" w:rsidRPr="00CF6EBB">
        <w:rPr>
          <w:rFonts w:ascii="Georgia" w:hAnsi="Georgia"/>
          <w:color w:val="404040" w:themeColor="text1" w:themeTint="BF"/>
          <w:sz w:val="20"/>
          <w:szCs w:val="20"/>
        </w:rPr>
        <w:t>. Th</w:t>
      </w:r>
      <w:r w:rsidR="00267247" w:rsidRPr="00CF6EBB">
        <w:rPr>
          <w:rFonts w:ascii="Georgia" w:hAnsi="Georgia"/>
          <w:color w:val="404040" w:themeColor="text1" w:themeTint="BF"/>
          <w:sz w:val="20"/>
          <w:szCs w:val="20"/>
        </w:rPr>
        <w:t xml:space="preserve">is resulted in the </w:t>
      </w:r>
      <w:r w:rsidR="00A75EF1" w:rsidRPr="00CF6EBB">
        <w:rPr>
          <w:rFonts w:ascii="Georgia" w:hAnsi="Georgia"/>
          <w:color w:val="404040" w:themeColor="text1" w:themeTint="BF"/>
          <w:sz w:val="20"/>
          <w:szCs w:val="20"/>
        </w:rPr>
        <w:t xml:space="preserve">carbon market </w:t>
      </w:r>
      <w:r w:rsidR="00475CDA">
        <w:rPr>
          <w:rFonts w:ascii="Georgia" w:hAnsi="Georgia"/>
          <w:color w:val="404040" w:themeColor="text1" w:themeTint="BF"/>
          <w:sz w:val="20"/>
          <w:szCs w:val="20"/>
        </w:rPr>
        <w:t>initially losing c.</w:t>
      </w:r>
      <w:r w:rsidR="004B6205" w:rsidRPr="00CF6EBB">
        <w:rPr>
          <w:rFonts w:ascii="Georgia" w:hAnsi="Georgia"/>
          <w:color w:val="404040" w:themeColor="text1" w:themeTint="BF"/>
          <w:sz w:val="20"/>
          <w:szCs w:val="20"/>
        </w:rPr>
        <w:t xml:space="preserve"> 35%</w:t>
      </w:r>
      <w:r w:rsidR="00275690" w:rsidRPr="00CF6EBB">
        <w:rPr>
          <w:rFonts w:ascii="Georgia" w:hAnsi="Georgia"/>
          <w:color w:val="404040" w:themeColor="text1" w:themeTint="BF"/>
          <w:sz w:val="20"/>
          <w:szCs w:val="20"/>
        </w:rPr>
        <w:t xml:space="preserve"> </w:t>
      </w:r>
      <w:r w:rsidR="004B6205" w:rsidRPr="00CF6EBB">
        <w:rPr>
          <w:rFonts w:ascii="Georgia" w:hAnsi="Georgia"/>
          <w:color w:val="404040" w:themeColor="text1" w:themeTint="BF"/>
          <w:sz w:val="20"/>
          <w:szCs w:val="20"/>
        </w:rPr>
        <w:t>of its value</w:t>
      </w:r>
      <w:r w:rsidR="00B925DD" w:rsidRPr="00CF6EBB">
        <w:rPr>
          <w:rFonts w:ascii="Georgia" w:hAnsi="Georgia"/>
          <w:color w:val="404040" w:themeColor="text1" w:themeTint="BF"/>
          <w:sz w:val="20"/>
          <w:szCs w:val="20"/>
        </w:rPr>
        <w:t xml:space="preserve">, before </w:t>
      </w:r>
      <w:r w:rsidR="00805B6B">
        <w:rPr>
          <w:rFonts w:ascii="Georgia" w:hAnsi="Georgia"/>
          <w:color w:val="404040" w:themeColor="text1" w:themeTint="BF"/>
          <w:sz w:val="20"/>
          <w:szCs w:val="20"/>
        </w:rPr>
        <w:t>recovering</w:t>
      </w:r>
      <w:r w:rsidR="00CB2588" w:rsidRPr="00CF6EBB">
        <w:rPr>
          <w:rFonts w:ascii="Georgia" w:hAnsi="Georgia"/>
          <w:color w:val="404040" w:themeColor="text1" w:themeTint="BF"/>
          <w:sz w:val="20"/>
          <w:szCs w:val="20"/>
        </w:rPr>
        <w:t xml:space="preserve"> to pre-Covid-19 levels by Jun</w:t>
      </w:r>
      <w:r w:rsidR="00475CDA">
        <w:rPr>
          <w:rFonts w:ascii="Georgia" w:hAnsi="Georgia"/>
          <w:color w:val="404040" w:themeColor="text1" w:themeTint="BF"/>
          <w:sz w:val="20"/>
          <w:szCs w:val="20"/>
        </w:rPr>
        <w:t>e</w:t>
      </w:r>
      <w:r w:rsidR="00CB2588" w:rsidRPr="00CF6EBB">
        <w:rPr>
          <w:rFonts w:ascii="Georgia" w:hAnsi="Georgia"/>
          <w:color w:val="404040" w:themeColor="text1" w:themeTint="BF"/>
          <w:sz w:val="20"/>
          <w:szCs w:val="20"/>
        </w:rPr>
        <w:t xml:space="preserve"> </w:t>
      </w:r>
      <w:r w:rsidR="0019209D">
        <w:rPr>
          <w:rFonts w:ascii="Georgia" w:hAnsi="Georgia"/>
          <w:color w:val="404040" w:themeColor="text1" w:themeTint="BF"/>
          <w:sz w:val="20"/>
          <w:szCs w:val="20"/>
        </w:rPr>
        <w:t>20</w:t>
      </w:r>
      <w:r w:rsidR="00CB2588" w:rsidRPr="00CF6EBB">
        <w:rPr>
          <w:rFonts w:ascii="Georgia" w:hAnsi="Georgia"/>
          <w:color w:val="404040" w:themeColor="text1" w:themeTint="BF"/>
          <w:sz w:val="20"/>
          <w:szCs w:val="20"/>
        </w:rPr>
        <w:t>20</w:t>
      </w:r>
      <w:r w:rsidR="001D2476" w:rsidRPr="00CF6EBB">
        <w:rPr>
          <w:rFonts w:ascii="Georgia" w:hAnsi="Georgia"/>
          <w:color w:val="404040" w:themeColor="text1" w:themeTint="BF"/>
          <w:sz w:val="20"/>
          <w:szCs w:val="20"/>
        </w:rPr>
        <w:t>.</w:t>
      </w:r>
      <w:r w:rsidR="004B6205" w:rsidRPr="00CF6EBB">
        <w:rPr>
          <w:rFonts w:ascii="Georgia" w:hAnsi="Georgia"/>
          <w:color w:val="404040" w:themeColor="text1" w:themeTint="BF"/>
          <w:sz w:val="20"/>
          <w:szCs w:val="20"/>
        </w:rPr>
        <w:t xml:space="preserve"> </w:t>
      </w:r>
    </w:p>
    <w:p w14:paraId="4895F9C9" w14:textId="77777777" w:rsidR="007B66C1" w:rsidRDefault="007B66C1" w:rsidP="007B66C1">
      <w:pPr>
        <w:jc w:val="both"/>
        <w:rPr>
          <w:rFonts w:ascii="Georgia" w:hAnsi="Georgia"/>
          <w:color w:val="404040" w:themeColor="text1" w:themeTint="BF"/>
          <w:sz w:val="20"/>
          <w:szCs w:val="20"/>
        </w:rPr>
      </w:pPr>
    </w:p>
    <w:p w14:paraId="6F986739" w14:textId="01315ED1" w:rsidR="007B66C1" w:rsidRDefault="00CF4047" w:rsidP="007B66C1">
      <w:pPr>
        <w:jc w:val="both"/>
        <w:rPr>
          <w:rFonts w:ascii="Georgia" w:hAnsi="Georgia"/>
          <w:color w:val="404040" w:themeColor="text1" w:themeTint="BF"/>
          <w:sz w:val="20"/>
          <w:szCs w:val="20"/>
          <w:highlight w:val="yellow"/>
        </w:rPr>
      </w:pPr>
      <w:r>
        <w:rPr>
          <w:rFonts w:ascii="Georgia" w:hAnsi="Georgia"/>
          <w:color w:val="404040" w:themeColor="text1" w:themeTint="BF"/>
          <w:sz w:val="20"/>
          <w:szCs w:val="20"/>
        </w:rPr>
        <w:t>Consequently, t</w:t>
      </w:r>
      <w:r w:rsidR="007B66C1" w:rsidRPr="00DA0B42">
        <w:rPr>
          <w:rFonts w:ascii="Georgia" w:hAnsi="Georgia"/>
          <w:color w:val="404040" w:themeColor="text1" w:themeTint="BF"/>
          <w:sz w:val="20"/>
          <w:szCs w:val="20"/>
        </w:rPr>
        <w:t xml:space="preserve">he </w:t>
      </w:r>
      <w:r w:rsidR="007B66C1">
        <w:rPr>
          <w:rFonts w:ascii="Georgia" w:hAnsi="Georgia"/>
          <w:color w:val="404040" w:themeColor="text1" w:themeTint="BF"/>
          <w:sz w:val="20"/>
          <w:szCs w:val="20"/>
        </w:rPr>
        <w:t>inevitable</w:t>
      </w:r>
      <w:r w:rsidR="007863D7">
        <w:rPr>
          <w:rFonts w:ascii="Georgia" w:hAnsi="Georgia"/>
          <w:color w:val="404040" w:themeColor="text1" w:themeTint="BF"/>
          <w:sz w:val="20"/>
          <w:szCs w:val="20"/>
        </w:rPr>
        <w:t xml:space="preserve"> </w:t>
      </w:r>
      <w:r w:rsidR="00DA5734">
        <w:rPr>
          <w:rFonts w:ascii="Georgia" w:hAnsi="Georgia"/>
          <w:color w:val="404040" w:themeColor="text1" w:themeTint="BF"/>
          <w:sz w:val="20"/>
          <w:szCs w:val="20"/>
        </w:rPr>
        <w:t>impact</w:t>
      </w:r>
      <w:r w:rsidR="007863D7">
        <w:rPr>
          <w:rFonts w:ascii="Georgia" w:hAnsi="Georgia"/>
          <w:color w:val="404040" w:themeColor="text1" w:themeTint="BF"/>
          <w:sz w:val="20"/>
          <w:szCs w:val="20"/>
        </w:rPr>
        <w:t xml:space="preserve"> of the </w:t>
      </w:r>
      <w:r w:rsidR="007B66C1" w:rsidRPr="00DA0B42">
        <w:rPr>
          <w:rFonts w:ascii="Georgia" w:hAnsi="Georgia"/>
          <w:color w:val="404040" w:themeColor="text1" w:themeTint="BF"/>
          <w:sz w:val="20"/>
          <w:szCs w:val="20"/>
        </w:rPr>
        <w:t>drivers</w:t>
      </w:r>
      <w:r w:rsidR="00F2571D">
        <w:rPr>
          <w:rFonts w:ascii="Georgia" w:hAnsi="Georgia"/>
          <w:color w:val="404040" w:themeColor="text1" w:themeTint="BF"/>
          <w:sz w:val="20"/>
          <w:szCs w:val="20"/>
        </w:rPr>
        <w:t xml:space="preserve"> outlined above</w:t>
      </w:r>
      <w:r w:rsidR="0063701A">
        <w:rPr>
          <w:rFonts w:ascii="Georgia" w:hAnsi="Georgia"/>
          <w:color w:val="404040" w:themeColor="text1" w:themeTint="BF"/>
          <w:sz w:val="20"/>
          <w:szCs w:val="20"/>
        </w:rPr>
        <w:t xml:space="preserve"> was a </w:t>
      </w:r>
      <w:r w:rsidR="00475CDA">
        <w:rPr>
          <w:rFonts w:ascii="Georgia" w:hAnsi="Georgia"/>
          <w:color w:val="404040" w:themeColor="text1" w:themeTint="BF"/>
          <w:sz w:val="20"/>
          <w:szCs w:val="20"/>
        </w:rPr>
        <w:t>year-on-</w:t>
      </w:r>
      <w:r w:rsidR="007B66C1">
        <w:rPr>
          <w:rFonts w:ascii="Georgia" w:hAnsi="Georgia"/>
          <w:color w:val="404040" w:themeColor="text1" w:themeTint="BF"/>
          <w:sz w:val="20"/>
          <w:szCs w:val="20"/>
        </w:rPr>
        <w:t xml:space="preserve">year decrease of 36.3% between </w:t>
      </w:r>
      <w:r w:rsidR="007B66C1" w:rsidRPr="00DA0B42">
        <w:rPr>
          <w:rFonts w:ascii="Georgia" w:hAnsi="Georgia"/>
          <w:color w:val="404040" w:themeColor="text1" w:themeTint="BF"/>
          <w:sz w:val="20"/>
          <w:szCs w:val="20"/>
        </w:rPr>
        <w:t xml:space="preserve">the UK day ahead market base load power </w:t>
      </w:r>
      <w:r w:rsidR="006E667B">
        <w:rPr>
          <w:rFonts w:ascii="Georgia" w:hAnsi="Georgia"/>
          <w:color w:val="404040" w:themeColor="text1" w:themeTint="BF"/>
          <w:sz w:val="20"/>
          <w:szCs w:val="20"/>
        </w:rPr>
        <w:t>price</w:t>
      </w:r>
      <w:r w:rsidR="007B66C1" w:rsidRPr="00DA0B42">
        <w:rPr>
          <w:rFonts w:ascii="Georgia" w:hAnsi="Georgia"/>
          <w:color w:val="404040" w:themeColor="text1" w:themeTint="BF"/>
          <w:sz w:val="20"/>
          <w:szCs w:val="20"/>
        </w:rPr>
        <w:t xml:space="preserve"> for the 12 months to 30 June 2019</w:t>
      </w:r>
      <w:r w:rsidR="007B66C1">
        <w:rPr>
          <w:rFonts w:ascii="Georgia" w:hAnsi="Georgia"/>
          <w:color w:val="404040" w:themeColor="text1" w:themeTint="BF"/>
          <w:sz w:val="20"/>
          <w:szCs w:val="20"/>
        </w:rPr>
        <w:t xml:space="preserve"> of </w:t>
      </w:r>
      <w:r w:rsidR="007B66C1" w:rsidRPr="00DA0B42">
        <w:rPr>
          <w:rFonts w:ascii="Georgia" w:hAnsi="Georgia"/>
          <w:color w:val="404040" w:themeColor="text1" w:themeTint="BF"/>
          <w:sz w:val="20"/>
          <w:szCs w:val="20"/>
        </w:rPr>
        <w:t>£55.01 per MWh</w:t>
      </w:r>
      <w:r w:rsidR="007B66C1">
        <w:rPr>
          <w:rFonts w:ascii="Georgia" w:hAnsi="Georgia"/>
          <w:color w:val="404040" w:themeColor="text1" w:themeTint="BF"/>
          <w:sz w:val="20"/>
          <w:szCs w:val="20"/>
        </w:rPr>
        <w:t xml:space="preserve"> to </w:t>
      </w:r>
      <w:r w:rsidR="007B66C1" w:rsidRPr="00DA0B42">
        <w:rPr>
          <w:rFonts w:ascii="Georgia" w:hAnsi="Georgia"/>
          <w:color w:val="404040" w:themeColor="text1" w:themeTint="BF"/>
          <w:sz w:val="20"/>
          <w:szCs w:val="20"/>
        </w:rPr>
        <w:t>£35.06</w:t>
      </w:r>
      <w:r w:rsidR="00805B6B">
        <w:rPr>
          <w:rFonts w:ascii="Georgia" w:hAnsi="Georgia"/>
          <w:color w:val="404040" w:themeColor="text1" w:themeTint="BF"/>
          <w:sz w:val="20"/>
          <w:szCs w:val="20"/>
        </w:rPr>
        <w:t xml:space="preserve"> </w:t>
      </w:r>
      <w:r w:rsidR="007B66C1" w:rsidRPr="00DA0B42">
        <w:rPr>
          <w:rFonts w:ascii="Georgia" w:hAnsi="Georgia"/>
          <w:color w:val="404040" w:themeColor="text1" w:themeTint="BF"/>
          <w:sz w:val="20"/>
          <w:szCs w:val="20"/>
        </w:rPr>
        <w:t>per MWh</w:t>
      </w:r>
      <w:r w:rsidR="007B66C1">
        <w:rPr>
          <w:rFonts w:ascii="Georgia" w:hAnsi="Georgia"/>
          <w:color w:val="404040" w:themeColor="text1" w:themeTint="BF"/>
          <w:sz w:val="20"/>
          <w:szCs w:val="20"/>
        </w:rPr>
        <w:t xml:space="preserve"> for the 12 months to 30 June 2020. </w:t>
      </w:r>
    </w:p>
    <w:p w14:paraId="0157967E" w14:textId="77777777" w:rsidR="007B66C1" w:rsidRPr="00C15BC9" w:rsidRDefault="007B66C1" w:rsidP="007B66C1">
      <w:pPr>
        <w:pStyle w:val="ListParagraph"/>
        <w:ind w:left="454"/>
        <w:rPr>
          <w:rFonts w:ascii="Georgia" w:hAnsi="Georgia" w:cs="Calibri"/>
          <w:color w:val="404040" w:themeColor="text1" w:themeTint="BF"/>
          <w:sz w:val="18"/>
        </w:rPr>
      </w:pPr>
    </w:p>
    <w:p w14:paraId="1835113B" w14:textId="07D1678C" w:rsidR="007B66C1" w:rsidRPr="00C15BC9" w:rsidRDefault="007B66C1" w:rsidP="007B66C1">
      <w:pPr>
        <w:jc w:val="both"/>
        <w:rPr>
          <w:rFonts w:ascii="Georgia" w:hAnsi="Georgia"/>
          <w:color w:val="404040" w:themeColor="text1" w:themeTint="BF"/>
          <w:sz w:val="20"/>
          <w:szCs w:val="20"/>
        </w:rPr>
      </w:pPr>
      <w:r w:rsidRPr="00C15BC9">
        <w:rPr>
          <w:rFonts w:ascii="Georgia" w:hAnsi="Georgia"/>
          <w:color w:val="404040" w:themeColor="text1" w:themeTint="BF"/>
          <w:sz w:val="20"/>
          <w:szCs w:val="20"/>
        </w:rPr>
        <w:t xml:space="preserve">As </w:t>
      </w:r>
      <w:r w:rsidR="00B7419E">
        <w:rPr>
          <w:rFonts w:ascii="Georgia" w:hAnsi="Georgia"/>
          <w:color w:val="404040" w:themeColor="text1" w:themeTint="BF"/>
          <w:sz w:val="20"/>
          <w:szCs w:val="20"/>
        </w:rPr>
        <w:t xml:space="preserve">a further </w:t>
      </w:r>
      <w:r w:rsidRPr="00C15BC9">
        <w:rPr>
          <w:rFonts w:ascii="Georgia" w:hAnsi="Georgia"/>
          <w:color w:val="404040" w:themeColor="text1" w:themeTint="BF"/>
          <w:sz w:val="20"/>
          <w:szCs w:val="20"/>
        </w:rPr>
        <w:t xml:space="preserve">illustration of the points mentioned above, </w:t>
      </w:r>
      <w:r w:rsidR="00475CDA">
        <w:rPr>
          <w:rFonts w:ascii="Georgia" w:hAnsi="Georgia"/>
          <w:color w:val="404040" w:themeColor="text1" w:themeTint="BF"/>
          <w:sz w:val="20"/>
          <w:szCs w:val="20"/>
        </w:rPr>
        <w:t>the</w:t>
      </w:r>
      <w:r w:rsidRPr="00C15BC9">
        <w:rPr>
          <w:rFonts w:ascii="Georgia" w:hAnsi="Georgia"/>
          <w:color w:val="404040" w:themeColor="text1" w:themeTint="BF"/>
          <w:sz w:val="20"/>
          <w:szCs w:val="20"/>
        </w:rPr>
        <w:t xml:space="preserve"> below chart</w:t>
      </w:r>
      <w:r w:rsidR="00475CDA">
        <w:rPr>
          <w:rFonts w:ascii="Georgia" w:hAnsi="Georgia"/>
          <w:color w:val="404040" w:themeColor="text1" w:themeTint="BF"/>
          <w:sz w:val="20"/>
          <w:szCs w:val="20"/>
        </w:rPr>
        <w:t>s</w:t>
      </w:r>
      <w:r w:rsidRPr="00C15BC9">
        <w:rPr>
          <w:rFonts w:ascii="Georgia" w:hAnsi="Georgia"/>
          <w:color w:val="404040" w:themeColor="text1" w:themeTint="BF"/>
          <w:sz w:val="20"/>
          <w:szCs w:val="20"/>
        </w:rPr>
        <w:t xml:space="preserve"> compar</w:t>
      </w:r>
      <w:r w:rsidR="0019209D">
        <w:rPr>
          <w:rFonts w:ascii="Georgia" w:hAnsi="Georgia"/>
          <w:color w:val="404040" w:themeColor="text1" w:themeTint="BF"/>
          <w:sz w:val="20"/>
          <w:szCs w:val="20"/>
        </w:rPr>
        <w:t>e</w:t>
      </w:r>
      <w:r w:rsidRPr="00C15BC9">
        <w:rPr>
          <w:rFonts w:ascii="Georgia" w:hAnsi="Georgia"/>
          <w:color w:val="404040" w:themeColor="text1" w:themeTint="BF"/>
          <w:sz w:val="20"/>
          <w:szCs w:val="20"/>
        </w:rPr>
        <w:t xml:space="preserve"> the wholesale electricity prices versus gas and carbon over the last 30 months.</w:t>
      </w:r>
    </w:p>
    <w:p w14:paraId="46E2B36A" w14:textId="77777777" w:rsidR="007B66C1" w:rsidRPr="00904E51" w:rsidRDefault="007B66C1" w:rsidP="007B66C1">
      <w:pPr>
        <w:rPr>
          <w:rFonts w:ascii="Georgia" w:hAnsi="Georgia"/>
          <w:color w:val="404040" w:themeColor="text1" w:themeTint="BF"/>
          <w:sz w:val="20"/>
          <w:szCs w:val="20"/>
          <w:highlight w:val="yellow"/>
        </w:rPr>
      </w:pPr>
    </w:p>
    <w:p w14:paraId="0209CA95" w14:textId="77777777" w:rsidR="007B66C1" w:rsidRPr="00904E51" w:rsidRDefault="007B66C1" w:rsidP="00634E8C">
      <w:pPr>
        <w:jc w:val="center"/>
        <w:rPr>
          <w:rFonts w:ascii="Georgia" w:hAnsi="Georgia"/>
          <w:color w:val="404040" w:themeColor="text1" w:themeTint="BF"/>
          <w:sz w:val="20"/>
          <w:szCs w:val="20"/>
          <w:highlight w:val="yellow"/>
        </w:rPr>
      </w:pPr>
      <w:r>
        <w:rPr>
          <w:noProof/>
          <w:lang w:eastAsia="zh-CN"/>
        </w:rPr>
        <w:drawing>
          <wp:inline distT="0" distB="0" distL="0" distR="0" wp14:anchorId="5D88693E" wp14:editId="261CF562">
            <wp:extent cx="5847907" cy="4245770"/>
            <wp:effectExtent l="0" t="0" r="635" b="2540"/>
            <wp:docPr id="1823715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7640" cy="4252836"/>
                    </a:xfrm>
                    <a:prstGeom prst="rect">
                      <a:avLst/>
                    </a:prstGeom>
                  </pic:spPr>
                </pic:pic>
              </a:graphicData>
            </a:graphic>
          </wp:inline>
        </w:drawing>
      </w:r>
    </w:p>
    <w:p w14:paraId="4CAD627C" w14:textId="77777777" w:rsidR="007B66C1" w:rsidRPr="009176E2" w:rsidRDefault="007B66C1" w:rsidP="007B66C1">
      <w:pPr>
        <w:rPr>
          <w:rFonts w:ascii="Georgia" w:hAnsi="Georgia"/>
          <w:color w:val="404040" w:themeColor="text1" w:themeTint="BF"/>
          <w:sz w:val="16"/>
          <w:szCs w:val="16"/>
        </w:rPr>
      </w:pPr>
      <w:r w:rsidRPr="009176E2">
        <w:rPr>
          <w:rFonts w:ascii="Georgia" w:hAnsi="Georgia"/>
          <w:color w:val="404040" w:themeColor="text1" w:themeTint="BF"/>
          <w:sz w:val="16"/>
          <w:szCs w:val="16"/>
        </w:rPr>
        <w:t xml:space="preserve">Source data from Bloomberg. Carbon price EU ETS from Bloomberg, effective GB price based on IA calculations </w:t>
      </w:r>
    </w:p>
    <w:p w14:paraId="4480BFA0" w14:textId="77777777" w:rsidR="002F4665" w:rsidRPr="00C15BC9" w:rsidRDefault="002F4665" w:rsidP="002F4665">
      <w:pPr>
        <w:pStyle w:val="Heading2"/>
        <w:spacing w:before="0"/>
      </w:pPr>
      <w:r w:rsidRPr="00C15BC9">
        <w:lastRenderedPageBreak/>
        <w:t>Report of the Investment Adviser (continued)</w:t>
      </w:r>
    </w:p>
    <w:p w14:paraId="1A44426E" w14:textId="77777777" w:rsidR="002F4665" w:rsidRPr="00904E51" w:rsidRDefault="002F4665" w:rsidP="002F4665">
      <w:pPr>
        <w:rPr>
          <w:rFonts w:ascii="Georgia" w:hAnsi="Georgia"/>
          <w:b/>
          <w:color w:val="4A442A" w:themeColor="background2" w:themeShade="40"/>
          <w:sz w:val="20"/>
          <w:szCs w:val="20"/>
          <w:highlight w:val="yellow"/>
        </w:rPr>
      </w:pPr>
    </w:p>
    <w:p w14:paraId="47B53F9E" w14:textId="77777777" w:rsidR="002F4665" w:rsidRPr="00E14976" w:rsidRDefault="002F4665" w:rsidP="002F4665">
      <w:pPr>
        <w:rPr>
          <w:rFonts w:ascii="Georgia" w:hAnsi="Georgia"/>
          <w:b/>
          <w:color w:val="4A442A" w:themeColor="background2" w:themeShade="40"/>
          <w:sz w:val="20"/>
          <w:szCs w:val="20"/>
        </w:rPr>
      </w:pPr>
      <w:r w:rsidRPr="00E14976">
        <w:rPr>
          <w:rFonts w:ascii="Georgia" w:hAnsi="Georgia"/>
          <w:b/>
          <w:color w:val="4A442A" w:themeColor="background2" w:themeShade="40"/>
          <w:sz w:val="20"/>
          <w:szCs w:val="20"/>
        </w:rPr>
        <w:t>2. Portfolio: Acquisitions, Performance and Value Enhancement (continued)</w:t>
      </w:r>
    </w:p>
    <w:p w14:paraId="0F565915" w14:textId="77777777" w:rsidR="002F4665" w:rsidRPr="00904E51" w:rsidRDefault="002F4665" w:rsidP="002F4665">
      <w:pPr>
        <w:pStyle w:val="ListParagraph"/>
        <w:ind w:left="0"/>
        <w:jc w:val="both"/>
        <w:rPr>
          <w:rFonts w:ascii="Georgia" w:hAnsi="Georgia"/>
          <w:color w:val="404040" w:themeColor="text1" w:themeTint="BF"/>
          <w:sz w:val="20"/>
          <w:szCs w:val="20"/>
          <w:highlight w:val="yellow"/>
        </w:rPr>
      </w:pPr>
    </w:p>
    <w:p w14:paraId="7EA43572" w14:textId="77777777" w:rsidR="002F4665" w:rsidRPr="00B64197" w:rsidRDefault="002F4665" w:rsidP="002F4665">
      <w:pPr>
        <w:pStyle w:val="ListParagraph"/>
        <w:ind w:left="0"/>
        <w:jc w:val="both"/>
        <w:rPr>
          <w:rFonts w:ascii="Georgia" w:hAnsi="Georgia"/>
          <w:i/>
          <w:color w:val="404040" w:themeColor="text1" w:themeTint="BF"/>
          <w:sz w:val="20"/>
          <w:szCs w:val="20"/>
        </w:rPr>
      </w:pPr>
      <w:r w:rsidRPr="00B64197">
        <w:rPr>
          <w:rFonts w:ascii="Georgia" w:hAnsi="Georgia"/>
          <w:i/>
          <w:color w:val="404040" w:themeColor="text1" w:themeTint="BF"/>
          <w:sz w:val="20"/>
          <w:szCs w:val="20"/>
        </w:rPr>
        <w:t>Revenues and Power Price</w:t>
      </w:r>
    </w:p>
    <w:p w14:paraId="7677B1F6" w14:textId="77777777" w:rsidR="007B66C1" w:rsidRPr="009176E2" w:rsidRDefault="007B66C1" w:rsidP="007B66C1">
      <w:pPr>
        <w:rPr>
          <w:rFonts w:ascii="Georgia" w:hAnsi="Georgia"/>
          <w:color w:val="404040" w:themeColor="text1" w:themeTint="BF"/>
          <w:sz w:val="20"/>
          <w:szCs w:val="20"/>
        </w:rPr>
      </w:pPr>
    </w:p>
    <w:p w14:paraId="5105F39E" w14:textId="43F29E51" w:rsidR="007B66C1" w:rsidRPr="00CF6EBB" w:rsidRDefault="00475CDA" w:rsidP="007B66C1">
      <w:pPr>
        <w:jc w:val="both"/>
        <w:rPr>
          <w:rFonts w:ascii="Georgia" w:hAnsi="Georgia"/>
          <w:color w:val="404040" w:themeColor="text1" w:themeTint="BF"/>
          <w:sz w:val="20"/>
          <w:szCs w:val="20"/>
        </w:rPr>
      </w:pPr>
      <w:r w:rsidRPr="009176E2">
        <w:rPr>
          <w:rFonts w:ascii="Georgia" w:hAnsi="Georgia"/>
          <w:color w:val="404040" w:themeColor="text1" w:themeTint="BF"/>
          <w:sz w:val="20"/>
          <w:szCs w:val="20"/>
        </w:rPr>
        <w:t xml:space="preserve">The downward movement of the </w:t>
      </w:r>
      <w:r w:rsidRPr="00061BCA">
        <w:rPr>
          <w:rFonts w:ascii="Georgia" w:hAnsi="Georgia"/>
          <w:color w:val="404040" w:themeColor="text1" w:themeTint="BF"/>
          <w:sz w:val="20"/>
          <w:szCs w:val="20"/>
        </w:rPr>
        <w:t>wholesale power market has not been reflected in the Company’s average seasonal weighted power price for the period to 30 June 2020, which rose by 7.1% from £50.18 per MWh the 12 months ending 30 June 2019 to £53.76 per MWh to 30 June</w:t>
      </w:r>
      <w:r w:rsidRPr="00CF6EBB">
        <w:rPr>
          <w:rFonts w:ascii="Georgia" w:hAnsi="Georgia"/>
          <w:color w:val="404040" w:themeColor="text1" w:themeTint="BF"/>
          <w:sz w:val="20"/>
          <w:szCs w:val="20"/>
        </w:rPr>
        <w:t xml:space="preserve"> 2020 as the Company continued to benefit from the contribution of offtake agreements struck for up to 27 months from September 2018 when prices reached six year highs (up to £67</w:t>
      </w:r>
      <w:r>
        <w:rPr>
          <w:rFonts w:ascii="Georgia" w:hAnsi="Georgia"/>
          <w:color w:val="404040" w:themeColor="text1" w:themeTint="BF"/>
          <w:sz w:val="20"/>
          <w:szCs w:val="20"/>
        </w:rPr>
        <w:t xml:space="preserve"> per </w:t>
      </w:r>
      <w:r w:rsidRPr="00CF6EBB">
        <w:rPr>
          <w:rFonts w:ascii="Georgia" w:hAnsi="Georgia"/>
          <w:color w:val="404040" w:themeColor="text1" w:themeTint="BF"/>
          <w:sz w:val="20"/>
          <w:szCs w:val="20"/>
        </w:rPr>
        <w:t>MWh) as well as avoiding fixing any PPAs during the period April 2020 and July 2020</w:t>
      </w:r>
      <w:r w:rsidR="00717F5D" w:rsidRPr="00CF6EBB">
        <w:rPr>
          <w:rFonts w:ascii="Georgia" w:hAnsi="Georgia"/>
          <w:color w:val="404040" w:themeColor="text1" w:themeTint="BF"/>
          <w:sz w:val="20"/>
          <w:szCs w:val="20"/>
        </w:rPr>
        <w:t>.</w:t>
      </w:r>
      <w:r w:rsidR="008815ED" w:rsidRPr="00CF6EBB">
        <w:rPr>
          <w:rFonts w:ascii="Georgia" w:hAnsi="Georgia"/>
          <w:color w:val="404040" w:themeColor="text1" w:themeTint="BF"/>
          <w:sz w:val="20"/>
          <w:szCs w:val="20"/>
        </w:rPr>
        <w:t xml:space="preserve"> </w:t>
      </w:r>
    </w:p>
    <w:p w14:paraId="79E9D57A" w14:textId="77E1E0BE" w:rsidR="007B66C1" w:rsidRPr="00CF6EBB" w:rsidRDefault="007B66C1" w:rsidP="007B66C1">
      <w:pPr>
        <w:jc w:val="both"/>
        <w:rPr>
          <w:rFonts w:ascii="Georgia" w:hAnsi="Georgia"/>
          <w:color w:val="404040" w:themeColor="text1" w:themeTint="BF"/>
          <w:sz w:val="20"/>
          <w:szCs w:val="20"/>
        </w:rPr>
      </w:pPr>
    </w:p>
    <w:p w14:paraId="1AAF98F7" w14:textId="77777777" w:rsidR="007B66C1" w:rsidRPr="00CF6EBB" w:rsidRDefault="007B66C1" w:rsidP="007B66C1">
      <w:pPr>
        <w:jc w:val="both"/>
        <w:rPr>
          <w:rFonts w:ascii="Georgia" w:hAnsi="Georgia"/>
          <w:color w:val="404040" w:themeColor="text1" w:themeTint="BF"/>
          <w:sz w:val="20"/>
          <w:szCs w:val="20"/>
        </w:rPr>
      </w:pPr>
      <w:r w:rsidRPr="00CF6EBB">
        <w:rPr>
          <w:rFonts w:ascii="Georgia" w:hAnsi="Georgia"/>
          <w:color w:val="404040" w:themeColor="text1" w:themeTint="BF"/>
          <w:sz w:val="20"/>
          <w:szCs w:val="20"/>
        </w:rPr>
        <w:t>The impact of power prices on NAV is set out in the valuations section.</w:t>
      </w:r>
    </w:p>
    <w:p w14:paraId="601EEAFD" w14:textId="7091BAD1" w:rsidR="007B66C1" w:rsidRDefault="007B66C1" w:rsidP="007B66C1">
      <w:pPr>
        <w:jc w:val="both"/>
        <w:rPr>
          <w:rFonts w:ascii="Georgia" w:hAnsi="Georgia"/>
          <w:color w:val="404040"/>
          <w:sz w:val="20"/>
          <w:szCs w:val="20"/>
          <w:highlight w:val="yellow"/>
        </w:rPr>
      </w:pPr>
    </w:p>
    <w:p w14:paraId="224AA7B4" w14:textId="77777777" w:rsidR="007B66C1" w:rsidRPr="00475D47" w:rsidRDefault="007B66C1" w:rsidP="007B66C1">
      <w:pPr>
        <w:pStyle w:val="ListParagraph"/>
        <w:ind w:left="0"/>
        <w:jc w:val="both"/>
        <w:rPr>
          <w:rFonts w:ascii="Georgia" w:hAnsi="Georgia"/>
          <w:b/>
          <w:color w:val="4A442A" w:themeColor="background2" w:themeShade="40"/>
          <w:sz w:val="20"/>
          <w:szCs w:val="20"/>
        </w:rPr>
      </w:pPr>
      <w:r w:rsidRPr="00475D47">
        <w:rPr>
          <w:rFonts w:ascii="Georgia" w:hAnsi="Georgia"/>
          <w:b/>
          <w:color w:val="4A442A" w:themeColor="background2" w:themeShade="40"/>
          <w:sz w:val="20"/>
          <w:szCs w:val="20"/>
        </w:rPr>
        <w:t xml:space="preserve">Targeted Charging Review - Potential Changes to the treatment of </w:t>
      </w:r>
      <w:proofErr w:type="spellStart"/>
      <w:r w:rsidRPr="00475D47">
        <w:rPr>
          <w:rFonts w:ascii="Georgia" w:hAnsi="Georgia"/>
          <w:b/>
          <w:color w:val="4A442A" w:themeColor="background2" w:themeShade="40"/>
          <w:sz w:val="20"/>
          <w:szCs w:val="20"/>
        </w:rPr>
        <w:t>BSUoS</w:t>
      </w:r>
      <w:proofErr w:type="spellEnd"/>
    </w:p>
    <w:p w14:paraId="25106A3A" w14:textId="77777777" w:rsidR="007B66C1" w:rsidRPr="00475D47" w:rsidRDefault="007B66C1" w:rsidP="007B66C1">
      <w:pPr>
        <w:jc w:val="both"/>
        <w:rPr>
          <w:rFonts w:ascii="Georgia" w:hAnsi="Georgia"/>
          <w:color w:val="404040" w:themeColor="text1" w:themeTint="BF"/>
          <w:sz w:val="20"/>
          <w:szCs w:val="20"/>
        </w:rPr>
      </w:pPr>
    </w:p>
    <w:p w14:paraId="01C7F1A4" w14:textId="77777777" w:rsidR="007B66C1" w:rsidRPr="00475D47" w:rsidRDefault="007B66C1" w:rsidP="007B66C1">
      <w:pPr>
        <w:jc w:val="both"/>
        <w:rPr>
          <w:rFonts w:ascii="Georgia" w:hAnsi="Georgia"/>
          <w:i/>
          <w:color w:val="404040"/>
          <w:sz w:val="20"/>
          <w:szCs w:val="20"/>
        </w:rPr>
      </w:pPr>
      <w:r w:rsidRPr="00475D47">
        <w:rPr>
          <w:rFonts w:ascii="Georgia" w:hAnsi="Georgia"/>
          <w:i/>
          <w:color w:val="404040"/>
          <w:sz w:val="20"/>
          <w:szCs w:val="20"/>
        </w:rPr>
        <w:t>Background</w:t>
      </w:r>
    </w:p>
    <w:p w14:paraId="6E8DC763" w14:textId="77777777" w:rsidR="007B66C1" w:rsidRPr="00475D47" w:rsidRDefault="007B66C1" w:rsidP="007B66C1">
      <w:pPr>
        <w:jc w:val="both"/>
        <w:rPr>
          <w:rFonts w:ascii="Georgia" w:hAnsi="Georgia"/>
          <w:color w:val="404040" w:themeColor="text1" w:themeTint="BF"/>
          <w:sz w:val="20"/>
          <w:szCs w:val="20"/>
        </w:rPr>
      </w:pPr>
    </w:p>
    <w:p w14:paraId="5027249E" w14:textId="77777777" w:rsidR="007B66C1" w:rsidRPr="00D35D2B" w:rsidRDefault="007B66C1" w:rsidP="007B66C1">
      <w:pPr>
        <w:jc w:val="both"/>
        <w:rPr>
          <w:rFonts w:ascii="Georgia" w:hAnsi="Georgia"/>
          <w:color w:val="404040"/>
          <w:sz w:val="20"/>
          <w:szCs w:val="20"/>
        </w:rPr>
      </w:pPr>
      <w:r w:rsidRPr="00475D47">
        <w:rPr>
          <w:rFonts w:ascii="Georgia" w:hAnsi="Georgia"/>
          <w:color w:val="404040"/>
          <w:sz w:val="20"/>
          <w:szCs w:val="20"/>
        </w:rPr>
        <w:t xml:space="preserve">In August 2017 </w:t>
      </w:r>
      <w:proofErr w:type="spellStart"/>
      <w:r w:rsidRPr="00475D47">
        <w:rPr>
          <w:rFonts w:ascii="Georgia" w:hAnsi="Georgia"/>
          <w:color w:val="404040"/>
          <w:sz w:val="20"/>
          <w:szCs w:val="20"/>
        </w:rPr>
        <w:t>Ofgem</w:t>
      </w:r>
      <w:proofErr w:type="spellEnd"/>
      <w:r w:rsidRPr="00475D47">
        <w:rPr>
          <w:rFonts w:ascii="Georgia" w:hAnsi="Georgia"/>
          <w:color w:val="404040"/>
          <w:sz w:val="20"/>
          <w:szCs w:val="20"/>
        </w:rPr>
        <w:t xml:space="preserve"> launched a Targeted Charging Review (TCR):</w:t>
      </w:r>
      <w:r w:rsidRPr="00D35D2B">
        <w:rPr>
          <w:rFonts w:ascii="Georgia" w:hAnsi="Georgia"/>
          <w:color w:val="404040"/>
          <w:sz w:val="20"/>
          <w:szCs w:val="20"/>
        </w:rPr>
        <w:t xml:space="preserve"> Significant Code Review (SCR) to investigate the way in which residual network charges are applied across the electricity network.</w:t>
      </w:r>
    </w:p>
    <w:p w14:paraId="08B4915A" w14:textId="77777777" w:rsidR="007B66C1" w:rsidRPr="00D35D2B" w:rsidRDefault="007B66C1" w:rsidP="007B66C1">
      <w:pPr>
        <w:jc w:val="both"/>
        <w:rPr>
          <w:rFonts w:ascii="Georgia" w:hAnsi="Georgia"/>
          <w:color w:val="404040"/>
          <w:sz w:val="20"/>
          <w:szCs w:val="20"/>
        </w:rPr>
      </w:pPr>
    </w:p>
    <w:p w14:paraId="1238D5E8" w14:textId="77777777" w:rsidR="007B66C1" w:rsidRPr="00D35D2B" w:rsidRDefault="007B66C1" w:rsidP="007B66C1">
      <w:pPr>
        <w:tabs>
          <w:tab w:val="num" w:pos="2160"/>
        </w:tabs>
        <w:jc w:val="both"/>
        <w:rPr>
          <w:rFonts w:ascii="Georgia" w:hAnsi="Georgia"/>
          <w:color w:val="404040"/>
          <w:sz w:val="20"/>
          <w:szCs w:val="20"/>
        </w:rPr>
      </w:pPr>
      <w:r w:rsidRPr="00D35D2B">
        <w:rPr>
          <w:rFonts w:ascii="Georgia" w:hAnsi="Georgia"/>
          <w:color w:val="404040"/>
          <w:sz w:val="20"/>
          <w:szCs w:val="20"/>
        </w:rPr>
        <w:t xml:space="preserve">In November 2019, </w:t>
      </w:r>
      <w:proofErr w:type="spellStart"/>
      <w:r>
        <w:rPr>
          <w:rFonts w:ascii="Georgia" w:hAnsi="Georgia"/>
          <w:color w:val="404040"/>
          <w:sz w:val="20"/>
          <w:szCs w:val="20"/>
        </w:rPr>
        <w:t>Ofgem</w:t>
      </w:r>
      <w:proofErr w:type="spellEnd"/>
      <w:r>
        <w:rPr>
          <w:rFonts w:ascii="Georgia" w:hAnsi="Georgia"/>
          <w:color w:val="404040"/>
          <w:sz w:val="20"/>
          <w:szCs w:val="20"/>
        </w:rPr>
        <w:t xml:space="preserve"> confirmed a </w:t>
      </w:r>
      <w:r w:rsidRPr="00D35D2B">
        <w:rPr>
          <w:rFonts w:ascii="Georgia" w:hAnsi="Georgia"/>
          <w:color w:val="404040"/>
          <w:sz w:val="20"/>
          <w:szCs w:val="20"/>
        </w:rPr>
        <w:t xml:space="preserve">number of findings </w:t>
      </w:r>
      <w:r>
        <w:rPr>
          <w:rFonts w:ascii="Georgia" w:hAnsi="Georgia"/>
          <w:color w:val="404040"/>
          <w:sz w:val="20"/>
          <w:szCs w:val="20"/>
        </w:rPr>
        <w:t xml:space="preserve">from the TCR that are relevant to the </w:t>
      </w:r>
      <w:r w:rsidRPr="00D35D2B">
        <w:rPr>
          <w:rFonts w:ascii="Georgia" w:hAnsi="Georgia"/>
          <w:color w:val="404040"/>
          <w:sz w:val="20"/>
          <w:szCs w:val="20"/>
        </w:rPr>
        <w:t>Company</w:t>
      </w:r>
      <w:r>
        <w:rPr>
          <w:rFonts w:ascii="Georgia" w:hAnsi="Georgia"/>
          <w:color w:val="404040"/>
          <w:sz w:val="20"/>
          <w:szCs w:val="20"/>
        </w:rPr>
        <w:t>. These</w:t>
      </w:r>
      <w:r w:rsidRPr="00D35D2B">
        <w:rPr>
          <w:rFonts w:ascii="Georgia" w:hAnsi="Georgia"/>
          <w:color w:val="404040"/>
          <w:sz w:val="20"/>
          <w:szCs w:val="20"/>
        </w:rPr>
        <w:t xml:space="preserve"> were:</w:t>
      </w:r>
    </w:p>
    <w:p w14:paraId="2972DF34" w14:textId="77777777" w:rsidR="007B66C1" w:rsidRPr="00D35D2B" w:rsidRDefault="007B66C1" w:rsidP="007B66C1">
      <w:pPr>
        <w:tabs>
          <w:tab w:val="num" w:pos="2160"/>
        </w:tabs>
        <w:jc w:val="both"/>
        <w:rPr>
          <w:rFonts w:ascii="Georgia" w:hAnsi="Georgia"/>
          <w:color w:val="404040"/>
          <w:sz w:val="20"/>
          <w:szCs w:val="20"/>
        </w:rPr>
      </w:pPr>
    </w:p>
    <w:p w14:paraId="36E99107" w14:textId="426B55EE" w:rsidR="007B66C1" w:rsidRPr="00D35D2B" w:rsidRDefault="007B66C1" w:rsidP="000916C2">
      <w:pPr>
        <w:pStyle w:val="ListParagraph"/>
        <w:numPr>
          <w:ilvl w:val="0"/>
          <w:numId w:val="24"/>
        </w:numPr>
        <w:tabs>
          <w:tab w:val="num" w:pos="2160"/>
        </w:tabs>
        <w:jc w:val="both"/>
        <w:rPr>
          <w:rFonts w:ascii="Georgia" w:hAnsi="Georgia"/>
          <w:color w:val="404040" w:themeColor="text1" w:themeTint="BF"/>
          <w:sz w:val="20"/>
          <w:szCs w:val="20"/>
        </w:rPr>
      </w:pPr>
      <w:r w:rsidRPr="00D35D2B">
        <w:rPr>
          <w:rFonts w:ascii="Georgia" w:hAnsi="Georgia"/>
          <w:color w:val="404040" w:themeColor="text1" w:themeTint="BF"/>
          <w:sz w:val="20"/>
          <w:szCs w:val="20"/>
        </w:rPr>
        <w:t xml:space="preserve">From April 2021 the </w:t>
      </w:r>
      <w:proofErr w:type="spellStart"/>
      <w:r w:rsidRPr="00D35D2B">
        <w:rPr>
          <w:rFonts w:ascii="Georgia" w:hAnsi="Georgia"/>
          <w:color w:val="404040" w:themeColor="text1" w:themeTint="BF"/>
          <w:sz w:val="20"/>
          <w:szCs w:val="20"/>
        </w:rPr>
        <w:t>BSUoS</w:t>
      </w:r>
      <w:proofErr w:type="spellEnd"/>
      <w:r w:rsidRPr="00D35D2B">
        <w:rPr>
          <w:rFonts w:ascii="Georgia" w:hAnsi="Georgia"/>
          <w:color w:val="404040" w:themeColor="text1" w:themeTint="BF"/>
          <w:sz w:val="20"/>
          <w:szCs w:val="20"/>
        </w:rPr>
        <w:t xml:space="preserve"> benefit will be removed.</w:t>
      </w:r>
      <w:r>
        <w:rPr>
          <w:rFonts w:ascii="Georgia" w:hAnsi="Georgia"/>
          <w:color w:val="404040" w:themeColor="text1" w:themeTint="BF"/>
          <w:sz w:val="20"/>
          <w:szCs w:val="20"/>
        </w:rPr>
        <w:t xml:space="preserve"> Historically this has been worth up to £2.50/MWh</w:t>
      </w:r>
      <w:r w:rsidR="000E3577">
        <w:rPr>
          <w:rFonts w:ascii="Georgia" w:hAnsi="Georgia"/>
          <w:color w:val="404040" w:themeColor="text1" w:themeTint="BF"/>
          <w:sz w:val="20"/>
          <w:szCs w:val="20"/>
        </w:rPr>
        <w:t>,</w:t>
      </w:r>
      <w:r>
        <w:rPr>
          <w:rFonts w:ascii="Georgia" w:hAnsi="Georgia"/>
          <w:color w:val="404040" w:themeColor="text1" w:themeTint="BF"/>
          <w:sz w:val="20"/>
          <w:szCs w:val="20"/>
        </w:rPr>
        <w:t xml:space="preserve"> but since th</w:t>
      </w:r>
      <w:r w:rsidRPr="00D35D2B">
        <w:rPr>
          <w:rFonts w:ascii="Georgia" w:hAnsi="Georgia"/>
          <w:color w:val="404040" w:themeColor="text1" w:themeTint="BF"/>
          <w:sz w:val="20"/>
          <w:szCs w:val="20"/>
        </w:rPr>
        <w:t xml:space="preserve">e </w:t>
      </w:r>
      <w:r>
        <w:rPr>
          <w:rFonts w:ascii="Georgia" w:hAnsi="Georgia"/>
          <w:color w:val="404040" w:themeColor="text1" w:themeTint="BF"/>
          <w:sz w:val="20"/>
          <w:szCs w:val="20"/>
        </w:rPr>
        <w:t xml:space="preserve">Directors’ Valuations </w:t>
      </w:r>
      <w:r w:rsidRPr="00D35D2B">
        <w:rPr>
          <w:rFonts w:ascii="Georgia" w:hAnsi="Georgia"/>
          <w:color w:val="404040" w:themeColor="text1" w:themeTint="BF"/>
          <w:sz w:val="20"/>
          <w:szCs w:val="20"/>
        </w:rPr>
        <w:t>ha</w:t>
      </w:r>
      <w:r>
        <w:rPr>
          <w:rFonts w:ascii="Georgia" w:hAnsi="Georgia"/>
          <w:color w:val="404040" w:themeColor="text1" w:themeTint="BF"/>
          <w:sz w:val="20"/>
          <w:szCs w:val="20"/>
        </w:rPr>
        <w:t xml:space="preserve">ve never recognised this as a forward benefit (it is included in fixed PPAs) </w:t>
      </w:r>
      <w:r w:rsidRPr="00D35D2B">
        <w:rPr>
          <w:rFonts w:ascii="Georgia" w:hAnsi="Georgia"/>
          <w:color w:val="404040" w:themeColor="text1" w:themeTint="BF"/>
          <w:sz w:val="20"/>
          <w:szCs w:val="20"/>
        </w:rPr>
        <w:t xml:space="preserve">there </w:t>
      </w:r>
      <w:r>
        <w:rPr>
          <w:rFonts w:ascii="Georgia" w:hAnsi="Georgia"/>
          <w:color w:val="404040" w:themeColor="text1" w:themeTint="BF"/>
          <w:sz w:val="20"/>
          <w:szCs w:val="20"/>
        </w:rPr>
        <w:t>is</w:t>
      </w:r>
      <w:r w:rsidRPr="00D35D2B">
        <w:rPr>
          <w:rFonts w:ascii="Georgia" w:hAnsi="Georgia"/>
          <w:color w:val="404040" w:themeColor="text1" w:themeTint="BF"/>
          <w:sz w:val="20"/>
          <w:szCs w:val="20"/>
        </w:rPr>
        <w:t xml:space="preserve"> no impact to the </w:t>
      </w:r>
      <w:r>
        <w:rPr>
          <w:rFonts w:ascii="Georgia" w:hAnsi="Georgia"/>
          <w:color w:val="404040" w:themeColor="text1" w:themeTint="BF"/>
          <w:sz w:val="20"/>
          <w:szCs w:val="20"/>
        </w:rPr>
        <w:t xml:space="preserve">portfolio </w:t>
      </w:r>
      <w:r w:rsidRPr="00D35D2B">
        <w:rPr>
          <w:rFonts w:ascii="Georgia" w:hAnsi="Georgia"/>
          <w:color w:val="404040" w:themeColor="text1" w:themeTint="BF"/>
          <w:sz w:val="20"/>
          <w:szCs w:val="20"/>
        </w:rPr>
        <w:t>valuation</w:t>
      </w:r>
      <w:r>
        <w:rPr>
          <w:rFonts w:ascii="Georgia" w:hAnsi="Georgia"/>
          <w:color w:val="404040" w:themeColor="text1" w:themeTint="BF"/>
          <w:sz w:val="20"/>
          <w:szCs w:val="20"/>
        </w:rPr>
        <w:t xml:space="preserve"> or forecast revenue streams</w:t>
      </w:r>
      <w:r w:rsidR="0064625D">
        <w:rPr>
          <w:rFonts w:ascii="Georgia" w:hAnsi="Georgia"/>
          <w:color w:val="404040" w:themeColor="text1" w:themeTint="BF"/>
          <w:sz w:val="20"/>
          <w:szCs w:val="20"/>
        </w:rPr>
        <w:t xml:space="preserve"> </w:t>
      </w:r>
      <w:r>
        <w:rPr>
          <w:rFonts w:ascii="Georgia" w:hAnsi="Georgia"/>
          <w:color w:val="404040" w:themeColor="text1" w:themeTint="BF"/>
          <w:sz w:val="20"/>
          <w:szCs w:val="20"/>
        </w:rPr>
        <w:t>and</w:t>
      </w:r>
      <w:r w:rsidR="007E5F3D">
        <w:rPr>
          <w:rFonts w:ascii="Georgia" w:hAnsi="Georgia"/>
          <w:color w:val="404040" w:themeColor="text1" w:themeTint="BF"/>
          <w:sz w:val="20"/>
          <w:szCs w:val="20"/>
        </w:rPr>
        <w:t>;</w:t>
      </w:r>
    </w:p>
    <w:p w14:paraId="396D89CB" w14:textId="77777777" w:rsidR="007B66C1" w:rsidRPr="00D35D2B" w:rsidRDefault="007B66C1" w:rsidP="007B66C1">
      <w:pPr>
        <w:tabs>
          <w:tab w:val="num" w:pos="2160"/>
        </w:tabs>
        <w:jc w:val="both"/>
        <w:rPr>
          <w:rFonts w:ascii="Georgia" w:hAnsi="Georgia"/>
          <w:color w:val="404040" w:themeColor="text1" w:themeTint="BF"/>
          <w:sz w:val="20"/>
          <w:szCs w:val="20"/>
        </w:rPr>
      </w:pPr>
    </w:p>
    <w:p w14:paraId="3A4BF8D4" w14:textId="7D108DD2" w:rsidR="007B66C1" w:rsidRPr="00475CDA" w:rsidRDefault="007B66C1" w:rsidP="000916C2">
      <w:pPr>
        <w:pStyle w:val="ListParagraph"/>
        <w:numPr>
          <w:ilvl w:val="0"/>
          <w:numId w:val="24"/>
        </w:numPr>
        <w:tabs>
          <w:tab w:val="num" w:pos="2160"/>
        </w:tabs>
        <w:jc w:val="both"/>
        <w:rPr>
          <w:rFonts w:ascii="Georgia" w:hAnsi="Georgia"/>
          <w:color w:val="404040" w:themeColor="text1" w:themeTint="BF"/>
          <w:sz w:val="20"/>
          <w:szCs w:val="20"/>
        </w:rPr>
      </w:pPr>
      <w:r w:rsidRPr="00475CDA">
        <w:rPr>
          <w:rFonts w:ascii="Georgia" w:hAnsi="Georgia"/>
          <w:color w:val="404040" w:themeColor="text1" w:themeTint="BF"/>
          <w:sz w:val="20"/>
          <w:szCs w:val="20"/>
        </w:rPr>
        <w:t xml:space="preserve">From April 2022, </w:t>
      </w:r>
      <w:proofErr w:type="spellStart"/>
      <w:r w:rsidRPr="00475CDA">
        <w:rPr>
          <w:rFonts w:ascii="Georgia" w:hAnsi="Georgia"/>
          <w:color w:val="404040" w:themeColor="text1" w:themeTint="BF"/>
          <w:sz w:val="20"/>
          <w:szCs w:val="20"/>
        </w:rPr>
        <w:t>BSUoS</w:t>
      </w:r>
      <w:proofErr w:type="spellEnd"/>
      <w:r w:rsidRPr="00475CDA">
        <w:rPr>
          <w:rFonts w:ascii="Georgia" w:hAnsi="Georgia"/>
          <w:color w:val="404040" w:themeColor="text1" w:themeTint="BF"/>
          <w:sz w:val="20"/>
          <w:szCs w:val="20"/>
        </w:rPr>
        <w:t xml:space="preserve"> </w:t>
      </w:r>
      <w:r w:rsidR="00C930FA" w:rsidRPr="00475CDA">
        <w:rPr>
          <w:rFonts w:ascii="Georgia" w:hAnsi="Georgia"/>
          <w:color w:val="404040" w:themeColor="text1" w:themeTint="BF"/>
          <w:sz w:val="20"/>
          <w:szCs w:val="20"/>
        </w:rPr>
        <w:t>wa</w:t>
      </w:r>
      <w:r w:rsidRPr="00475CDA">
        <w:rPr>
          <w:rFonts w:ascii="Georgia" w:hAnsi="Georgia"/>
          <w:color w:val="404040" w:themeColor="text1" w:themeTint="BF"/>
          <w:sz w:val="20"/>
          <w:szCs w:val="20"/>
        </w:rPr>
        <w:t xml:space="preserve">s expected to be charged based on gross generation, meaning that embedded generators (e.g. solar and onshore wind) </w:t>
      </w:r>
      <w:r w:rsidR="00F965F7" w:rsidRPr="00475CDA">
        <w:rPr>
          <w:rFonts w:ascii="Georgia" w:hAnsi="Georgia"/>
          <w:color w:val="404040" w:themeColor="text1" w:themeTint="BF"/>
          <w:sz w:val="20"/>
          <w:szCs w:val="20"/>
        </w:rPr>
        <w:t>may</w:t>
      </w:r>
      <w:r w:rsidRPr="00475CDA">
        <w:rPr>
          <w:rFonts w:ascii="Georgia" w:hAnsi="Georgia"/>
          <w:color w:val="404040" w:themeColor="text1" w:themeTint="BF"/>
          <w:sz w:val="20"/>
          <w:szCs w:val="20"/>
        </w:rPr>
        <w:t xml:space="preserve"> have to pay a charge. However, following the unforeseen impact of Covid-19, the timing for implementation of this change is now uncertain (some estimates are from April 2025)</w:t>
      </w:r>
      <w:r w:rsidR="00740A2C" w:rsidRPr="00475CDA">
        <w:rPr>
          <w:rFonts w:ascii="Georgia" w:hAnsi="Georgia"/>
          <w:color w:val="404040" w:themeColor="text1" w:themeTint="BF"/>
          <w:sz w:val="20"/>
          <w:szCs w:val="20"/>
        </w:rPr>
        <w:t xml:space="preserve"> as is the </w:t>
      </w:r>
      <w:r w:rsidRPr="00475CDA">
        <w:rPr>
          <w:rFonts w:ascii="Georgia" w:hAnsi="Georgia"/>
          <w:color w:val="404040" w:themeColor="text1" w:themeTint="BF"/>
          <w:sz w:val="20"/>
          <w:szCs w:val="20"/>
        </w:rPr>
        <w:t xml:space="preserve">exact way in which </w:t>
      </w:r>
      <w:r w:rsidR="00740A2C" w:rsidRPr="00475CDA">
        <w:rPr>
          <w:rFonts w:ascii="Georgia" w:hAnsi="Georgia"/>
          <w:color w:val="404040" w:themeColor="text1" w:themeTint="BF"/>
          <w:sz w:val="20"/>
          <w:szCs w:val="20"/>
        </w:rPr>
        <w:t xml:space="preserve">it </w:t>
      </w:r>
      <w:r w:rsidRPr="00475CDA">
        <w:rPr>
          <w:rFonts w:ascii="Georgia" w:hAnsi="Georgia"/>
          <w:color w:val="404040" w:themeColor="text1" w:themeTint="BF"/>
          <w:sz w:val="20"/>
          <w:szCs w:val="20"/>
        </w:rPr>
        <w:t>will be applied</w:t>
      </w:r>
      <w:r w:rsidR="00740A2C" w:rsidRPr="00475CDA">
        <w:rPr>
          <w:rFonts w:ascii="Georgia" w:hAnsi="Georgia"/>
          <w:color w:val="404040" w:themeColor="text1" w:themeTint="BF"/>
          <w:sz w:val="20"/>
          <w:szCs w:val="20"/>
        </w:rPr>
        <w:t>. Although</w:t>
      </w:r>
      <w:r w:rsidRPr="00475CDA">
        <w:rPr>
          <w:rFonts w:ascii="Georgia" w:hAnsi="Georgia"/>
          <w:color w:val="404040" w:themeColor="text1" w:themeTint="BF"/>
          <w:sz w:val="20"/>
          <w:szCs w:val="20"/>
        </w:rPr>
        <w:t xml:space="preserve"> two main options have been proposed: 1) directly applying the charge to all generators; or 2) applying the charge to suppliers, in which case the charge would likely lead to a decrease in wholesale power prices.</w:t>
      </w:r>
    </w:p>
    <w:p w14:paraId="1194F5EB" w14:textId="77777777" w:rsidR="007B66C1" w:rsidRPr="00904E51" w:rsidRDefault="007B66C1" w:rsidP="007B66C1">
      <w:pPr>
        <w:jc w:val="both"/>
        <w:rPr>
          <w:rFonts w:ascii="Georgia" w:hAnsi="Georgia"/>
          <w:b/>
          <w:color w:val="404040"/>
          <w:sz w:val="20"/>
          <w:szCs w:val="20"/>
          <w:highlight w:val="yellow"/>
        </w:rPr>
      </w:pPr>
    </w:p>
    <w:p w14:paraId="1AAAF00C" w14:textId="77777777" w:rsidR="007B66C1" w:rsidRPr="000F6070" w:rsidRDefault="007B66C1" w:rsidP="007B66C1">
      <w:pPr>
        <w:jc w:val="both"/>
        <w:rPr>
          <w:rFonts w:ascii="Georgia" w:hAnsi="Georgia"/>
          <w:i/>
          <w:color w:val="404040"/>
          <w:sz w:val="20"/>
          <w:szCs w:val="20"/>
        </w:rPr>
      </w:pPr>
      <w:r w:rsidRPr="000F6070">
        <w:rPr>
          <w:rFonts w:ascii="Georgia" w:hAnsi="Georgia"/>
          <w:i/>
          <w:color w:val="404040"/>
          <w:sz w:val="20"/>
          <w:szCs w:val="20"/>
        </w:rPr>
        <w:t>Potential future impact on the Company’s valuations and earnings</w:t>
      </w:r>
    </w:p>
    <w:p w14:paraId="2C51EA32" w14:textId="77777777" w:rsidR="007B66C1" w:rsidRPr="00904E51" w:rsidRDefault="007B66C1" w:rsidP="007B66C1">
      <w:pPr>
        <w:jc w:val="both"/>
        <w:rPr>
          <w:rFonts w:ascii="Georgia" w:hAnsi="Georgia"/>
          <w:color w:val="404040"/>
          <w:sz w:val="20"/>
          <w:szCs w:val="20"/>
          <w:highlight w:val="yellow"/>
        </w:rPr>
      </w:pPr>
    </w:p>
    <w:p w14:paraId="5D924685" w14:textId="53620C11" w:rsidR="007B66C1" w:rsidRPr="000F6070" w:rsidRDefault="00475CDA" w:rsidP="007B66C1">
      <w:pPr>
        <w:ind w:firstLine="1"/>
        <w:jc w:val="both"/>
      </w:pPr>
      <w:r w:rsidRPr="000F6070">
        <w:rPr>
          <w:rFonts w:ascii="Georgia" w:hAnsi="Georgia"/>
          <w:color w:val="404040"/>
          <w:sz w:val="20"/>
          <w:szCs w:val="20"/>
        </w:rPr>
        <w:t xml:space="preserve">Were the reform to conclude that </w:t>
      </w:r>
      <w:proofErr w:type="spellStart"/>
      <w:r w:rsidRPr="000F6070">
        <w:rPr>
          <w:rFonts w:ascii="Georgia" w:hAnsi="Georgia"/>
          <w:color w:val="404040"/>
          <w:sz w:val="20"/>
          <w:szCs w:val="20"/>
        </w:rPr>
        <w:t>BSUoS</w:t>
      </w:r>
      <w:proofErr w:type="spellEnd"/>
      <w:r w:rsidRPr="000F6070">
        <w:rPr>
          <w:rFonts w:ascii="Georgia" w:hAnsi="Georgia"/>
          <w:color w:val="404040"/>
          <w:sz w:val="20"/>
          <w:szCs w:val="20"/>
        </w:rPr>
        <w:t xml:space="preserve"> be applied as a charge, </w:t>
      </w:r>
      <w:r w:rsidRPr="00FA44F7">
        <w:rPr>
          <w:rFonts w:ascii="Georgia" w:hAnsi="Georgia"/>
          <w:color w:val="404040"/>
          <w:sz w:val="20"/>
          <w:szCs w:val="20"/>
        </w:rPr>
        <w:t xml:space="preserve">at </w:t>
      </w:r>
      <w:r w:rsidRPr="00A04D39">
        <w:rPr>
          <w:rFonts w:ascii="Georgia" w:hAnsi="Georgia"/>
          <w:color w:val="404040"/>
          <w:sz w:val="20"/>
          <w:szCs w:val="20"/>
        </w:rPr>
        <w:t>c.£2</w:t>
      </w:r>
      <w:r w:rsidR="00805B6B">
        <w:rPr>
          <w:rFonts w:ascii="Georgia" w:hAnsi="Georgia"/>
          <w:color w:val="404040"/>
          <w:sz w:val="20"/>
          <w:szCs w:val="20"/>
        </w:rPr>
        <w:t>/MW</w:t>
      </w:r>
      <w:r w:rsidRPr="00A04D39">
        <w:rPr>
          <w:rFonts w:ascii="Georgia" w:hAnsi="Georgia"/>
          <w:color w:val="404040"/>
          <w:sz w:val="20"/>
          <w:szCs w:val="20"/>
        </w:rPr>
        <w:t xml:space="preserve">h from April 2022, </w:t>
      </w:r>
      <w:r w:rsidRPr="00FA44F7">
        <w:rPr>
          <w:rFonts w:ascii="Georgia" w:hAnsi="Georgia"/>
          <w:color w:val="404040"/>
          <w:sz w:val="20"/>
          <w:szCs w:val="20"/>
        </w:rPr>
        <w:t>then</w:t>
      </w:r>
      <w:r w:rsidRPr="000F6070">
        <w:rPr>
          <w:rFonts w:ascii="Georgia" w:hAnsi="Georgia"/>
          <w:color w:val="404040"/>
          <w:sz w:val="20"/>
          <w:szCs w:val="20"/>
        </w:rPr>
        <w:t xml:space="preserve"> the BSIF valuation could be </w:t>
      </w:r>
      <w:r w:rsidRPr="00475CDA">
        <w:rPr>
          <w:rFonts w:ascii="Georgia" w:hAnsi="Georgia"/>
          <w:color w:val="404040"/>
          <w:sz w:val="20"/>
          <w:szCs w:val="20"/>
        </w:rPr>
        <w:t>reduced by c.£8m (c.2.1pps) based</w:t>
      </w:r>
      <w:r w:rsidRPr="000F6070">
        <w:rPr>
          <w:rFonts w:ascii="Georgia" w:hAnsi="Georgia"/>
          <w:color w:val="404040"/>
          <w:sz w:val="20"/>
          <w:szCs w:val="20"/>
        </w:rPr>
        <w:t xml:space="preserve"> on the blended forecast power curve adopted for the Company’s 30 June 2020 valuation</w:t>
      </w:r>
      <w:r w:rsidR="007B66C1" w:rsidRPr="000F6070">
        <w:rPr>
          <w:rFonts w:ascii="Georgia" w:hAnsi="Georgia"/>
          <w:color w:val="404040"/>
          <w:sz w:val="20"/>
          <w:szCs w:val="20"/>
        </w:rPr>
        <w:t>.</w:t>
      </w:r>
    </w:p>
    <w:p w14:paraId="4FA84BA9" w14:textId="77777777" w:rsidR="007B66C1" w:rsidRPr="00904E51" w:rsidRDefault="007B66C1" w:rsidP="007B66C1">
      <w:pPr>
        <w:pStyle w:val="ListParagraph"/>
        <w:jc w:val="both"/>
        <w:rPr>
          <w:rFonts w:ascii="Georgia" w:hAnsi="Georgia"/>
          <w:i/>
          <w:color w:val="404040"/>
          <w:sz w:val="20"/>
          <w:szCs w:val="20"/>
          <w:highlight w:val="yellow"/>
        </w:rPr>
      </w:pPr>
    </w:p>
    <w:p w14:paraId="066B6917" w14:textId="77777777" w:rsidR="007B66C1" w:rsidRPr="000F6070" w:rsidRDefault="007B66C1" w:rsidP="007B66C1">
      <w:pPr>
        <w:jc w:val="both"/>
        <w:rPr>
          <w:rFonts w:ascii="Georgia" w:hAnsi="Georgia"/>
          <w:color w:val="404040"/>
          <w:sz w:val="20"/>
          <w:szCs w:val="20"/>
        </w:rPr>
      </w:pPr>
      <w:r w:rsidRPr="000F6070">
        <w:rPr>
          <w:rFonts w:ascii="Georgia" w:hAnsi="Georgia"/>
          <w:color w:val="404040"/>
          <w:sz w:val="20"/>
          <w:szCs w:val="20"/>
        </w:rPr>
        <w:t xml:space="preserve">However, given the proposal is under consultation and the outcome has not yet been finalised, neither the Investment Adviser nor the Directors believe it appropriate that any speculative assumptions on the outcome of the review should be included in the Company’s 30 June 2020 valuation. </w:t>
      </w:r>
    </w:p>
    <w:p w14:paraId="61AB50E6" w14:textId="77777777" w:rsidR="007B66C1" w:rsidRPr="00904E51" w:rsidRDefault="007B66C1" w:rsidP="007B66C1">
      <w:pPr>
        <w:spacing w:after="160" w:line="259" w:lineRule="auto"/>
        <w:jc w:val="both"/>
        <w:rPr>
          <w:rFonts w:ascii="Georgia" w:hAnsi="Georgia"/>
          <w:b/>
          <w:color w:val="404040" w:themeColor="text1" w:themeTint="BF"/>
          <w:sz w:val="20"/>
          <w:szCs w:val="20"/>
          <w:highlight w:val="yellow"/>
        </w:rPr>
      </w:pPr>
    </w:p>
    <w:p w14:paraId="044B7494" w14:textId="77777777" w:rsidR="007B66C1" w:rsidRPr="00904E51" w:rsidRDefault="007B66C1" w:rsidP="007B66C1">
      <w:pPr>
        <w:spacing w:after="160" w:line="259" w:lineRule="auto"/>
        <w:jc w:val="both"/>
        <w:rPr>
          <w:rFonts w:ascii="Georgia" w:hAnsi="Georgia"/>
          <w:b/>
          <w:color w:val="404040" w:themeColor="text1" w:themeTint="BF"/>
          <w:sz w:val="20"/>
          <w:szCs w:val="20"/>
          <w:highlight w:val="yellow"/>
        </w:rPr>
      </w:pPr>
    </w:p>
    <w:p w14:paraId="5DC41041" w14:textId="77777777" w:rsidR="007B66C1" w:rsidRPr="00904E51" w:rsidRDefault="007B66C1" w:rsidP="007B66C1">
      <w:pPr>
        <w:spacing w:after="160" w:line="259" w:lineRule="auto"/>
        <w:jc w:val="both"/>
        <w:rPr>
          <w:rFonts w:ascii="Georgia" w:hAnsi="Georgia"/>
          <w:b/>
          <w:color w:val="404040" w:themeColor="text1" w:themeTint="BF"/>
          <w:sz w:val="20"/>
          <w:szCs w:val="20"/>
          <w:highlight w:val="yellow"/>
        </w:rPr>
      </w:pPr>
    </w:p>
    <w:p w14:paraId="45B07A2F" w14:textId="7D853BAB" w:rsidR="007B66C1" w:rsidRDefault="007B66C1" w:rsidP="007B66C1">
      <w:pPr>
        <w:spacing w:after="160" w:line="259" w:lineRule="auto"/>
        <w:jc w:val="both"/>
        <w:rPr>
          <w:rFonts w:ascii="Georgia" w:hAnsi="Georgia"/>
          <w:b/>
          <w:color w:val="404040" w:themeColor="text1" w:themeTint="BF"/>
          <w:sz w:val="20"/>
          <w:szCs w:val="20"/>
          <w:highlight w:val="yellow"/>
        </w:rPr>
      </w:pPr>
    </w:p>
    <w:p w14:paraId="7B4F03C8" w14:textId="215108D1" w:rsidR="005C2A79" w:rsidRDefault="005C2A79" w:rsidP="007B66C1">
      <w:pPr>
        <w:spacing w:after="160" w:line="259" w:lineRule="auto"/>
        <w:jc w:val="both"/>
        <w:rPr>
          <w:rFonts w:ascii="Georgia" w:hAnsi="Georgia"/>
          <w:b/>
          <w:color w:val="404040" w:themeColor="text1" w:themeTint="BF"/>
          <w:sz w:val="20"/>
          <w:szCs w:val="20"/>
          <w:highlight w:val="yellow"/>
        </w:rPr>
      </w:pPr>
    </w:p>
    <w:p w14:paraId="3CCC08D3" w14:textId="7A7B6AC1" w:rsidR="005C2A79" w:rsidRDefault="005C2A79" w:rsidP="007B66C1">
      <w:pPr>
        <w:spacing w:after="160" w:line="259" w:lineRule="auto"/>
        <w:jc w:val="both"/>
        <w:rPr>
          <w:rFonts w:ascii="Georgia" w:hAnsi="Georgia"/>
          <w:b/>
          <w:color w:val="404040" w:themeColor="text1" w:themeTint="BF"/>
          <w:sz w:val="20"/>
          <w:szCs w:val="20"/>
          <w:highlight w:val="yellow"/>
        </w:rPr>
      </w:pPr>
    </w:p>
    <w:p w14:paraId="0F3F2EAD" w14:textId="77777777" w:rsidR="007B66C1" w:rsidRPr="00475D47" w:rsidRDefault="007B66C1" w:rsidP="007B66C1">
      <w:pPr>
        <w:pStyle w:val="Heading2"/>
        <w:spacing w:before="0"/>
      </w:pPr>
      <w:r w:rsidRPr="00475D47">
        <w:lastRenderedPageBreak/>
        <w:t>Report of the Investment Adviser (continued)</w:t>
      </w:r>
    </w:p>
    <w:p w14:paraId="05EE69EC" w14:textId="77777777" w:rsidR="007B66C1" w:rsidRPr="00904E51" w:rsidRDefault="007B66C1" w:rsidP="007B66C1">
      <w:pPr>
        <w:rPr>
          <w:rFonts w:ascii="Georgia" w:hAnsi="Georgia" w:cs="Calibri"/>
          <w:b/>
          <w:color w:val="404040" w:themeColor="text1" w:themeTint="BF"/>
          <w:sz w:val="20"/>
          <w:szCs w:val="20"/>
          <w:highlight w:val="yellow"/>
        </w:rPr>
      </w:pPr>
    </w:p>
    <w:p w14:paraId="26622E02" w14:textId="77777777" w:rsidR="007B66C1" w:rsidRPr="00827DA1" w:rsidRDefault="007B66C1" w:rsidP="007B66C1">
      <w:pPr>
        <w:rPr>
          <w:rFonts w:ascii="Georgia" w:hAnsi="Georgia" w:cs="Calibri"/>
          <w:b/>
          <w:color w:val="404040" w:themeColor="text1" w:themeTint="BF"/>
          <w:sz w:val="18"/>
        </w:rPr>
      </w:pPr>
      <w:r w:rsidRPr="00827DA1">
        <w:rPr>
          <w:rFonts w:ascii="Georgia" w:hAnsi="Georgia" w:cs="Calibri"/>
          <w:b/>
          <w:color w:val="404040" w:themeColor="text1" w:themeTint="BF"/>
          <w:sz w:val="20"/>
        </w:rPr>
        <w:t>3. Analysis of underlying earnings</w:t>
      </w:r>
    </w:p>
    <w:p w14:paraId="1F8BC574" w14:textId="77777777" w:rsidR="007B66C1" w:rsidRPr="00827DA1" w:rsidRDefault="007B66C1" w:rsidP="007B66C1">
      <w:pPr>
        <w:pStyle w:val="ListParagraph"/>
        <w:ind w:left="454"/>
        <w:rPr>
          <w:rFonts w:ascii="Georgia" w:hAnsi="Georgia" w:cs="Calibri"/>
          <w:color w:val="404040" w:themeColor="text1" w:themeTint="BF"/>
          <w:sz w:val="18"/>
        </w:rPr>
      </w:pPr>
    </w:p>
    <w:p w14:paraId="5022B03E" w14:textId="77777777" w:rsidR="007B66C1" w:rsidRPr="00827DA1" w:rsidRDefault="007B66C1" w:rsidP="007B66C1">
      <w:pPr>
        <w:pStyle w:val="ListParagraph"/>
        <w:ind w:left="0"/>
        <w:jc w:val="both"/>
        <w:rPr>
          <w:rFonts w:ascii="Georgia" w:hAnsi="Georgia" w:cs="Calibri"/>
          <w:color w:val="404040" w:themeColor="text1" w:themeTint="BF"/>
          <w:sz w:val="20"/>
          <w:szCs w:val="20"/>
        </w:rPr>
      </w:pPr>
      <w:r w:rsidRPr="00827DA1">
        <w:rPr>
          <w:rFonts w:ascii="Georgia" w:hAnsi="Georgia" w:cs="Calibri"/>
          <w:color w:val="404040" w:themeColor="text1" w:themeTint="BF"/>
          <w:sz w:val="20"/>
          <w:szCs w:val="20"/>
        </w:rPr>
        <w:t>The total generation and revenue earned in 2019/</w:t>
      </w:r>
      <w:r>
        <w:rPr>
          <w:rFonts w:ascii="Georgia" w:hAnsi="Georgia" w:cs="Calibri"/>
          <w:color w:val="404040" w:themeColor="text1" w:themeTint="BF"/>
          <w:sz w:val="20"/>
          <w:szCs w:val="20"/>
        </w:rPr>
        <w:t>20</w:t>
      </w:r>
      <w:r w:rsidRPr="00827DA1">
        <w:rPr>
          <w:rFonts w:ascii="Georgia" w:hAnsi="Georgia" w:cs="Calibri"/>
          <w:color w:val="404040" w:themeColor="text1" w:themeTint="BF"/>
          <w:sz w:val="20"/>
          <w:szCs w:val="20"/>
        </w:rPr>
        <w:t xml:space="preserve"> by the Company’s portfolio, split by subsidy regime, is outlined below.</w:t>
      </w:r>
    </w:p>
    <w:p w14:paraId="5DD02C73" w14:textId="77777777" w:rsidR="007B66C1" w:rsidRPr="00904E51" w:rsidRDefault="007B66C1" w:rsidP="007B66C1">
      <w:pPr>
        <w:jc w:val="both"/>
        <w:rPr>
          <w:rFonts w:ascii="Georgia" w:hAnsi="Georgia" w:cs="Calibri"/>
          <w:sz w:val="20"/>
          <w:szCs w:val="20"/>
          <w:highlight w:val="yellow"/>
        </w:rPr>
      </w:pPr>
    </w:p>
    <w:tbl>
      <w:tblPr>
        <w:tblStyle w:val="TableGrid4"/>
        <w:tblW w:w="0" w:type="auto"/>
        <w:tblInd w:w="108" w:type="dxa"/>
        <w:tblLook w:val="04A0" w:firstRow="1" w:lastRow="0" w:firstColumn="1" w:lastColumn="0" w:noHBand="0" w:noVBand="1"/>
      </w:tblPr>
      <w:tblGrid>
        <w:gridCol w:w="1633"/>
        <w:gridCol w:w="1905"/>
        <w:gridCol w:w="1905"/>
        <w:gridCol w:w="2419"/>
      </w:tblGrid>
      <w:tr w:rsidR="007B66C1" w:rsidRPr="00904E51" w14:paraId="69E68D48" w14:textId="77777777" w:rsidTr="00475D47">
        <w:trPr>
          <w:trHeight w:val="624"/>
        </w:trPr>
        <w:tc>
          <w:tcPr>
            <w:tcW w:w="0" w:type="auto"/>
            <w:vAlign w:val="center"/>
            <w:hideMark/>
          </w:tcPr>
          <w:p w14:paraId="16462BEB"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s="Calibri"/>
                <w:color w:val="404040"/>
                <w:sz w:val="20"/>
                <w:szCs w:val="20"/>
                <w:lang w:eastAsia="en-GB"/>
              </w:rPr>
              <w:t>Subsidy Regime</w:t>
            </w:r>
          </w:p>
        </w:tc>
        <w:tc>
          <w:tcPr>
            <w:tcW w:w="0" w:type="auto"/>
            <w:vAlign w:val="center"/>
            <w:hideMark/>
          </w:tcPr>
          <w:p w14:paraId="1D0F9EAE"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Generation (MWh)</w:t>
            </w:r>
          </w:p>
        </w:tc>
        <w:tc>
          <w:tcPr>
            <w:tcW w:w="0" w:type="auto"/>
            <w:vAlign w:val="center"/>
            <w:hideMark/>
          </w:tcPr>
          <w:p w14:paraId="7B47378C"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PPA Revenue (£m)</w:t>
            </w:r>
          </w:p>
        </w:tc>
        <w:tc>
          <w:tcPr>
            <w:tcW w:w="0" w:type="auto"/>
            <w:vAlign w:val="center"/>
            <w:hideMark/>
          </w:tcPr>
          <w:p w14:paraId="762AFADB"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Regulated Revenue (£m)</w:t>
            </w:r>
          </w:p>
        </w:tc>
      </w:tr>
      <w:tr w:rsidR="007B66C1" w:rsidRPr="00904E51" w14:paraId="487933F8" w14:textId="77777777" w:rsidTr="00475D47">
        <w:trPr>
          <w:trHeight w:val="294"/>
        </w:trPr>
        <w:tc>
          <w:tcPr>
            <w:tcW w:w="0" w:type="auto"/>
            <w:noWrap/>
            <w:vAlign w:val="center"/>
            <w:hideMark/>
          </w:tcPr>
          <w:p w14:paraId="4CC6E862" w14:textId="77777777" w:rsidR="007B66C1" w:rsidRPr="000F6070" w:rsidRDefault="007B66C1" w:rsidP="006F0858">
            <w:pPr>
              <w:jc w:val="center"/>
              <w:rPr>
                <w:rFonts w:ascii="Georgia" w:hAnsi="Georgia" w:cs="Calibri"/>
                <w:color w:val="404040"/>
                <w:sz w:val="20"/>
                <w:szCs w:val="20"/>
                <w:lang w:eastAsia="en-GB"/>
              </w:rPr>
            </w:pPr>
            <w:proofErr w:type="spellStart"/>
            <w:r w:rsidRPr="000F6070">
              <w:rPr>
                <w:rFonts w:ascii="Georgia" w:hAnsi="Georgia"/>
                <w:color w:val="404040"/>
                <w:sz w:val="20"/>
                <w:szCs w:val="20"/>
                <w:lang w:eastAsia="en-GB"/>
              </w:rPr>
              <w:t>FiT</w:t>
            </w:r>
            <w:proofErr w:type="spellEnd"/>
          </w:p>
        </w:tc>
        <w:tc>
          <w:tcPr>
            <w:tcW w:w="0" w:type="auto"/>
            <w:noWrap/>
            <w:vAlign w:val="center"/>
          </w:tcPr>
          <w:p w14:paraId="05CDE0A8"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17,005</w:t>
            </w:r>
          </w:p>
        </w:tc>
        <w:tc>
          <w:tcPr>
            <w:tcW w:w="0" w:type="auto"/>
            <w:noWrap/>
            <w:vAlign w:val="center"/>
          </w:tcPr>
          <w:p w14:paraId="46303378"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0.7</w:t>
            </w:r>
          </w:p>
        </w:tc>
        <w:tc>
          <w:tcPr>
            <w:tcW w:w="0" w:type="auto"/>
            <w:noWrap/>
            <w:vAlign w:val="center"/>
          </w:tcPr>
          <w:p w14:paraId="42336367"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4.8</w:t>
            </w:r>
          </w:p>
        </w:tc>
      </w:tr>
      <w:tr w:rsidR="007B66C1" w:rsidRPr="00904E51" w14:paraId="7C6C7756" w14:textId="77777777" w:rsidTr="00475D47">
        <w:trPr>
          <w:trHeight w:val="294"/>
        </w:trPr>
        <w:tc>
          <w:tcPr>
            <w:tcW w:w="0" w:type="auto"/>
            <w:noWrap/>
            <w:vAlign w:val="center"/>
            <w:hideMark/>
          </w:tcPr>
          <w:p w14:paraId="6CCB8ADB"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olor w:val="404040"/>
                <w:sz w:val="20"/>
                <w:szCs w:val="20"/>
                <w:lang w:eastAsia="en-GB"/>
              </w:rPr>
              <w:t>2.0 ROC</w:t>
            </w:r>
          </w:p>
        </w:tc>
        <w:tc>
          <w:tcPr>
            <w:tcW w:w="0" w:type="auto"/>
            <w:noWrap/>
            <w:vAlign w:val="center"/>
          </w:tcPr>
          <w:p w14:paraId="579AE4A0"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9,490</w:t>
            </w:r>
          </w:p>
        </w:tc>
        <w:tc>
          <w:tcPr>
            <w:tcW w:w="0" w:type="auto"/>
            <w:noWrap/>
            <w:vAlign w:val="center"/>
          </w:tcPr>
          <w:p w14:paraId="6C41ABB5"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0.6</w:t>
            </w:r>
          </w:p>
        </w:tc>
        <w:tc>
          <w:tcPr>
            <w:tcW w:w="0" w:type="auto"/>
            <w:noWrap/>
            <w:vAlign w:val="center"/>
          </w:tcPr>
          <w:p w14:paraId="2E6539F0"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1.0</w:t>
            </w:r>
          </w:p>
        </w:tc>
      </w:tr>
      <w:tr w:rsidR="007B66C1" w:rsidRPr="00904E51" w14:paraId="3850943B" w14:textId="77777777" w:rsidTr="00475D47">
        <w:trPr>
          <w:trHeight w:val="294"/>
        </w:trPr>
        <w:tc>
          <w:tcPr>
            <w:tcW w:w="0" w:type="auto"/>
            <w:noWrap/>
            <w:vAlign w:val="center"/>
            <w:hideMark/>
          </w:tcPr>
          <w:p w14:paraId="682B2590"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olor w:val="404040"/>
                <w:sz w:val="20"/>
                <w:szCs w:val="20"/>
                <w:lang w:eastAsia="en-GB"/>
              </w:rPr>
              <w:t>1.6 ROC</w:t>
            </w:r>
          </w:p>
        </w:tc>
        <w:tc>
          <w:tcPr>
            <w:tcW w:w="0" w:type="auto"/>
            <w:noWrap/>
            <w:vAlign w:val="center"/>
          </w:tcPr>
          <w:p w14:paraId="5A4CE0F3"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92,475</w:t>
            </w:r>
          </w:p>
        </w:tc>
        <w:tc>
          <w:tcPr>
            <w:tcW w:w="0" w:type="auto"/>
            <w:noWrap/>
            <w:vAlign w:val="center"/>
          </w:tcPr>
          <w:p w14:paraId="525EA9BC"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5.1</w:t>
            </w:r>
          </w:p>
        </w:tc>
        <w:tc>
          <w:tcPr>
            <w:tcW w:w="0" w:type="auto"/>
            <w:noWrap/>
            <w:vAlign w:val="center"/>
          </w:tcPr>
          <w:p w14:paraId="14A27AE0"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7.8</w:t>
            </w:r>
          </w:p>
        </w:tc>
      </w:tr>
      <w:tr w:rsidR="007B66C1" w:rsidRPr="00904E51" w14:paraId="2AF08F1A" w14:textId="77777777" w:rsidTr="00475D47">
        <w:trPr>
          <w:trHeight w:val="294"/>
        </w:trPr>
        <w:tc>
          <w:tcPr>
            <w:tcW w:w="0" w:type="auto"/>
            <w:noWrap/>
            <w:vAlign w:val="center"/>
            <w:hideMark/>
          </w:tcPr>
          <w:p w14:paraId="06535F66"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olor w:val="404040"/>
                <w:sz w:val="20"/>
                <w:szCs w:val="20"/>
                <w:lang w:eastAsia="en-GB"/>
              </w:rPr>
              <w:t>1.4 ROC</w:t>
            </w:r>
          </w:p>
        </w:tc>
        <w:tc>
          <w:tcPr>
            <w:tcW w:w="0" w:type="auto"/>
            <w:noWrap/>
            <w:vAlign w:val="center"/>
          </w:tcPr>
          <w:p w14:paraId="477F75DD"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255,869</w:t>
            </w:r>
          </w:p>
        </w:tc>
        <w:tc>
          <w:tcPr>
            <w:tcW w:w="0" w:type="auto"/>
            <w:noWrap/>
            <w:vAlign w:val="center"/>
          </w:tcPr>
          <w:p w14:paraId="7FD986C2"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12.8</w:t>
            </w:r>
          </w:p>
        </w:tc>
        <w:tc>
          <w:tcPr>
            <w:tcW w:w="0" w:type="auto"/>
            <w:noWrap/>
            <w:vAlign w:val="center"/>
          </w:tcPr>
          <w:p w14:paraId="5713BAC2" w14:textId="682F2F04"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18.</w:t>
            </w:r>
            <w:r w:rsidR="00B043CD">
              <w:rPr>
                <w:rFonts w:ascii="Georgia" w:hAnsi="Georgia" w:cs="Calibri"/>
                <w:color w:val="404040"/>
                <w:sz w:val="20"/>
                <w:szCs w:val="20"/>
                <w:lang w:eastAsia="en-GB"/>
              </w:rPr>
              <w:t>7</w:t>
            </w:r>
          </w:p>
        </w:tc>
      </w:tr>
      <w:tr w:rsidR="007B66C1" w:rsidRPr="00904E51" w14:paraId="004CED0A" w14:textId="77777777" w:rsidTr="00475D47">
        <w:trPr>
          <w:trHeight w:val="294"/>
        </w:trPr>
        <w:tc>
          <w:tcPr>
            <w:tcW w:w="0" w:type="auto"/>
            <w:noWrap/>
            <w:vAlign w:val="center"/>
            <w:hideMark/>
          </w:tcPr>
          <w:p w14:paraId="69AE9E20"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olor w:val="404040"/>
                <w:sz w:val="20"/>
                <w:szCs w:val="20"/>
                <w:lang w:eastAsia="en-GB"/>
              </w:rPr>
              <w:t>1.3 ROC</w:t>
            </w:r>
          </w:p>
        </w:tc>
        <w:tc>
          <w:tcPr>
            <w:tcW w:w="0" w:type="auto"/>
            <w:noWrap/>
            <w:vAlign w:val="center"/>
          </w:tcPr>
          <w:p w14:paraId="6AF52EFA"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53,847</w:t>
            </w:r>
          </w:p>
        </w:tc>
        <w:tc>
          <w:tcPr>
            <w:tcW w:w="0" w:type="auto"/>
            <w:noWrap/>
            <w:vAlign w:val="center"/>
          </w:tcPr>
          <w:p w14:paraId="5B18289A" w14:textId="77777777"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2.8</w:t>
            </w:r>
          </w:p>
        </w:tc>
        <w:tc>
          <w:tcPr>
            <w:tcW w:w="0" w:type="auto"/>
            <w:noWrap/>
            <w:vAlign w:val="center"/>
          </w:tcPr>
          <w:p w14:paraId="48DA787B" w14:textId="752B9161" w:rsidR="007B66C1" w:rsidRPr="000F6070" w:rsidRDefault="007B66C1" w:rsidP="006F0858">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3.</w:t>
            </w:r>
            <w:r w:rsidR="00B043CD">
              <w:rPr>
                <w:rFonts w:ascii="Georgia" w:hAnsi="Georgia" w:cs="Calibri"/>
                <w:color w:val="404040"/>
                <w:sz w:val="20"/>
                <w:szCs w:val="20"/>
                <w:lang w:eastAsia="en-GB"/>
              </w:rPr>
              <w:t>7</w:t>
            </w:r>
          </w:p>
        </w:tc>
      </w:tr>
      <w:tr w:rsidR="007B66C1" w:rsidRPr="00904E51" w14:paraId="2A034972" w14:textId="77777777" w:rsidTr="00475D47">
        <w:trPr>
          <w:trHeight w:val="294"/>
        </w:trPr>
        <w:tc>
          <w:tcPr>
            <w:tcW w:w="0" w:type="auto"/>
            <w:noWrap/>
            <w:vAlign w:val="center"/>
          </w:tcPr>
          <w:p w14:paraId="222E50C2"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olor w:val="404040"/>
                <w:sz w:val="20"/>
                <w:szCs w:val="20"/>
                <w:lang w:eastAsia="en-GB"/>
              </w:rPr>
              <w:t>1.2 ROC</w:t>
            </w:r>
          </w:p>
        </w:tc>
        <w:tc>
          <w:tcPr>
            <w:tcW w:w="0" w:type="auto"/>
            <w:noWrap/>
            <w:vAlign w:val="center"/>
          </w:tcPr>
          <w:p w14:paraId="65DCD7D3" w14:textId="77777777" w:rsidR="007B66C1" w:rsidRPr="000F6070" w:rsidRDefault="007B66C1" w:rsidP="006F0858">
            <w:pPr>
              <w:jc w:val="right"/>
              <w:rPr>
                <w:rFonts w:ascii="Georgia" w:hAnsi="Georgia"/>
                <w:color w:val="404040"/>
                <w:sz w:val="20"/>
                <w:szCs w:val="20"/>
                <w:lang w:eastAsia="en-GB"/>
              </w:rPr>
            </w:pPr>
            <w:r w:rsidRPr="000F6070">
              <w:rPr>
                <w:rFonts w:ascii="Georgia" w:hAnsi="Georgia"/>
                <w:color w:val="404040"/>
                <w:sz w:val="20"/>
                <w:szCs w:val="20"/>
                <w:lang w:eastAsia="en-GB"/>
              </w:rPr>
              <w:t>66,435</w:t>
            </w:r>
          </w:p>
        </w:tc>
        <w:tc>
          <w:tcPr>
            <w:tcW w:w="0" w:type="auto"/>
            <w:noWrap/>
            <w:vAlign w:val="center"/>
          </w:tcPr>
          <w:p w14:paraId="6450AE77" w14:textId="77777777" w:rsidR="007B66C1" w:rsidRPr="000F6070" w:rsidRDefault="007B66C1" w:rsidP="006F0858">
            <w:pPr>
              <w:jc w:val="right"/>
              <w:rPr>
                <w:rFonts w:ascii="Georgia" w:hAnsi="Georgia"/>
                <w:color w:val="404040"/>
                <w:sz w:val="20"/>
                <w:szCs w:val="20"/>
                <w:lang w:eastAsia="en-GB"/>
              </w:rPr>
            </w:pPr>
            <w:r w:rsidRPr="000F6070">
              <w:rPr>
                <w:rFonts w:ascii="Georgia" w:hAnsi="Georgia"/>
                <w:color w:val="404040"/>
                <w:sz w:val="20"/>
                <w:szCs w:val="20"/>
                <w:lang w:eastAsia="en-GB"/>
              </w:rPr>
              <w:t>3.7</w:t>
            </w:r>
          </w:p>
        </w:tc>
        <w:tc>
          <w:tcPr>
            <w:tcW w:w="0" w:type="auto"/>
            <w:noWrap/>
            <w:vAlign w:val="center"/>
          </w:tcPr>
          <w:p w14:paraId="0641EBE4" w14:textId="77777777" w:rsidR="007B66C1" w:rsidRPr="000F6070" w:rsidRDefault="007B66C1" w:rsidP="006F0858">
            <w:pPr>
              <w:jc w:val="right"/>
              <w:rPr>
                <w:rFonts w:ascii="Georgia" w:hAnsi="Georgia"/>
                <w:color w:val="404040"/>
                <w:sz w:val="20"/>
                <w:szCs w:val="20"/>
                <w:lang w:eastAsia="en-GB"/>
              </w:rPr>
            </w:pPr>
            <w:r w:rsidRPr="000F6070">
              <w:rPr>
                <w:rFonts w:ascii="Georgia" w:hAnsi="Georgia"/>
                <w:color w:val="404040"/>
                <w:sz w:val="20"/>
                <w:szCs w:val="20"/>
                <w:lang w:eastAsia="en-GB"/>
              </w:rPr>
              <w:t>4.2</w:t>
            </w:r>
          </w:p>
        </w:tc>
      </w:tr>
      <w:tr w:rsidR="007B66C1" w:rsidRPr="00904E51" w14:paraId="6D1B5522" w14:textId="77777777" w:rsidTr="00475D47">
        <w:trPr>
          <w:trHeight w:val="294"/>
        </w:trPr>
        <w:tc>
          <w:tcPr>
            <w:tcW w:w="0" w:type="auto"/>
            <w:noWrap/>
            <w:vAlign w:val="center"/>
            <w:hideMark/>
          </w:tcPr>
          <w:p w14:paraId="5B25560E" w14:textId="77777777" w:rsidR="007B66C1" w:rsidRPr="000F6070" w:rsidRDefault="007B66C1" w:rsidP="006F0858">
            <w:pPr>
              <w:jc w:val="center"/>
              <w:rPr>
                <w:rFonts w:ascii="Georgia" w:hAnsi="Georgia" w:cs="Calibri"/>
                <w:b/>
                <w:color w:val="404040"/>
                <w:sz w:val="20"/>
                <w:szCs w:val="20"/>
                <w:lang w:eastAsia="en-GB"/>
              </w:rPr>
            </w:pPr>
            <w:r w:rsidRPr="000F6070">
              <w:rPr>
                <w:rFonts w:ascii="Georgia" w:hAnsi="Georgia"/>
                <w:b/>
                <w:bCs/>
                <w:color w:val="404040"/>
                <w:sz w:val="20"/>
                <w:szCs w:val="20"/>
                <w:lang w:eastAsia="en-GB"/>
              </w:rPr>
              <w:t>Total</w:t>
            </w:r>
          </w:p>
        </w:tc>
        <w:tc>
          <w:tcPr>
            <w:tcW w:w="0" w:type="auto"/>
            <w:noWrap/>
            <w:vAlign w:val="center"/>
          </w:tcPr>
          <w:p w14:paraId="42634767" w14:textId="77777777" w:rsidR="007B66C1" w:rsidRPr="000F6070" w:rsidRDefault="007B66C1" w:rsidP="006F0858">
            <w:pPr>
              <w:jc w:val="right"/>
              <w:rPr>
                <w:rFonts w:ascii="Georgia" w:hAnsi="Georgia" w:cs="Calibri"/>
                <w:b/>
                <w:color w:val="404040"/>
                <w:sz w:val="20"/>
                <w:szCs w:val="20"/>
                <w:lang w:eastAsia="en-GB"/>
              </w:rPr>
            </w:pPr>
            <w:r w:rsidRPr="000F6070">
              <w:rPr>
                <w:rFonts w:ascii="Georgia" w:hAnsi="Georgia" w:cs="Calibri"/>
                <w:b/>
                <w:color w:val="404040"/>
                <w:sz w:val="20"/>
                <w:szCs w:val="20"/>
                <w:lang w:eastAsia="en-GB"/>
              </w:rPr>
              <w:t>495,122</w:t>
            </w:r>
          </w:p>
        </w:tc>
        <w:tc>
          <w:tcPr>
            <w:tcW w:w="0" w:type="auto"/>
            <w:shd w:val="clear" w:color="auto" w:fill="auto"/>
            <w:noWrap/>
            <w:vAlign w:val="center"/>
          </w:tcPr>
          <w:p w14:paraId="75B71EF8" w14:textId="77777777" w:rsidR="007B66C1" w:rsidRPr="000F6070" w:rsidRDefault="007B66C1" w:rsidP="006F0858">
            <w:pPr>
              <w:jc w:val="right"/>
              <w:rPr>
                <w:rFonts w:ascii="Georgia" w:hAnsi="Georgia" w:cs="Calibri"/>
                <w:b/>
                <w:color w:val="404040"/>
                <w:sz w:val="20"/>
                <w:szCs w:val="20"/>
                <w:lang w:eastAsia="en-GB"/>
              </w:rPr>
            </w:pPr>
            <w:r w:rsidRPr="000F6070">
              <w:rPr>
                <w:rFonts w:ascii="Georgia" w:hAnsi="Georgia" w:cs="Calibri"/>
                <w:b/>
                <w:color w:val="404040"/>
                <w:sz w:val="20"/>
                <w:szCs w:val="20"/>
                <w:lang w:eastAsia="en-GB"/>
              </w:rPr>
              <w:t>25.7</w:t>
            </w:r>
          </w:p>
        </w:tc>
        <w:tc>
          <w:tcPr>
            <w:tcW w:w="0" w:type="auto"/>
            <w:shd w:val="clear" w:color="auto" w:fill="auto"/>
            <w:noWrap/>
            <w:vAlign w:val="center"/>
          </w:tcPr>
          <w:p w14:paraId="0D2C0729" w14:textId="237529C8" w:rsidR="007B66C1" w:rsidRPr="000F6070" w:rsidRDefault="007B66C1" w:rsidP="006F0858">
            <w:pPr>
              <w:jc w:val="right"/>
              <w:rPr>
                <w:rFonts w:ascii="Georgia" w:hAnsi="Georgia" w:cs="Calibri"/>
                <w:b/>
                <w:color w:val="404040"/>
                <w:sz w:val="20"/>
                <w:szCs w:val="20"/>
                <w:lang w:eastAsia="en-GB"/>
              </w:rPr>
            </w:pPr>
            <w:r w:rsidRPr="000F6070">
              <w:rPr>
                <w:rFonts w:ascii="Georgia" w:hAnsi="Georgia" w:cs="Calibri"/>
                <w:b/>
                <w:color w:val="404040"/>
                <w:sz w:val="20"/>
                <w:szCs w:val="20"/>
                <w:lang w:eastAsia="en-GB"/>
              </w:rPr>
              <w:t>40.</w:t>
            </w:r>
            <w:r w:rsidR="00B043CD">
              <w:rPr>
                <w:rFonts w:ascii="Georgia" w:hAnsi="Georgia" w:cs="Calibri"/>
                <w:b/>
                <w:color w:val="404040"/>
                <w:sz w:val="20"/>
                <w:szCs w:val="20"/>
                <w:lang w:eastAsia="en-GB"/>
              </w:rPr>
              <w:t>2</w:t>
            </w:r>
          </w:p>
        </w:tc>
      </w:tr>
    </w:tbl>
    <w:p w14:paraId="4C9DDDC1" w14:textId="77777777" w:rsidR="007B66C1" w:rsidRPr="00904E51" w:rsidRDefault="007B66C1" w:rsidP="007B66C1">
      <w:pPr>
        <w:jc w:val="both"/>
        <w:rPr>
          <w:rFonts w:ascii="Georgia" w:hAnsi="Georgia" w:cs="Calibri"/>
          <w:sz w:val="20"/>
          <w:szCs w:val="20"/>
          <w:highlight w:val="yellow"/>
        </w:rPr>
      </w:pPr>
    </w:p>
    <w:p w14:paraId="5F511E3C" w14:textId="77777777" w:rsidR="007B66C1" w:rsidRPr="00AA0239" w:rsidRDefault="007B66C1" w:rsidP="007B66C1">
      <w:pPr>
        <w:jc w:val="both"/>
        <w:rPr>
          <w:rFonts w:ascii="Georgia" w:hAnsi="Georgia" w:cs="Calibri"/>
          <w:color w:val="404040" w:themeColor="text1" w:themeTint="BF"/>
          <w:sz w:val="20"/>
          <w:szCs w:val="20"/>
        </w:rPr>
      </w:pPr>
      <w:r w:rsidRPr="00AA0239">
        <w:rPr>
          <w:rFonts w:ascii="Georgia" w:hAnsi="Georgia" w:cs="Calibri"/>
          <w:color w:val="404040" w:themeColor="text1" w:themeTint="BF"/>
          <w:sz w:val="20"/>
          <w:szCs w:val="20"/>
        </w:rPr>
        <w:t>The Company includes ROC recycle assumptions within its long term forecasts and applies a market based approach on recognition within any current financial period, including prudent estimates within its accounts where there is clear evidence that participants are attaching value to ROC recycle for the current accounting period.</w:t>
      </w:r>
    </w:p>
    <w:p w14:paraId="4601DDEE" w14:textId="77777777" w:rsidR="007B66C1" w:rsidRPr="00904E51" w:rsidRDefault="007B66C1" w:rsidP="007B66C1">
      <w:pPr>
        <w:jc w:val="both"/>
        <w:rPr>
          <w:rFonts w:ascii="Georgia" w:hAnsi="Georgia" w:cs="Calibri"/>
          <w:color w:val="404040" w:themeColor="text1" w:themeTint="BF"/>
          <w:sz w:val="20"/>
          <w:szCs w:val="20"/>
          <w:highlight w:val="yellow"/>
        </w:rPr>
      </w:pPr>
    </w:p>
    <w:p w14:paraId="460DF661" w14:textId="7087AE1E" w:rsidR="0099159B" w:rsidRDefault="00AD2A14" w:rsidP="00AD2A14">
      <w:pPr>
        <w:jc w:val="both"/>
        <w:rPr>
          <w:rFonts w:ascii="Georgia" w:hAnsi="Georgia" w:cs="Calibri"/>
          <w:color w:val="404040" w:themeColor="text1" w:themeTint="BF"/>
          <w:sz w:val="20"/>
          <w:szCs w:val="20"/>
        </w:rPr>
      </w:pPr>
      <w:r w:rsidRPr="00AD2A14">
        <w:rPr>
          <w:rFonts w:ascii="Georgia" w:hAnsi="Georgia" w:cs="Calibri"/>
          <w:color w:val="404040" w:themeColor="text1" w:themeTint="BF"/>
          <w:sz w:val="20"/>
          <w:szCs w:val="20"/>
        </w:rPr>
        <w:t xml:space="preserve">In October 2019, </w:t>
      </w:r>
      <w:proofErr w:type="spellStart"/>
      <w:r w:rsidRPr="00AD2A14">
        <w:rPr>
          <w:rFonts w:ascii="Georgia" w:hAnsi="Georgia" w:cs="Calibri"/>
          <w:color w:val="404040" w:themeColor="text1" w:themeTint="BF"/>
          <w:sz w:val="20"/>
          <w:szCs w:val="20"/>
        </w:rPr>
        <w:t>Ofgem</w:t>
      </w:r>
      <w:proofErr w:type="spellEnd"/>
      <w:r w:rsidRPr="00AD2A14">
        <w:rPr>
          <w:rFonts w:ascii="Georgia" w:hAnsi="Georgia" w:cs="Calibri"/>
          <w:color w:val="404040" w:themeColor="text1" w:themeTint="BF"/>
          <w:sz w:val="20"/>
          <w:szCs w:val="20"/>
        </w:rPr>
        <w:t xml:space="preserve"> announced that </w:t>
      </w:r>
      <w:r w:rsidR="00805B6B">
        <w:rPr>
          <w:rFonts w:ascii="Georgia" w:hAnsi="Georgia" w:cs="Calibri"/>
          <w:color w:val="404040" w:themeColor="text1" w:themeTint="BF"/>
          <w:sz w:val="20"/>
          <w:szCs w:val="20"/>
        </w:rPr>
        <w:t xml:space="preserve">the </w:t>
      </w:r>
      <w:r w:rsidRPr="00AD2A14">
        <w:rPr>
          <w:rFonts w:ascii="Georgia" w:hAnsi="Georgia" w:cs="Calibri"/>
          <w:color w:val="404040" w:themeColor="text1" w:themeTint="BF"/>
          <w:sz w:val="20"/>
          <w:szCs w:val="20"/>
        </w:rPr>
        <w:t>value for ROC recycle for the period April 2018 to</w:t>
      </w:r>
      <w:r>
        <w:rPr>
          <w:rFonts w:ascii="Georgia" w:hAnsi="Georgia" w:cs="Calibri"/>
          <w:color w:val="404040" w:themeColor="text1" w:themeTint="BF"/>
          <w:sz w:val="20"/>
          <w:szCs w:val="20"/>
        </w:rPr>
        <w:t xml:space="preserve"> </w:t>
      </w:r>
      <w:r w:rsidRPr="00AD2A14">
        <w:rPr>
          <w:rFonts w:ascii="Georgia" w:hAnsi="Georgia" w:cs="Calibri"/>
          <w:color w:val="404040" w:themeColor="text1" w:themeTint="BF"/>
          <w:sz w:val="20"/>
          <w:szCs w:val="20"/>
        </w:rPr>
        <w:t>March 2019 (CP17) was £6.80/MWh (equivalent to 13.9% of CP17 ROC buyout prices). This</w:t>
      </w:r>
      <w:r>
        <w:rPr>
          <w:rFonts w:ascii="Georgia" w:hAnsi="Georgia" w:cs="Calibri"/>
          <w:color w:val="404040" w:themeColor="text1" w:themeTint="BF"/>
          <w:sz w:val="20"/>
          <w:szCs w:val="20"/>
        </w:rPr>
        <w:t xml:space="preserve"> </w:t>
      </w:r>
      <w:r w:rsidRPr="00AD2A14">
        <w:rPr>
          <w:rFonts w:ascii="Georgia" w:hAnsi="Georgia" w:cs="Calibri"/>
          <w:color w:val="404040" w:themeColor="text1" w:themeTint="BF"/>
          <w:sz w:val="20"/>
          <w:szCs w:val="20"/>
        </w:rPr>
        <w:t>was in line with the ROC Recycle estimate the Company had recognised in its 30 June 2019</w:t>
      </w:r>
      <w:r w:rsidR="001F2D1F">
        <w:rPr>
          <w:rFonts w:ascii="Georgia" w:hAnsi="Georgia" w:cs="Calibri"/>
          <w:color w:val="404040" w:themeColor="text1" w:themeTint="BF"/>
          <w:sz w:val="20"/>
          <w:szCs w:val="20"/>
        </w:rPr>
        <w:t xml:space="preserve"> </w:t>
      </w:r>
      <w:r w:rsidR="001F2D1F" w:rsidRPr="00AD2A14">
        <w:rPr>
          <w:rFonts w:ascii="Georgia" w:hAnsi="Georgia" w:cs="Calibri"/>
          <w:color w:val="404040" w:themeColor="text1" w:themeTint="BF"/>
          <w:sz w:val="20"/>
          <w:szCs w:val="20"/>
        </w:rPr>
        <w:t>Financial Statements</w:t>
      </w:r>
      <w:r>
        <w:rPr>
          <w:rFonts w:ascii="Georgia" w:hAnsi="Georgia" w:cs="Calibri"/>
          <w:color w:val="404040" w:themeColor="text1" w:themeTint="BF"/>
          <w:sz w:val="20"/>
          <w:szCs w:val="20"/>
        </w:rPr>
        <w:t xml:space="preserve">. </w:t>
      </w:r>
    </w:p>
    <w:p w14:paraId="5D7157A3" w14:textId="77777777" w:rsidR="0099159B" w:rsidRDefault="0099159B" w:rsidP="00AD2A14">
      <w:pPr>
        <w:jc w:val="both"/>
        <w:rPr>
          <w:rFonts w:ascii="Georgia" w:hAnsi="Georgia" w:cs="Calibri"/>
          <w:color w:val="404040" w:themeColor="text1" w:themeTint="BF"/>
          <w:sz w:val="20"/>
          <w:szCs w:val="20"/>
        </w:rPr>
      </w:pPr>
    </w:p>
    <w:p w14:paraId="40F1FCD2" w14:textId="35CC00C7" w:rsidR="00AD2A14" w:rsidRDefault="001F2D1F" w:rsidP="00AD2A14">
      <w:pPr>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H</w:t>
      </w:r>
      <w:r w:rsidR="00AD2A14" w:rsidRPr="00AD2A14">
        <w:rPr>
          <w:rFonts w:ascii="Georgia" w:hAnsi="Georgia" w:cs="Calibri"/>
          <w:color w:val="404040" w:themeColor="text1" w:themeTint="BF"/>
          <w:sz w:val="20"/>
          <w:szCs w:val="20"/>
        </w:rPr>
        <w:t>owever</w:t>
      </w:r>
      <w:r w:rsidR="00805B6B">
        <w:rPr>
          <w:rFonts w:ascii="Georgia" w:hAnsi="Georgia" w:cs="Calibri"/>
          <w:color w:val="404040" w:themeColor="text1" w:themeTint="BF"/>
          <w:sz w:val="20"/>
          <w:szCs w:val="20"/>
        </w:rPr>
        <w:t>,</w:t>
      </w:r>
      <w:r w:rsidR="00AD2A14" w:rsidRPr="00AD2A14">
        <w:rPr>
          <w:rFonts w:ascii="Georgia" w:hAnsi="Georgia" w:cs="Calibri"/>
          <w:color w:val="404040" w:themeColor="text1" w:themeTint="BF"/>
          <w:sz w:val="20"/>
          <w:szCs w:val="20"/>
        </w:rPr>
        <w:t xml:space="preserve"> a further ‘late payment’ amount of £1.06/MWh was also</w:t>
      </w:r>
      <w:r w:rsidR="00AD2A14">
        <w:rPr>
          <w:rFonts w:ascii="Georgia" w:hAnsi="Georgia" w:cs="Calibri"/>
          <w:color w:val="404040" w:themeColor="text1" w:themeTint="BF"/>
          <w:sz w:val="20"/>
          <w:szCs w:val="20"/>
        </w:rPr>
        <w:t xml:space="preserve"> </w:t>
      </w:r>
      <w:r w:rsidR="00AD2A14" w:rsidRPr="00AD2A14">
        <w:rPr>
          <w:rFonts w:ascii="Georgia" w:hAnsi="Georgia" w:cs="Calibri"/>
          <w:color w:val="404040" w:themeColor="text1" w:themeTint="BF"/>
          <w:sz w:val="20"/>
          <w:szCs w:val="20"/>
        </w:rPr>
        <w:t xml:space="preserve">announced in December 2019, equating to a further £658k. </w:t>
      </w:r>
      <w:r w:rsidR="00563A3C">
        <w:rPr>
          <w:rFonts w:ascii="Georgia" w:hAnsi="Georgia" w:cs="Calibri"/>
          <w:color w:val="404040" w:themeColor="text1" w:themeTint="BF"/>
          <w:sz w:val="20"/>
          <w:szCs w:val="20"/>
        </w:rPr>
        <w:t>A</w:t>
      </w:r>
      <w:r w:rsidR="00CF6815">
        <w:rPr>
          <w:rFonts w:ascii="Georgia" w:hAnsi="Georgia" w:cs="Calibri"/>
          <w:color w:val="404040" w:themeColor="text1" w:themeTint="BF"/>
          <w:sz w:val="20"/>
          <w:szCs w:val="20"/>
        </w:rPr>
        <w:t>ccordingly</w:t>
      </w:r>
      <w:r w:rsidR="00F25860">
        <w:rPr>
          <w:rFonts w:ascii="Georgia" w:hAnsi="Georgia" w:cs="Calibri"/>
          <w:color w:val="404040" w:themeColor="text1" w:themeTint="BF"/>
          <w:sz w:val="20"/>
          <w:szCs w:val="20"/>
        </w:rPr>
        <w:t xml:space="preserve"> t</w:t>
      </w:r>
      <w:r w:rsidR="00AD2A14" w:rsidRPr="00AD2A14">
        <w:rPr>
          <w:rFonts w:ascii="Georgia" w:hAnsi="Georgia" w:cs="Calibri"/>
          <w:color w:val="404040" w:themeColor="text1" w:themeTint="BF"/>
          <w:sz w:val="20"/>
          <w:szCs w:val="20"/>
        </w:rPr>
        <w:t>his amount has been included</w:t>
      </w:r>
      <w:r w:rsidR="00AD2A14">
        <w:rPr>
          <w:rFonts w:ascii="Georgia" w:hAnsi="Georgia" w:cs="Calibri"/>
          <w:color w:val="404040" w:themeColor="text1" w:themeTint="BF"/>
          <w:sz w:val="20"/>
          <w:szCs w:val="20"/>
        </w:rPr>
        <w:t xml:space="preserve"> </w:t>
      </w:r>
      <w:r w:rsidR="00AD2A14" w:rsidRPr="00AD2A14">
        <w:rPr>
          <w:rFonts w:ascii="Georgia" w:hAnsi="Georgia" w:cs="Calibri"/>
          <w:color w:val="404040" w:themeColor="text1" w:themeTint="BF"/>
          <w:sz w:val="20"/>
          <w:szCs w:val="20"/>
        </w:rPr>
        <w:t>within</w:t>
      </w:r>
      <w:r w:rsidR="00CF6815">
        <w:rPr>
          <w:rFonts w:ascii="Georgia" w:hAnsi="Georgia" w:cs="Calibri"/>
          <w:color w:val="404040" w:themeColor="text1" w:themeTint="BF"/>
          <w:sz w:val="20"/>
          <w:szCs w:val="20"/>
        </w:rPr>
        <w:t xml:space="preserve"> </w:t>
      </w:r>
      <w:r w:rsidR="001F4129">
        <w:rPr>
          <w:rFonts w:ascii="Georgia" w:hAnsi="Georgia" w:cs="Calibri"/>
          <w:color w:val="404040" w:themeColor="text1" w:themeTint="BF"/>
          <w:sz w:val="20"/>
          <w:szCs w:val="20"/>
        </w:rPr>
        <w:t>‘O</w:t>
      </w:r>
      <w:r w:rsidR="00124682">
        <w:rPr>
          <w:rFonts w:ascii="Georgia" w:hAnsi="Georgia" w:cs="Calibri"/>
          <w:color w:val="404040" w:themeColor="text1" w:themeTint="BF"/>
          <w:sz w:val="20"/>
          <w:szCs w:val="20"/>
        </w:rPr>
        <w:t>t</w:t>
      </w:r>
      <w:r w:rsidR="001F4129">
        <w:rPr>
          <w:rFonts w:ascii="Georgia" w:hAnsi="Georgia" w:cs="Calibri"/>
          <w:color w:val="404040" w:themeColor="text1" w:themeTint="BF"/>
          <w:sz w:val="20"/>
          <w:szCs w:val="20"/>
        </w:rPr>
        <w:t xml:space="preserve">her Revenue’ </w:t>
      </w:r>
      <w:r w:rsidR="00CF6815">
        <w:rPr>
          <w:rFonts w:ascii="Georgia" w:hAnsi="Georgia" w:cs="Calibri"/>
          <w:color w:val="404040" w:themeColor="text1" w:themeTint="BF"/>
          <w:sz w:val="20"/>
          <w:szCs w:val="20"/>
        </w:rPr>
        <w:t>earnings for the period to 30 June 2020</w:t>
      </w:r>
      <w:r w:rsidR="00AD2A14" w:rsidRPr="00AD2A14">
        <w:rPr>
          <w:rFonts w:ascii="Georgia" w:hAnsi="Georgia" w:cs="Calibri"/>
          <w:color w:val="404040" w:themeColor="text1" w:themeTint="BF"/>
          <w:sz w:val="20"/>
          <w:szCs w:val="20"/>
        </w:rPr>
        <w:t>.</w:t>
      </w:r>
    </w:p>
    <w:p w14:paraId="6A5D0FBA" w14:textId="77777777" w:rsidR="007B66C1" w:rsidRPr="00904E51" w:rsidRDefault="007B66C1" w:rsidP="007B66C1">
      <w:pPr>
        <w:rPr>
          <w:highlight w:val="yellow"/>
        </w:rPr>
      </w:pPr>
    </w:p>
    <w:p w14:paraId="2F05BFDC" w14:textId="5CD8F93D" w:rsidR="00475CDA" w:rsidRPr="00475CDA" w:rsidRDefault="00475CDA" w:rsidP="00475CDA">
      <w:pPr>
        <w:jc w:val="both"/>
        <w:rPr>
          <w:rFonts w:ascii="Georgia" w:hAnsi="Georgia" w:cs="Calibri"/>
          <w:color w:val="404040" w:themeColor="text1" w:themeTint="BF"/>
          <w:sz w:val="20"/>
          <w:szCs w:val="20"/>
        </w:rPr>
      </w:pPr>
      <w:r w:rsidRPr="00475CDA">
        <w:rPr>
          <w:rFonts w:ascii="Georgia" w:hAnsi="Georgia" w:cs="Calibri"/>
          <w:color w:val="404040" w:themeColor="text1" w:themeTint="BF"/>
          <w:sz w:val="20"/>
          <w:szCs w:val="20"/>
        </w:rPr>
        <w:t xml:space="preserve">The table below demonstrates that the portfolio generated underlying earnings, pre debt amortisation, of £44.6m (12.03pps) and underlying earnings for distribution, post debt repayments of </w:t>
      </w:r>
      <w:r w:rsidR="00292283">
        <w:rPr>
          <w:rFonts w:ascii="Georgia" w:hAnsi="Georgia" w:cs="Calibri"/>
          <w:color w:val="404040" w:themeColor="text1" w:themeTint="BF"/>
          <w:sz w:val="20"/>
          <w:szCs w:val="20"/>
        </w:rPr>
        <w:t>£9.2m (2.50</w:t>
      </w:r>
      <w:r w:rsidRPr="00475CDA">
        <w:rPr>
          <w:rFonts w:ascii="Georgia" w:hAnsi="Georgia" w:cs="Calibri"/>
          <w:color w:val="404040" w:themeColor="text1" w:themeTint="BF"/>
          <w:sz w:val="20"/>
          <w:szCs w:val="20"/>
        </w:rPr>
        <w:t>pps)</w:t>
      </w:r>
      <w:r w:rsidR="00634E8C" w:rsidRPr="00475CDA">
        <w:rPr>
          <w:rFonts w:ascii="Georgia" w:hAnsi="Georgia" w:cs="Calibri"/>
          <w:color w:val="404040" w:themeColor="text1" w:themeTint="BF"/>
          <w:sz w:val="20"/>
          <w:szCs w:val="20"/>
        </w:rPr>
        <w:t>, of</w:t>
      </w:r>
      <w:r w:rsidRPr="00475CDA">
        <w:rPr>
          <w:rFonts w:ascii="Georgia" w:hAnsi="Georgia" w:cs="Calibri"/>
          <w:color w:val="404040" w:themeColor="text1" w:themeTint="BF"/>
          <w:sz w:val="20"/>
          <w:szCs w:val="20"/>
        </w:rPr>
        <w:t xml:space="preserve"> £35.3m (9.53pps).</w:t>
      </w:r>
    </w:p>
    <w:p w14:paraId="0A9E2B8C" w14:textId="77777777" w:rsidR="00475CDA" w:rsidRPr="00475CDA" w:rsidRDefault="00475CDA" w:rsidP="00475CDA">
      <w:pPr>
        <w:jc w:val="both"/>
        <w:rPr>
          <w:rFonts w:ascii="Georgia" w:hAnsi="Georgia" w:cs="Calibri"/>
          <w:color w:val="404040" w:themeColor="text1" w:themeTint="BF"/>
          <w:sz w:val="20"/>
          <w:szCs w:val="20"/>
        </w:rPr>
      </w:pPr>
    </w:p>
    <w:p w14:paraId="7D4F43CE" w14:textId="70F95E6B" w:rsidR="00DB26E3" w:rsidRPr="00475D47" w:rsidRDefault="00475CDA" w:rsidP="00475CDA">
      <w:pPr>
        <w:jc w:val="both"/>
        <w:rPr>
          <w:rFonts w:ascii="Georgia" w:hAnsi="Georgia" w:cs="Calibri"/>
          <w:color w:val="404040" w:themeColor="text1" w:themeTint="BF"/>
          <w:sz w:val="20"/>
          <w:szCs w:val="20"/>
        </w:rPr>
      </w:pPr>
      <w:r w:rsidRPr="00475CDA">
        <w:rPr>
          <w:rFonts w:ascii="Georgia" w:hAnsi="Georgia" w:cs="Calibri"/>
          <w:color w:val="404040" w:themeColor="text1" w:themeTint="BF"/>
          <w:sz w:val="20"/>
          <w:szCs w:val="20"/>
        </w:rPr>
        <w:t>As a result, after meeting the FY19/20 dividend target of 7.90pps, the Company has been able to increase its dividend reserves from 0.60pps to 2.23pps</w:t>
      </w:r>
    </w:p>
    <w:p w14:paraId="5F94A8EE" w14:textId="6521A001" w:rsidR="00DB26E3" w:rsidRDefault="00DB26E3" w:rsidP="007B66C1">
      <w:pPr>
        <w:jc w:val="both"/>
        <w:rPr>
          <w:rFonts w:ascii="Georgia" w:hAnsi="Georgia" w:cs="Calibri"/>
          <w:color w:val="404040" w:themeColor="text1" w:themeTint="BF"/>
          <w:sz w:val="20"/>
          <w:szCs w:val="20"/>
          <w:highlight w:val="yellow"/>
        </w:rPr>
      </w:pPr>
    </w:p>
    <w:p w14:paraId="560435A1" w14:textId="235121E7" w:rsidR="00DB26E3" w:rsidRDefault="00DB26E3" w:rsidP="007B66C1">
      <w:pPr>
        <w:jc w:val="both"/>
        <w:rPr>
          <w:rFonts w:ascii="Georgia" w:hAnsi="Georgia" w:cs="Calibri"/>
          <w:color w:val="404040" w:themeColor="text1" w:themeTint="BF"/>
          <w:sz w:val="20"/>
          <w:szCs w:val="20"/>
          <w:highlight w:val="yellow"/>
        </w:rPr>
      </w:pPr>
    </w:p>
    <w:p w14:paraId="7A8E6877" w14:textId="77777777" w:rsidR="00475CDA" w:rsidRDefault="00475CDA" w:rsidP="007B66C1">
      <w:pPr>
        <w:jc w:val="both"/>
        <w:rPr>
          <w:rFonts w:ascii="Georgia" w:hAnsi="Georgia" w:cs="Calibri"/>
          <w:color w:val="404040" w:themeColor="text1" w:themeTint="BF"/>
          <w:sz w:val="20"/>
          <w:szCs w:val="20"/>
          <w:highlight w:val="yellow"/>
        </w:rPr>
      </w:pPr>
    </w:p>
    <w:p w14:paraId="284E866F" w14:textId="678816AE" w:rsidR="00DB26E3" w:rsidRDefault="00DB26E3" w:rsidP="007B66C1">
      <w:pPr>
        <w:jc w:val="both"/>
        <w:rPr>
          <w:rFonts w:ascii="Georgia" w:hAnsi="Georgia" w:cs="Calibri"/>
          <w:color w:val="404040" w:themeColor="text1" w:themeTint="BF"/>
          <w:sz w:val="20"/>
          <w:szCs w:val="20"/>
          <w:highlight w:val="yellow"/>
        </w:rPr>
      </w:pPr>
    </w:p>
    <w:p w14:paraId="6ADB008D" w14:textId="6EB11E47" w:rsidR="00DB26E3" w:rsidRDefault="00DB26E3" w:rsidP="007B66C1">
      <w:pPr>
        <w:jc w:val="both"/>
        <w:rPr>
          <w:rFonts w:ascii="Georgia" w:hAnsi="Georgia" w:cs="Calibri"/>
          <w:color w:val="404040" w:themeColor="text1" w:themeTint="BF"/>
          <w:sz w:val="20"/>
          <w:szCs w:val="20"/>
          <w:highlight w:val="yellow"/>
        </w:rPr>
      </w:pPr>
    </w:p>
    <w:p w14:paraId="1BE369C7" w14:textId="7E5DC4FD" w:rsidR="00DB26E3" w:rsidRDefault="00DB26E3" w:rsidP="007B66C1">
      <w:pPr>
        <w:jc w:val="both"/>
        <w:rPr>
          <w:rFonts w:ascii="Georgia" w:hAnsi="Georgia" w:cs="Calibri"/>
          <w:color w:val="404040" w:themeColor="text1" w:themeTint="BF"/>
          <w:sz w:val="20"/>
          <w:szCs w:val="20"/>
          <w:highlight w:val="yellow"/>
        </w:rPr>
      </w:pPr>
    </w:p>
    <w:p w14:paraId="6E5B2BF9" w14:textId="3AB2D848" w:rsidR="00DB26E3" w:rsidRDefault="00DB26E3" w:rsidP="007B66C1">
      <w:pPr>
        <w:jc w:val="both"/>
        <w:rPr>
          <w:rFonts w:ascii="Georgia" w:hAnsi="Georgia" w:cs="Calibri"/>
          <w:color w:val="404040" w:themeColor="text1" w:themeTint="BF"/>
          <w:sz w:val="20"/>
          <w:szCs w:val="20"/>
          <w:highlight w:val="yellow"/>
        </w:rPr>
      </w:pPr>
    </w:p>
    <w:p w14:paraId="7A20207D" w14:textId="3D8B4F8D" w:rsidR="00DB26E3" w:rsidRDefault="00DB26E3" w:rsidP="007B66C1">
      <w:pPr>
        <w:jc w:val="both"/>
        <w:rPr>
          <w:rFonts w:ascii="Georgia" w:hAnsi="Georgia" w:cs="Calibri"/>
          <w:color w:val="404040" w:themeColor="text1" w:themeTint="BF"/>
          <w:sz w:val="20"/>
          <w:szCs w:val="20"/>
          <w:highlight w:val="yellow"/>
        </w:rPr>
      </w:pPr>
    </w:p>
    <w:p w14:paraId="24779CAE" w14:textId="1BC28B7E" w:rsidR="00DB26E3" w:rsidRDefault="00DB26E3" w:rsidP="007B66C1">
      <w:pPr>
        <w:jc w:val="both"/>
        <w:rPr>
          <w:rFonts w:ascii="Georgia" w:hAnsi="Georgia" w:cs="Calibri"/>
          <w:color w:val="404040" w:themeColor="text1" w:themeTint="BF"/>
          <w:sz w:val="20"/>
          <w:szCs w:val="20"/>
          <w:highlight w:val="yellow"/>
        </w:rPr>
      </w:pPr>
    </w:p>
    <w:p w14:paraId="116E10CE" w14:textId="468772DF" w:rsidR="00DB26E3" w:rsidRDefault="00DB26E3" w:rsidP="007B66C1">
      <w:pPr>
        <w:jc w:val="both"/>
        <w:rPr>
          <w:rFonts w:ascii="Georgia" w:hAnsi="Georgia" w:cs="Calibri"/>
          <w:color w:val="404040" w:themeColor="text1" w:themeTint="BF"/>
          <w:sz w:val="20"/>
          <w:szCs w:val="20"/>
          <w:highlight w:val="yellow"/>
        </w:rPr>
      </w:pPr>
    </w:p>
    <w:p w14:paraId="554EAC27" w14:textId="462F3786" w:rsidR="00DB26E3" w:rsidRDefault="00DB26E3" w:rsidP="007B66C1">
      <w:pPr>
        <w:jc w:val="both"/>
        <w:rPr>
          <w:rFonts w:ascii="Georgia" w:hAnsi="Georgia" w:cs="Calibri"/>
          <w:color w:val="404040" w:themeColor="text1" w:themeTint="BF"/>
          <w:sz w:val="20"/>
          <w:szCs w:val="20"/>
          <w:highlight w:val="yellow"/>
        </w:rPr>
      </w:pPr>
    </w:p>
    <w:p w14:paraId="1C71E3FA" w14:textId="5843AE8F" w:rsidR="00DB26E3" w:rsidRDefault="00DB26E3" w:rsidP="007B66C1">
      <w:pPr>
        <w:jc w:val="both"/>
        <w:rPr>
          <w:rFonts w:ascii="Georgia" w:hAnsi="Georgia" w:cs="Calibri"/>
          <w:color w:val="404040" w:themeColor="text1" w:themeTint="BF"/>
          <w:sz w:val="20"/>
          <w:szCs w:val="20"/>
          <w:highlight w:val="yellow"/>
        </w:rPr>
      </w:pPr>
    </w:p>
    <w:p w14:paraId="378C7B64" w14:textId="23668432" w:rsidR="00DB26E3" w:rsidRDefault="00DB26E3" w:rsidP="007B66C1">
      <w:pPr>
        <w:jc w:val="both"/>
        <w:rPr>
          <w:rFonts w:ascii="Georgia" w:hAnsi="Georgia" w:cs="Calibri"/>
          <w:color w:val="404040" w:themeColor="text1" w:themeTint="BF"/>
          <w:sz w:val="20"/>
          <w:szCs w:val="20"/>
          <w:highlight w:val="yellow"/>
        </w:rPr>
      </w:pPr>
    </w:p>
    <w:p w14:paraId="2EEA35FA" w14:textId="1338C6DF" w:rsidR="00DB26E3" w:rsidRDefault="00DB26E3" w:rsidP="007B66C1">
      <w:pPr>
        <w:jc w:val="both"/>
        <w:rPr>
          <w:rFonts w:ascii="Georgia" w:hAnsi="Georgia" w:cs="Calibri"/>
          <w:color w:val="404040" w:themeColor="text1" w:themeTint="BF"/>
          <w:sz w:val="20"/>
          <w:szCs w:val="20"/>
          <w:highlight w:val="yellow"/>
        </w:rPr>
      </w:pPr>
    </w:p>
    <w:p w14:paraId="04322764" w14:textId="77777777" w:rsidR="003951EF" w:rsidRDefault="003951EF" w:rsidP="007B66C1">
      <w:pPr>
        <w:jc w:val="both"/>
        <w:rPr>
          <w:rFonts w:ascii="Georgia" w:hAnsi="Georgia" w:cs="Calibri"/>
          <w:color w:val="404040" w:themeColor="text1" w:themeTint="BF"/>
          <w:sz w:val="20"/>
          <w:szCs w:val="20"/>
          <w:highlight w:val="yellow"/>
        </w:rPr>
      </w:pPr>
    </w:p>
    <w:p w14:paraId="3AC85ACE" w14:textId="33506402" w:rsidR="00DB26E3" w:rsidRDefault="00DB26E3" w:rsidP="007B66C1">
      <w:pPr>
        <w:jc w:val="both"/>
        <w:rPr>
          <w:rFonts w:ascii="Georgia" w:hAnsi="Georgia" w:cs="Calibri"/>
          <w:color w:val="404040" w:themeColor="text1" w:themeTint="BF"/>
          <w:sz w:val="20"/>
          <w:szCs w:val="20"/>
          <w:highlight w:val="yellow"/>
        </w:rPr>
      </w:pPr>
    </w:p>
    <w:p w14:paraId="2E196C08" w14:textId="20523770" w:rsidR="00DB26E3" w:rsidRDefault="00DB26E3" w:rsidP="007B66C1">
      <w:pPr>
        <w:jc w:val="both"/>
        <w:rPr>
          <w:rFonts w:ascii="Georgia" w:hAnsi="Georgia" w:cs="Calibri"/>
          <w:color w:val="404040" w:themeColor="text1" w:themeTint="BF"/>
          <w:sz w:val="20"/>
          <w:szCs w:val="20"/>
          <w:highlight w:val="yellow"/>
        </w:rPr>
      </w:pPr>
    </w:p>
    <w:p w14:paraId="0D2596F0" w14:textId="761C2118" w:rsidR="00DB26E3" w:rsidRDefault="00DB26E3" w:rsidP="007B66C1">
      <w:pPr>
        <w:jc w:val="both"/>
        <w:rPr>
          <w:rFonts w:ascii="Georgia" w:hAnsi="Georgia" w:cs="Calibri"/>
          <w:color w:val="404040" w:themeColor="text1" w:themeTint="BF"/>
          <w:sz w:val="20"/>
          <w:szCs w:val="20"/>
          <w:highlight w:val="yellow"/>
        </w:rPr>
      </w:pPr>
    </w:p>
    <w:p w14:paraId="03043579" w14:textId="77777777" w:rsidR="00DB26E3" w:rsidRPr="00BF6B45" w:rsidRDefault="00DB26E3" w:rsidP="00DB26E3">
      <w:pPr>
        <w:pStyle w:val="Heading2"/>
        <w:spacing w:before="0"/>
      </w:pPr>
      <w:r w:rsidRPr="00BF6B45">
        <w:lastRenderedPageBreak/>
        <w:t>Report of the Investment Adviser (continued)</w:t>
      </w:r>
    </w:p>
    <w:p w14:paraId="53841250" w14:textId="77777777" w:rsidR="00DB26E3" w:rsidRPr="00BF6B45" w:rsidRDefault="00DB26E3" w:rsidP="00DB26E3">
      <w:pPr>
        <w:rPr>
          <w:rFonts w:ascii="Georgia" w:hAnsi="Georgia" w:cs="Calibri"/>
          <w:b/>
          <w:color w:val="404040" w:themeColor="text1" w:themeTint="BF"/>
          <w:sz w:val="20"/>
          <w:szCs w:val="20"/>
        </w:rPr>
      </w:pPr>
    </w:p>
    <w:p w14:paraId="0CBF591D" w14:textId="77777777" w:rsidR="00DB26E3" w:rsidRPr="00BF6B45" w:rsidRDefault="00DB26E3" w:rsidP="00DB26E3">
      <w:pPr>
        <w:rPr>
          <w:rFonts w:ascii="Georgia" w:hAnsi="Georgia" w:cs="Calibri"/>
          <w:b/>
          <w:color w:val="404040" w:themeColor="text1" w:themeTint="BF"/>
          <w:sz w:val="18"/>
        </w:rPr>
      </w:pPr>
      <w:r w:rsidRPr="00BF6B45">
        <w:rPr>
          <w:rFonts w:ascii="Georgia" w:hAnsi="Georgia" w:cs="Calibri"/>
          <w:b/>
          <w:color w:val="404040" w:themeColor="text1" w:themeTint="BF"/>
          <w:sz w:val="20"/>
        </w:rPr>
        <w:t>3. Analysis of underlying earnings (continued)</w:t>
      </w:r>
    </w:p>
    <w:p w14:paraId="23CA740B" w14:textId="77777777" w:rsidR="00DB26E3" w:rsidRPr="00BF6B45" w:rsidRDefault="00DB26E3" w:rsidP="00DB26E3">
      <w:pPr>
        <w:contextualSpacing/>
        <w:jc w:val="both"/>
        <w:rPr>
          <w:rFonts w:ascii="Georgia" w:hAnsi="Georgia"/>
          <w:b/>
          <w:color w:val="404040" w:themeColor="text1" w:themeTint="BF"/>
          <w:sz w:val="20"/>
          <w:szCs w:val="20"/>
        </w:rPr>
      </w:pPr>
    </w:p>
    <w:p w14:paraId="28D2A0EA" w14:textId="77777777" w:rsidR="00DB26E3" w:rsidRPr="00BF6B45" w:rsidRDefault="00DB26E3" w:rsidP="00DB26E3">
      <w:pPr>
        <w:jc w:val="both"/>
        <w:rPr>
          <w:rFonts w:ascii="Georgia" w:hAnsi="Georgia" w:cs="Calibri"/>
          <w:i/>
          <w:color w:val="404040" w:themeColor="text1" w:themeTint="BF"/>
          <w:sz w:val="20"/>
          <w:szCs w:val="20"/>
        </w:rPr>
      </w:pPr>
      <w:r w:rsidRPr="00BF6B45">
        <w:rPr>
          <w:rFonts w:ascii="Georgia" w:hAnsi="Georgia" w:cs="Calibri"/>
          <w:i/>
          <w:color w:val="404040" w:themeColor="text1" w:themeTint="BF"/>
          <w:sz w:val="20"/>
          <w:szCs w:val="20"/>
        </w:rPr>
        <w:t>Underlying Portfolio Earnings (continued)</w:t>
      </w:r>
    </w:p>
    <w:p w14:paraId="0A7CDCB2" w14:textId="77777777" w:rsidR="007B66C1" w:rsidRPr="00904E51" w:rsidRDefault="007B66C1" w:rsidP="007B66C1">
      <w:pPr>
        <w:jc w:val="both"/>
        <w:rPr>
          <w:rFonts w:ascii="Georgia" w:hAnsi="Georgia" w:cs="Calibri"/>
          <w:i/>
          <w:color w:val="404040" w:themeColor="text1" w:themeTint="BF"/>
          <w:sz w:val="20"/>
          <w:szCs w:val="20"/>
          <w:highlight w:val="yellow"/>
        </w:rPr>
      </w:pPr>
    </w:p>
    <w:tbl>
      <w:tblPr>
        <w:tblStyle w:val="TableGrid5"/>
        <w:tblW w:w="9248" w:type="dxa"/>
        <w:jc w:val="center"/>
        <w:tblLayout w:type="fixed"/>
        <w:tblLook w:val="04A0" w:firstRow="1" w:lastRow="0" w:firstColumn="1" w:lastColumn="0" w:noHBand="0" w:noVBand="1"/>
      </w:tblPr>
      <w:tblGrid>
        <w:gridCol w:w="3119"/>
        <w:gridCol w:w="1532"/>
        <w:gridCol w:w="1532"/>
        <w:gridCol w:w="1532"/>
        <w:gridCol w:w="1533"/>
      </w:tblGrid>
      <w:tr w:rsidR="007B66C1" w:rsidRPr="00904E51" w14:paraId="0176B5F0" w14:textId="77777777" w:rsidTr="006F0858">
        <w:trPr>
          <w:trHeight w:val="300"/>
          <w:jc w:val="center"/>
        </w:trPr>
        <w:tc>
          <w:tcPr>
            <w:tcW w:w="3119" w:type="dxa"/>
            <w:noWrap/>
            <w:vAlign w:val="center"/>
            <w:hideMark/>
          </w:tcPr>
          <w:p w14:paraId="732B4671" w14:textId="77777777" w:rsidR="007B66C1" w:rsidRPr="00904E51" w:rsidRDefault="007B66C1" w:rsidP="006F0858">
            <w:pPr>
              <w:rPr>
                <w:rFonts w:ascii="Georgia" w:hAnsi="Georgia" w:cs="Calibri"/>
                <w:color w:val="404040"/>
                <w:sz w:val="20"/>
                <w:szCs w:val="20"/>
                <w:highlight w:val="yellow"/>
                <w:lang w:eastAsia="en-GB"/>
              </w:rPr>
            </w:pPr>
          </w:p>
        </w:tc>
        <w:tc>
          <w:tcPr>
            <w:tcW w:w="1532" w:type="dxa"/>
            <w:shd w:val="clear" w:color="auto" w:fill="auto"/>
          </w:tcPr>
          <w:p w14:paraId="5E3A5C94"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s="Calibri"/>
                <w:color w:val="404040"/>
                <w:sz w:val="20"/>
                <w:szCs w:val="20"/>
                <w:lang w:eastAsia="en-GB"/>
              </w:rPr>
              <w:t xml:space="preserve">Full year to </w:t>
            </w:r>
          </w:p>
          <w:p w14:paraId="7FFE7998"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s="Calibri"/>
                <w:color w:val="404040"/>
                <w:sz w:val="20"/>
                <w:szCs w:val="20"/>
                <w:lang w:eastAsia="en-GB"/>
              </w:rPr>
              <w:t xml:space="preserve">30 June 20 </w:t>
            </w:r>
          </w:p>
          <w:p w14:paraId="608BC8A2" w14:textId="77777777" w:rsidR="007B66C1" w:rsidRPr="000F6070" w:rsidRDefault="007B66C1" w:rsidP="006F0858">
            <w:pPr>
              <w:jc w:val="center"/>
              <w:rPr>
                <w:rFonts w:ascii="Georgia" w:hAnsi="Georgia" w:cs="Calibri"/>
                <w:color w:val="404040"/>
                <w:sz w:val="20"/>
                <w:szCs w:val="20"/>
                <w:lang w:eastAsia="en-GB"/>
              </w:rPr>
            </w:pPr>
            <w:r w:rsidRPr="000F6070">
              <w:rPr>
                <w:rFonts w:ascii="Georgia" w:hAnsi="Georgia" w:cs="Calibri"/>
                <w:color w:val="404040"/>
                <w:sz w:val="20"/>
                <w:szCs w:val="20"/>
                <w:lang w:eastAsia="en-GB"/>
              </w:rPr>
              <w:t xml:space="preserve"> (£m)</w:t>
            </w:r>
          </w:p>
        </w:tc>
        <w:tc>
          <w:tcPr>
            <w:tcW w:w="1532" w:type="dxa"/>
            <w:shd w:val="clear" w:color="auto" w:fill="auto"/>
            <w:noWrap/>
            <w:hideMark/>
          </w:tcPr>
          <w:p w14:paraId="6D9CD7F9"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Full year to </w:t>
            </w:r>
          </w:p>
          <w:p w14:paraId="35166597"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30 June 19 </w:t>
            </w:r>
          </w:p>
          <w:p w14:paraId="37442EB1"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 (£m)</w:t>
            </w:r>
          </w:p>
        </w:tc>
        <w:tc>
          <w:tcPr>
            <w:tcW w:w="1532" w:type="dxa"/>
          </w:tcPr>
          <w:p w14:paraId="4DC0182A"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Full year to </w:t>
            </w:r>
          </w:p>
          <w:p w14:paraId="5D6BD142"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30 June 18 </w:t>
            </w:r>
          </w:p>
          <w:p w14:paraId="0C47AE31"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 (£m)</w:t>
            </w:r>
          </w:p>
        </w:tc>
        <w:tc>
          <w:tcPr>
            <w:tcW w:w="1533" w:type="dxa"/>
            <w:vAlign w:val="center"/>
          </w:tcPr>
          <w:p w14:paraId="34F23FC7"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Full year to </w:t>
            </w:r>
          </w:p>
          <w:p w14:paraId="4C85950D"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30 June 17 </w:t>
            </w:r>
          </w:p>
          <w:p w14:paraId="3BB3F2CF" w14:textId="77777777" w:rsidR="007B66C1" w:rsidRPr="00A706DE" w:rsidRDefault="007B66C1" w:rsidP="006F0858">
            <w:pPr>
              <w:jc w:val="center"/>
              <w:rPr>
                <w:rFonts w:ascii="Georgia" w:hAnsi="Georgia" w:cs="Calibri"/>
                <w:color w:val="404040"/>
                <w:sz w:val="20"/>
                <w:szCs w:val="20"/>
                <w:lang w:eastAsia="en-GB"/>
              </w:rPr>
            </w:pPr>
            <w:r w:rsidRPr="00A706DE">
              <w:rPr>
                <w:rFonts w:ascii="Georgia" w:hAnsi="Georgia" w:cs="Calibri"/>
                <w:color w:val="404040"/>
                <w:sz w:val="20"/>
                <w:szCs w:val="20"/>
                <w:lang w:eastAsia="en-GB"/>
              </w:rPr>
              <w:t xml:space="preserve"> (£m)</w:t>
            </w:r>
          </w:p>
        </w:tc>
      </w:tr>
      <w:tr w:rsidR="00475CDA" w:rsidRPr="00904E51" w14:paraId="1CE751DC" w14:textId="77777777" w:rsidTr="006F0858">
        <w:trPr>
          <w:trHeight w:val="300"/>
          <w:jc w:val="center"/>
        </w:trPr>
        <w:tc>
          <w:tcPr>
            <w:tcW w:w="3119" w:type="dxa"/>
            <w:noWrap/>
            <w:vAlign w:val="center"/>
            <w:hideMark/>
          </w:tcPr>
          <w:p w14:paraId="422E5748" w14:textId="77777777" w:rsidR="00475CDA" w:rsidRPr="00A706DE" w:rsidRDefault="00475CDA" w:rsidP="00475CDA">
            <w:pPr>
              <w:rPr>
                <w:rFonts w:ascii="Georgia" w:hAnsi="Georgia" w:cs="Calibri"/>
                <w:color w:val="404040"/>
                <w:sz w:val="20"/>
                <w:szCs w:val="20"/>
                <w:lang w:eastAsia="en-GB"/>
              </w:rPr>
            </w:pPr>
            <w:r w:rsidRPr="00A706DE">
              <w:rPr>
                <w:rFonts w:ascii="Georgia" w:hAnsi="Georgia" w:cs="Calibri"/>
                <w:color w:val="404040"/>
                <w:sz w:val="20"/>
                <w:szCs w:val="20"/>
                <w:lang w:eastAsia="en-GB"/>
              </w:rPr>
              <w:t>Portfolio Revenue</w:t>
            </w:r>
          </w:p>
        </w:tc>
        <w:tc>
          <w:tcPr>
            <w:tcW w:w="1532" w:type="dxa"/>
          </w:tcPr>
          <w:p w14:paraId="06D74D9C" w14:textId="300B9C38" w:rsidR="00475CDA" w:rsidRPr="000F6070" w:rsidRDefault="00475CDA" w:rsidP="00475CDA">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6</w:t>
            </w:r>
            <w:r>
              <w:rPr>
                <w:rFonts w:ascii="Georgia" w:hAnsi="Georgia" w:cs="Calibri"/>
                <w:color w:val="404040"/>
                <w:sz w:val="20"/>
                <w:szCs w:val="20"/>
                <w:lang w:eastAsia="en-GB"/>
              </w:rPr>
              <w:t>5.9</w:t>
            </w:r>
          </w:p>
        </w:tc>
        <w:tc>
          <w:tcPr>
            <w:tcW w:w="1532" w:type="dxa"/>
            <w:noWrap/>
            <w:hideMark/>
          </w:tcPr>
          <w:p w14:paraId="0CC9208F"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63.6</w:t>
            </w:r>
          </w:p>
        </w:tc>
        <w:tc>
          <w:tcPr>
            <w:tcW w:w="1532" w:type="dxa"/>
          </w:tcPr>
          <w:p w14:paraId="1AF2BAFC"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56.2</w:t>
            </w:r>
          </w:p>
        </w:tc>
        <w:tc>
          <w:tcPr>
            <w:tcW w:w="1533" w:type="dxa"/>
            <w:vAlign w:val="center"/>
          </w:tcPr>
          <w:p w14:paraId="6CFC0F64"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47.9</w:t>
            </w:r>
          </w:p>
        </w:tc>
      </w:tr>
      <w:tr w:rsidR="00475CDA" w:rsidRPr="00904E51" w14:paraId="459912AC" w14:textId="77777777" w:rsidTr="006F0858">
        <w:trPr>
          <w:trHeight w:val="300"/>
          <w:jc w:val="center"/>
        </w:trPr>
        <w:tc>
          <w:tcPr>
            <w:tcW w:w="3119" w:type="dxa"/>
            <w:noWrap/>
            <w:vAlign w:val="center"/>
            <w:hideMark/>
          </w:tcPr>
          <w:p w14:paraId="713C395D" w14:textId="77777777" w:rsidR="00475CDA" w:rsidRPr="00A706DE" w:rsidRDefault="00475CDA" w:rsidP="00475CDA">
            <w:pPr>
              <w:rPr>
                <w:rFonts w:ascii="Georgia" w:hAnsi="Georgia" w:cs="Calibri"/>
                <w:color w:val="404040"/>
                <w:sz w:val="20"/>
                <w:szCs w:val="20"/>
                <w:lang w:eastAsia="en-GB"/>
              </w:rPr>
            </w:pPr>
            <w:r w:rsidRPr="00A706DE">
              <w:rPr>
                <w:rFonts w:ascii="Georgia" w:hAnsi="Georgia" w:cs="Calibri"/>
                <w:color w:val="404040"/>
                <w:sz w:val="20"/>
                <w:szCs w:val="20"/>
                <w:lang w:eastAsia="en-GB"/>
              </w:rPr>
              <w:t>Liquidated damages and Other Revenue*</w:t>
            </w:r>
          </w:p>
        </w:tc>
        <w:tc>
          <w:tcPr>
            <w:tcW w:w="1532" w:type="dxa"/>
            <w:vAlign w:val="center"/>
          </w:tcPr>
          <w:p w14:paraId="2E7199D3" w14:textId="45775F35" w:rsidR="00475CDA" w:rsidRPr="000F6070" w:rsidRDefault="00475CDA" w:rsidP="00475CDA">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3.</w:t>
            </w:r>
            <w:r>
              <w:rPr>
                <w:rFonts w:ascii="Georgia" w:hAnsi="Georgia" w:cs="Calibri"/>
                <w:color w:val="404040"/>
                <w:sz w:val="20"/>
                <w:szCs w:val="20"/>
                <w:lang w:eastAsia="en-GB"/>
              </w:rPr>
              <w:t>8</w:t>
            </w:r>
          </w:p>
        </w:tc>
        <w:tc>
          <w:tcPr>
            <w:tcW w:w="1532" w:type="dxa"/>
            <w:noWrap/>
            <w:vAlign w:val="center"/>
            <w:hideMark/>
          </w:tcPr>
          <w:p w14:paraId="57270300"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0.8</w:t>
            </w:r>
          </w:p>
        </w:tc>
        <w:tc>
          <w:tcPr>
            <w:tcW w:w="1532" w:type="dxa"/>
            <w:vAlign w:val="center"/>
          </w:tcPr>
          <w:p w14:paraId="0EAAFE8E"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1.7</w:t>
            </w:r>
          </w:p>
        </w:tc>
        <w:tc>
          <w:tcPr>
            <w:tcW w:w="1533" w:type="dxa"/>
            <w:vAlign w:val="center"/>
          </w:tcPr>
          <w:p w14:paraId="50F4421C"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1.3</w:t>
            </w:r>
          </w:p>
        </w:tc>
      </w:tr>
      <w:tr w:rsidR="00475CDA" w:rsidRPr="00904E51" w14:paraId="10E8E8B8" w14:textId="77777777" w:rsidTr="006F0858">
        <w:trPr>
          <w:trHeight w:val="315"/>
          <w:jc w:val="center"/>
        </w:trPr>
        <w:tc>
          <w:tcPr>
            <w:tcW w:w="3119" w:type="dxa"/>
            <w:noWrap/>
            <w:vAlign w:val="center"/>
            <w:hideMark/>
          </w:tcPr>
          <w:p w14:paraId="1C6E3CE8" w14:textId="77777777" w:rsidR="00475CDA" w:rsidRPr="00A706DE" w:rsidRDefault="00475CDA" w:rsidP="00475CDA">
            <w:pPr>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Portfolio Income</w:t>
            </w:r>
          </w:p>
        </w:tc>
        <w:tc>
          <w:tcPr>
            <w:tcW w:w="1532" w:type="dxa"/>
            <w:vAlign w:val="center"/>
          </w:tcPr>
          <w:p w14:paraId="4C2363C0" w14:textId="1454E3A0" w:rsidR="00475CDA" w:rsidRPr="000F6070" w:rsidRDefault="00475CDA" w:rsidP="00475CDA">
            <w:pPr>
              <w:jc w:val="right"/>
              <w:rPr>
                <w:rFonts w:ascii="Georgia" w:hAnsi="Georgia" w:cs="Calibri"/>
                <w:b/>
                <w:bCs/>
                <w:color w:val="404040"/>
                <w:sz w:val="20"/>
                <w:szCs w:val="20"/>
                <w:lang w:eastAsia="en-GB"/>
              </w:rPr>
            </w:pPr>
            <w:r w:rsidRPr="000F6070">
              <w:rPr>
                <w:rFonts w:ascii="Georgia" w:hAnsi="Georgia" w:cs="Calibri"/>
                <w:b/>
                <w:bCs/>
                <w:color w:val="404040"/>
                <w:sz w:val="20"/>
                <w:szCs w:val="20"/>
                <w:lang w:eastAsia="en-GB"/>
              </w:rPr>
              <w:t>69.</w:t>
            </w:r>
            <w:r>
              <w:rPr>
                <w:rFonts w:ascii="Georgia" w:hAnsi="Georgia" w:cs="Calibri"/>
                <w:b/>
                <w:bCs/>
                <w:color w:val="404040"/>
                <w:sz w:val="20"/>
                <w:szCs w:val="20"/>
                <w:lang w:eastAsia="en-GB"/>
              </w:rPr>
              <w:t>7</w:t>
            </w:r>
          </w:p>
        </w:tc>
        <w:tc>
          <w:tcPr>
            <w:tcW w:w="1532" w:type="dxa"/>
            <w:noWrap/>
            <w:vAlign w:val="center"/>
            <w:hideMark/>
          </w:tcPr>
          <w:p w14:paraId="04B6A3EE"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64.4</w:t>
            </w:r>
          </w:p>
        </w:tc>
        <w:tc>
          <w:tcPr>
            <w:tcW w:w="1532" w:type="dxa"/>
            <w:vAlign w:val="center"/>
          </w:tcPr>
          <w:p w14:paraId="6DBB9981"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57.9</w:t>
            </w:r>
          </w:p>
        </w:tc>
        <w:tc>
          <w:tcPr>
            <w:tcW w:w="1533" w:type="dxa"/>
            <w:vAlign w:val="center"/>
          </w:tcPr>
          <w:p w14:paraId="50FCE4F8"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49.2</w:t>
            </w:r>
          </w:p>
        </w:tc>
      </w:tr>
      <w:tr w:rsidR="00475CDA" w:rsidRPr="00904E51" w14:paraId="5755712F" w14:textId="77777777" w:rsidTr="006F0858">
        <w:trPr>
          <w:trHeight w:val="315"/>
          <w:jc w:val="center"/>
        </w:trPr>
        <w:tc>
          <w:tcPr>
            <w:tcW w:w="3119" w:type="dxa"/>
            <w:noWrap/>
            <w:vAlign w:val="center"/>
            <w:hideMark/>
          </w:tcPr>
          <w:p w14:paraId="5234A087" w14:textId="77777777" w:rsidR="00475CDA" w:rsidRPr="00A706DE" w:rsidRDefault="00475CDA" w:rsidP="00475CDA">
            <w:pPr>
              <w:rPr>
                <w:rFonts w:ascii="Georgia" w:hAnsi="Georgia" w:cs="Calibri"/>
                <w:color w:val="404040"/>
                <w:sz w:val="20"/>
                <w:szCs w:val="20"/>
                <w:lang w:eastAsia="en-GB"/>
              </w:rPr>
            </w:pPr>
            <w:r w:rsidRPr="00A706DE">
              <w:rPr>
                <w:rFonts w:ascii="Georgia" w:hAnsi="Georgia" w:cs="Calibri"/>
                <w:color w:val="404040"/>
                <w:sz w:val="20"/>
                <w:szCs w:val="20"/>
                <w:lang w:eastAsia="en-GB"/>
              </w:rPr>
              <w:t>Portfolio Costs</w:t>
            </w:r>
          </w:p>
        </w:tc>
        <w:tc>
          <w:tcPr>
            <w:tcW w:w="1532" w:type="dxa"/>
            <w:vAlign w:val="center"/>
          </w:tcPr>
          <w:p w14:paraId="47FF3209" w14:textId="6C41ACFF" w:rsidR="00475CDA" w:rsidRPr="000F6070" w:rsidRDefault="00475CDA" w:rsidP="00475CDA">
            <w:pPr>
              <w:jc w:val="right"/>
              <w:rPr>
                <w:rFonts w:ascii="Georgia" w:hAnsi="Georgia" w:cs="Calibri"/>
                <w:color w:val="404040"/>
                <w:sz w:val="20"/>
                <w:szCs w:val="20"/>
                <w:lang w:eastAsia="en-GB"/>
              </w:rPr>
            </w:pPr>
            <w:r w:rsidRPr="000F6070">
              <w:rPr>
                <w:rFonts w:ascii="Georgia" w:hAnsi="Georgia" w:cs="Calibri"/>
                <w:color w:val="404040"/>
                <w:sz w:val="20"/>
                <w:szCs w:val="20"/>
                <w:lang w:eastAsia="en-GB"/>
              </w:rPr>
              <w:t>-14.</w:t>
            </w:r>
            <w:r>
              <w:rPr>
                <w:rFonts w:ascii="Georgia" w:hAnsi="Georgia" w:cs="Calibri"/>
                <w:color w:val="404040"/>
                <w:sz w:val="20"/>
                <w:szCs w:val="20"/>
                <w:lang w:eastAsia="en-GB"/>
              </w:rPr>
              <w:t>1</w:t>
            </w:r>
          </w:p>
        </w:tc>
        <w:tc>
          <w:tcPr>
            <w:tcW w:w="1532" w:type="dxa"/>
            <w:noWrap/>
            <w:vAlign w:val="center"/>
            <w:hideMark/>
          </w:tcPr>
          <w:p w14:paraId="242F58B1"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-13.1</w:t>
            </w:r>
          </w:p>
        </w:tc>
        <w:tc>
          <w:tcPr>
            <w:tcW w:w="1532" w:type="dxa"/>
            <w:vAlign w:val="center"/>
          </w:tcPr>
          <w:p w14:paraId="476A3479"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-12.9</w:t>
            </w:r>
          </w:p>
        </w:tc>
        <w:tc>
          <w:tcPr>
            <w:tcW w:w="1533" w:type="dxa"/>
            <w:vAlign w:val="center"/>
          </w:tcPr>
          <w:p w14:paraId="506BEC4F" w14:textId="77777777" w:rsidR="00475CDA" w:rsidRPr="00A706DE" w:rsidRDefault="00475CDA" w:rsidP="00475CDA">
            <w:pPr>
              <w:jc w:val="right"/>
              <w:rPr>
                <w:rFonts w:ascii="Georgia" w:hAnsi="Georgia" w:cs="Calibri"/>
                <w:color w:val="404040"/>
                <w:sz w:val="20"/>
                <w:szCs w:val="20"/>
                <w:lang w:eastAsia="en-GB"/>
              </w:rPr>
            </w:pPr>
            <w:r w:rsidRPr="00A706DE">
              <w:rPr>
                <w:rFonts w:ascii="Georgia" w:hAnsi="Georgia" w:cs="Calibri"/>
                <w:color w:val="404040"/>
                <w:sz w:val="20"/>
                <w:szCs w:val="20"/>
                <w:lang w:eastAsia="en-GB"/>
              </w:rPr>
              <w:t>-11.4</w:t>
            </w:r>
          </w:p>
        </w:tc>
      </w:tr>
      <w:tr w:rsidR="00475CDA" w:rsidRPr="00904E51" w14:paraId="4613624D" w14:textId="77777777" w:rsidTr="006F0858">
        <w:trPr>
          <w:trHeight w:val="315"/>
          <w:jc w:val="center"/>
        </w:trPr>
        <w:tc>
          <w:tcPr>
            <w:tcW w:w="3119" w:type="dxa"/>
            <w:noWrap/>
            <w:vAlign w:val="center"/>
          </w:tcPr>
          <w:p w14:paraId="03E3F3CA" w14:textId="77777777" w:rsidR="00475CDA" w:rsidRPr="00A706DE" w:rsidRDefault="00475CDA" w:rsidP="00475CDA">
            <w:pPr>
              <w:rPr>
                <w:rFonts w:ascii="Georgia" w:hAnsi="Georgia" w:cs="Calibri"/>
                <w:bCs/>
                <w:color w:val="404040"/>
                <w:sz w:val="20"/>
                <w:szCs w:val="20"/>
                <w:lang w:eastAsia="en-GB"/>
              </w:rPr>
            </w:pPr>
            <w:r w:rsidRPr="00A706DE">
              <w:rPr>
                <w:rFonts w:ascii="Georgia" w:hAnsi="Georgia" w:cs="Calibri"/>
                <w:bCs/>
                <w:color w:val="404040"/>
                <w:sz w:val="20"/>
                <w:szCs w:val="20"/>
                <w:lang w:eastAsia="en-GB"/>
              </w:rPr>
              <w:t>Project Finance Interest Costs</w:t>
            </w:r>
          </w:p>
        </w:tc>
        <w:tc>
          <w:tcPr>
            <w:tcW w:w="1532" w:type="dxa"/>
            <w:vAlign w:val="center"/>
          </w:tcPr>
          <w:p w14:paraId="5B0C4C72" w14:textId="65ED58B6" w:rsidR="00475CDA" w:rsidRPr="000F6070" w:rsidRDefault="00475CDA" w:rsidP="00475CDA">
            <w:pPr>
              <w:jc w:val="right"/>
              <w:rPr>
                <w:rFonts w:ascii="Georgia" w:hAnsi="Georgia" w:cs="Calibri"/>
                <w:bCs/>
                <w:color w:val="404040"/>
                <w:sz w:val="20"/>
                <w:szCs w:val="20"/>
                <w:lang w:eastAsia="en-GB"/>
              </w:rPr>
            </w:pPr>
            <w:r w:rsidRPr="000F6070">
              <w:rPr>
                <w:rFonts w:ascii="Georgia" w:hAnsi="Georgia" w:cs="Calibri"/>
                <w:bCs/>
                <w:color w:val="404040"/>
                <w:sz w:val="20"/>
                <w:szCs w:val="20"/>
                <w:lang w:eastAsia="en-GB"/>
              </w:rPr>
              <w:t>-0.6</w:t>
            </w:r>
          </w:p>
        </w:tc>
        <w:tc>
          <w:tcPr>
            <w:tcW w:w="1532" w:type="dxa"/>
            <w:noWrap/>
            <w:vAlign w:val="center"/>
          </w:tcPr>
          <w:p w14:paraId="01DD96DF"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-0.6</w:t>
            </w:r>
          </w:p>
        </w:tc>
        <w:tc>
          <w:tcPr>
            <w:tcW w:w="1532" w:type="dxa"/>
            <w:vAlign w:val="center"/>
          </w:tcPr>
          <w:p w14:paraId="2CF19A3E"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-0.7</w:t>
            </w:r>
          </w:p>
        </w:tc>
        <w:tc>
          <w:tcPr>
            <w:tcW w:w="1533" w:type="dxa"/>
            <w:vAlign w:val="center"/>
          </w:tcPr>
          <w:p w14:paraId="4BB6FCF7"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-0.7</w:t>
            </w:r>
          </w:p>
        </w:tc>
      </w:tr>
      <w:tr w:rsidR="00475CDA" w:rsidRPr="00904E51" w14:paraId="5781E843" w14:textId="77777777" w:rsidTr="006F0858">
        <w:trPr>
          <w:trHeight w:val="315"/>
          <w:jc w:val="center"/>
        </w:trPr>
        <w:tc>
          <w:tcPr>
            <w:tcW w:w="3119" w:type="dxa"/>
            <w:noWrap/>
            <w:vAlign w:val="center"/>
            <w:hideMark/>
          </w:tcPr>
          <w:p w14:paraId="70AF0441" w14:textId="77777777" w:rsidR="00475CDA" w:rsidRPr="00A706DE" w:rsidRDefault="00475CDA" w:rsidP="00475CDA">
            <w:pPr>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Total Portfolio Income Earned</w:t>
            </w:r>
          </w:p>
        </w:tc>
        <w:tc>
          <w:tcPr>
            <w:tcW w:w="1532" w:type="dxa"/>
            <w:vAlign w:val="center"/>
          </w:tcPr>
          <w:p w14:paraId="05431B1E" w14:textId="5890EE14" w:rsidR="00475CDA" w:rsidRPr="000F6070" w:rsidRDefault="00475CDA" w:rsidP="00475CDA">
            <w:pPr>
              <w:jc w:val="right"/>
              <w:rPr>
                <w:rFonts w:ascii="Georgia" w:hAnsi="Georgia" w:cs="Calibri"/>
                <w:b/>
                <w:bCs/>
                <w:color w:val="404040"/>
                <w:sz w:val="20"/>
                <w:szCs w:val="20"/>
                <w:lang w:eastAsia="en-GB"/>
              </w:rPr>
            </w:pPr>
            <w:r w:rsidRPr="000F6070">
              <w:rPr>
                <w:rFonts w:ascii="Georgia" w:hAnsi="Georgia" w:cs="Calibri"/>
                <w:b/>
                <w:bCs/>
                <w:color w:val="404040"/>
                <w:sz w:val="20"/>
                <w:szCs w:val="20"/>
                <w:lang w:eastAsia="en-GB"/>
              </w:rPr>
              <w:t>55.0</w:t>
            </w:r>
          </w:p>
        </w:tc>
        <w:tc>
          <w:tcPr>
            <w:tcW w:w="1532" w:type="dxa"/>
            <w:noWrap/>
            <w:vAlign w:val="center"/>
            <w:hideMark/>
          </w:tcPr>
          <w:p w14:paraId="7A73F7C8"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50.7</w:t>
            </w:r>
          </w:p>
        </w:tc>
        <w:tc>
          <w:tcPr>
            <w:tcW w:w="1532" w:type="dxa"/>
            <w:vAlign w:val="center"/>
          </w:tcPr>
          <w:p w14:paraId="4DF5A21A"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44.3</w:t>
            </w:r>
          </w:p>
        </w:tc>
        <w:tc>
          <w:tcPr>
            <w:tcW w:w="1533" w:type="dxa"/>
            <w:vAlign w:val="center"/>
          </w:tcPr>
          <w:p w14:paraId="63588F64"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37.1</w:t>
            </w:r>
          </w:p>
        </w:tc>
      </w:tr>
      <w:tr w:rsidR="00475CDA" w:rsidRPr="00904E51" w14:paraId="78ED1D8B" w14:textId="77777777" w:rsidTr="006F0858">
        <w:trPr>
          <w:trHeight w:val="315"/>
          <w:jc w:val="center"/>
        </w:trPr>
        <w:tc>
          <w:tcPr>
            <w:tcW w:w="3119" w:type="dxa"/>
            <w:noWrap/>
            <w:vAlign w:val="center"/>
          </w:tcPr>
          <w:p w14:paraId="2DB832A0" w14:textId="77777777" w:rsidR="00475CDA" w:rsidRPr="00A706DE" w:rsidRDefault="00475CDA" w:rsidP="00475CDA">
            <w:pPr>
              <w:rPr>
                <w:rFonts w:ascii="Georgia" w:hAnsi="Georgia" w:cs="Calibri"/>
                <w:bCs/>
                <w:color w:val="404040"/>
                <w:sz w:val="20"/>
                <w:szCs w:val="20"/>
                <w:lang w:eastAsia="en-GB"/>
              </w:rPr>
            </w:pPr>
            <w:r w:rsidRPr="00A706DE">
              <w:rPr>
                <w:rFonts w:ascii="Georgia" w:hAnsi="Georgia" w:cs="Calibri"/>
                <w:bCs/>
                <w:color w:val="404040"/>
                <w:sz w:val="20"/>
                <w:szCs w:val="20"/>
                <w:lang w:eastAsia="en-GB"/>
              </w:rPr>
              <w:t>Group Operating Costs</w:t>
            </w:r>
            <w:r w:rsidRPr="00A706DE">
              <w:rPr>
                <w:rFonts w:ascii="Georgia" w:hAnsi="Georgia" w:cs="Calibri"/>
                <w:bCs/>
                <w:color w:val="404040"/>
                <w:sz w:val="20"/>
                <w:szCs w:val="20"/>
                <w:vertAlign w:val="superscript"/>
                <w:lang w:eastAsia="en-GB"/>
              </w:rPr>
              <w:t>#</w:t>
            </w:r>
            <w:r w:rsidRPr="00A706DE">
              <w:rPr>
                <w:rFonts w:ascii="Georgia" w:hAnsi="Georgia" w:cs="Calibri"/>
                <w:bCs/>
                <w:color w:val="404040"/>
                <w:sz w:val="20"/>
                <w:szCs w:val="20"/>
                <w:lang w:eastAsia="en-GB"/>
              </w:rPr>
              <w:t>**</w:t>
            </w:r>
          </w:p>
        </w:tc>
        <w:tc>
          <w:tcPr>
            <w:tcW w:w="1532" w:type="dxa"/>
            <w:vAlign w:val="center"/>
          </w:tcPr>
          <w:p w14:paraId="0E7AE744" w14:textId="65D16D3F" w:rsidR="00475CDA" w:rsidRPr="000F6070" w:rsidRDefault="00475CDA" w:rsidP="00475CDA">
            <w:pPr>
              <w:jc w:val="right"/>
              <w:rPr>
                <w:rFonts w:ascii="Georgia" w:hAnsi="Georgia" w:cs="Calibri"/>
                <w:bCs/>
                <w:color w:val="404040"/>
                <w:sz w:val="20"/>
                <w:szCs w:val="20"/>
                <w:lang w:eastAsia="en-GB"/>
              </w:rPr>
            </w:pPr>
            <w:r w:rsidRPr="000F6070">
              <w:rPr>
                <w:rFonts w:ascii="Georgia" w:hAnsi="Georgia" w:cs="Calibri"/>
                <w:bCs/>
                <w:color w:val="404040"/>
                <w:sz w:val="20"/>
                <w:szCs w:val="20"/>
                <w:lang w:eastAsia="en-GB"/>
              </w:rPr>
              <w:t>-</w:t>
            </w:r>
            <w:r>
              <w:rPr>
                <w:rFonts w:ascii="Georgia" w:hAnsi="Georgia" w:cs="Calibri"/>
                <w:bCs/>
                <w:color w:val="404040"/>
                <w:sz w:val="20"/>
                <w:szCs w:val="20"/>
                <w:lang w:eastAsia="en-GB"/>
              </w:rPr>
              <w:t>5.8</w:t>
            </w:r>
          </w:p>
        </w:tc>
        <w:tc>
          <w:tcPr>
            <w:tcW w:w="1532" w:type="dxa"/>
            <w:noWrap/>
            <w:vAlign w:val="center"/>
          </w:tcPr>
          <w:p w14:paraId="1C06C597"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-5.4</w:t>
            </w:r>
          </w:p>
        </w:tc>
        <w:tc>
          <w:tcPr>
            <w:tcW w:w="1532" w:type="dxa"/>
            <w:vAlign w:val="center"/>
          </w:tcPr>
          <w:p w14:paraId="4AD6F9F0"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-4.3</w:t>
            </w:r>
          </w:p>
        </w:tc>
        <w:tc>
          <w:tcPr>
            <w:tcW w:w="1533" w:type="dxa"/>
            <w:vAlign w:val="center"/>
          </w:tcPr>
          <w:p w14:paraId="343F3BFD"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-4.2</w:t>
            </w:r>
          </w:p>
        </w:tc>
      </w:tr>
      <w:tr w:rsidR="00475CDA" w:rsidRPr="00904E51" w14:paraId="08A968A8" w14:textId="77777777" w:rsidTr="006F0858">
        <w:trPr>
          <w:trHeight w:val="315"/>
          <w:jc w:val="center"/>
        </w:trPr>
        <w:tc>
          <w:tcPr>
            <w:tcW w:w="3119" w:type="dxa"/>
            <w:noWrap/>
            <w:vAlign w:val="center"/>
          </w:tcPr>
          <w:p w14:paraId="3B934606" w14:textId="77777777" w:rsidR="00475CDA" w:rsidRPr="00A706DE" w:rsidRDefault="00475CDA" w:rsidP="00475CDA">
            <w:pPr>
              <w:rPr>
                <w:rFonts w:ascii="Georgia" w:hAnsi="Georgia" w:cs="Calibri"/>
                <w:bCs/>
                <w:color w:val="404040"/>
                <w:sz w:val="20"/>
                <w:szCs w:val="20"/>
                <w:lang w:eastAsia="en-GB"/>
              </w:rPr>
            </w:pPr>
            <w:r w:rsidRPr="00A706DE">
              <w:rPr>
                <w:rFonts w:ascii="Georgia" w:hAnsi="Georgia" w:cs="Calibri"/>
                <w:bCs/>
                <w:color w:val="404040"/>
                <w:sz w:val="20"/>
                <w:szCs w:val="20"/>
                <w:lang w:eastAsia="en-GB"/>
              </w:rPr>
              <w:t>Group Debt Costs</w:t>
            </w:r>
          </w:p>
        </w:tc>
        <w:tc>
          <w:tcPr>
            <w:tcW w:w="1532" w:type="dxa"/>
            <w:vAlign w:val="center"/>
          </w:tcPr>
          <w:p w14:paraId="1BF216A5" w14:textId="24E2B433" w:rsidR="00475CDA" w:rsidRPr="000F6070" w:rsidRDefault="00475CDA" w:rsidP="00475CDA">
            <w:pPr>
              <w:jc w:val="right"/>
              <w:rPr>
                <w:rFonts w:ascii="Georgia" w:hAnsi="Georgia" w:cs="Calibri"/>
                <w:bCs/>
                <w:color w:val="404040"/>
                <w:sz w:val="20"/>
                <w:szCs w:val="20"/>
                <w:lang w:eastAsia="en-GB"/>
              </w:rPr>
            </w:pPr>
            <w:r w:rsidRPr="000F6070">
              <w:rPr>
                <w:rFonts w:ascii="Georgia" w:hAnsi="Georgia" w:cs="Calibri"/>
                <w:bCs/>
                <w:color w:val="404040"/>
                <w:sz w:val="20"/>
                <w:szCs w:val="20"/>
                <w:lang w:eastAsia="en-GB"/>
              </w:rPr>
              <w:t>-4.6</w:t>
            </w:r>
          </w:p>
        </w:tc>
        <w:tc>
          <w:tcPr>
            <w:tcW w:w="1532" w:type="dxa"/>
            <w:noWrap/>
            <w:vAlign w:val="center"/>
          </w:tcPr>
          <w:p w14:paraId="315B6FD7"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-4.6</w:t>
            </w:r>
          </w:p>
        </w:tc>
        <w:tc>
          <w:tcPr>
            <w:tcW w:w="1532" w:type="dxa"/>
            <w:vAlign w:val="center"/>
          </w:tcPr>
          <w:p w14:paraId="1BDE51EA"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-4.2</w:t>
            </w:r>
          </w:p>
        </w:tc>
        <w:tc>
          <w:tcPr>
            <w:tcW w:w="1533" w:type="dxa"/>
            <w:vAlign w:val="center"/>
          </w:tcPr>
          <w:p w14:paraId="3AF94A6F"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-4.4</w:t>
            </w:r>
          </w:p>
        </w:tc>
      </w:tr>
      <w:tr w:rsidR="00475CDA" w:rsidRPr="00904E51" w14:paraId="540A6FF8" w14:textId="77777777" w:rsidTr="006F0858">
        <w:trPr>
          <w:trHeight w:val="315"/>
          <w:jc w:val="center"/>
        </w:trPr>
        <w:tc>
          <w:tcPr>
            <w:tcW w:w="3119" w:type="dxa"/>
            <w:noWrap/>
            <w:vAlign w:val="center"/>
          </w:tcPr>
          <w:p w14:paraId="6620B0D2" w14:textId="77777777" w:rsidR="00475CDA" w:rsidRPr="00A706DE" w:rsidRDefault="00475CDA" w:rsidP="00475CDA">
            <w:pPr>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Underlying Earnings</w:t>
            </w:r>
          </w:p>
        </w:tc>
        <w:tc>
          <w:tcPr>
            <w:tcW w:w="1532" w:type="dxa"/>
            <w:vAlign w:val="center"/>
          </w:tcPr>
          <w:p w14:paraId="0F2C668C" w14:textId="19558DAA" w:rsidR="00475CDA" w:rsidRPr="000F6070" w:rsidRDefault="00475CDA" w:rsidP="00475CDA">
            <w:pPr>
              <w:jc w:val="right"/>
              <w:rPr>
                <w:rFonts w:ascii="Georgia" w:hAnsi="Georgia" w:cs="Calibri"/>
                <w:b/>
                <w:bCs/>
                <w:color w:val="404040"/>
                <w:sz w:val="20"/>
                <w:szCs w:val="20"/>
                <w:lang w:eastAsia="en-GB"/>
              </w:rPr>
            </w:pPr>
            <w:r>
              <w:rPr>
                <w:rFonts w:ascii="Georgia" w:hAnsi="Georgia" w:cs="Calibri"/>
                <w:b/>
                <w:bCs/>
                <w:color w:val="404040"/>
                <w:sz w:val="20"/>
                <w:szCs w:val="20"/>
                <w:lang w:eastAsia="en-GB"/>
              </w:rPr>
              <w:t>44.6</w:t>
            </w:r>
          </w:p>
        </w:tc>
        <w:tc>
          <w:tcPr>
            <w:tcW w:w="1532" w:type="dxa"/>
            <w:noWrap/>
            <w:vAlign w:val="center"/>
          </w:tcPr>
          <w:p w14:paraId="3566BECF"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40.7</w:t>
            </w:r>
          </w:p>
        </w:tc>
        <w:tc>
          <w:tcPr>
            <w:tcW w:w="1532" w:type="dxa"/>
            <w:vAlign w:val="center"/>
          </w:tcPr>
          <w:p w14:paraId="41B2DCA6"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35.8</w:t>
            </w:r>
          </w:p>
        </w:tc>
        <w:tc>
          <w:tcPr>
            <w:tcW w:w="1533" w:type="dxa"/>
            <w:vAlign w:val="center"/>
          </w:tcPr>
          <w:p w14:paraId="05C790CB"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28.5</w:t>
            </w:r>
          </w:p>
        </w:tc>
      </w:tr>
      <w:tr w:rsidR="00475CDA" w:rsidRPr="00904E51" w14:paraId="3B2F8A23" w14:textId="77777777" w:rsidTr="006F0858">
        <w:trPr>
          <w:trHeight w:val="315"/>
          <w:jc w:val="center"/>
        </w:trPr>
        <w:tc>
          <w:tcPr>
            <w:tcW w:w="3119" w:type="dxa"/>
            <w:noWrap/>
            <w:vAlign w:val="center"/>
          </w:tcPr>
          <w:p w14:paraId="2F766E16" w14:textId="77777777" w:rsidR="00475CDA" w:rsidRPr="00A706DE" w:rsidRDefault="00475CDA" w:rsidP="00475CDA">
            <w:pPr>
              <w:rPr>
                <w:rFonts w:ascii="Georgia" w:hAnsi="Georgia" w:cs="Calibri"/>
                <w:bCs/>
                <w:color w:val="404040"/>
                <w:sz w:val="20"/>
                <w:szCs w:val="20"/>
                <w:lang w:eastAsia="en-GB"/>
              </w:rPr>
            </w:pPr>
            <w:r w:rsidRPr="00A706DE">
              <w:rPr>
                <w:rFonts w:ascii="Georgia" w:hAnsi="Georgia" w:cs="Calibri"/>
                <w:bCs/>
                <w:color w:val="404040"/>
                <w:sz w:val="20"/>
                <w:szCs w:val="20"/>
                <w:lang w:eastAsia="en-GB"/>
              </w:rPr>
              <w:t>Group Debt Repayments</w:t>
            </w:r>
          </w:p>
        </w:tc>
        <w:tc>
          <w:tcPr>
            <w:tcW w:w="1532" w:type="dxa"/>
            <w:vAlign w:val="center"/>
          </w:tcPr>
          <w:p w14:paraId="6D6A1888" w14:textId="6539E2B2" w:rsidR="00475CDA" w:rsidRPr="000F6070" w:rsidRDefault="00475CDA" w:rsidP="00475CDA">
            <w:pPr>
              <w:jc w:val="right"/>
              <w:rPr>
                <w:rFonts w:ascii="Georgia" w:hAnsi="Georgia" w:cs="Calibri"/>
                <w:bCs/>
                <w:color w:val="404040"/>
                <w:sz w:val="20"/>
                <w:szCs w:val="20"/>
                <w:lang w:eastAsia="en-GB"/>
              </w:rPr>
            </w:pPr>
            <w:r w:rsidRPr="000F6070">
              <w:rPr>
                <w:rFonts w:ascii="Georgia" w:hAnsi="Georgia" w:cs="Calibri"/>
                <w:bCs/>
                <w:color w:val="404040"/>
                <w:sz w:val="20"/>
                <w:szCs w:val="20"/>
                <w:lang w:eastAsia="en-GB"/>
              </w:rPr>
              <w:t>-9.2</w:t>
            </w:r>
          </w:p>
        </w:tc>
        <w:tc>
          <w:tcPr>
            <w:tcW w:w="1532" w:type="dxa"/>
            <w:noWrap/>
            <w:vAlign w:val="center"/>
          </w:tcPr>
          <w:p w14:paraId="1A3C11BE"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-8.8</w:t>
            </w:r>
          </w:p>
        </w:tc>
        <w:tc>
          <w:tcPr>
            <w:tcW w:w="1532" w:type="dxa"/>
            <w:vAlign w:val="center"/>
          </w:tcPr>
          <w:p w14:paraId="0D817514"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-8.3</w:t>
            </w:r>
          </w:p>
        </w:tc>
        <w:tc>
          <w:tcPr>
            <w:tcW w:w="1533" w:type="dxa"/>
            <w:vAlign w:val="center"/>
          </w:tcPr>
          <w:p w14:paraId="3A752595" w14:textId="77777777" w:rsidR="00475CDA" w:rsidRPr="00A706DE" w:rsidRDefault="00475CDA" w:rsidP="00475CDA">
            <w:pPr>
              <w:jc w:val="right"/>
              <w:rPr>
                <w:rFonts w:ascii="Georgia" w:hAnsi="Georgia" w:cs="Calibri"/>
                <w:bCs/>
                <w:color w:val="404040"/>
                <w:sz w:val="20"/>
                <w:szCs w:val="20"/>
                <w:lang w:eastAsia="en-GB"/>
              </w:rPr>
            </w:pPr>
            <w:r w:rsidRPr="00A706DE">
              <w:rPr>
                <w:rFonts w:ascii="Georgia" w:hAnsi="Georgia" w:cs="Calibri"/>
                <w:bCs/>
                <w:color w:val="404040"/>
                <w:sz w:val="20"/>
                <w:szCs w:val="20"/>
                <w:lang w:eastAsia="en-GB"/>
              </w:rPr>
              <w:t>-3.4</w:t>
            </w:r>
          </w:p>
        </w:tc>
      </w:tr>
      <w:tr w:rsidR="00475CDA" w:rsidRPr="00904E51" w14:paraId="32F26387" w14:textId="77777777" w:rsidTr="006F0858">
        <w:trPr>
          <w:trHeight w:val="315"/>
          <w:jc w:val="center"/>
        </w:trPr>
        <w:tc>
          <w:tcPr>
            <w:tcW w:w="3119" w:type="dxa"/>
            <w:noWrap/>
            <w:vAlign w:val="center"/>
          </w:tcPr>
          <w:p w14:paraId="29D345B8" w14:textId="77777777" w:rsidR="00475CDA" w:rsidRPr="00A706DE" w:rsidRDefault="00475CDA" w:rsidP="00475CDA">
            <w:pPr>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 xml:space="preserve">Underlying Earnings available for distribution </w:t>
            </w:r>
          </w:p>
        </w:tc>
        <w:tc>
          <w:tcPr>
            <w:tcW w:w="1532" w:type="dxa"/>
            <w:vAlign w:val="center"/>
          </w:tcPr>
          <w:p w14:paraId="292677FD" w14:textId="09728784" w:rsidR="00475CDA" w:rsidRPr="000F6070" w:rsidRDefault="00475CDA" w:rsidP="00475CDA">
            <w:pPr>
              <w:jc w:val="right"/>
              <w:rPr>
                <w:rFonts w:ascii="Georgia" w:hAnsi="Georgia" w:cs="Calibri"/>
                <w:b/>
                <w:bCs/>
                <w:color w:val="404040"/>
                <w:sz w:val="20"/>
                <w:szCs w:val="20"/>
                <w:lang w:eastAsia="en-GB"/>
              </w:rPr>
            </w:pPr>
            <w:r>
              <w:rPr>
                <w:rFonts w:ascii="Georgia" w:hAnsi="Georgia" w:cs="Calibri"/>
                <w:b/>
                <w:bCs/>
                <w:color w:val="404040"/>
                <w:sz w:val="20"/>
                <w:szCs w:val="20"/>
                <w:lang w:eastAsia="en-GB"/>
              </w:rPr>
              <w:t>35.3</w:t>
            </w:r>
          </w:p>
        </w:tc>
        <w:tc>
          <w:tcPr>
            <w:tcW w:w="1532" w:type="dxa"/>
            <w:noWrap/>
            <w:vAlign w:val="center"/>
          </w:tcPr>
          <w:p w14:paraId="43D5FE13"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31.9</w:t>
            </w:r>
          </w:p>
        </w:tc>
        <w:tc>
          <w:tcPr>
            <w:tcW w:w="1532" w:type="dxa"/>
            <w:vAlign w:val="center"/>
          </w:tcPr>
          <w:p w14:paraId="0380FE97"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27.5</w:t>
            </w:r>
          </w:p>
        </w:tc>
        <w:tc>
          <w:tcPr>
            <w:tcW w:w="1533" w:type="dxa"/>
            <w:vAlign w:val="center"/>
          </w:tcPr>
          <w:p w14:paraId="06B3989D" w14:textId="77777777" w:rsidR="00475CDA" w:rsidRPr="00A706DE" w:rsidRDefault="00475CDA" w:rsidP="00475CDA">
            <w:pPr>
              <w:jc w:val="right"/>
              <w:rPr>
                <w:rFonts w:ascii="Georgia" w:hAnsi="Georgia" w:cs="Calibri"/>
                <w:b/>
                <w:bCs/>
                <w:color w:val="404040"/>
                <w:sz w:val="20"/>
                <w:szCs w:val="20"/>
                <w:lang w:eastAsia="en-GB"/>
              </w:rPr>
            </w:pPr>
            <w:r w:rsidRPr="00A706DE">
              <w:rPr>
                <w:rFonts w:ascii="Georgia" w:hAnsi="Georgia" w:cs="Calibri"/>
                <w:b/>
                <w:bCs/>
                <w:color w:val="404040"/>
                <w:sz w:val="20"/>
                <w:szCs w:val="20"/>
                <w:lang w:eastAsia="en-GB"/>
              </w:rPr>
              <w:t>25.1</w:t>
            </w:r>
          </w:p>
        </w:tc>
      </w:tr>
    </w:tbl>
    <w:p w14:paraId="5C63884C" w14:textId="77777777" w:rsidR="007B66C1" w:rsidRPr="00904E51" w:rsidRDefault="007B66C1" w:rsidP="007B66C1">
      <w:pPr>
        <w:contextualSpacing/>
        <w:jc w:val="both"/>
        <w:rPr>
          <w:rFonts w:ascii="Georgia" w:hAnsi="Georgia"/>
          <w:b/>
          <w:color w:val="404040" w:themeColor="text1" w:themeTint="BF"/>
          <w:sz w:val="20"/>
          <w:szCs w:val="20"/>
          <w:highlight w:val="yellow"/>
        </w:rPr>
      </w:pPr>
    </w:p>
    <w:tbl>
      <w:tblPr>
        <w:tblStyle w:val="TableGrid5"/>
        <w:tblW w:w="9248" w:type="dxa"/>
        <w:tblInd w:w="108" w:type="dxa"/>
        <w:tblLayout w:type="fixed"/>
        <w:tblLook w:val="04A0" w:firstRow="1" w:lastRow="0" w:firstColumn="1" w:lastColumn="0" w:noHBand="0" w:noVBand="1"/>
      </w:tblPr>
      <w:tblGrid>
        <w:gridCol w:w="3119"/>
        <w:gridCol w:w="1532"/>
        <w:gridCol w:w="1532"/>
        <w:gridCol w:w="1532"/>
        <w:gridCol w:w="1533"/>
      </w:tblGrid>
      <w:tr w:rsidR="007B66C1" w:rsidRPr="00904E51" w14:paraId="2B868920" w14:textId="77777777" w:rsidTr="006F0858">
        <w:trPr>
          <w:trHeight w:val="300"/>
        </w:trPr>
        <w:tc>
          <w:tcPr>
            <w:tcW w:w="3119" w:type="dxa"/>
            <w:noWrap/>
            <w:vAlign w:val="center"/>
            <w:hideMark/>
          </w:tcPr>
          <w:p w14:paraId="7170A645" w14:textId="77777777" w:rsidR="007B66C1" w:rsidRPr="00904E51" w:rsidRDefault="007B66C1" w:rsidP="006F0858">
            <w:pPr>
              <w:rPr>
                <w:rFonts w:ascii="Georgia" w:hAnsi="Georgia" w:cs="Calibri"/>
                <w:color w:val="404040"/>
                <w:sz w:val="20"/>
                <w:szCs w:val="20"/>
                <w:highlight w:val="yellow"/>
                <w:lang w:eastAsia="en-GB"/>
              </w:rPr>
            </w:pPr>
          </w:p>
        </w:tc>
        <w:tc>
          <w:tcPr>
            <w:tcW w:w="1532" w:type="dxa"/>
            <w:shd w:val="clear" w:color="auto" w:fill="auto"/>
          </w:tcPr>
          <w:p w14:paraId="09A79D08"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7E3FE809"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20 </w:t>
            </w:r>
          </w:p>
          <w:p w14:paraId="74B5A0F2"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 (£m)</w:t>
            </w:r>
          </w:p>
        </w:tc>
        <w:tc>
          <w:tcPr>
            <w:tcW w:w="1532" w:type="dxa"/>
            <w:shd w:val="clear" w:color="auto" w:fill="auto"/>
            <w:noWrap/>
            <w:hideMark/>
          </w:tcPr>
          <w:p w14:paraId="76EC5188"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6300C4B7"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19 </w:t>
            </w:r>
          </w:p>
          <w:p w14:paraId="2F87997E"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 (£m)</w:t>
            </w:r>
          </w:p>
        </w:tc>
        <w:tc>
          <w:tcPr>
            <w:tcW w:w="1532" w:type="dxa"/>
          </w:tcPr>
          <w:p w14:paraId="001837AA"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3C1C33C6"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18 </w:t>
            </w:r>
          </w:p>
          <w:p w14:paraId="20FB038E"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 (£m)</w:t>
            </w:r>
          </w:p>
        </w:tc>
        <w:tc>
          <w:tcPr>
            <w:tcW w:w="1533" w:type="dxa"/>
            <w:vAlign w:val="center"/>
          </w:tcPr>
          <w:p w14:paraId="58C430C8"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79904C75"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17 </w:t>
            </w:r>
          </w:p>
          <w:p w14:paraId="2FD2229C" w14:textId="77777777" w:rsidR="007B66C1" w:rsidRPr="00BF6B45" w:rsidRDefault="007B66C1" w:rsidP="006F0858">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 (£m)</w:t>
            </w:r>
          </w:p>
        </w:tc>
      </w:tr>
      <w:tr w:rsidR="007B66C1" w:rsidRPr="00904E51" w14:paraId="3C5EE1B6" w14:textId="77777777" w:rsidTr="006F0858">
        <w:trPr>
          <w:trHeight w:val="315"/>
        </w:trPr>
        <w:tc>
          <w:tcPr>
            <w:tcW w:w="3119" w:type="dxa"/>
            <w:tcBorders>
              <w:bottom w:val="single" w:sz="4" w:space="0" w:color="000000" w:themeColor="text1"/>
            </w:tcBorders>
            <w:shd w:val="clear" w:color="auto" w:fill="auto"/>
            <w:noWrap/>
            <w:vAlign w:val="center"/>
          </w:tcPr>
          <w:p w14:paraId="63474AEB" w14:textId="4CBA9D8D" w:rsidR="007B66C1" w:rsidRPr="00904E51" w:rsidRDefault="007B66C1" w:rsidP="006F0858">
            <w:pPr>
              <w:rPr>
                <w:rFonts w:ascii="Georgia" w:hAnsi="Georgia" w:cs="Calibri"/>
                <w:bCs/>
                <w:color w:val="404040"/>
                <w:sz w:val="20"/>
                <w:szCs w:val="20"/>
                <w:highlight w:val="yellow"/>
                <w:lang w:eastAsia="en-GB"/>
              </w:rPr>
            </w:pPr>
            <w:r w:rsidRPr="00BF6B45">
              <w:rPr>
                <w:rFonts w:ascii="Georgia" w:hAnsi="Georgia" w:cs="Calibri"/>
                <w:bCs/>
                <w:color w:val="404040"/>
                <w:sz w:val="20"/>
                <w:szCs w:val="20"/>
                <w:lang w:eastAsia="en-GB"/>
              </w:rPr>
              <w:t>B</w:t>
            </w:r>
            <w:r w:rsidR="001A3E2D">
              <w:rPr>
                <w:rFonts w:ascii="Georgia" w:hAnsi="Georgia" w:cs="Calibri"/>
                <w:bCs/>
                <w:color w:val="404040"/>
                <w:sz w:val="20"/>
                <w:szCs w:val="20"/>
                <w:lang w:eastAsia="en-GB"/>
              </w:rPr>
              <w:t>r</w:t>
            </w:r>
            <w:r w:rsidRPr="00BF6B45">
              <w:rPr>
                <w:rFonts w:ascii="Georgia" w:hAnsi="Georgia" w:cs="Calibri"/>
                <w:bCs/>
                <w:color w:val="404040"/>
                <w:sz w:val="20"/>
                <w:szCs w:val="20"/>
                <w:lang w:eastAsia="en-GB"/>
              </w:rPr>
              <w:t>ought forward reserves</w:t>
            </w:r>
          </w:p>
        </w:tc>
        <w:tc>
          <w:tcPr>
            <w:tcW w:w="1532" w:type="dxa"/>
            <w:tcBorders>
              <w:bottom w:val="single" w:sz="4" w:space="0" w:color="000000" w:themeColor="text1"/>
            </w:tcBorders>
            <w:vAlign w:val="center"/>
          </w:tcPr>
          <w:p w14:paraId="4111FF59" w14:textId="77777777" w:rsidR="007B66C1" w:rsidRPr="00BF6B45" w:rsidRDefault="007B66C1" w:rsidP="006F0858">
            <w:pPr>
              <w:jc w:val="right"/>
              <w:rPr>
                <w:rFonts w:ascii="Georgia" w:hAnsi="Georgia" w:cs="Calibri"/>
                <w:bCs/>
                <w:color w:val="404040"/>
                <w:sz w:val="20"/>
                <w:szCs w:val="20"/>
                <w:lang w:eastAsia="en-GB"/>
              </w:rPr>
            </w:pPr>
            <w:r w:rsidRPr="00BF6B45">
              <w:rPr>
                <w:rFonts w:ascii="Georgia" w:hAnsi="Georgia" w:cs="Calibri"/>
                <w:bCs/>
                <w:color w:val="404040"/>
                <w:sz w:val="20"/>
                <w:szCs w:val="20"/>
                <w:lang w:eastAsia="en-GB"/>
              </w:rPr>
              <w:t>2.3</w:t>
            </w:r>
          </w:p>
        </w:tc>
        <w:tc>
          <w:tcPr>
            <w:tcW w:w="1532" w:type="dxa"/>
            <w:tcBorders>
              <w:bottom w:val="single" w:sz="4" w:space="0" w:color="000000" w:themeColor="text1"/>
            </w:tcBorders>
            <w:noWrap/>
            <w:vAlign w:val="center"/>
          </w:tcPr>
          <w:p w14:paraId="6A7DDB56" w14:textId="77777777" w:rsidR="007B66C1" w:rsidRPr="00BF6B45" w:rsidRDefault="007B66C1" w:rsidP="006F0858">
            <w:pPr>
              <w:jc w:val="right"/>
              <w:rPr>
                <w:rFonts w:ascii="Georgia" w:hAnsi="Georgia" w:cs="Calibri"/>
                <w:bCs/>
                <w:color w:val="404040"/>
                <w:sz w:val="20"/>
                <w:szCs w:val="20"/>
                <w:lang w:eastAsia="en-GB"/>
              </w:rPr>
            </w:pPr>
            <w:r w:rsidRPr="00BF6B45">
              <w:rPr>
                <w:rFonts w:ascii="Georgia" w:hAnsi="Georgia" w:cs="Calibri"/>
                <w:bCs/>
                <w:color w:val="404040"/>
                <w:sz w:val="20"/>
                <w:szCs w:val="20"/>
                <w:lang w:eastAsia="en-GB"/>
              </w:rPr>
              <w:t>1.1</w:t>
            </w:r>
          </w:p>
        </w:tc>
        <w:tc>
          <w:tcPr>
            <w:tcW w:w="1532" w:type="dxa"/>
            <w:tcBorders>
              <w:bottom w:val="single" w:sz="4" w:space="0" w:color="000000" w:themeColor="text1"/>
            </w:tcBorders>
            <w:vAlign w:val="center"/>
          </w:tcPr>
          <w:p w14:paraId="7954628E" w14:textId="77777777" w:rsidR="007B66C1" w:rsidRPr="00BF6B45" w:rsidRDefault="007B66C1" w:rsidP="006F0858">
            <w:pPr>
              <w:jc w:val="right"/>
              <w:rPr>
                <w:rFonts w:ascii="Georgia" w:hAnsi="Georgia" w:cs="Calibri"/>
                <w:bCs/>
                <w:color w:val="404040"/>
                <w:sz w:val="20"/>
                <w:szCs w:val="20"/>
                <w:lang w:eastAsia="en-GB"/>
              </w:rPr>
            </w:pPr>
            <w:r w:rsidRPr="00BF6B45">
              <w:rPr>
                <w:rFonts w:ascii="Georgia" w:hAnsi="Georgia" w:cs="Calibri"/>
                <w:bCs/>
                <w:color w:val="404040"/>
                <w:sz w:val="20"/>
                <w:szCs w:val="20"/>
                <w:lang w:eastAsia="en-GB"/>
              </w:rPr>
              <w:t>1.1</w:t>
            </w:r>
          </w:p>
        </w:tc>
        <w:tc>
          <w:tcPr>
            <w:tcW w:w="1533" w:type="dxa"/>
            <w:tcBorders>
              <w:bottom w:val="single" w:sz="4" w:space="0" w:color="000000" w:themeColor="text1"/>
            </w:tcBorders>
            <w:vAlign w:val="center"/>
          </w:tcPr>
          <w:p w14:paraId="3555EC81" w14:textId="77777777" w:rsidR="007B66C1" w:rsidRPr="00BF6B45" w:rsidRDefault="007B66C1" w:rsidP="006F0858">
            <w:pPr>
              <w:jc w:val="right"/>
              <w:rPr>
                <w:rFonts w:ascii="Georgia" w:hAnsi="Georgia" w:cs="Calibri"/>
                <w:bCs/>
                <w:color w:val="404040"/>
                <w:sz w:val="20"/>
                <w:szCs w:val="20"/>
                <w:lang w:eastAsia="en-GB"/>
              </w:rPr>
            </w:pPr>
            <w:r w:rsidRPr="00BF6B45">
              <w:rPr>
                <w:rFonts w:ascii="Georgia" w:hAnsi="Georgia" w:cs="Calibri"/>
                <w:bCs/>
                <w:color w:val="404040"/>
                <w:sz w:val="20"/>
                <w:szCs w:val="20"/>
                <w:lang w:eastAsia="en-GB"/>
              </w:rPr>
              <w:t>0.8</w:t>
            </w:r>
          </w:p>
        </w:tc>
      </w:tr>
      <w:tr w:rsidR="007B66C1" w:rsidRPr="00904E51" w14:paraId="5D94384A" w14:textId="77777777" w:rsidTr="006F0858">
        <w:trPr>
          <w:trHeight w:val="315"/>
        </w:trPr>
        <w:tc>
          <w:tcPr>
            <w:tcW w:w="3119" w:type="dxa"/>
            <w:tcBorders>
              <w:bottom w:val="single" w:sz="4" w:space="0" w:color="auto"/>
            </w:tcBorders>
            <w:noWrap/>
            <w:vAlign w:val="center"/>
          </w:tcPr>
          <w:p w14:paraId="1F05DC95" w14:textId="77777777" w:rsidR="007B66C1" w:rsidRPr="00BF6B45" w:rsidRDefault="007B66C1" w:rsidP="006F0858">
            <w:pPr>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Total funds available for distribution -1</w:t>
            </w:r>
          </w:p>
        </w:tc>
        <w:tc>
          <w:tcPr>
            <w:tcW w:w="1532" w:type="dxa"/>
            <w:tcBorders>
              <w:bottom w:val="single" w:sz="4" w:space="0" w:color="auto"/>
            </w:tcBorders>
            <w:vAlign w:val="center"/>
          </w:tcPr>
          <w:p w14:paraId="3EEC1553" w14:textId="7A2F1AB1" w:rsidR="007B66C1" w:rsidRPr="000F6070" w:rsidRDefault="007B66C1" w:rsidP="006F0858">
            <w:pPr>
              <w:jc w:val="right"/>
              <w:rPr>
                <w:rFonts w:ascii="Georgia" w:hAnsi="Georgia" w:cs="Calibri"/>
                <w:b/>
                <w:bCs/>
                <w:color w:val="404040"/>
                <w:sz w:val="20"/>
                <w:szCs w:val="20"/>
                <w:lang w:eastAsia="en-GB"/>
              </w:rPr>
            </w:pPr>
            <w:r w:rsidRPr="000F6070">
              <w:rPr>
                <w:rFonts w:ascii="Georgia" w:hAnsi="Georgia" w:cs="Calibri"/>
                <w:b/>
                <w:bCs/>
                <w:color w:val="404040"/>
                <w:sz w:val="20"/>
                <w:szCs w:val="20"/>
                <w:lang w:eastAsia="en-GB"/>
              </w:rPr>
              <w:t>37.</w:t>
            </w:r>
            <w:r w:rsidR="00475CDA">
              <w:rPr>
                <w:rFonts w:ascii="Georgia" w:hAnsi="Georgia" w:cs="Calibri"/>
                <w:b/>
                <w:bCs/>
                <w:color w:val="404040"/>
                <w:sz w:val="20"/>
                <w:szCs w:val="20"/>
                <w:lang w:eastAsia="en-GB"/>
              </w:rPr>
              <w:t>6</w:t>
            </w:r>
          </w:p>
        </w:tc>
        <w:tc>
          <w:tcPr>
            <w:tcW w:w="1532" w:type="dxa"/>
            <w:tcBorders>
              <w:bottom w:val="single" w:sz="4" w:space="0" w:color="auto"/>
            </w:tcBorders>
            <w:noWrap/>
            <w:vAlign w:val="center"/>
          </w:tcPr>
          <w:p w14:paraId="01FAD8CA"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33.0</w:t>
            </w:r>
          </w:p>
        </w:tc>
        <w:tc>
          <w:tcPr>
            <w:tcW w:w="1532" w:type="dxa"/>
            <w:tcBorders>
              <w:bottom w:val="single" w:sz="4" w:space="0" w:color="auto"/>
            </w:tcBorders>
            <w:vAlign w:val="center"/>
          </w:tcPr>
          <w:p w14:paraId="0F5B6360"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28.6</w:t>
            </w:r>
          </w:p>
        </w:tc>
        <w:tc>
          <w:tcPr>
            <w:tcW w:w="1533" w:type="dxa"/>
            <w:tcBorders>
              <w:bottom w:val="single" w:sz="4" w:space="0" w:color="auto"/>
            </w:tcBorders>
            <w:vAlign w:val="center"/>
          </w:tcPr>
          <w:p w14:paraId="400010E0"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25.9</w:t>
            </w:r>
          </w:p>
        </w:tc>
      </w:tr>
      <w:tr w:rsidR="007B66C1" w:rsidRPr="00904E51" w14:paraId="16D33A98" w14:textId="77777777" w:rsidTr="006F0858">
        <w:trPr>
          <w:trHeight w:val="315"/>
        </w:trPr>
        <w:tc>
          <w:tcPr>
            <w:tcW w:w="3119" w:type="dxa"/>
            <w:tcBorders>
              <w:bottom w:val="single" w:sz="4" w:space="0" w:color="auto"/>
            </w:tcBorders>
            <w:noWrap/>
            <w:vAlign w:val="center"/>
          </w:tcPr>
          <w:p w14:paraId="1A4063B3" w14:textId="77777777" w:rsidR="007B66C1" w:rsidRPr="00BF6B45" w:rsidRDefault="007B66C1" w:rsidP="006F0858">
            <w:pPr>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Target distribution***</w:t>
            </w:r>
          </w:p>
        </w:tc>
        <w:tc>
          <w:tcPr>
            <w:tcW w:w="1532" w:type="dxa"/>
            <w:tcBorders>
              <w:bottom w:val="single" w:sz="4" w:space="0" w:color="auto"/>
            </w:tcBorders>
            <w:vAlign w:val="center"/>
          </w:tcPr>
          <w:p w14:paraId="333D8453" w14:textId="77777777" w:rsidR="007B66C1" w:rsidRPr="000F6070" w:rsidRDefault="007B66C1" w:rsidP="006F0858">
            <w:pPr>
              <w:jc w:val="right"/>
              <w:rPr>
                <w:rFonts w:ascii="Georgia" w:hAnsi="Georgia" w:cs="Calibri"/>
                <w:b/>
                <w:bCs/>
                <w:color w:val="404040"/>
                <w:sz w:val="20"/>
                <w:szCs w:val="20"/>
                <w:lang w:eastAsia="en-GB"/>
              </w:rPr>
            </w:pPr>
            <w:r w:rsidRPr="000F6070">
              <w:rPr>
                <w:rFonts w:ascii="Georgia" w:hAnsi="Georgia" w:cs="Calibri"/>
                <w:b/>
                <w:bCs/>
                <w:color w:val="404040"/>
                <w:sz w:val="20"/>
                <w:szCs w:val="20"/>
                <w:lang w:eastAsia="en-GB"/>
              </w:rPr>
              <w:t>29.3</w:t>
            </w:r>
          </w:p>
        </w:tc>
        <w:tc>
          <w:tcPr>
            <w:tcW w:w="1532" w:type="dxa"/>
            <w:tcBorders>
              <w:bottom w:val="single" w:sz="4" w:space="0" w:color="auto"/>
            </w:tcBorders>
            <w:noWrap/>
            <w:vAlign w:val="center"/>
          </w:tcPr>
          <w:p w14:paraId="5A0A23C4"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28.4</w:t>
            </w:r>
          </w:p>
        </w:tc>
        <w:tc>
          <w:tcPr>
            <w:tcW w:w="1532" w:type="dxa"/>
            <w:tcBorders>
              <w:bottom w:val="single" w:sz="4" w:space="0" w:color="auto"/>
            </w:tcBorders>
            <w:vAlign w:val="center"/>
          </w:tcPr>
          <w:p w14:paraId="520AF835"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27.5</w:t>
            </w:r>
          </w:p>
        </w:tc>
        <w:tc>
          <w:tcPr>
            <w:tcW w:w="1533" w:type="dxa"/>
            <w:tcBorders>
              <w:bottom w:val="single" w:sz="4" w:space="0" w:color="auto"/>
            </w:tcBorders>
            <w:vAlign w:val="center"/>
          </w:tcPr>
          <w:p w14:paraId="09E0F993"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24.6</w:t>
            </w:r>
          </w:p>
        </w:tc>
      </w:tr>
      <w:tr w:rsidR="007B66C1" w:rsidRPr="00904E51" w14:paraId="69D5DB61" w14:textId="77777777" w:rsidTr="006F0858">
        <w:trPr>
          <w:trHeight w:val="315"/>
        </w:trPr>
        <w:tc>
          <w:tcPr>
            <w:tcW w:w="3119" w:type="dxa"/>
            <w:tcBorders>
              <w:top w:val="single" w:sz="4" w:space="0" w:color="auto"/>
              <w:left w:val="nil"/>
              <w:bottom w:val="single" w:sz="4" w:space="0" w:color="auto"/>
              <w:right w:val="nil"/>
            </w:tcBorders>
            <w:noWrap/>
            <w:vAlign w:val="center"/>
          </w:tcPr>
          <w:p w14:paraId="407BA9EB" w14:textId="77777777" w:rsidR="007B66C1" w:rsidRPr="00BF6B45" w:rsidRDefault="007B66C1" w:rsidP="006F0858">
            <w:pPr>
              <w:rPr>
                <w:rFonts w:ascii="Georgia" w:hAnsi="Georgia" w:cs="Calibri"/>
                <w:b/>
                <w:bCs/>
                <w:color w:val="404040"/>
                <w:sz w:val="20"/>
                <w:szCs w:val="20"/>
                <w:lang w:eastAsia="en-GB"/>
              </w:rPr>
            </w:pPr>
          </w:p>
        </w:tc>
        <w:tc>
          <w:tcPr>
            <w:tcW w:w="1532" w:type="dxa"/>
            <w:tcBorders>
              <w:top w:val="single" w:sz="4" w:space="0" w:color="auto"/>
              <w:left w:val="nil"/>
              <w:bottom w:val="single" w:sz="4" w:space="0" w:color="auto"/>
              <w:right w:val="nil"/>
            </w:tcBorders>
          </w:tcPr>
          <w:p w14:paraId="633267E6" w14:textId="77777777" w:rsidR="007B66C1" w:rsidRPr="000F6070" w:rsidRDefault="007B66C1" w:rsidP="006F0858">
            <w:pPr>
              <w:jc w:val="right"/>
              <w:rPr>
                <w:rFonts w:ascii="Georgia" w:hAnsi="Georgia" w:cs="Calibri"/>
                <w:b/>
                <w:bCs/>
                <w:color w:val="404040"/>
                <w:sz w:val="20"/>
                <w:szCs w:val="20"/>
                <w:lang w:eastAsia="en-GB"/>
              </w:rPr>
            </w:pPr>
          </w:p>
        </w:tc>
        <w:tc>
          <w:tcPr>
            <w:tcW w:w="1532" w:type="dxa"/>
            <w:tcBorders>
              <w:top w:val="single" w:sz="4" w:space="0" w:color="auto"/>
              <w:left w:val="nil"/>
              <w:bottom w:val="single" w:sz="4" w:space="0" w:color="auto"/>
              <w:right w:val="nil"/>
            </w:tcBorders>
            <w:noWrap/>
          </w:tcPr>
          <w:p w14:paraId="1FC8BFFE" w14:textId="77777777" w:rsidR="007B66C1" w:rsidRPr="00BF6B45" w:rsidRDefault="007B66C1" w:rsidP="006F0858">
            <w:pPr>
              <w:jc w:val="right"/>
              <w:rPr>
                <w:rFonts w:ascii="Georgia" w:hAnsi="Georgia" w:cs="Calibri"/>
                <w:b/>
                <w:bCs/>
                <w:color w:val="404040"/>
                <w:sz w:val="20"/>
                <w:szCs w:val="20"/>
                <w:lang w:eastAsia="en-GB"/>
              </w:rPr>
            </w:pPr>
          </w:p>
        </w:tc>
        <w:tc>
          <w:tcPr>
            <w:tcW w:w="1532" w:type="dxa"/>
            <w:tcBorders>
              <w:top w:val="single" w:sz="4" w:space="0" w:color="auto"/>
              <w:left w:val="nil"/>
              <w:bottom w:val="single" w:sz="4" w:space="0" w:color="auto"/>
              <w:right w:val="nil"/>
            </w:tcBorders>
          </w:tcPr>
          <w:p w14:paraId="737A3A27" w14:textId="77777777" w:rsidR="007B66C1" w:rsidRPr="00BF6B45" w:rsidRDefault="007B66C1" w:rsidP="006F0858">
            <w:pPr>
              <w:jc w:val="right"/>
              <w:rPr>
                <w:rFonts w:ascii="Georgia" w:hAnsi="Georgia" w:cs="Calibri"/>
                <w:b/>
                <w:bCs/>
                <w:color w:val="404040"/>
                <w:sz w:val="20"/>
                <w:szCs w:val="20"/>
                <w:lang w:eastAsia="en-GB"/>
              </w:rPr>
            </w:pPr>
          </w:p>
        </w:tc>
        <w:tc>
          <w:tcPr>
            <w:tcW w:w="1533" w:type="dxa"/>
            <w:tcBorders>
              <w:top w:val="single" w:sz="4" w:space="0" w:color="auto"/>
              <w:left w:val="nil"/>
              <w:bottom w:val="single" w:sz="4" w:space="0" w:color="auto"/>
              <w:right w:val="nil"/>
            </w:tcBorders>
            <w:vAlign w:val="center"/>
          </w:tcPr>
          <w:p w14:paraId="3315E3ED" w14:textId="77777777" w:rsidR="007B66C1" w:rsidRPr="00BF6B45" w:rsidRDefault="007B66C1" w:rsidP="006F0858">
            <w:pPr>
              <w:jc w:val="right"/>
              <w:rPr>
                <w:rFonts w:ascii="Georgia" w:hAnsi="Georgia" w:cs="Calibri"/>
                <w:b/>
                <w:bCs/>
                <w:color w:val="404040"/>
                <w:sz w:val="20"/>
                <w:szCs w:val="20"/>
                <w:lang w:eastAsia="en-GB"/>
              </w:rPr>
            </w:pPr>
          </w:p>
        </w:tc>
      </w:tr>
      <w:tr w:rsidR="007B66C1" w:rsidRPr="00904E51" w14:paraId="786060F7" w14:textId="77777777" w:rsidTr="006F0858">
        <w:trPr>
          <w:trHeight w:val="315"/>
        </w:trPr>
        <w:tc>
          <w:tcPr>
            <w:tcW w:w="3119" w:type="dxa"/>
            <w:tcBorders>
              <w:top w:val="single" w:sz="4" w:space="0" w:color="auto"/>
            </w:tcBorders>
            <w:noWrap/>
            <w:vAlign w:val="center"/>
          </w:tcPr>
          <w:p w14:paraId="4C4E01BD" w14:textId="77777777" w:rsidR="007B66C1" w:rsidRPr="00BF6B45" w:rsidRDefault="007B66C1" w:rsidP="006F0858">
            <w:pPr>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Actual Distribution -2</w:t>
            </w:r>
          </w:p>
        </w:tc>
        <w:tc>
          <w:tcPr>
            <w:tcW w:w="1532" w:type="dxa"/>
            <w:tcBorders>
              <w:top w:val="single" w:sz="4" w:space="0" w:color="auto"/>
            </w:tcBorders>
            <w:vAlign w:val="center"/>
          </w:tcPr>
          <w:p w14:paraId="67A57FE8" w14:textId="77777777" w:rsidR="007B66C1" w:rsidRPr="000F6070" w:rsidRDefault="007B66C1" w:rsidP="006F0858">
            <w:pPr>
              <w:jc w:val="right"/>
              <w:rPr>
                <w:rFonts w:ascii="Georgia" w:hAnsi="Georgia" w:cs="Calibri"/>
                <w:b/>
                <w:bCs/>
                <w:color w:val="404040"/>
                <w:sz w:val="20"/>
                <w:szCs w:val="20"/>
                <w:lang w:eastAsia="en-GB"/>
              </w:rPr>
            </w:pPr>
            <w:r w:rsidRPr="000F6070">
              <w:rPr>
                <w:rFonts w:ascii="Georgia" w:hAnsi="Georgia" w:cs="Calibri"/>
                <w:b/>
                <w:bCs/>
                <w:color w:val="404040"/>
                <w:sz w:val="20"/>
                <w:szCs w:val="20"/>
                <w:lang w:eastAsia="en-GB"/>
              </w:rPr>
              <w:t>29.3</w:t>
            </w:r>
          </w:p>
        </w:tc>
        <w:tc>
          <w:tcPr>
            <w:tcW w:w="1532" w:type="dxa"/>
            <w:tcBorders>
              <w:top w:val="single" w:sz="4" w:space="0" w:color="auto"/>
            </w:tcBorders>
            <w:noWrap/>
            <w:vAlign w:val="center"/>
          </w:tcPr>
          <w:p w14:paraId="5328D5BA"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30.7</w:t>
            </w:r>
          </w:p>
        </w:tc>
        <w:tc>
          <w:tcPr>
            <w:tcW w:w="1532" w:type="dxa"/>
            <w:tcBorders>
              <w:top w:val="single" w:sz="4" w:space="0" w:color="auto"/>
            </w:tcBorders>
            <w:vAlign w:val="center"/>
          </w:tcPr>
          <w:p w14:paraId="609C105E"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27.5</w:t>
            </w:r>
          </w:p>
        </w:tc>
        <w:tc>
          <w:tcPr>
            <w:tcW w:w="1533" w:type="dxa"/>
            <w:tcBorders>
              <w:top w:val="single" w:sz="4" w:space="0" w:color="auto"/>
            </w:tcBorders>
            <w:vAlign w:val="center"/>
          </w:tcPr>
          <w:p w14:paraId="5E2CD125"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24.8</w:t>
            </w:r>
          </w:p>
        </w:tc>
      </w:tr>
      <w:tr w:rsidR="007B66C1" w:rsidRPr="00904E51" w14:paraId="3109532B" w14:textId="77777777" w:rsidTr="006F0858">
        <w:trPr>
          <w:trHeight w:val="315"/>
        </w:trPr>
        <w:tc>
          <w:tcPr>
            <w:tcW w:w="3119" w:type="dxa"/>
            <w:noWrap/>
            <w:vAlign w:val="center"/>
          </w:tcPr>
          <w:p w14:paraId="2474CC7B" w14:textId="77777777" w:rsidR="007B66C1" w:rsidRPr="00BF6B45" w:rsidRDefault="007B66C1" w:rsidP="006F0858">
            <w:pPr>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 xml:space="preserve">Underlying Earnings carried forward </w:t>
            </w:r>
          </w:p>
          <w:p w14:paraId="2FD56220" w14:textId="77777777" w:rsidR="007B66C1" w:rsidRPr="00BF6B45" w:rsidRDefault="007B66C1" w:rsidP="006F0858">
            <w:pPr>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(1-2)</w:t>
            </w:r>
          </w:p>
        </w:tc>
        <w:tc>
          <w:tcPr>
            <w:tcW w:w="1532" w:type="dxa"/>
          </w:tcPr>
          <w:p w14:paraId="28223E7E" w14:textId="77777777" w:rsidR="007B66C1" w:rsidRPr="000F6070" w:rsidRDefault="007B66C1" w:rsidP="006F0858">
            <w:pPr>
              <w:jc w:val="right"/>
              <w:rPr>
                <w:rFonts w:ascii="Georgia" w:hAnsi="Georgia" w:cs="Calibri"/>
                <w:b/>
                <w:bCs/>
                <w:color w:val="404040"/>
                <w:sz w:val="20"/>
                <w:szCs w:val="20"/>
                <w:lang w:eastAsia="en-GB"/>
              </w:rPr>
            </w:pPr>
          </w:p>
          <w:p w14:paraId="44C42B95" w14:textId="14E4C9F4" w:rsidR="007B66C1" w:rsidRPr="000F6070" w:rsidRDefault="00475CDA" w:rsidP="006F0858">
            <w:pPr>
              <w:jc w:val="right"/>
              <w:rPr>
                <w:rFonts w:ascii="Georgia" w:hAnsi="Georgia" w:cs="Calibri"/>
                <w:b/>
                <w:bCs/>
                <w:color w:val="404040"/>
                <w:sz w:val="20"/>
                <w:szCs w:val="20"/>
                <w:lang w:eastAsia="en-GB"/>
              </w:rPr>
            </w:pPr>
            <w:r>
              <w:rPr>
                <w:rFonts w:ascii="Georgia" w:hAnsi="Georgia" w:cs="Calibri"/>
                <w:b/>
                <w:bCs/>
                <w:color w:val="404040"/>
                <w:sz w:val="20"/>
                <w:szCs w:val="20"/>
                <w:lang w:eastAsia="en-GB"/>
              </w:rPr>
              <w:t>8.4</w:t>
            </w:r>
          </w:p>
        </w:tc>
        <w:tc>
          <w:tcPr>
            <w:tcW w:w="1532" w:type="dxa"/>
            <w:noWrap/>
          </w:tcPr>
          <w:p w14:paraId="34C8DBBB" w14:textId="77777777" w:rsidR="007B66C1" w:rsidRPr="00BF6B45" w:rsidRDefault="007B66C1" w:rsidP="006F0858">
            <w:pPr>
              <w:jc w:val="right"/>
              <w:rPr>
                <w:rFonts w:ascii="Georgia" w:hAnsi="Georgia" w:cs="Calibri"/>
                <w:b/>
                <w:bCs/>
                <w:color w:val="404040"/>
                <w:sz w:val="20"/>
                <w:szCs w:val="20"/>
                <w:lang w:eastAsia="en-GB"/>
              </w:rPr>
            </w:pPr>
          </w:p>
          <w:p w14:paraId="18A25E4B"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2.3</w:t>
            </w:r>
          </w:p>
        </w:tc>
        <w:tc>
          <w:tcPr>
            <w:tcW w:w="1532" w:type="dxa"/>
          </w:tcPr>
          <w:p w14:paraId="2808100E" w14:textId="77777777" w:rsidR="007B66C1" w:rsidRPr="00BF6B45" w:rsidRDefault="007B66C1" w:rsidP="006F0858">
            <w:pPr>
              <w:jc w:val="right"/>
              <w:rPr>
                <w:rFonts w:ascii="Georgia" w:hAnsi="Georgia" w:cs="Calibri"/>
                <w:b/>
                <w:bCs/>
                <w:color w:val="404040"/>
                <w:sz w:val="20"/>
                <w:szCs w:val="20"/>
                <w:lang w:eastAsia="en-GB"/>
              </w:rPr>
            </w:pPr>
          </w:p>
          <w:p w14:paraId="585CB463"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1.1</w:t>
            </w:r>
          </w:p>
        </w:tc>
        <w:tc>
          <w:tcPr>
            <w:tcW w:w="1533" w:type="dxa"/>
            <w:vAlign w:val="center"/>
          </w:tcPr>
          <w:p w14:paraId="778128DB" w14:textId="77777777" w:rsidR="007B66C1" w:rsidRPr="00BF6B45" w:rsidRDefault="007B66C1" w:rsidP="006F0858">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1.1</w:t>
            </w:r>
          </w:p>
        </w:tc>
      </w:tr>
    </w:tbl>
    <w:p w14:paraId="1FDEA83A" w14:textId="77777777" w:rsidR="00475CDA" w:rsidRDefault="00475CDA" w:rsidP="007B66C1">
      <w:pPr>
        <w:jc w:val="both"/>
        <w:rPr>
          <w:rFonts w:ascii="Georgia" w:hAnsi="Georgia" w:cs="Calibri"/>
          <w:color w:val="404040" w:themeColor="text1" w:themeTint="BF"/>
          <w:sz w:val="20"/>
          <w:szCs w:val="20"/>
        </w:rPr>
      </w:pPr>
    </w:p>
    <w:p w14:paraId="47686D4C" w14:textId="77777777" w:rsidR="00475CDA" w:rsidRDefault="00475CDA" w:rsidP="007B66C1">
      <w:pPr>
        <w:jc w:val="both"/>
        <w:rPr>
          <w:rFonts w:ascii="Georgia" w:hAnsi="Georgia" w:cs="Calibri"/>
          <w:color w:val="404040" w:themeColor="text1" w:themeTint="BF"/>
          <w:sz w:val="20"/>
          <w:szCs w:val="20"/>
        </w:rPr>
      </w:pPr>
    </w:p>
    <w:tbl>
      <w:tblPr>
        <w:tblStyle w:val="TableGrid5"/>
        <w:tblW w:w="9248" w:type="dxa"/>
        <w:tblInd w:w="108" w:type="dxa"/>
        <w:tblLayout w:type="fixed"/>
        <w:tblLook w:val="04A0" w:firstRow="1" w:lastRow="0" w:firstColumn="1" w:lastColumn="0" w:noHBand="0" w:noVBand="1"/>
      </w:tblPr>
      <w:tblGrid>
        <w:gridCol w:w="3119"/>
        <w:gridCol w:w="1532"/>
        <w:gridCol w:w="1532"/>
        <w:gridCol w:w="1532"/>
        <w:gridCol w:w="1533"/>
      </w:tblGrid>
      <w:tr w:rsidR="000E3577" w:rsidRPr="00904E51" w14:paraId="51EF09DA" w14:textId="77777777" w:rsidTr="00841ED2">
        <w:trPr>
          <w:trHeight w:val="315"/>
        </w:trPr>
        <w:tc>
          <w:tcPr>
            <w:tcW w:w="3119" w:type="dxa"/>
            <w:tcBorders>
              <w:top w:val="single" w:sz="4" w:space="0" w:color="auto"/>
            </w:tcBorders>
            <w:noWrap/>
            <w:vAlign w:val="center"/>
          </w:tcPr>
          <w:p w14:paraId="2667AEF6" w14:textId="77777777" w:rsidR="000E3577" w:rsidRPr="00BF6B45" w:rsidRDefault="000E3577" w:rsidP="000E3577">
            <w:pPr>
              <w:rPr>
                <w:rFonts w:ascii="Georgia" w:hAnsi="Georgia" w:cs="Calibri"/>
                <w:b/>
                <w:bCs/>
                <w:color w:val="404040"/>
                <w:sz w:val="20"/>
                <w:szCs w:val="20"/>
                <w:lang w:eastAsia="en-GB"/>
              </w:rPr>
            </w:pPr>
          </w:p>
        </w:tc>
        <w:tc>
          <w:tcPr>
            <w:tcW w:w="1532" w:type="dxa"/>
            <w:tcBorders>
              <w:top w:val="single" w:sz="4" w:space="0" w:color="auto"/>
            </w:tcBorders>
          </w:tcPr>
          <w:p w14:paraId="62DA52CB"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6CA721F1"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20 </w:t>
            </w:r>
          </w:p>
          <w:p w14:paraId="497479B9" w14:textId="62CDFF7A" w:rsidR="000E3577" w:rsidRPr="000F6070" w:rsidRDefault="000E3577" w:rsidP="000E3577">
            <w:pPr>
              <w:jc w:val="right"/>
              <w:rPr>
                <w:rFonts w:ascii="Georgia" w:hAnsi="Georgia" w:cs="Calibri"/>
                <w:b/>
                <w:bCs/>
                <w:color w:val="404040"/>
                <w:sz w:val="20"/>
                <w:szCs w:val="20"/>
                <w:lang w:eastAsia="en-GB"/>
              </w:rPr>
            </w:pPr>
            <w:r w:rsidRPr="00BF6B45">
              <w:rPr>
                <w:rFonts w:ascii="Georgia" w:hAnsi="Georgia" w:cs="Calibri"/>
                <w:color w:val="404040"/>
                <w:sz w:val="20"/>
                <w:szCs w:val="20"/>
                <w:lang w:eastAsia="en-GB"/>
              </w:rPr>
              <w:t xml:space="preserve"> (£m)</w:t>
            </w:r>
          </w:p>
        </w:tc>
        <w:tc>
          <w:tcPr>
            <w:tcW w:w="1532" w:type="dxa"/>
            <w:tcBorders>
              <w:top w:val="single" w:sz="4" w:space="0" w:color="auto"/>
            </w:tcBorders>
            <w:noWrap/>
          </w:tcPr>
          <w:p w14:paraId="13CEDEF0"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024B5B15"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19 </w:t>
            </w:r>
          </w:p>
          <w:p w14:paraId="64C52F1C" w14:textId="1FF1E975" w:rsidR="000E3577" w:rsidRPr="00BF6B45" w:rsidRDefault="000E3577" w:rsidP="000E3577">
            <w:pPr>
              <w:jc w:val="right"/>
              <w:rPr>
                <w:rFonts w:ascii="Georgia" w:hAnsi="Georgia" w:cs="Calibri"/>
                <w:b/>
                <w:bCs/>
                <w:color w:val="404040"/>
                <w:sz w:val="20"/>
                <w:szCs w:val="20"/>
                <w:lang w:eastAsia="en-GB"/>
              </w:rPr>
            </w:pPr>
            <w:r w:rsidRPr="00BF6B45">
              <w:rPr>
                <w:rFonts w:ascii="Georgia" w:hAnsi="Georgia" w:cs="Calibri"/>
                <w:color w:val="404040"/>
                <w:sz w:val="20"/>
                <w:szCs w:val="20"/>
                <w:lang w:eastAsia="en-GB"/>
              </w:rPr>
              <w:t xml:space="preserve"> (£m)</w:t>
            </w:r>
          </w:p>
        </w:tc>
        <w:tc>
          <w:tcPr>
            <w:tcW w:w="1532" w:type="dxa"/>
            <w:tcBorders>
              <w:top w:val="single" w:sz="4" w:space="0" w:color="auto"/>
            </w:tcBorders>
          </w:tcPr>
          <w:p w14:paraId="1E95E328"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7738421B"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18 </w:t>
            </w:r>
          </w:p>
          <w:p w14:paraId="5C6B102C" w14:textId="444CF813" w:rsidR="000E3577" w:rsidRPr="00BF6B45" w:rsidRDefault="000E3577" w:rsidP="000E3577">
            <w:pPr>
              <w:jc w:val="right"/>
              <w:rPr>
                <w:rFonts w:ascii="Georgia" w:hAnsi="Georgia" w:cs="Calibri"/>
                <w:b/>
                <w:bCs/>
                <w:color w:val="404040"/>
                <w:sz w:val="20"/>
                <w:szCs w:val="20"/>
                <w:lang w:eastAsia="en-GB"/>
              </w:rPr>
            </w:pPr>
            <w:r w:rsidRPr="00BF6B45">
              <w:rPr>
                <w:rFonts w:ascii="Georgia" w:hAnsi="Georgia" w:cs="Calibri"/>
                <w:color w:val="404040"/>
                <w:sz w:val="20"/>
                <w:szCs w:val="20"/>
                <w:lang w:eastAsia="en-GB"/>
              </w:rPr>
              <w:t xml:space="preserve"> (£m)</w:t>
            </w:r>
          </w:p>
        </w:tc>
        <w:tc>
          <w:tcPr>
            <w:tcW w:w="1533" w:type="dxa"/>
            <w:tcBorders>
              <w:top w:val="single" w:sz="4" w:space="0" w:color="auto"/>
            </w:tcBorders>
            <w:vAlign w:val="center"/>
          </w:tcPr>
          <w:p w14:paraId="57D5CAE4"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Full year to </w:t>
            </w:r>
          </w:p>
          <w:p w14:paraId="3FD56C70" w14:textId="77777777" w:rsidR="000E3577" w:rsidRPr="00BF6B45" w:rsidRDefault="000E3577" w:rsidP="000E3577">
            <w:pPr>
              <w:jc w:val="center"/>
              <w:rPr>
                <w:rFonts w:ascii="Georgia" w:hAnsi="Georgia" w:cs="Calibri"/>
                <w:color w:val="404040"/>
                <w:sz w:val="20"/>
                <w:szCs w:val="20"/>
                <w:lang w:eastAsia="en-GB"/>
              </w:rPr>
            </w:pPr>
            <w:r w:rsidRPr="00BF6B45">
              <w:rPr>
                <w:rFonts w:ascii="Georgia" w:hAnsi="Georgia" w:cs="Calibri"/>
                <w:color w:val="404040"/>
                <w:sz w:val="20"/>
                <w:szCs w:val="20"/>
                <w:lang w:eastAsia="en-GB"/>
              </w:rPr>
              <w:t xml:space="preserve">30 June 17 </w:t>
            </w:r>
          </w:p>
          <w:p w14:paraId="092B01C1" w14:textId="79ADD5D5" w:rsidR="000E3577" w:rsidRPr="00BF6B45" w:rsidRDefault="000E3577" w:rsidP="000E3577">
            <w:pPr>
              <w:jc w:val="right"/>
              <w:rPr>
                <w:rFonts w:ascii="Georgia" w:hAnsi="Georgia" w:cs="Calibri"/>
                <w:b/>
                <w:bCs/>
                <w:color w:val="404040"/>
                <w:sz w:val="20"/>
                <w:szCs w:val="20"/>
                <w:lang w:eastAsia="en-GB"/>
              </w:rPr>
            </w:pPr>
            <w:r w:rsidRPr="00BF6B45">
              <w:rPr>
                <w:rFonts w:ascii="Georgia" w:hAnsi="Georgia" w:cs="Calibri"/>
                <w:color w:val="404040"/>
                <w:sz w:val="20"/>
                <w:szCs w:val="20"/>
                <w:lang w:eastAsia="en-GB"/>
              </w:rPr>
              <w:t xml:space="preserve"> (£m)</w:t>
            </w:r>
          </w:p>
        </w:tc>
      </w:tr>
      <w:tr w:rsidR="00475CDA" w:rsidRPr="00904E51" w14:paraId="4B7EBE0E" w14:textId="77777777" w:rsidTr="00790246">
        <w:trPr>
          <w:trHeight w:val="315"/>
        </w:trPr>
        <w:tc>
          <w:tcPr>
            <w:tcW w:w="3119" w:type="dxa"/>
            <w:noWrap/>
            <w:vAlign w:val="center"/>
          </w:tcPr>
          <w:p w14:paraId="5A59C7A3" w14:textId="77777777" w:rsidR="00475CDA" w:rsidRPr="00BF6B45" w:rsidRDefault="00475CDA" w:rsidP="00790246">
            <w:pPr>
              <w:rPr>
                <w:rFonts w:ascii="Georgia" w:hAnsi="Georgia" w:cs="Calibri"/>
                <w:b/>
                <w:bCs/>
                <w:color w:val="404040"/>
                <w:sz w:val="20"/>
                <w:szCs w:val="20"/>
                <w:lang w:eastAsia="en-GB"/>
              </w:rPr>
            </w:pPr>
            <w:r>
              <w:rPr>
                <w:rFonts w:ascii="Georgia" w:hAnsi="Georgia" w:cs="Calibri"/>
                <w:b/>
                <w:bCs/>
                <w:color w:val="404040"/>
                <w:sz w:val="20"/>
                <w:szCs w:val="20"/>
                <w:lang w:eastAsia="en-GB"/>
              </w:rPr>
              <w:t>Excess Distribution Paid</w:t>
            </w:r>
          </w:p>
        </w:tc>
        <w:tc>
          <w:tcPr>
            <w:tcW w:w="1532" w:type="dxa"/>
          </w:tcPr>
          <w:p w14:paraId="414C9114" w14:textId="77777777" w:rsidR="00475CDA" w:rsidRPr="000F6070" w:rsidRDefault="00475CDA" w:rsidP="00790246">
            <w:pPr>
              <w:jc w:val="right"/>
              <w:rPr>
                <w:rFonts w:ascii="Georgia" w:hAnsi="Georgia" w:cs="Calibri"/>
                <w:b/>
                <w:bCs/>
                <w:color w:val="404040"/>
                <w:sz w:val="20"/>
                <w:szCs w:val="20"/>
                <w:lang w:eastAsia="en-GB"/>
              </w:rPr>
            </w:pPr>
          </w:p>
          <w:p w14:paraId="31669671" w14:textId="77777777" w:rsidR="00475CDA" w:rsidRPr="000F6070" w:rsidRDefault="00475CDA" w:rsidP="00790246">
            <w:pPr>
              <w:jc w:val="right"/>
              <w:rPr>
                <w:rFonts w:ascii="Georgia" w:hAnsi="Georgia" w:cs="Calibri"/>
                <w:b/>
                <w:bCs/>
                <w:color w:val="404040"/>
                <w:sz w:val="20"/>
                <w:szCs w:val="20"/>
                <w:lang w:eastAsia="en-GB"/>
              </w:rPr>
            </w:pPr>
            <w:r>
              <w:rPr>
                <w:rFonts w:ascii="Georgia" w:hAnsi="Georgia" w:cs="Calibri"/>
                <w:b/>
                <w:bCs/>
                <w:color w:val="404040"/>
                <w:sz w:val="20"/>
                <w:szCs w:val="20"/>
                <w:lang w:eastAsia="en-GB"/>
              </w:rPr>
              <w:t>0</w:t>
            </w:r>
          </w:p>
        </w:tc>
        <w:tc>
          <w:tcPr>
            <w:tcW w:w="1532" w:type="dxa"/>
            <w:noWrap/>
          </w:tcPr>
          <w:p w14:paraId="47A62F4A" w14:textId="77777777" w:rsidR="00475CDA" w:rsidRPr="00BF6B45" w:rsidRDefault="00475CDA" w:rsidP="00790246">
            <w:pPr>
              <w:jc w:val="right"/>
              <w:rPr>
                <w:rFonts w:ascii="Georgia" w:hAnsi="Georgia" w:cs="Calibri"/>
                <w:b/>
                <w:bCs/>
                <w:color w:val="404040"/>
                <w:sz w:val="20"/>
                <w:szCs w:val="20"/>
                <w:lang w:eastAsia="en-GB"/>
              </w:rPr>
            </w:pPr>
          </w:p>
          <w:p w14:paraId="4D70F33D" w14:textId="77777777" w:rsidR="00475CDA" w:rsidRPr="00BF6B45" w:rsidRDefault="00475CDA" w:rsidP="00790246">
            <w:pPr>
              <w:jc w:val="right"/>
              <w:rPr>
                <w:rFonts w:ascii="Georgia" w:hAnsi="Georgia" w:cs="Calibri"/>
                <w:b/>
                <w:bCs/>
                <w:color w:val="404040"/>
                <w:sz w:val="20"/>
                <w:szCs w:val="20"/>
                <w:lang w:eastAsia="en-GB"/>
              </w:rPr>
            </w:pPr>
            <w:r w:rsidRPr="00BF6B45">
              <w:rPr>
                <w:rFonts w:ascii="Georgia" w:hAnsi="Georgia" w:cs="Calibri"/>
                <w:b/>
                <w:bCs/>
                <w:color w:val="404040"/>
                <w:sz w:val="20"/>
                <w:szCs w:val="20"/>
                <w:lang w:eastAsia="en-GB"/>
              </w:rPr>
              <w:t>2.3</w:t>
            </w:r>
          </w:p>
        </w:tc>
        <w:tc>
          <w:tcPr>
            <w:tcW w:w="1532" w:type="dxa"/>
          </w:tcPr>
          <w:p w14:paraId="01303E56" w14:textId="77777777" w:rsidR="00475CDA" w:rsidRPr="00BF6B45" w:rsidRDefault="00475CDA" w:rsidP="00790246">
            <w:pPr>
              <w:jc w:val="right"/>
              <w:rPr>
                <w:rFonts w:ascii="Georgia" w:hAnsi="Georgia" w:cs="Calibri"/>
                <w:b/>
                <w:bCs/>
                <w:color w:val="404040"/>
                <w:sz w:val="20"/>
                <w:szCs w:val="20"/>
                <w:lang w:eastAsia="en-GB"/>
              </w:rPr>
            </w:pPr>
          </w:p>
          <w:p w14:paraId="32D40E2F" w14:textId="77777777" w:rsidR="00475CDA" w:rsidRPr="00BF6B45" w:rsidRDefault="00475CDA" w:rsidP="00790246">
            <w:pPr>
              <w:jc w:val="right"/>
              <w:rPr>
                <w:rFonts w:ascii="Georgia" w:hAnsi="Georgia" w:cs="Calibri"/>
                <w:b/>
                <w:bCs/>
                <w:color w:val="404040"/>
                <w:sz w:val="20"/>
                <w:szCs w:val="20"/>
                <w:lang w:eastAsia="en-GB"/>
              </w:rPr>
            </w:pPr>
            <w:r>
              <w:rPr>
                <w:rFonts w:ascii="Georgia" w:hAnsi="Georgia" w:cs="Calibri"/>
                <w:b/>
                <w:bCs/>
                <w:color w:val="404040"/>
                <w:sz w:val="20"/>
                <w:szCs w:val="20"/>
                <w:lang w:eastAsia="en-GB"/>
              </w:rPr>
              <w:t>0</w:t>
            </w:r>
          </w:p>
        </w:tc>
        <w:tc>
          <w:tcPr>
            <w:tcW w:w="1533" w:type="dxa"/>
            <w:vAlign w:val="center"/>
          </w:tcPr>
          <w:p w14:paraId="0C30E99C" w14:textId="77777777" w:rsidR="00475CDA" w:rsidRPr="00BF6B45" w:rsidRDefault="00475CDA" w:rsidP="00790246">
            <w:pPr>
              <w:jc w:val="right"/>
              <w:rPr>
                <w:rFonts w:ascii="Georgia" w:hAnsi="Georgia" w:cs="Calibri"/>
                <w:b/>
                <w:bCs/>
                <w:color w:val="404040"/>
                <w:sz w:val="20"/>
                <w:szCs w:val="20"/>
                <w:lang w:eastAsia="en-GB"/>
              </w:rPr>
            </w:pPr>
            <w:r>
              <w:rPr>
                <w:rFonts w:ascii="Georgia" w:hAnsi="Georgia" w:cs="Calibri"/>
                <w:b/>
                <w:bCs/>
                <w:color w:val="404040"/>
                <w:sz w:val="20"/>
                <w:szCs w:val="20"/>
                <w:lang w:eastAsia="en-GB"/>
              </w:rPr>
              <w:t>0.2</w:t>
            </w:r>
          </w:p>
        </w:tc>
      </w:tr>
    </w:tbl>
    <w:p w14:paraId="7E78DCD7" w14:textId="77777777" w:rsidR="00475CDA" w:rsidRDefault="00475CDA" w:rsidP="007B66C1">
      <w:pPr>
        <w:jc w:val="both"/>
        <w:rPr>
          <w:rFonts w:ascii="Georgia" w:hAnsi="Georgia" w:cs="Calibri"/>
          <w:color w:val="404040" w:themeColor="text1" w:themeTint="BF"/>
          <w:sz w:val="20"/>
          <w:szCs w:val="20"/>
        </w:rPr>
      </w:pPr>
    </w:p>
    <w:p w14:paraId="4E663B65" w14:textId="77777777" w:rsidR="00475CDA" w:rsidRDefault="00475CDA" w:rsidP="007B66C1">
      <w:pPr>
        <w:jc w:val="both"/>
        <w:rPr>
          <w:rFonts w:ascii="Georgia" w:hAnsi="Georgia" w:cs="Calibri"/>
          <w:color w:val="404040" w:themeColor="text1" w:themeTint="BF"/>
          <w:sz w:val="20"/>
          <w:szCs w:val="20"/>
        </w:rPr>
      </w:pPr>
    </w:p>
    <w:p w14:paraId="1CBC7779" w14:textId="0CA73334" w:rsidR="007B66C1" w:rsidRPr="00BF6B45" w:rsidRDefault="007B66C1" w:rsidP="007B66C1">
      <w:pPr>
        <w:jc w:val="both"/>
        <w:rPr>
          <w:rFonts w:ascii="Georgia" w:hAnsi="Georgia" w:cs="Calibri"/>
          <w:color w:val="404040" w:themeColor="text1" w:themeTint="BF"/>
          <w:sz w:val="20"/>
          <w:szCs w:val="20"/>
        </w:rPr>
      </w:pPr>
      <w:r w:rsidRPr="00BF6B45">
        <w:rPr>
          <w:rFonts w:ascii="Georgia" w:hAnsi="Georgia" w:cs="Calibri"/>
          <w:color w:val="404040" w:themeColor="text1" w:themeTint="BF"/>
          <w:sz w:val="20"/>
          <w:szCs w:val="20"/>
        </w:rPr>
        <w:t>*</w:t>
      </w:r>
      <w:r w:rsidR="00790246" w:rsidRPr="00790246">
        <w:rPr>
          <w:rFonts w:ascii="Georgia" w:hAnsi="Georgia" w:cs="Calibri"/>
          <w:color w:val="404040" w:themeColor="text1" w:themeTint="BF"/>
          <w:sz w:val="20"/>
          <w:szCs w:val="20"/>
        </w:rPr>
        <w:t xml:space="preserve"> </w:t>
      </w:r>
      <w:r w:rsidR="00790246" w:rsidRPr="00BF6B45">
        <w:rPr>
          <w:rFonts w:ascii="Georgia" w:hAnsi="Georgia" w:cs="Calibri"/>
          <w:color w:val="404040" w:themeColor="text1" w:themeTint="BF"/>
          <w:sz w:val="20"/>
          <w:szCs w:val="20"/>
        </w:rPr>
        <w:t>Other Revenue includes</w:t>
      </w:r>
      <w:r w:rsidR="00790246">
        <w:rPr>
          <w:rFonts w:ascii="Georgia" w:hAnsi="Georgia" w:cs="Calibri"/>
          <w:color w:val="404040" w:themeColor="text1" w:themeTint="BF"/>
          <w:sz w:val="20"/>
          <w:szCs w:val="20"/>
        </w:rPr>
        <w:t xml:space="preserve"> ROC mutualisation, ROC recycle late payment CP 17,</w:t>
      </w:r>
      <w:r w:rsidR="00790246" w:rsidRPr="00BF6B45">
        <w:rPr>
          <w:rFonts w:ascii="Georgia" w:hAnsi="Georgia" w:cs="Calibri"/>
          <w:color w:val="404040" w:themeColor="text1" w:themeTint="BF"/>
          <w:sz w:val="20"/>
          <w:szCs w:val="20"/>
        </w:rPr>
        <w:t xml:space="preserve"> insurance proceeds, O&amp;M settlement agreements and rebates received</w:t>
      </w:r>
      <w:r w:rsidR="00482CDC">
        <w:rPr>
          <w:rFonts w:ascii="Georgia" w:hAnsi="Georgia" w:cs="Calibri"/>
          <w:color w:val="404040" w:themeColor="text1" w:themeTint="BF"/>
          <w:sz w:val="20"/>
          <w:szCs w:val="20"/>
        </w:rPr>
        <w:t>.</w:t>
      </w:r>
    </w:p>
    <w:p w14:paraId="05402C76" w14:textId="29289BD4" w:rsidR="007B66C1" w:rsidRPr="00CB0978" w:rsidRDefault="007B66C1" w:rsidP="007B66C1">
      <w:pPr>
        <w:jc w:val="both"/>
        <w:rPr>
          <w:rFonts w:ascii="Georgia" w:hAnsi="Georgia" w:cs="Calibri"/>
          <w:color w:val="404040" w:themeColor="text1" w:themeTint="BF"/>
          <w:sz w:val="20"/>
          <w:szCs w:val="20"/>
        </w:rPr>
      </w:pPr>
      <w:r w:rsidRPr="00BF6B45">
        <w:rPr>
          <w:rFonts w:ascii="Georgia" w:hAnsi="Georgia" w:cs="Calibri"/>
          <w:color w:val="404040" w:themeColor="text1" w:themeTint="BF"/>
          <w:sz w:val="20"/>
          <w:szCs w:val="20"/>
        </w:rPr>
        <w:t xml:space="preserve">#Includes the Company and BSIFIL </w:t>
      </w:r>
      <w:r w:rsidRPr="00CB0978">
        <w:rPr>
          <w:rFonts w:ascii="Georgia" w:hAnsi="Georgia" w:cs="Calibri"/>
          <w:color w:val="404040" w:themeColor="text1" w:themeTint="BF"/>
          <w:sz w:val="20"/>
          <w:szCs w:val="20"/>
        </w:rPr>
        <w:t>(</w:t>
      </w:r>
      <w:r w:rsidR="00392581">
        <w:rPr>
          <w:rFonts w:ascii="Georgia" w:hAnsi="Georgia" w:cs="Calibri"/>
          <w:color w:val="404040" w:themeColor="text1" w:themeTint="BF"/>
          <w:sz w:val="20"/>
          <w:szCs w:val="20"/>
        </w:rPr>
        <w:t xml:space="preserve">included </w:t>
      </w:r>
      <w:r w:rsidRPr="00CB0978">
        <w:rPr>
          <w:rFonts w:ascii="Georgia" w:hAnsi="Georgia" w:cs="Calibri"/>
          <w:color w:val="404040" w:themeColor="text1" w:themeTint="BF"/>
          <w:sz w:val="20"/>
          <w:szCs w:val="20"/>
        </w:rPr>
        <w:t xml:space="preserve">within BSIFIL </w:t>
      </w:r>
      <w:r w:rsidR="00392581">
        <w:rPr>
          <w:rFonts w:ascii="Georgia" w:hAnsi="Georgia" w:cs="Calibri"/>
          <w:color w:val="404040" w:themeColor="text1" w:themeTint="BF"/>
          <w:sz w:val="20"/>
          <w:szCs w:val="20"/>
        </w:rPr>
        <w:t xml:space="preserve">is </w:t>
      </w:r>
      <w:r w:rsidRPr="00CB0978">
        <w:rPr>
          <w:rFonts w:ascii="Georgia" w:hAnsi="Georgia" w:cs="Calibri"/>
          <w:color w:val="404040" w:themeColor="text1" w:themeTint="BF"/>
          <w:sz w:val="20"/>
          <w:szCs w:val="20"/>
        </w:rPr>
        <w:t xml:space="preserve">a group tax charge of </w:t>
      </w:r>
      <w:r w:rsidR="00CB0978" w:rsidRPr="00475D47">
        <w:rPr>
          <w:rFonts w:ascii="Georgia" w:hAnsi="Georgia" w:cs="Calibri"/>
          <w:color w:val="404040" w:themeColor="text1" w:themeTint="BF"/>
          <w:sz w:val="20"/>
          <w:szCs w:val="20"/>
        </w:rPr>
        <w:t>£1</w:t>
      </w:r>
      <w:r w:rsidR="008660FC" w:rsidRPr="00475D47">
        <w:rPr>
          <w:rFonts w:ascii="Georgia" w:hAnsi="Georgia" w:cs="Calibri"/>
          <w:color w:val="404040" w:themeColor="text1" w:themeTint="BF"/>
          <w:sz w:val="20"/>
          <w:szCs w:val="20"/>
        </w:rPr>
        <w:t>.</w:t>
      </w:r>
      <w:r w:rsidR="00CB0978" w:rsidRPr="00475D47">
        <w:rPr>
          <w:rFonts w:ascii="Georgia" w:hAnsi="Georgia" w:cs="Calibri"/>
          <w:color w:val="404040" w:themeColor="text1" w:themeTint="BF"/>
          <w:sz w:val="20"/>
          <w:szCs w:val="20"/>
        </w:rPr>
        <w:t xml:space="preserve">2m </w:t>
      </w:r>
      <w:r w:rsidR="00392581">
        <w:rPr>
          <w:rFonts w:ascii="Georgia" w:hAnsi="Georgia" w:cs="Calibri"/>
          <w:color w:val="404040" w:themeColor="text1" w:themeTint="BF"/>
          <w:sz w:val="20"/>
          <w:szCs w:val="20"/>
        </w:rPr>
        <w:t xml:space="preserve">vs </w:t>
      </w:r>
      <w:r w:rsidRPr="00CB0978">
        <w:rPr>
          <w:rFonts w:ascii="Georgia" w:hAnsi="Georgia" w:cs="Calibri"/>
          <w:color w:val="404040" w:themeColor="text1" w:themeTint="BF"/>
          <w:sz w:val="20"/>
          <w:szCs w:val="20"/>
        </w:rPr>
        <w:t>£284k</w:t>
      </w:r>
      <w:r w:rsidR="00CB0978" w:rsidRPr="00CB0978">
        <w:rPr>
          <w:rFonts w:ascii="Georgia" w:hAnsi="Georgia" w:cs="Calibri"/>
          <w:color w:val="404040" w:themeColor="text1" w:themeTint="BF"/>
          <w:sz w:val="20"/>
          <w:szCs w:val="20"/>
        </w:rPr>
        <w:t xml:space="preserve"> June 2019)</w:t>
      </w:r>
      <w:r w:rsidR="00482CDC">
        <w:rPr>
          <w:rFonts w:ascii="Georgia" w:hAnsi="Georgia" w:cs="Calibri"/>
          <w:color w:val="404040" w:themeColor="text1" w:themeTint="BF"/>
          <w:sz w:val="20"/>
          <w:szCs w:val="20"/>
        </w:rPr>
        <w:t>.</w:t>
      </w:r>
    </w:p>
    <w:p w14:paraId="09F653A2" w14:textId="77777777" w:rsidR="007B66C1" w:rsidRPr="00EF6464" w:rsidRDefault="007B66C1" w:rsidP="007B66C1">
      <w:pPr>
        <w:jc w:val="both"/>
        <w:rPr>
          <w:rFonts w:ascii="Georgia" w:hAnsi="Georgia" w:cs="Calibri"/>
          <w:color w:val="404040" w:themeColor="text1" w:themeTint="BF"/>
          <w:sz w:val="20"/>
          <w:szCs w:val="20"/>
        </w:rPr>
      </w:pPr>
      <w:r w:rsidRPr="00EF6464">
        <w:rPr>
          <w:rFonts w:ascii="Georgia" w:hAnsi="Georgia" w:cs="Calibri"/>
          <w:color w:val="404040" w:themeColor="text1" w:themeTint="BF"/>
          <w:sz w:val="20"/>
          <w:szCs w:val="20"/>
        </w:rPr>
        <w:t>**Excludes one-off transaction costs and the release of up-front fees related to the Company’s debt facilities</w:t>
      </w:r>
    </w:p>
    <w:p w14:paraId="49F31A22" w14:textId="77777777" w:rsidR="007B66C1" w:rsidRPr="00EF6464" w:rsidRDefault="007B66C1" w:rsidP="007B66C1">
      <w:pPr>
        <w:jc w:val="both"/>
        <w:rPr>
          <w:rFonts w:ascii="Georgia" w:hAnsi="Georgia" w:cs="Calibri"/>
          <w:color w:val="404040" w:themeColor="text1" w:themeTint="BF"/>
          <w:sz w:val="20"/>
          <w:szCs w:val="20"/>
        </w:rPr>
      </w:pPr>
      <w:r w:rsidRPr="00EF6464">
        <w:rPr>
          <w:rFonts w:ascii="Georgia" w:hAnsi="Georgia" w:cs="Calibri"/>
          <w:color w:val="404040" w:themeColor="text1" w:themeTint="BF"/>
          <w:sz w:val="20"/>
          <w:szCs w:val="20"/>
        </w:rPr>
        <w:t xml:space="preserve">***Target distribution is based on funds required for total target dividend for each financial period.  </w:t>
      </w:r>
    </w:p>
    <w:p w14:paraId="0E3E719B" w14:textId="62ACFA7F" w:rsidR="007B66C1" w:rsidRDefault="007B66C1" w:rsidP="007B66C1">
      <w:pPr>
        <w:pStyle w:val="ListParagraph"/>
        <w:jc w:val="both"/>
        <w:rPr>
          <w:rFonts w:ascii="Georgia" w:hAnsi="Georgia"/>
          <w:color w:val="404040" w:themeColor="text1" w:themeTint="BF"/>
          <w:sz w:val="20"/>
          <w:szCs w:val="20"/>
          <w:highlight w:val="yellow"/>
        </w:rPr>
      </w:pPr>
    </w:p>
    <w:p w14:paraId="2112D625" w14:textId="77777777" w:rsidR="00475CDA" w:rsidRPr="00904E51" w:rsidRDefault="00475CDA" w:rsidP="007B66C1">
      <w:pPr>
        <w:pStyle w:val="ListParagraph"/>
        <w:jc w:val="both"/>
        <w:rPr>
          <w:rFonts w:ascii="Georgia" w:hAnsi="Georgia"/>
          <w:color w:val="404040" w:themeColor="text1" w:themeTint="BF"/>
          <w:sz w:val="20"/>
          <w:szCs w:val="20"/>
          <w:highlight w:val="yellow"/>
        </w:rPr>
      </w:pPr>
    </w:p>
    <w:p w14:paraId="61F234AD" w14:textId="77777777" w:rsidR="00F40822" w:rsidRPr="00BF6B45" w:rsidRDefault="00F40822" w:rsidP="00F40822">
      <w:pPr>
        <w:pStyle w:val="Heading2"/>
        <w:spacing w:before="0"/>
      </w:pPr>
      <w:r w:rsidRPr="00BF6B45">
        <w:lastRenderedPageBreak/>
        <w:t>Report of the Investment Adviser (continued)</w:t>
      </w:r>
    </w:p>
    <w:p w14:paraId="23DBBD0C" w14:textId="77777777" w:rsidR="00F40822" w:rsidRPr="00BF6B45" w:rsidRDefault="00F40822" w:rsidP="00F40822">
      <w:pPr>
        <w:rPr>
          <w:rFonts w:ascii="Georgia" w:hAnsi="Georgia" w:cs="Calibri"/>
          <w:b/>
          <w:color w:val="404040" w:themeColor="text1" w:themeTint="BF"/>
          <w:sz w:val="20"/>
          <w:szCs w:val="20"/>
        </w:rPr>
      </w:pPr>
    </w:p>
    <w:p w14:paraId="3FF033ED" w14:textId="77777777" w:rsidR="00F40822" w:rsidRPr="00BF6B45" w:rsidRDefault="00F40822" w:rsidP="00F40822">
      <w:pPr>
        <w:rPr>
          <w:rFonts w:ascii="Georgia" w:hAnsi="Georgia" w:cs="Calibri"/>
          <w:b/>
          <w:color w:val="404040" w:themeColor="text1" w:themeTint="BF"/>
          <w:sz w:val="18"/>
        </w:rPr>
      </w:pPr>
      <w:r w:rsidRPr="00BF6B45">
        <w:rPr>
          <w:rFonts w:ascii="Georgia" w:hAnsi="Georgia" w:cs="Calibri"/>
          <w:b/>
          <w:color w:val="404040" w:themeColor="text1" w:themeTint="BF"/>
          <w:sz w:val="20"/>
        </w:rPr>
        <w:t>3. Analysis of underlying earnings (continued)</w:t>
      </w:r>
    </w:p>
    <w:p w14:paraId="7D04D845" w14:textId="77777777" w:rsidR="00F40822" w:rsidRPr="00BF6B45" w:rsidRDefault="00F40822" w:rsidP="00F40822">
      <w:pPr>
        <w:contextualSpacing/>
        <w:jc w:val="both"/>
        <w:rPr>
          <w:rFonts w:ascii="Georgia" w:hAnsi="Georgia"/>
          <w:b/>
          <w:color w:val="404040" w:themeColor="text1" w:themeTint="BF"/>
          <w:sz w:val="20"/>
          <w:szCs w:val="20"/>
        </w:rPr>
      </w:pPr>
    </w:p>
    <w:p w14:paraId="3DE9D2B7" w14:textId="77777777" w:rsidR="00F40822" w:rsidRPr="00BF6B45" w:rsidRDefault="00F40822" w:rsidP="00F40822">
      <w:pPr>
        <w:jc w:val="both"/>
        <w:rPr>
          <w:rFonts w:ascii="Georgia" w:hAnsi="Georgia" w:cs="Calibri"/>
          <w:i/>
          <w:color w:val="404040" w:themeColor="text1" w:themeTint="BF"/>
          <w:sz w:val="20"/>
          <w:szCs w:val="20"/>
        </w:rPr>
      </w:pPr>
      <w:r w:rsidRPr="00BF6B45">
        <w:rPr>
          <w:rFonts w:ascii="Georgia" w:hAnsi="Georgia" w:cs="Calibri"/>
          <w:i/>
          <w:color w:val="404040" w:themeColor="text1" w:themeTint="BF"/>
          <w:sz w:val="20"/>
          <w:szCs w:val="20"/>
        </w:rPr>
        <w:t>Underlying Portfolio Earnings (continued)</w:t>
      </w:r>
    </w:p>
    <w:p w14:paraId="5E9321E4" w14:textId="77777777" w:rsidR="00F40822" w:rsidRDefault="00F40822" w:rsidP="007B66C1">
      <w:pPr>
        <w:jc w:val="both"/>
        <w:rPr>
          <w:rFonts w:ascii="Georgia" w:hAnsi="Georgia"/>
          <w:color w:val="404040" w:themeColor="text1" w:themeTint="BF"/>
          <w:sz w:val="20"/>
          <w:szCs w:val="20"/>
        </w:rPr>
      </w:pPr>
    </w:p>
    <w:p w14:paraId="0C990654" w14:textId="045A4E04" w:rsidR="007B66C1" w:rsidRPr="00EF6464" w:rsidRDefault="007B66C1" w:rsidP="007B66C1">
      <w:pPr>
        <w:jc w:val="both"/>
        <w:rPr>
          <w:rFonts w:ascii="Georgia" w:hAnsi="Georgia"/>
          <w:color w:val="404040" w:themeColor="text1" w:themeTint="BF"/>
          <w:sz w:val="20"/>
          <w:szCs w:val="20"/>
        </w:rPr>
      </w:pPr>
      <w:r w:rsidRPr="00EF6464">
        <w:rPr>
          <w:rFonts w:ascii="Georgia" w:hAnsi="Georgia"/>
          <w:color w:val="404040" w:themeColor="text1" w:themeTint="BF"/>
          <w:sz w:val="20"/>
          <w:szCs w:val="20"/>
        </w:rPr>
        <w:t>The table below presents the underlying earnings on a ‘per share’</w:t>
      </w:r>
      <w:r w:rsidR="00F40822">
        <w:rPr>
          <w:rFonts w:ascii="Georgia" w:hAnsi="Georgia"/>
          <w:color w:val="404040" w:themeColor="text1" w:themeTint="BF"/>
          <w:sz w:val="20"/>
          <w:szCs w:val="20"/>
        </w:rPr>
        <w:t xml:space="preserve"> basis.</w:t>
      </w:r>
    </w:p>
    <w:p w14:paraId="65946EC6" w14:textId="77777777" w:rsidR="007B66C1" w:rsidRPr="00904E51" w:rsidRDefault="007B66C1" w:rsidP="007B66C1">
      <w:pPr>
        <w:jc w:val="both"/>
        <w:rPr>
          <w:rFonts w:ascii="Georgia" w:hAnsi="Georgia"/>
          <w:color w:val="404040" w:themeColor="text1" w:themeTint="BF"/>
          <w:sz w:val="20"/>
          <w:szCs w:val="20"/>
          <w:highlight w:val="yellow"/>
        </w:rPr>
      </w:pPr>
    </w:p>
    <w:tbl>
      <w:tblPr>
        <w:tblW w:w="9038" w:type="dxa"/>
        <w:tblInd w:w="108" w:type="dxa"/>
        <w:tblLayout w:type="fixed"/>
        <w:tblLook w:val="04A0" w:firstRow="1" w:lastRow="0" w:firstColumn="1" w:lastColumn="0" w:noHBand="0" w:noVBand="1"/>
      </w:tblPr>
      <w:tblGrid>
        <w:gridCol w:w="2696"/>
        <w:gridCol w:w="1640"/>
        <w:gridCol w:w="1640"/>
        <w:gridCol w:w="1537"/>
        <w:gridCol w:w="1525"/>
      </w:tblGrid>
      <w:tr w:rsidR="00790246" w:rsidRPr="00904E51" w14:paraId="01830987" w14:textId="77777777" w:rsidTr="006F0858">
        <w:trPr>
          <w:trHeight w:val="207"/>
        </w:trPr>
        <w:tc>
          <w:tcPr>
            <w:tcW w:w="2696" w:type="dxa"/>
            <w:tcBorders>
              <w:top w:val="single" w:sz="4" w:space="0" w:color="auto"/>
              <w:left w:val="single" w:sz="4" w:space="0" w:color="auto"/>
              <w:bottom w:val="single" w:sz="4" w:space="0" w:color="auto"/>
              <w:right w:val="single" w:sz="4" w:space="0" w:color="auto"/>
            </w:tcBorders>
            <w:shd w:val="clear" w:color="auto" w:fill="auto"/>
            <w:noWrap/>
            <w:hideMark/>
          </w:tcPr>
          <w:p w14:paraId="0A6A8CDB" w14:textId="693403AA" w:rsidR="00790246" w:rsidRPr="004768D4" w:rsidRDefault="00790246" w:rsidP="00790246">
            <w:pPr>
              <w:jc w:val="right"/>
              <w:rPr>
                <w:rFonts w:ascii="Georgia" w:hAnsi="Georgia"/>
                <w:color w:val="404040"/>
                <w:sz w:val="20"/>
                <w:szCs w:val="20"/>
              </w:rPr>
            </w:pPr>
            <w:r w:rsidRPr="004768D4">
              <w:rPr>
                <w:rFonts w:ascii="Georgia" w:hAnsi="Georgia"/>
                <w:color w:val="404040"/>
                <w:sz w:val="20"/>
                <w:szCs w:val="20"/>
              </w:rPr>
              <w:t>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5FEFAC9" w14:textId="77777777" w:rsidR="00790246" w:rsidRPr="004768D4" w:rsidRDefault="00790246" w:rsidP="00790246">
            <w:pPr>
              <w:jc w:val="center"/>
              <w:rPr>
                <w:rFonts w:ascii="Georgia" w:hAnsi="Georgia"/>
                <w:color w:val="404040"/>
                <w:sz w:val="20"/>
                <w:szCs w:val="20"/>
              </w:rPr>
            </w:pPr>
            <w:r w:rsidRPr="004768D4">
              <w:rPr>
                <w:rFonts w:ascii="Georgia" w:hAnsi="Georgia"/>
                <w:color w:val="404040"/>
                <w:sz w:val="20"/>
                <w:szCs w:val="20"/>
              </w:rPr>
              <w:t xml:space="preserve">Full year to </w:t>
            </w:r>
          </w:p>
          <w:p w14:paraId="01E7E28A" w14:textId="77777777" w:rsidR="00790246" w:rsidRPr="004768D4" w:rsidRDefault="00790246" w:rsidP="00790246">
            <w:pPr>
              <w:jc w:val="center"/>
              <w:rPr>
                <w:rFonts w:ascii="Georgia" w:hAnsi="Georgia"/>
                <w:color w:val="404040"/>
                <w:sz w:val="20"/>
                <w:szCs w:val="20"/>
              </w:rPr>
            </w:pPr>
            <w:r w:rsidRPr="004768D4">
              <w:rPr>
                <w:rFonts w:ascii="Georgia" w:hAnsi="Georgia"/>
                <w:color w:val="404040"/>
                <w:sz w:val="20"/>
                <w:szCs w:val="20"/>
              </w:rPr>
              <w:t xml:space="preserve">30 June 20 </w:t>
            </w:r>
          </w:p>
          <w:p w14:paraId="6A49FCAD" w14:textId="37EA82BA" w:rsidR="00790246" w:rsidRPr="004768D4" w:rsidRDefault="00790246" w:rsidP="00790246">
            <w:pPr>
              <w:jc w:val="center"/>
              <w:rPr>
                <w:rFonts w:ascii="Georgia" w:hAnsi="Georgia"/>
                <w:color w:val="404040"/>
                <w:sz w:val="20"/>
                <w:szCs w:val="20"/>
              </w:rPr>
            </w:pPr>
            <w:r w:rsidRPr="004768D4">
              <w:rPr>
                <w:rFonts w:ascii="Georgia" w:hAnsi="Georgia"/>
                <w:color w:val="404040"/>
                <w:sz w:val="20"/>
                <w:szCs w:val="20"/>
              </w:rPr>
              <w:t>(£m)</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BB728FA" w14:textId="77777777"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 xml:space="preserve">Full year to </w:t>
            </w:r>
          </w:p>
          <w:p w14:paraId="0CABC136" w14:textId="77777777"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 xml:space="preserve">30 June 19 </w:t>
            </w:r>
          </w:p>
          <w:p w14:paraId="1C9D51B4" w14:textId="341FE58C"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(£m)</w:t>
            </w:r>
          </w:p>
        </w:tc>
        <w:tc>
          <w:tcPr>
            <w:tcW w:w="1537" w:type="dxa"/>
            <w:tcBorders>
              <w:top w:val="single" w:sz="4" w:space="0" w:color="auto"/>
              <w:left w:val="single" w:sz="4" w:space="0" w:color="auto"/>
              <w:bottom w:val="single" w:sz="4" w:space="0" w:color="auto"/>
              <w:right w:val="single" w:sz="4" w:space="0" w:color="auto"/>
            </w:tcBorders>
            <w:noWrap/>
            <w:hideMark/>
          </w:tcPr>
          <w:p w14:paraId="4DC96F6F" w14:textId="77777777"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 xml:space="preserve">Full year to </w:t>
            </w:r>
          </w:p>
          <w:p w14:paraId="43C4DD2D" w14:textId="77777777"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 xml:space="preserve">30 June 18 </w:t>
            </w:r>
          </w:p>
          <w:p w14:paraId="6F92D842" w14:textId="7265D7BE"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(£m)</w:t>
            </w:r>
          </w:p>
        </w:tc>
        <w:tc>
          <w:tcPr>
            <w:tcW w:w="1525" w:type="dxa"/>
            <w:tcBorders>
              <w:top w:val="single" w:sz="4" w:space="0" w:color="auto"/>
              <w:left w:val="single" w:sz="4" w:space="0" w:color="auto"/>
              <w:bottom w:val="single" w:sz="4" w:space="0" w:color="auto"/>
              <w:right w:val="single" w:sz="4" w:space="0" w:color="auto"/>
            </w:tcBorders>
            <w:noWrap/>
            <w:hideMark/>
          </w:tcPr>
          <w:p w14:paraId="0B3AAD57" w14:textId="77777777"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 xml:space="preserve">Full year to </w:t>
            </w:r>
          </w:p>
          <w:p w14:paraId="6518A7FD" w14:textId="77777777"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 xml:space="preserve">30 June 17 </w:t>
            </w:r>
          </w:p>
          <w:p w14:paraId="06A84C48" w14:textId="7DF17663" w:rsidR="00790246" w:rsidRPr="00EF6464" w:rsidRDefault="00790246" w:rsidP="00790246">
            <w:pPr>
              <w:jc w:val="center"/>
              <w:rPr>
                <w:rFonts w:ascii="Georgia" w:hAnsi="Georgia"/>
                <w:color w:val="404040"/>
                <w:sz w:val="20"/>
                <w:szCs w:val="20"/>
              </w:rPr>
            </w:pPr>
            <w:r w:rsidRPr="00EF6464">
              <w:rPr>
                <w:rFonts w:ascii="Georgia" w:hAnsi="Georgia"/>
                <w:color w:val="404040"/>
                <w:sz w:val="20"/>
                <w:szCs w:val="20"/>
              </w:rPr>
              <w:t>(£m)</w:t>
            </w:r>
          </w:p>
        </w:tc>
      </w:tr>
      <w:tr w:rsidR="00790246" w:rsidRPr="00904E51" w14:paraId="3ADE5BA1" w14:textId="77777777" w:rsidTr="006F0858">
        <w:trPr>
          <w:trHeight w:val="218"/>
        </w:trPr>
        <w:tc>
          <w:tcPr>
            <w:tcW w:w="2696" w:type="dxa"/>
            <w:tcBorders>
              <w:top w:val="single" w:sz="4" w:space="0" w:color="auto"/>
              <w:left w:val="single" w:sz="4" w:space="0" w:color="auto"/>
              <w:bottom w:val="single" w:sz="4" w:space="0" w:color="auto"/>
              <w:right w:val="single" w:sz="4" w:space="0" w:color="auto"/>
            </w:tcBorders>
            <w:noWrap/>
            <w:vAlign w:val="center"/>
          </w:tcPr>
          <w:p w14:paraId="1B114053" w14:textId="57F88F6E" w:rsidR="00790246" w:rsidRPr="00EF6464" w:rsidRDefault="00790246" w:rsidP="00634E8C">
            <w:pPr>
              <w:rPr>
                <w:rFonts w:ascii="Georgia" w:hAnsi="Georgia"/>
                <w:b/>
                <w:color w:val="404040"/>
                <w:sz w:val="20"/>
                <w:szCs w:val="20"/>
              </w:rPr>
            </w:pPr>
            <w:r w:rsidRPr="00EF6464">
              <w:rPr>
                <w:rFonts w:ascii="Georgia" w:hAnsi="Georgia" w:cs="Calibri"/>
                <w:bCs/>
                <w:color w:val="404040"/>
                <w:sz w:val="20"/>
                <w:szCs w:val="20"/>
              </w:rPr>
              <w:t>Target Distribution</w:t>
            </w:r>
          </w:p>
        </w:tc>
        <w:tc>
          <w:tcPr>
            <w:tcW w:w="1640" w:type="dxa"/>
            <w:tcBorders>
              <w:top w:val="single" w:sz="4" w:space="0" w:color="auto"/>
              <w:left w:val="single" w:sz="4" w:space="0" w:color="auto"/>
              <w:bottom w:val="single" w:sz="4" w:space="0" w:color="auto"/>
              <w:right w:val="single" w:sz="4" w:space="0" w:color="auto"/>
            </w:tcBorders>
            <w:vAlign w:val="center"/>
          </w:tcPr>
          <w:p w14:paraId="7FDD74E3" w14:textId="7214C915" w:rsidR="00790246" w:rsidRPr="000F6070" w:rsidRDefault="00790246" w:rsidP="00790246">
            <w:pPr>
              <w:jc w:val="right"/>
              <w:rPr>
                <w:rFonts w:ascii="Georgia" w:hAnsi="Georgia" w:cs="Calibri"/>
                <w:bCs/>
                <w:color w:val="404040"/>
                <w:sz w:val="20"/>
                <w:szCs w:val="20"/>
              </w:rPr>
            </w:pPr>
            <w:r w:rsidRPr="000F6070">
              <w:rPr>
                <w:rFonts w:ascii="Georgia" w:hAnsi="Georgia" w:cs="Calibri"/>
                <w:bCs/>
                <w:color w:val="404040"/>
                <w:sz w:val="20"/>
                <w:szCs w:val="20"/>
              </w:rPr>
              <w:t>29.3</w:t>
            </w:r>
          </w:p>
        </w:tc>
        <w:tc>
          <w:tcPr>
            <w:tcW w:w="1640" w:type="dxa"/>
            <w:tcBorders>
              <w:top w:val="single" w:sz="4" w:space="0" w:color="auto"/>
              <w:left w:val="single" w:sz="4" w:space="0" w:color="auto"/>
              <w:bottom w:val="single" w:sz="4" w:space="0" w:color="auto"/>
              <w:right w:val="single" w:sz="4" w:space="0" w:color="auto"/>
            </w:tcBorders>
            <w:vAlign w:val="center"/>
          </w:tcPr>
          <w:p w14:paraId="6DDA2AE0" w14:textId="36677FD4" w:rsidR="00790246" w:rsidRPr="00EF6464" w:rsidRDefault="00790246" w:rsidP="00790246">
            <w:pPr>
              <w:jc w:val="right"/>
              <w:rPr>
                <w:rFonts w:ascii="Georgia" w:hAnsi="Georgia"/>
                <w:b/>
                <w:bCs/>
                <w:color w:val="404040"/>
                <w:sz w:val="20"/>
                <w:szCs w:val="20"/>
              </w:rPr>
            </w:pPr>
            <w:r w:rsidRPr="00EF6464">
              <w:rPr>
                <w:rFonts w:ascii="Georgia" w:hAnsi="Georgia" w:cs="Calibri"/>
                <w:bCs/>
                <w:color w:val="404040"/>
                <w:sz w:val="20"/>
                <w:szCs w:val="20"/>
              </w:rPr>
              <w:t>28.4</w:t>
            </w:r>
          </w:p>
        </w:tc>
        <w:tc>
          <w:tcPr>
            <w:tcW w:w="1537" w:type="dxa"/>
            <w:tcBorders>
              <w:top w:val="single" w:sz="4" w:space="0" w:color="auto"/>
              <w:left w:val="single" w:sz="4" w:space="0" w:color="auto"/>
              <w:bottom w:val="single" w:sz="4" w:space="0" w:color="auto"/>
              <w:right w:val="single" w:sz="4" w:space="0" w:color="auto"/>
            </w:tcBorders>
            <w:noWrap/>
            <w:vAlign w:val="center"/>
          </w:tcPr>
          <w:p w14:paraId="65ABC617" w14:textId="7ACE60E0" w:rsidR="00790246" w:rsidRPr="00EF6464" w:rsidRDefault="00790246" w:rsidP="00790246">
            <w:pPr>
              <w:jc w:val="right"/>
              <w:rPr>
                <w:rFonts w:ascii="Georgia" w:hAnsi="Georgia"/>
                <w:b/>
                <w:bCs/>
                <w:color w:val="404040"/>
                <w:sz w:val="20"/>
                <w:szCs w:val="20"/>
              </w:rPr>
            </w:pPr>
            <w:r w:rsidRPr="00EF6464">
              <w:rPr>
                <w:rFonts w:ascii="Georgia" w:hAnsi="Georgia" w:cs="Calibri"/>
                <w:bCs/>
                <w:color w:val="404040"/>
                <w:sz w:val="20"/>
                <w:szCs w:val="20"/>
              </w:rPr>
              <w:t>27.5</w:t>
            </w:r>
          </w:p>
        </w:tc>
        <w:tc>
          <w:tcPr>
            <w:tcW w:w="1525" w:type="dxa"/>
            <w:tcBorders>
              <w:top w:val="single" w:sz="4" w:space="0" w:color="auto"/>
              <w:left w:val="single" w:sz="4" w:space="0" w:color="auto"/>
              <w:bottom w:val="single" w:sz="4" w:space="0" w:color="auto"/>
              <w:right w:val="single" w:sz="4" w:space="0" w:color="auto"/>
            </w:tcBorders>
            <w:noWrap/>
            <w:vAlign w:val="center"/>
          </w:tcPr>
          <w:p w14:paraId="09DB3DCB" w14:textId="4AC28BDD" w:rsidR="00790246" w:rsidRPr="00EF6464" w:rsidRDefault="00790246" w:rsidP="00790246">
            <w:pPr>
              <w:jc w:val="right"/>
              <w:rPr>
                <w:rFonts w:ascii="Georgia" w:hAnsi="Georgia"/>
                <w:b/>
                <w:bCs/>
                <w:color w:val="404040"/>
                <w:sz w:val="20"/>
                <w:szCs w:val="20"/>
              </w:rPr>
            </w:pPr>
            <w:r w:rsidRPr="00EF6464">
              <w:rPr>
                <w:rFonts w:ascii="Georgia" w:hAnsi="Georgia" w:cs="Calibri"/>
                <w:bCs/>
                <w:color w:val="404040"/>
                <w:sz w:val="20"/>
                <w:szCs w:val="20"/>
              </w:rPr>
              <w:t>24.6</w:t>
            </w:r>
          </w:p>
        </w:tc>
      </w:tr>
      <w:tr w:rsidR="00790246" w:rsidRPr="00904E51" w14:paraId="251F2F96" w14:textId="77777777" w:rsidTr="006F0858">
        <w:trPr>
          <w:trHeight w:val="218"/>
        </w:trPr>
        <w:tc>
          <w:tcPr>
            <w:tcW w:w="2696" w:type="dxa"/>
            <w:tcBorders>
              <w:top w:val="single" w:sz="4" w:space="0" w:color="auto"/>
              <w:left w:val="single" w:sz="4" w:space="0" w:color="auto"/>
              <w:bottom w:val="single" w:sz="4" w:space="0" w:color="auto"/>
              <w:right w:val="single" w:sz="4" w:space="0" w:color="auto"/>
            </w:tcBorders>
            <w:noWrap/>
            <w:vAlign w:val="center"/>
            <w:hideMark/>
          </w:tcPr>
          <w:p w14:paraId="7F6E02E1" w14:textId="5679F238" w:rsidR="00790246" w:rsidRPr="00EF6464" w:rsidRDefault="00790246" w:rsidP="00790246">
            <w:pPr>
              <w:rPr>
                <w:rFonts w:ascii="Georgia" w:hAnsi="Georgia"/>
                <w:b/>
                <w:color w:val="404040"/>
                <w:sz w:val="20"/>
                <w:szCs w:val="20"/>
              </w:rPr>
            </w:pPr>
            <w:r w:rsidRPr="00EF6464">
              <w:rPr>
                <w:rFonts w:ascii="Georgia" w:hAnsi="Georgia"/>
                <w:b/>
                <w:color w:val="404040"/>
                <w:sz w:val="20"/>
                <w:szCs w:val="20"/>
              </w:rPr>
              <w:t>Total funds available for distribution (inc</w:t>
            </w:r>
            <w:r>
              <w:rPr>
                <w:rFonts w:ascii="Georgia" w:hAnsi="Georgia"/>
                <w:b/>
                <w:color w:val="404040"/>
                <w:sz w:val="20"/>
                <w:szCs w:val="20"/>
              </w:rPr>
              <w:t>luding</w:t>
            </w:r>
            <w:r w:rsidRPr="00EF6464">
              <w:rPr>
                <w:rFonts w:ascii="Georgia" w:hAnsi="Georgia"/>
                <w:b/>
                <w:color w:val="404040"/>
                <w:sz w:val="20"/>
                <w:szCs w:val="20"/>
              </w:rPr>
              <w:t xml:space="preserve"> reserves)</w:t>
            </w:r>
          </w:p>
        </w:tc>
        <w:tc>
          <w:tcPr>
            <w:tcW w:w="1640" w:type="dxa"/>
            <w:tcBorders>
              <w:top w:val="single" w:sz="4" w:space="0" w:color="auto"/>
              <w:left w:val="single" w:sz="4" w:space="0" w:color="auto"/>
              <w:bottom w:val="single" w:sz="4" w:space="0" w:color="auto"/>
              <w:right w:val="single" w:sz="4" w:space="0" w:color="auto"/>
            </w:tcBorders>
          </w:tcPr>
          <w:p w14:paraId="140F48C2" w14:textId="77777777" w:rsidR="00790246" w:rsidRPr="000F6070" w:rsidRDefault="00790246" w:rsidP="00790246">
            <w:pPr>
              <w:jc w:val="right"/>
              <w:rPr>
                <w:rFonts w:ascii="Georgia" w:hAnsi="Georgia"/>
                <w:b/>
                <w:bCs/>
                <w:color w:val="404040"/>
                <w:sz w:val="20"/>
                <w:szCs w:val="20"/>
              </w:rPr>
            </w:pPr>
          </w:p>
          <w:p w14:paraId="2E21513B" w14:textId="2966FA2B" w:rsidR="00790246" w:rsidRPr="000F6070" w:rsidRDefault="00790246" w:rsidP="00790246">
            <w:pPr>
              <w:jc w:val="right"/>
              <w:rPr>
                <w:rFonts w:ascii="Georgia" w:hAnsi="Georgia"/>
                <w:b/>
                <w:bCs/>
                <w:color w:val="404040"/>
                <w:sz w:val="20"/>
                <w:szCs w:val="20"/>
              </w:rPr>
            </w:pPr>
            <w:r w:rsidRPr="000F6070">
              <w:rPr>
                <w:rFonts w:ascii="Georgia" w:hAnsi="Georgia"/>
                <w:b/>
                <w:bCs/>
                <w:color w:val="404040"/>
                <w:sz w:val="20"/>
                <w:szCs w:val="20"/>
              </w:rPr>
              <w:t>37.</w:t>
            </w:r>
            <w:r>
              <w:rPr>
                <w:rFonts w:ascii="Georgia" w:hAnsi="Georgia"/>
                <w:b/>
                <w:bCs/>
                <w:color w:val="404040"/>
                <w:sz w:val="20"/>
                <w:szCs w:val="20"/>
              </w:rPr>
              <w:t>6</w:t>
            </w:r>
          </w:p>
        </w:tc>
        <w:tc>
          <w:tcPr>
            <w:tcW w:w="1640" w:type="dxa"/>
            <w:tcBorders>
              <w:top w:val="single" w:sz="4" w:space="0" w:color="auto"/>
              <w:left w:val="single" w:sz="4" w:space="0" w:color="auto"/>
              <w:bottom w:val="single" w:sz="4" w:space="0" w:color="auto"/>
              <w:right w:val="single" w:sz="4" w:space="0" w:color="auto"/>
            </w:tcBorders>
          </w:tcPr>
          <w:p w14:paraId="5933F1A1" w14:textId="77777777" w:rsidR="00790246" w:rsidRPr="00EF6464" w:rsidRDefault="00790246" w:rsidP="00790246">
            <w:pPr>
              <w:jc w:val="right"/>
              <w:rPr>
                <w:rFonts w:ascii="Georgia" w:hAnsi="Georgia"/>
                <w:b/>
                <w:bCs/>
                <w:color w:val="404040"/>
                <w:sz w:val="20"/>
                <w:szCs w:val="20"/>
              </w:rPr>
            </w:pPr>
          </w:p>
          <w:p w14:paraId="69625E8A" w14:textId="38C9926B" w:rsidR="00790246" w:rsidRPr="00EF6464" w:rsidRDefault="00790246" w:rsidP="00790246">
            <w:pPr>
              <w:jc w:val="right"/>
              <w:rPr>
                <w:rFonts w:ascii="Georgia" w:hAnsi="Georgia"/>
                <w:b/>
                <w:bCs/>
                <w:color w:val="404040"/>
                <w:sz w:val="20"/>
                <w:szCs w:val="20"/>
              </w:rPr>
            </w:pPr>
            <w:r w:rsidRPr="00EF6464">
              <w:rPr>
                <w:rFonts w:ascii="Georgia" w:hAnsi="Georgia"/>
                <w:b/>
                <w:bCs/>
                <w:color w:val="404040"/>
                <w:sz w:val="20"/>
                <w:szCs w:val="20"/>
              </w:rPr>
              <w:t>33.0</w:t>
            </w:r>
          </w:p>
        </w:tc>
        <w:tc>
          <w:tcPr>
            <w:tcW w:w="1537" w:type="dxa"/>
            <w:tcBorders>
              <w:top w:val="single" w:sz="4" w:space="0" w:color="auto"/>
              <w:left w:val="single" w:sz="4" w:space="0" w:color="auto"/>
              <w:bottom w:val="single" w:sz="4" w:space="0" w:color="auto"/>
              <w:right w:val="single" w:sz="4" w:space="0" w:color="auto"/>
            </w:tcBorders>
            <w:noWrap/>
            <w:hideMark/>
          </w:tcPr>
          <w:p w14:paraId="115A09A6" w14:textId="77777777" w:rsidR="00790246" w:rsidRPr="00EF6464" w:rsidRDefault="00790246" w:rsidP="00790246">
            <w:pPr>
              <w:jc w:val="right"/>
              <w:rPr>
                <w:rFonts w:ascii="Georgia" w:hAnsi="Georgia"/>
                <w:b/>
                <w:bCs/>
                <w:color w:val="404040"/>
                <w:sz w:val="20"/>
                <w:szCs w:val="20"/>
              </w:rPr>
            </w:pPr>
          </w:p>
          <w:p w14:paraId="74D1A42A" w14:textId="4630DE40" w:rsidR="00790246" w:rsidRPr="00EF6464" w:rsidRDefault="00790246" w:rsidP="00790246">
            <w:pPr>
              <w:jc w:val="right"/>
              <w:rPr>
                <w:rFonts w:ascii="Georgia" w:hAnsi="Georgia"/>
                <w:b/>
                <w:bCs/>
                <w:color w:val="404040"/>
                <w:sz w:val="20"/>
                <w:szCs w:val="20"/>
              </w:rPr>
            </w:pPr>
            <w:r w:rsidRPr="00EF6464">
              <w:rPr>
                <w:rFonts w:ascii="Georgia" w:hAnsi="Georgia"/>
                <w:b/>
                <w:bCs/>
                <w:color w:val="404040"/>
                <w:sz w:val="20"/>
                <w:szCs w:val="20"/>
              </w:rPr>
              <w:t>28.6</w:t>
            </w:r>
          </w:p>
        </w:tc>
        <w:tc>
          <w:tcPr>
            <w:tcW w:w="1525" w:type="dxa"/>
            <w:tcBorders>
              <w:top w:val="single" w:sz="4" w:space="0" w:color="auto"/>
              <w:left w:val="single" w:sz="4" w:space="0" w:color="auto"/>
              <w:bottom w:val="single" w:sz="4" w:space="0" w:color="auto"/>
              <w:right w:val="single" w:sz="4" w:space="0" w:color="auto"/>
            </w:tcBorders>
            <w:noWrap/>
            <w:vAlign w:val="center"/>
            <w:hideMark/>
          </w:tcPr>
          <w:p w14:paraId="2993C5FC" w14:textId="19869BED" w:rsidR="00790246" w:rsidRPr="00EF6464" w:rsidRDefault="00790246" w:rsidP="00790246">
            <w:pPr>
              <w:jc w:val="right"/>
              <w:rPr>
                <w:rFonts w:ascii="Georgia" w:hAnsi="Georgia"/>
                <w:b/>
                <w:bCs/>
                <w:color w:val="404040"/>
                <w:sz w:val="20"/>
                <w:szCs w:val="20"/>
              </w:rPr>
            </w:pPr>
            <w:r w:rsidRPr="00EF6464">
              <w:rPr>
                <w:rFonts w:ascii="Georgia" w:hAnsi="Georgia"/>
                <w:b/>
                <w:bCs/>
                <w:color w:val="404040"/>
                <w:sz w:val="20"/>
                <w:szCs w:val="20"/>
              </w:rPr>
              <w:t xml:space="preserve">25.9           </w:t>
            </w:r>
          </w:p>
        </w:tc>
      </w:tr>
      <w:tr w:rsidR="00790246" w:rsidRPr="00904E51" w14:paraId="504A10C5" w14:textId="77777777" w:rsidTr="006F0858">
        <w:trPr>
          <w:trHeight w:val="218"/>
        </w:trPr>
        <w:tc>
          <w:tcPr>
            <w:tcW w:w="2696" w:type="dxa"/>
            <w:tcBorders>
              <w:top w:val="single" w:sz="4" w:space="0" w:color="auto"/>
              <w:left w:val="single" w:sz="4" w:space="0" w:color="auto"/>
              <w:bottom w:val="single" w:sz="4" w:space="0" w:color="auto"/>
              <w:right w:val="single" w:sz="4" w:space="0" w:color="auto"/>
            </w:tcBorders>
            <w:noWrap/>
            <w:vAlign w:val="center"/>
            <w:hideMark/>
          </w:tcPr>
          <w:p w14:paraId="38715B91" w14:textId="364B2BEB" w:rsidR="00790246" w:rsidRPr="00EF6464" w:rsidRDefault="00790246" w:rsidP="00790246">
            <w:pPr>
              <w:rPr>
                <w:rFonts w:ascii="Georgia" w:hAnsi="Georgia"/>
                <w:color w:val="404040"/>
                <w:sz w:val="20"/>
                <w:szCs w:val="20"/>
              </w:rPr>
            </w:pPr>
            <w:r w:rsidRPr="00EF6464">
              <w:rPr>
                <w:rFonts w:ascii="Georgia" w:hAnsi="Georgia"/>
                <w:color w:val="404040"/>
                <w:sz w:val="20"/>
                <w:szCs w:val="20"/>
              </w:rPr>
              <w:t>Average Number of shares in year*</w:t>
            </w:r>
          </w:p>
        </w:tc>
        <w:tc>
          <w:tcPr>
            <w:tcW w:w="1640" w:type="dxa"/>
            <w:tcBorders>
              <w:top w:val="single" w:sz="4" w:space="0" w:color="auto"/>
              <w:left w:val="single" w:sz="4" w:space="0" w:color="auto"/>
              <w:bottom w:val="single" w:sz="4" w:space="0" w:color="auto"/>
              <w:right w:val="single" w:sz="4" w:space="0" w:color="auto"/>
            </w:tcBorders>
            <w:vAlign w:val="center"/>
          </w:tcPr>
          <w:p w14:paraId="6FD2ADDA" w14:textId="4F8D7F0D" w:rsidR="00790246" w:rsidRPr="00EF6464" w:rsidRDefault="00790246" w:rsidP="00790246">
            <w:pPr>
              <w:jc w:val="right"/>
              <w:rPr>
                <w:rFonts w:ascii="Georgia" w:hAnsi="Georgia" w:cs="Calibri"/>
                <w:color w:val="404040"/>
                <w:sz w:val="20"/>
                <w:szCs w:val="20"/>
                <w:lang w:eastAsia="en-GB"/>
              </w:rPr>
            </w:pPr>
            <w:r>
              <w:rPr>
                <w:rFonts w:ascii="Georgia" w:hAnsi="Georgia" w:cs="Calibri"/>
                <w:color w:val="404040"/>
                <w:sz w:val="20"/>
                <w:szCs w:val="20"/>
              </w:rPr>
              <w:t xml:space="preserve">370,499,622 </w:t>
            </w:r>
          </w:p>
        </w:tc>
        <w:tc>
          <w:tcPr>
            <w:tcW w:w="1640" w:type="dxa"/>
            <w:tcBorders>
              <w:top w:val="single" w:sz="4" w:space="0" w:color="auto"/>
              <w:left w:val="single" w:sz="4" w:space="0" w:color="auto"/>
              <w:bottom w:val="single" w:sz="4" w:space="0" w:color="auto"/>
              <w:right w:val="single" w:sz="4" w:space="0" w:color="auto"/>
            </w:tcBorders>
            <w:vAlign w:val="center"/>
          </w:tcPr>
          <w:p w14:paraId="00647EC8" w14:textId="51B72130"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369,883,530</w:t>
            </w:r>
          </w:p>
        </w:tc>
        <w:tc>
          <w:tcPr>
            <w:tcW w:w="1537" w:type="dxa"/>
            <w:tcBorders>
              <w:top w:val="single" w:sz="4" w:space="0" w:color="auto"/>
              <w:left w:val="single" w:sz="4" w:space="0" w:color="auto"/>
              <w:bottom w:val="single" w:sz="4" w:space="0" w:color="auto"/>
              <w:right w:val="single" w:sz="4" w:space="0" w:color="auto"/>
            </w:tcBorders>
            <w:noWrap/>
            <w:vAlign w:val="center"/>
            <w:hideMark/>
          </w:tcPr>
          <w:p w14:paraId="2A60786D" w14:textId="676F25B9"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369,866,027</w:t>
            </w:r>
          </w:p>
        </w:tc>
        <w:tc>
          <w:tcPr>
            <w:tcW w:w="1525" w:type="dxa"/>
            <w:tcBorders>
              <w:top w:val="single" w:sz="4" w:space="0" w:color="auto"/>
              <w:left w:val="single" w:sz="4" w:space="0" w:color="auto"/>
              <w:bottom w:val="single" w:sz="4" w:space="0" w:color="auto"/>
              <w:right w:val="single" w:sz="4" w:space="0" w:color="auto"/>
            </w:tcBorders>
            <w:noWrap/>
            <w:vAlign w:val="center"/>
            <w:hideMark/>
          </w:tcPr>
          <w:p w14:paraId="51F8C929" w14:textId="611E7068"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342,735,213</w:t>
            </w:r>
          </w:p>
        </w:tc>
      </w:tr>
      <w:tr w:rsidR="00790246" w:rsidRPr="00904E51" w14:paraId="6B699469" w14:textId="77777777" w:rsidTr="006F0858">
        <w:trPr>
          <w:trHeight w:val="283"/>
        </w:trPr>
        <w:tc>
          <w:tcPr>
            <w:tcW w:w="2696" w:type="dxa"/>
            <w:tcBorders>
              <w:top w:val="single" w:sz="4" w:space="0" w:color="auto"/>
              <w:left w:val="single" w:sz="4" w:space="0" w:color="auto"/>
              <w:bottom w:val="single" w:sz="4" w:space="0" w:color="auto"/>
              <w:right w:val="single" w:sz="4" w:space="0" w:color="auto"/>
            </w:tcBorders>
            <w:noWrap/>
            <w:vAlign w:val="center"/>
          </w:tcPr>
          <w:p w14:paraId="44723E77" w14:textId="76DF248D" w:rsidR="00790246" w:rsidRPr="00EF6464" w:rsidRDefault="00790246" w:rsidP="00790246">
            <w:pPr>
              <w:rPr>
                <w:rFonts w:ascii="Georgia" w:hAnsi="Georgia"/>
                <w:color w:val="404040"/>
                <w:sz w:val="20"/>
                <w:szCs w:val="20"/>
              </w:rPr>
            </w:pPr>
            <w:r w:rsidRPr="00EF6464">
              <w:rPr>
                <w:rFonts w:ascii="Georgia" w:hAnsi="Georgia"/>
                <w:color w:val="404040"/>
                <w:sz w:val="20"/>
                <w:szCs w:val="20"/>
              </w:rPr>
              <w:t>Target Dividend (</w:t>
            </w:r>
            <w:proofErr w:type="spellStart"/>
            <w:r w:rsidRPr="00EF6464">
              <w:rPr>
                <w:rFonts w:ascii="Georgia" w:hAnsi="Georgia"/>
                <w:color w:val="404040"/>
                <w:sz w:val="20"/>
                <w:szCs w:val="20"/>
              </w:rPr>
              <w:t>pps</w:t>
            </w:r>
            <w:proofErr w:type="spellEnd"/>
            <w:r w:rsidRPr="00EF6464">
              <w:rPr>
                <w:rFonts w:ascii="Georgia" w:hAnsi="Georgia"/>
                <w:color w:val="404040"/>
                <w:sz w:val="20"/>
                <w:szCs w:val="20"/>
              </w:rPr>
              <w:t>)</w:t>
            </w:r>
          </w:p>
        </w:tc>
        <w:tc>
          <w:tcPr>
            <w:tcW w:w="1640" w:type="dxa"/>
            <w:tcBorders>
              <w:top w:val="single" w:sz="4" w:space="0" w:color="auto"/>
              <w:left w:val="single" w:sz="4" w:space="0" w:color="auto"/>
              <w:bottom w:val="single" w:sz="4" w:space="0" w:color="auto"/>
              <w:right w:val="single" w:sz="4" w:space="0" w:color="auto"/>
            </w:tcBorders>
            <w:vAlign w:val="center"/>
          </w:tcPr>
          <w:p w14:paraId="6DD34075" w14:textId="74D777DC" w:rsidR="00790246" w:rsidRPr="00904E51" w:rsidRDefault="00790246" w:rsidP="00790246">
            <w:pPr>
              <w:jc w:val="right"/>
              <w:rPr>
                <w:rFonts w:ascii="Georgia" w:hAnsi="Georgia"/>
                <w:color w:val="404040"/>
                <w:sz w:val="20"/>
                <w:szCs w:val="20"/>
                <w:highlight w:val="yellow"/>
              </w:rPr>
            </w:pPr>
            <w:r w:rsidRPr="00EF6464">
              <w:rPr>
                <w:rFonts w:ascii="Georgia" w:hAnsi="Georgia"/>
                <w:color w:val="404040"/>
                <w:sz w:val="20"/>
                <w:szCs w:val="20"/>
              </w:rPr>
              <w:t>7.9</w:t>
            </w:r>
          </w:p>
        </w:tc>
        <w:tc>
          <w:tcPr>
            <w:tcW w:w="1640" w:type="dxa"/>
            <w:tcBorders>
              <w:top w:val="single" w:sz="4" w:space="0" w:color="auto"/>
              <w:left w:val="single" w:sz="4" w:space="0" w:color="auto"/>
              <w:bottom w:val="single" w:sz="4" w:space="0" w:color="auto"/>
              <w:right w:val="single" w:sz="4" w:space="0" w:color="auto"/>
            </w:tcBorders>
            <w:vAlign w:val="center"/>
          </w:tcPr>
          <w:p w14:paraId="5C5CB18D" w14:textId="66F5406F"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7.68</w:t>
            </w:r>
          </w:p>
        </w:tc>
        <w:tc>
          <w:tcPr>
            <w:tcW w:w="1537" w:type="dxa"/>
            <w:tcBorders>
              <w:top w:val="single" w:sz="4" w:space="0" w:color="auto"/>
              <w:left w:val="single" w:sz="4" w:space="0" w:color="auto"/>
              <w:bottom w:val="single" w:sz="4" w:space="0" w:color="auto"/>
              <w:right w:val="single" w:sz="4" w:space="0" w:color="auto"/>
            </w:tcBorders>
            <w:noWrap/>
            <w:vAlign w:val="center"/>
          </w:tcPr>
          <w:p w14:paraId="6B146189" w14:textId="01DFC54C"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7.43</w:t>
            </w:r>
          </w:p>
        </w:tc>
        <w:tc>
          <w:tcPr>
            <w:tcW w:w="1525" w:type="dxa"/>
            <w:tcBorders>
              <w:top w:val="single" w:sz="4" w:space="0" w:color="auto"/>
              <w:left w:val="single" w:sz="4" w:space="0" w:color="auto"/>
              <w:bottom w:val="single" w:sz="4" w:space="0" w:color="auto"/>
              <w:right w:val="single" w:sz="4" w:space="0" w:color="auto"/>
            </w:tcBorders>
            <w:noWrap/>
            <w:vAlign w:val="center"/>
          </w:tcPr>
          <w:p w14:paraId="07EEB384" w14:textId="2D409279"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7.18</w:t>
            </w:r>
          </w:p>
        </w:tc>
      </w:tr>
      <w:tr w:rsidR="00790246" w:rsidRPr="00904E51" w14:paraId="3EF5F8CC" w14:textId="77777777" w:rsidTr="006F0858">
        <w:trPr>
          <w:trHeight w:val="207"/>
        </w:trPr>
        <w:tc>
          <w:tcPr>
            <w:tcW w:w="2696" w:type="dxa"/>
            <w:tcBorders>
              <w:left w:val="single" w:sz="4" w:space="0" w:color="auto"/>
              <w:bottom w:val="single" w:sz="4" w:space="0" w:color="auto"/>
              <w:right w:val="single" w:sz="4" w:space="0" w:color="auto"/>
            </w:tcBorders>
            <w:noWrap/>
            <w:vAlign w:val="center"/>
            <w:hideMark/>
          </w:tcPr>
          <w:p w14:paraId="4C6F6898" w14:textId="2BB2EEBF" w:rsidR="00790246" w:rsidRPr="00EF6464" w:rsidRDefault="00790246" w:rsidP="00790246">
            <w:pPr>
              <w:rPr>
                <w:rFonts w:ascii="Georgia" w:hAnsi="Georgia"/>
                <w:b/>
                <w:bCs/>
                <w:color w:val="404040"/>
                <w:sz w:val="20"/>
                <w:szCs w:val="20"/>
              </w:rPr>
            </w:pPr>
            <w:r w:rsidRPr="00EF6464">
              <w:rPr>
                <w:rFonts w:ascii="Georgia" w:hAnsi="Georgia"/>
                <w:b/>
                <w:bCs/>
                <w:color w:val="404040"/>
                <w:sz w:val="20"/>
                <w:szCs w:val="20"/>
              </w:rPr>
              <w:t>Total funds available for distribution (</w:t>
            </w:r>
            <w:proofErr w:type="spellStart"/>
            <w:r w:rsidRPr="00EF6464">
              <w:rPr>
                <w:rFonts w:ascii="Georgia" w:hAnsi="Georgia"/>
                <w:b/>
                <w:bCs/>
                <w:color w:val="404040"/>
                <w:sz w:val="20"/>
                <w:szCs w:val="20"/>
              </w:rPr>
              <w:t>pps</w:t>
            </w:r>
            <w:proofErr w:type="spellEnd"/>
            <w:r w:rsidRPr="00EF6464">
              <w:rPr>
                <w:rFonts w:ascii="Georgia" w:hAnsi="Georgia"/>
                <w:b/>
                <w:bCs/>
                <w:color w:val="404040"/>
                <w:sz w:val="20"/>
                <w:szCs w:val="20"/>
              </w:rPr>
              <w:t>) - 1</w:t>
            </w:r>
          </w:p>
        </w:tc>
        <w:tc>
          <w:tcPr>
            <w:tcW w:w="1640" w:type="dxa"/>
            <w:tcBorders>
              <w:left w:val="single" w:sz="4" w:space="0" w:color="auto"/>
              <w:bottom w:val="single" w:sz="4" w:space="0" w:color="auto"/>
              <w:right w:val="single" w:sz="4" w:space="0" w:color="auto"/>
            </w:tcBorders>
            <w:vAlign w:val="center"/>
          </w:tcPr>
          <w:p w14:paraId="690C7126" w14:textId="1B5990CD" w:rsidR="00790246" w:rsidRPr="000F6070" w:rsidRDefault="00790246" w:rsidP="00790246">
            <w:pPr>
              <w:jc w:val="right"/>
              <w:rPr>
                <w:rFonts w:ascii="Georgia" w:hAnsi="Georgia"/>
                <w:b/>
                <w:bCs/>
                <w:color w:val="404040"/>
                <w:sz w:val="20"/>
                <w:szCs w:val="20"/>
              </w:rPr>
            </w:pPr>
            <w:r>
              <w:rPr>
                <w:rFonts w:ascii="Georgia" w:hAnsi="Georgia"/>
                <w:b/>
                <w:bCs/>
                <w:color w:val="404040"/>
                <w:sz w:val="20"/>
                <w:szCs w:val="20"/>
              </w:rPr>
              <w:t>10.13</w:t>
            </w:r>
          </w:p>
        </w:tc>
        <w:tc>
          <w:tcPr>
            <w:tcW w:w="1640" w:type="dxa"/>
            <w:tcBorders>
              <w:left w:val="single" w:sz="4" w:space="0" w:color="auto"/>
              <w:bottom w:val="single" w:sz="4" w:space="0" w:color="auto"/>
              <w:right w:val="single" w:sz="4" w:space="0" w:color="auto"/>
            </w:tcBorders>
            <w:vAlign w:val="center"/>
          </w:tcPr>
          <w:p w14:paraId="1D5DA828" w14:textId="78596E65" w:rsidR="00790246" w:rsidRPr="00EF6464" w:rsidRDefault="00790246" w:rsidP="00790246">
            <w:pPr>
              <w:jc w:val="right"/>
              <w:rPr>
                <w:rFonts w:ascii="Georgia" w:hAnsi="Georgia"/>
                <w:b/>
                <w:bCs/>
                <w:color w:val="404040"/>
                <w:sz w:val="20"/>
                <w:szCs w:val="20"/>
              </w:rPr>
            </w:pPr>
            <w:r w:rsidRPr="00EF6464">
              <w:rPr>
                <w:rFonts w:ascii="Georgia" w:hAnsi="Georgia"/>
                <w:b/>
                <w:bCs/>
                <w:color w:val="404040"/>
                <w:sz w:val="20"/>
                <w:szCs w:val="20"/>
              </w:rPr>
              <w:t>8.91</w:t>
            </w:r>
          </w:p>
        </w:tc>
        <w:tc>
          <w:tcPr>
            <w:tcW w:w="1537" w:type="dxa"/>
            <w:tcBorders>
              <w:left w:val="single" w:sz="4" w:space="0" w:color="auto"/>
              <w:bottom w:val="single" w:sz="4" w:space="0" w:color="auto"/>
              <w:right w:val="single" w:sz="4" w:space="0" w:color="auto"/>
            </w:tcBorders>
            <w:noWrap/>
            <w:vAlign w:val="center"/>
            <w:hideMark/>
          </w:tcPr>
          <w:p w14:paraId="2D08C8D8" w14:textId="34E71D49" w:rsidR="00790246" w:rsidRPr="00EF6464" w:rsidRDefault="00790246" w:rsidP="00790246">
            <w:pPr>
              <w:jc w:val="right"/>
              <w:rPr>
                <w:rFonts w:ascii="Georgia" w:hAnsi="Georgia"/>
                <w:b/>
                <w:bCs/>
                <w:color w:val="404040"/>
                <w:sz w:val="20"/>
                <w:szCs w:val="20"/>
              </w:rPr>
            </w:pPr>
            <w:r w:rsidRPr="00EF6464">
              <w:rPr>
                <w:rFonts w:ascii="Georgia" w:hAnsi="Georgia"/>
                <w:b/>
                <w:bCs/>
                <w:color w:val="404040"/>
                <w:sz w:val="20"/>
                <w:szCs w:val="20"/>
              </w:rPr>
              <w:t>7.73</w:t>
            </w:r>
          </w:p>
        </w:tc>
        <w:tc>
          <w:tcPr>
            <w:tcW w:w="1525" w:type="dxa"/>
            <w:tcBorders>
              <w:left w:val="single" w:sz="4" w:space="0" w:color="auto"/>
              <w:bottom w:val="single" w:sz="4" w:space="0" w:color="auto"/>
              <w:right w:val="single" w:sz="4" w:space="0" w:color="auto"/>
            </w:tcBorders>
            <w:noWrap/>
            <w:vAlign w:val="center"/>
            <w:hideMark/>
          </w:tcPr>
          <w:p w14:paraId="450DD6CB" w14:textId="468E6E1F" w:rsidR="00790246" w:rsidRPr="00EF6464" w:rsidRDefault="00790246" w:rsidP="00790246">
            <w:pPr>
              <w:jc w:val="right"/>
              <w:rPr>
                <w:rFonts w:ascii="Georgia" w:hAnsi="Georgia"/>
                <w:b/>
                <w:bCs/>
                <w:color w:val="404040"/>
                <w:sz w:val="20"/>
                <w:szCs w:val="20"/>
              </w:rPr>
            </w:pPr>
            <w:r w:rsidRPr="00EF6464">
              <w:rPr>
                <w:rFonts w:ascii="Georgia" w:hAnsi="Georgia"/>
                <w:b/>
                <w:bCs/>
                <w:color w:val="404040"/>
                <w:sz w:val="20"/>
                <w:szCs w:val="20"/>
              </w:rPr>
              <w:t>7.55</w:t>
            </w:r>
          </w:p>
        </w:tc>
      </w:tr>
      <w:tr w:rsidR="00790246" w:rsidRPr="00904E51" w14:paraId="4F97E5BF" w14:textId="77777777" w:rsidTr="006F0858">
        <w:trPr>
          <w:trHeight w:val="207"/>
        </w:trPr>
        <w:tc>
          <w:tcPr>
            <w:tcW w:w="2696" w:type="dxa"/>
            <w:tcBorders>
              <w:left w:val="single" w:sz="4" w:space="0" w:color="auto"/>
              <w:bottom w:val="single" w:sz="4" w:space="0" w:color="auto"/>
              <w:right w:val="single" w:sz="4" w:space="0" w:color="auto"/>
            </w:tcBorders>
            <w:noWrap/>
            <w:vAlign w:val="center"/>
            <w:hideMark/>
          </w:tcPr>
          <w:p w14:paraId="7D5675C9" w14:textId="2830998B" w:rsidR="00790246" w:rsidRPr="00EF6464" w:rsidRDefault="00790246" w:rsidP="00790246">
            <w:pPr>
              <w:rPr>
                <w:rFonts w:ascii="Georgia" w:hAnsi="Georgia"/>
                <w:color w:val="404040"/>
                <w:sz w:val="20"/>
                <w:szCs w:val="20"/>
              </w:rPr>
            </w:pPr>
            <w:r w:rsidRPr="00EF6464">
              <w:rPr>
                <w:rFonts w:ascii="Georgia" w:hAnsi="Georgia"/>
                <w:color w:val="404040"/>
                <w:sz w:val="20"/>
                <w:szCs w:val="20"/>
              </w:rPr>
              <w:t>Total Dividend Declared &amp; Paid (</w:t>
            </w:r>
            <w:proofErr w:type="spellStart"/>
            <w:r w:rsidRPr="00EF6464">
              <w:rPr>
                <w:rFonts w:ascii="Georgia" w:hAnsi="Georgia"/>
                <w:color w:val="404040"/>
                <w:sz w:val="20"/>
                <w:szCs w:val="20"/>
              </w:rPr>
              <w:t>pps</w:t>
            </w:r>
            <w:proofErr w:type="spellEnd"/>
            <w:r w:rsidRPr="00EF6464">
              <w:rPr>
                <w:rFonts w:ascii="Georgia" w:hAnsi="Georgia"/>
                <w:color w:val="404040"/>
                <w:sz w:val="20"/>
                <w:szCs w:val="20"/>
              </w:rPr>
              <w:t>) - 2</w:t>
            </w:r>
          </w:p>
        </w:tc>
        <w:tc>
          <w:tcPr>
            <w:tcW w:w="1640" w:type="dxa"/>
            <w:tcBorders>
              <w:left w:val="single" w:sz="4" w:space="0" w:color="auto"/>
              <w:bottom w:val="single" w:sz="4" w:space="0" w:color="auto"/>
              <w:right w:val="single" w:sz="4" w:space="0" w:color="auto"/>
            </w:tcBorders>
            <w:vAlign w:val="center"/>
          </w:tcPr>
          <w:p w14:paraId="78F18B63" w14:textId="078162E2" w:rsidR="00790246" w:rsidRPr="000F6070" w:rsidRDefault="00790246" w:rsidP="00790246">
            <w:pPr>
              <w:jc w:val="right"/>
              <w:rPr>
                <w:rFonts w:ascii="Georgia" w:hAnsi="Georgia"/>
                <w:color w:val="404040"/>
                <w:sz w:val="20"/>
                <w:szCs w:val="20"/>
              </w:rPr>
            </w:pPr>
            <w:r w:rsidRPr="000F6070">
              <w:rPr>
                <w:rFonts w:ascii="Georgia" w:hAnsi="Georgia"/>
                <w:color w:val="404040"/>
                <w:sz w:val="20"/>
                <w:szCs w:val="20"/>
              </w:rPr>
              <w:t>7.90</w:t>
            </w:r>
          </w:p>
        </w:tc>
        <w:tc>
          <w:tcPr>
            <w:tcW w:w="1640" w:type="dxa"/>
            <w:tcBorders>
              <w:left w:val="single" w:sz="4" w:space="0" w:color="auto"/>
              <w:bottom w:val="single" w:sz="4" w:space="0" w:color="auto"/>
              <w:right w:val="single" w:sz="4" w:space="0" w:color="auto"/>
            </w:tcBorders>
            <w:vAlign w:val="center"/>
          </w:tcPr>
          <w:p w14:paraId="657D6068" w14:textId="6A7875F9"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8.31</w:t>
            </w:r>
          </w:p>
        </w:tc>
        <w:tc>
          <w:tcPr>
            <w:tcW w:w="1537" w:type="dxa"/>
            <w:tcBorders>
              <w:left w:val="single" w:sz="4" w:space="0" w:color="auto"/>
              <w:bottom w:val="single" w:sz="4" w:space="0" w:color="auto"/>
              <w:right w:val="single" w:sz="4" w:space="0" w:color="auto"/>
            </w:tcBorders>
            <w:noWrap/>
            <w:vAlign w:val="center"/>
            <w:hideMark/>
          </w:tcPr>
          <w:p w14:paraId="15E850F9" w14:textId="439BB096"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7.43</w:t>
            </w:r>
          </w:p>
        </w:tc>
        <w:tc>
          <w:tcPr>
            <w:tcW w:w="1525" w:type="dxa"/>
            <w:tcBorders>
              <w:left w:val="single" w:sz="4" w:space="0" w:color="auto"/>
              <w:bottom w:val="single" w:sz="4" w:space="0" w:color="auto"/>
              <w:right w:val="single" w:sz="4" w:space="0" w:color="auto"/>
            </w:tcBorders>
            <w:noWrap/>
            <w:vAlign w:val="center"/>
            <w:hideMark/>
          </w:tcPr>
          <w:p w14:paraId="0C77161C" w14:textId="0D886C0D"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 xml:space="preserve">           7.25 </w:t>
            </w:r>
          </w:p>
        </w:tc>
      </w:tr>
      <w:tr w:rsidR="00790246" w:rsidRPr="00904E51" w14:paraId="5F5CFDDE" w14:textId="77777777" w:rsidTr="006F0858">
        <w:trPr>
          <w:trHeight w:val="207"/>
        </w:trPr>
        <w:tc>
          <w:tcPr>
            <w:tcW w:w="2696" w:type="dxa"/>
            <w:tcBorders>
              <w:top w:val="single" w:sz="4" w:space="0" w:color="auto"/>
              <w:left w:val="single" w:sz="4" w:space="0" w:color="auto"/>
              <w:bottom w:val="single" w:sz="4" w:space="0" w:color="auto"/>
              <w:right w:val="single" w:sz="4" w:space="0" w:color="auto"/>
            </w:tcBorders>
            <w:noWrap/>
            <w:vAlign w:val="center"/>
            <w:hideMark/>
          </w:tcPr>
          <w:p w14:paraId="09987C8C" w14:textId="77777777" w:rsidR="00790246" w:rsidRPr="00EF6464" w:rsidRDefault="00790246" w:rsidP="00790246">
            <w:pPr>
              <w:rPr>
                <w:rFonts w:ascii="Georgia" w:hAnsi="Georgia"/>
                <w:color w:val="404040"/>
                <w:sz w:val="20"/>
                <w:szCs w:val="20"/>
              </w:rPr>
            </w:pPr>
            <w:r w:rsidRPr="00EF6464">
              <w:rPr>
                <w:rFonts w:ascii="Georgia" w:hAnsi="Georgia"/>
                <w:color w:val="404040"/>
                <w:sz w:val="20"/>
                <w:szCs w:val="20"/>
              </w:rPr>
              <w:t xml:space="preserve">Reserves carried forward </w:t>
            </w:r>
          </w:p>
          <w:p w14:paraId="1DB56D27" w14:textId="39EEAD4C" w:rsidR="00790246" w:rsidRPr="00EF6464" w:rsidRDefault="00790246" w:rsidP="00790246">
            <w:pPr>
              <w:rPr>
                <w:rFonts w:ascii="Georgia" w:hAnsi="Georgia"/>
                <w:color w:val="404040"/>
                <w:sz w:val="20"/>
                <w:szCs w:val="20"/>
              </w:rPr>
            </w:pPr>
            <w:r w:rsidRPr="00EF6464">
              <w:rPr>
                <w:rFonts w:ascii="Georgia" w:hAnsi="Georgia"/>
                <w:color w:val="404040"/>
                <w:sz w:val="20"/>
                <w:szCs w:val="20"/>
              </w:rPr>
              <w:t>(</w:t>
            </w:r>
            <w:proofErr w:type="spellStart"/>
            <w:r w:rsidRPr="00EF6464">
              <w:rPr>
                <w:rFonts w:ascii="Georgia" w:hAnsi="Georgia"/>
                <w:color w:val="404040"/>
                <w:sz w:val="20"/>
                <w:szCs w:val="20"/>
              </w:rPr>
              <w:t>pps</w:t>
            </w:r>
            <w:proofErr w:type="spellEnd"/>
            <w:r w:rsidRPr="00EF6464">
              <w:rPr>
                <w:rFonts w:ascii="Georgia" w:hAnsi="Georgia"/>
                <w:color w:val="404040"/>
                <w:sz w:val="20"/>
                <w:szCs w:val="20"/>
              </w:rPr>
              <w:t>) ** - 1-2</w:t>
            </w:r>
          </w:p>
        </w:tc>
        <w:tc>
          <w:tcPr>
            <w:tcW w:w="1640" w:type="dxa"/>
            <w:tcBorders>
              <w:top w:val="single" w:sz="4" w:space="0" w:color="auto"/>
              <w:left w:val="single" w:sz="4" w:space="0" w:color="auto"/>
              <w:bottom w:val="single" w:sz="4" w:space="0" w:color="auto"/>
              <w:right w:val="single" w:sz="4" w:space="0" w:color="auto"/>
            </w:tcBorders>
            <w:vAlign w:val="center"/>
          </w:tcPr>
          <w:p w14:paraId="54292385" w14:textId="52245F6C" w:rsidR="00790246" w:rsidRPr="000F6070" w:rsidRDefault="00790246" w:rsidP="00790246">
            <w:pPr>
              <w:jc w:val="right"/>
              <w:rPr>
                <w:rFonts w:ascii="Georgia" w:hAnsi="Georgia"/>
                <w:color w:val="404040"/>
                <w:sz w:val="20"/>
                <w:szCs w:val="20"/>
              </w:rPr>
            </w:pPr>
            <w:r>
              <w:rPr>
                <w:rFonts w:ascii="Georgia" w:hAnsi="Georgia"/>
                <w:color w:val="404040"/>
                <w:sz w:val="20"/>
                <w:szCs w:val="20"/>
              </w:rPr>
              <w:t>2.23</w:t>
            </w:r>
          </w:p>
        </w:tc>
        <w:tc>
          <w:tcPr>
            <w:tcW w:w="1640" w:type="dxa"/>
            <w:tcBorders>
              <w:top w:val="single" w:sz="4" w:space="0" w:color="auto"/>
              <w:left w:val="single" w:sz="4" w:space="0" w:color="auto"/>
              <w:bottom w:val="single" w:sz="4" w:space="0" w:color="auto"/>
              <w:right w:val="single" w:sz="4" w:space="0" w:color="auto"/>
            </w:tcBorders>
            <w:vAlign w:val="center"/>
          </w:tcPr>
          <w:p w14:paraId="4944818E" w14:textId="7DA0A6B3"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0.60</w:t>
            </w:r>
          </w:p>
        </w:tc>
        <w:tc>
          <w:tcPr>
            <w:tcW w:w="1537" w:type="dxa"/>
            <w:tcBorders>
              <w:top w:val="single" w:sz="4" w:space="0" w:color="auto"/>
              <w:left w:val="single" w:sz="4" w:space="0" w:color="auto"/>
              <w:bottom w:val="single" w:sz="4" w:space="0" w:color="auto"/>
              <w:right w:val="single" w:sz="4" w:space="0" w:color="auto"/>
            </w:tcBorders>
            <w:noWrap/>
            <w:vAlign w:val="center"/>
            <w:hideMark/>
          </w:tcPr>
          <w:p w14:paraId="642AEF10" w14:textId="7A1C7FC4"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0.30</w:t>
            </w:r>
          </w:p>
        </w:tc>
        <w:tc>
          <w:tcPr>
            <w:tcW w:w="1525" w:type="dxa"/>
            <w:tcBorders>
              <w:top w:val="single" w:sz="4" w:space="0" w:color="auto"/>
              <w:left w:val="single" w:sz="4" w:space="0" w:color="auto"/>
              <w:bottom w:val="single" w:sz="4" w:space="0" w:color="auto"/>
              <w:right w:val="single" w:sz="4" w:space="0" w:color="auto"/>
            </w:tcBorders>
            <w:noWrap/>
            <w:vAlign w:val="center"/>
            <w:hideMark/>
          </w:tcPr>
          <w:p w14:paraId="5E2227C8" w14:textId="6D2853D6" w:rsidR="00790246" w:rsidRPr="00EF6464" w:rsidRDefault="00790246" w:rsidP="00790246">
            <w:pPr>
              <w:jc w:val="right"/>
              <w:rPr>
                <w:rFonts w:ascii="Georgia" w:hAnsi="Georgia"/>
                <w:color w:val="404040"/>
                <w:sz w:val="20"/>
                <w:szCs w:val="20"/>
              </w:rPr>
            </w:pPr>
            <w:r w:rsidRPr="00EF6464">
              <w:rPr>
                <w:rFonts w:ascii="Georgia" w:hAnsi="Georgia"/>
                <w:color w:val="404040"/>
                <w:sz w:val="20"/>
                <w:szCs w:val="20"/>
              </w:rPr>
              <w:t>0.30</w:t>
            </w:r>
          </w:p>
        </w:tc>
      </w:tr>
    </w:tbl>
    <w:p w14:paraId="0D84222A" w14:textId="77777777" w:rsidR="007B66C1" w:rsidRPr="00EF6464" w:rsidRDefault="007B66C1" w:rsidP="007B66C1">
      <w:pPr>
        <w:jc w:val="both"/>
        <w:rPr>
          <w:rFonts w:ascii="Georgia" w:hAnsi="Georgia" w:cs="Calibri"/>
          <w:color w:val="404040" w:themeColor="text1" w:themeTint="BF"/>
          <w:sz w:val="20"/>
          <w:szCs w:val="20"/>
        </w:rPr>
      </w:pPr>
    </w:p>
    <w:p w14:paraId="64414E7B" w14:textId="4E34F9CC" w:rsidR="00790246" w:rsidRPr="00EF6464" w:rsidRDefault="0019209D" w:rsidP="00790246">
      <w:pPr>
        <w:jc w:val="both"/>
        <w:rPr>
          <w:rFonts w:ascii="Georgia" w:hAnsi="Georgia" w:cs="Calibri"/>
          <w:color w:val="404040" w:themeColor="text1" w:themeTint="BF"/>
          <w:sz w:val="20"/>
          <w:szCs w:val="20"/>
        </w:rPr>
      </w:pPr>
      <w:r>
        <w:rPr>
          <w:rFonts w:ascii="Georgia" w:hAnsi="Georgia" w:cs="Calibri"/>
          <w:color w:val="404040" w:themeColor="text1" w:themeTint="BF"/>
          <w:sz w:val="20"/>
          <w:szCs w:val="20"/>
        </w:rPr>
        <w:t>*</w:t>
      </w:r>
      <w:r w:rsidR="00790246">
        <w:rPr>
          <w:rFonts w:ascii="Georgia" w:hAnsi="Georgia" w:cs="Calibri"/>
          <w:color w:val="404040" w:themeColor="text1" w:themeTint="BF"/>
          <w:sz w:val="20"/>
          <w:szCs w:val="20"/>
        </w:rPr>
        <w:t xml:space="preserve"> </w:t>
      </w:r>
      <w:r w:rsidR="00790246" w:rsidRPr="00EF6464">
        <w:rPr>
          <w:rFonts w:ascii="Georgia" w:hAnsi="Georgia" w:cs="Calibri"/>
          <w:color w:val="404040" w:themeColor="text1" w:themeTint="BF"/>
          <w:sz w:val="20"/>
          <w:szCs w:val="20"/>
        </w:rPr>
        <w:t>Average number of shares is calculated based on shares in issue at the time each dividend was declared.</w:t>
      </w:r>
    </w:p>
    <w:p w14:paraId="386CBC7F" w14:textId="4400371C" w:rsidR="00790246" w:rsidRDefault="0019209D" w:rsidP="00766D68">
      <w:pPr>
        <w:spacing w:line="259" w:lineRule="auto"/>
        <w:jc w:val="both"/>
        <w:rPr>
          <w:rFonts w:ascii="Georgia" w:hAnsi="Georgia"/>
          <w:color w:val="404040" w:themeColor="text1" w:themeTint="BF"/>
          <w:sz w:val="20"/>
          <w:szCs w:val="20"/>
        </w:rPr>
      </w:pPr>
      <w:r>
        <w:rPr>
          <w:rFonts w:ascii="Georgia" w:hAnsi="Georgia"/>
          <w:color w:val="404040" w:themeColor="text1" w:themeTint="BF"/>
          <w:sz w:val="20"/>
          <w:szCs w:val="20"/>
        </w:rPr>
        <w:t>**</w:t>
      </w:r>
      <w:r w:rsidR="00790246">
        <w:rPr>
          <w:rFonts w:ascii="Georgia" w:hAnsi="Georgia"/>
          <w:b/>
          <w:color w:val="404040" w:themeColor="text1" w:themeTint="BF"/>
          <w:sz w:val="20"/>
          <w:szCs w:val="20"/>
        </w:rPr>
        <w:t xml:space="preserve"> </w:t>
      </w:r>
      <w:r w:rsidR="00790246" w:rsidRPr="00EF6464">
        <w:rPr>
          <w:rFonts w:ascii="Georgia" w:hAnsi="Georgia"/>
          <w:color w:val="404040" w:themeColor="text1" w:themeTint="BF"/>
          <w:sz w:val="20"/>
          <w:szCs w:val="20"/>
        </w:rPr>
        <w:t>Reserves carried forward are based on the shares in issue at the corresponding year end.</w:t>
      </w:r>
    </w:p>
    <w:p w14:paraId="574F0FC7" w14:textId="400851A4" w:rsidR="00766D68" w:rsidRDefault="00766D68" w:rsidP="00766D68">
      <w:pPr>
        <w:spacing w:line="259" w:lineRule="auto"/>
        <w:jc w:val="both"/>
        <w:rPr>
          <w:rFonts w:ascii="Georgia" w:hAnsi="Georgia"/>
          <w:color w:val="404040" w:themeColor="text1" w:themeTint="BF"/>
          <w:sz w:val="20"/>
          <w:szCs w:val="20"/>
        </w:rPr>
      </w:pPr>
      <w:r>
        <w:rPr>
          <w:rFonts w:ascii="Georgia" w:hAnsi="Georgia"/>
          <w:color w:val="404040" w:themeColor="text1" w:themeTint="BF"/>
          <w:sz w:val="20"/>
          <w:szCs w:val="20"/>
        </w:rPr>
        <w:t xml:space="preserve">*** An </w:t>
      </w:r>
      <w:r w:rsidR="00B736AB">
        <w:rPr>
          <w:rFonts w:ascii="Georgia" w:hAnsi="Georgia"/>
          <w:color w:val="404040" w:themeColor="text1" w:themeTint="BF"/>
          <w:sz w:val="20"/>
          <w:szCs w:val="20"/>
        </w:rPr>
        <w:t>additional dividend</w:t>
      </w:r>
      <w:r>
        <w:rPr>
          <w:rFonts w:ascii="Georgia" w:hAnsi="Georgia"/>
          <w:color w:val="404040" w:themeColor="text1" w:themeTint="BF"/>
          <w:sz w:val="20"/>
          <w:szCs w:val="20"/>
        </w:rPr>
        <w:t xml:space="preserve"> of 0.63pps was paid for the year ended 30 June 2019. </w:t>
      </w:r>
    </w:p>
    <w:p w14:paraId="1DC2A9D9" w14:textId="77777777" w:rsidR="00766D68" w:rsidRPr="00904E51" w:rsidRDefault="00766D68" w:rsidP="00766D68">
      <w:pPr>
        <w:spacing w:line="259" w:lineRule="auto"/>
        <w:jc w:val="both"/>
        <w:rPr>
          <w:rFonts w:ascii="Georgia" w:hAnsi="Georgia"/>
          <w:b/>
          <w:color w:val="404040" w:themeColor="text1" w:themeTint="BF"/>
          <w:sz w:val="20"/>
          <w:szCs w:val="20"/>
          <w:highlight w:val="yellow"/>
        </w:rPr>
      </w:pPr>
    </w:p>
    <w:p w14:paraId="0B85CA72" w14:textId="77777777" w:rsidR="007B66C1" w:rsidRPr="00EF6464" w:rsidRDefault="007B66C1" w:rsidP="007B66C1">
      <w:pPr>
        <w:spacing w:after="160" w:line="259" w:lineRule="auto"/>
        <w:jc w:val="both"/>
        <w:rPr>
          <w:rFonts w:ascii="Georgia" w:hAnsi="Georgia"/>
          <w:b/>
          <w:color w:val="404040" w:themeColor="text1" w:themeTint="BF"/>
          <w:sz w:val="20"/>
          <w:szCs w:val="20"/>
        </w:rPr>
      </w:pPr>
      <w:r w:rsidRPr="00EF6464">
        <w:rPr>
          <w:rFonts w:ascii="Georgia" w:hAnsi="Georgia"/>
          <w:b/>
          <w:color w:val="404040" w:themeColor="text1" w:themeTint="BF"/>
          <w:sz w:val="20"/>
          <w:szCs w:val="20"/>
        </w:rPr>
        <w:t>4. NAV and Valuation of the Portfolio</w:t>
      </w:r>
    </w:p>
    <w:p w14:paraId="26B4341C" w14:textId="77777777" w:rsidR="007B66C1" w:rsidRPr="00EF6464" w:rsidRDefault="007B66C1" w:rsidP="007B66C1">
      <w:pPr>
        <w:pStyle w:val="ListParagraph"/>
        <w:ind w:left="0"/>
        <w:jc w:val="both"/>
        <w:rPr>
          <w:rFonts w:ascii="Georgia" w:hAnsi="Georgia"/>
          <w:color w:val="404040" w:themeColor="text1" w:themeTint="BF"/>
          <w:sz w:val="20"/>
          <w:szCs w:val="20"/>
        </w:rPr>
      </w:pPr>
      <w:r w:rsidRPr="00EF6464">
        <w:rPr>
          <w:rFonts w:ascii="Georgia" w:hAnsi="Georgia"/>
          <w:color w:val="404040" w:themeColor="text1" w:themeTint="BF"/>
          <w:sz w:val="20"/>
          <w:szCs w:val="20"/>
        </w:rPr>
        <w:t>The Investment Adviser is responsible for advising the Board in determining the Directors’ Valuation and, when required, carrying out the fair market valuation of the Company’s investments.</w:t>
      </w:r>
    </w:p>
    <w:p w14:paraId="6A3FCE97" w14:textId="77777777" w:rsidR="007B66C1" w:rsidRPr="00EF6464" w:rsidRDefault="007B66C1" w:rsidP="007B66C1">
      <w:pPr>
        <w:pStyle w:val="ListParagraph"/>
        <w:jc w:val="both"/>
        <w:rPr>
          <w:rFonts w:ascii="Georgia" w:hAnsi="Georgia"/>
          <w:color w:val="404040" w:themeColor="text1" w:themeTint="BF"/>
          <w:sz w:val="20"/>
          <w:szCs w:val="20"/>
        </w:rPr>
      </w:pPr>
    </w:p>
    <w:p w14:paraId="2CE56E71" w14:textId="2D95C2A8" w:rsidR="007B66C1" w:rsidRPr="00EF6464" w:rsidRDefault="007B66C1" w:rsidP="007B66C1">
      <w:pPr>
        <w:pStyle w:val="ListParagraph"/>
        <w:ind w:left="0"/>
        <w:jc w:val="both"/>
        <w:rPr>
          <w:rFonts w:ascii="Georgia" w:hAnsi="Georgia"/>
          <w:color w:val="404040" w:themeColor="text1" w:themeTint="BF"/>
          <w:sz w:val="20"/>
          <w:szCs w:val="20"/>
        </w:rPr>
      </w:pPr>
      <w:r w:rsidRPr="00EF6464">
        <w:rPr>
          <w:rFonts w:ascii="Georgia" w:hAnsi="Georgia"/>
          <w:color w:val="404040" w:themeColor="text1" w:themeTint="BF"/>
          <w:sz w:val="20"/>
          <w:szCs w:val="20"/>
        </w:rPr>
        <w:t xml:space="preserve">Valuations are carried out on a six-monthly basis as at 31 December and 30 June each year with the Company committed to conducting independent reviews as and when the Board believes it benefits the </w:t>
      </w:r>
      <w:r w:rsidR="00DB4410">
        <w:rPr>
          <w:rFonts w:ascii="Georgia" w:hAnsi="Georgia"/>
          <w:color w:val="404040" w:themeColor="text1" w:themeTint="BF"/>
          <w:sz w:val="20"/>
          <w:szCs w:val="20"/>
        </w:rPr>
        <w:t>S</w:t>
      </w:r>
      <w:r w:rsidRPr="00EF6464">
        <w:rPr>
          <w:rFonts w:ascii="Georgia" w:hAnsi="Georgia"/>
          <w:color w:val="404040" w:themeColor="text1" w:themeTint="BF"/>
          <w:sz w:val="20"/>
          <w:szCs w:val="20"/>
        </w:rPr>
        <w:t xml:space="preserve">hareholders to do so (in the period 2013-2019 two independent valuation reviews were commissioned). </w:t>
      </w:r>
    </w:p>
    <w:p w14:paraId="78CABAFE" w14:textId="77777777" w:rsidR="007B66C1" w:rsidRPr="00904E51" w:rsidRDefault="007B66C1" w:rsidP="007B66C1">
      <w:pPr>
        <w:pStyle w:val="ListParagraph"/>
        <w:jc w:val="both"/>
        <w:rPr>
          <w:rFonts w:ascii="Georgia" w:hAnsi="Georgia"/>
          <w:color w:val="404040" w:themeColor="text1" w:themeTint="BF"/>
          <w:sz w:val="20"/>
          <w:szCs w:val="20"/>
          <w:highlight w:val="yellow"/>
        </w:rPr>
      </w:pPr>
    </w:p>
    <w:p w14:paraId="1474893A" w14:textId="77777777" w:rsidR="007B66C1" w:rsidRPr="00EF6464" w:rsidRDefault="007B66C1" w:rsidP="007B66C1">
      <w:pPr>
        <w:pStyle w:val="ListParagraph"/>
        <w:ind w:left="0"/>
        <w:jc w:val="both"/>
        <w:rPr>
          <w:rFonts w:ascii="Georgia" w:hAnsi="Georgia"/>
          <w:color w:val="404040" w:themeColor="text1" w:themeTint="BF"/>
          <w:sz w:val="20"/>
          <w:szCs w:val="20"/>
        </w:rPr>
      </w:pPr>
      <w:r w:rsidRPr="00EF6464">
        <w:rPr>
          <w:rFonts w:ascii="Georgia" w:hAnsi="Georgia"/>
          <w:color w:val="404040" w:themeColor="text1" w:themeTint="BF"/>
          <w:sz w:val="20"/>
          <w:szCs w:val="20"/>
        </w:rPr>
        <w:t>As the portfolio comprises only non-market traded investments, the Investment Adviser has adopted valuation guidelines based upon the IPEV Valuation Guidelines as adopted by Invest Europe (formerly known as the European Venture Capital Association), application of which is considered consistent with the requirements of compliance with IFRS 9 and IFRS 13.</w:t>
      </w:r>
    </w:p>
    <w:p w14:paraId="55C13FB9" w14:textId="77777777" w:rsidR="007B66C1" w:rsidRPr="0073347E" w:rsidRDefault="007B66C1" w:rsidP="007B66C1">
      <w:pPr>
        <w:pStyle w:val="ListParagraph"/>
        <w:jc w:val="both"/>
        <w:rPr>
          <w:rFonts w:ascii="Georgia" w:hAnsi="Georgia"/>
          <w:color w:val="404040" w:themeColor="text1" w:themeTint="BF"/>
          <w:sz w:val="20"/>
          <w:szCs w:val="20"/>
        </w:rPr>
      </w:pPr>
    </w:p>
    <w:p w14:paraId="71B68B40" w14:textId="49F068A0" w:rsidR="007B66C1" w:rsidRPr="00904E51" w:rsidRDefault="007B66C1" w:rsidP="007B66C1">
      <w:pPr>
        <w:pStyle w:val="ListParagraph"/>
        <w:ind w:left="0"/>
        <w:jc w:val="both"/>
        <w:rPr>
          <w:rFonts w:ascii="Georgia" w:hAnsi="Georgia"/>
          <w:color w:val="404040" w:themeColor="text1" w:themeTint="BF"/>
          <w:sz w:val="20"/>
          <w:szCs w:val="20"/>
          <w:highlight w:val="yellow"/>
        </w:rPr>
      </w:pPr>
      <w:r w:rsidRPr="0073347E">
        <w:rPr>
          <w:rFonts w:ascii="Georgia" w:hAnsi="Georgia"/>
          <w:color w:val="404040" w:themeColor="text1" w:themeTint="BF"/>
          <w:sz w:val="20"/>
          <w:szCs w:val="20"/>
        </w:rPr>
        <w:t xml:space="preserve">Following consultation with the Investment Adviser, the Directors’ Valuation adopted for the portfolio as at </w:t>
      </w:r>
      <w:r w:rsidRPr="000F6070">
        <w:rPr>
          <w:rFonts w:ascii="Georgia" w:hAnsi="Georgia"/>
          <w:color w:val="404040" w:themeColor="text1" w:themeTint="BF"/>
          <w:sz w:val="20"/>
          <w:szCs w:val="20"/>
        </w:rPr>
        <w:t>30 June 2020 was £624.</w:t>
      </w:r>
      <w:r w:rsidR="008660FC">
        <w:rPr>
          <w:rFonts w:ascii="Georgia" w:hAnsi="Georgia"/>
          <w:color w:val="404040" w:themeColor="text1" w:themeTint="BF"/>
          <w:sz w:val="20"/>
          <w:szCs w:val="20"/>
        </w:rPr>
        <w:t>3</w:t>
      </w:r>
      <w:r w:rsidRPr="000F6070">
        <w:rPr>
          <w:rFonts w:ascii="Georgia" w:hAnsi="Georgia"/>
          <w:color w:val="404040" w:themeColor="text1" w:themeTint="BF"/>
          <w:sz w:val="20"/>
          <w:szCs w:val="20"/>
        </w:rPr>
        <w:t xml:space="preserve">m </w:t>
      </w:r>
      <w:r w:rsidRPr="0073347E">
        <w:rPr>
          <w:rFonts w:ascii="Georgia" w:hAnsi="Georgia"/>
          <w:color w:val="404040" w:themeColor="text1" w:themeTint="BF"/>
          <w:sz w:val="20"/>
          <w:szCs w:val="20"/>
        </w:rPr>
        <w:t>(30 June 2019, £622.1m).</w:t>
      </w:r>
    </w:p>
    <w:p w14:paraId="0308F770" w14:textId="77777777" w:rsidR="007B66C1" w:rsidRPr="00904E51" w:rsidRDefault="007B66C1" w:rsidP="007B66C1">
      <w:pPr>
        <w:jc w:val="both"/>
        <w:rPr>
          <w:rFonts w:ascii="Georgia" w:hAnsi="Georgia"/>
          <w:color w:val="404040" w:themeColor="text1" w:themeTint="BF"/>
          <w:sz w:val="20"/>
          <w:szCs w:val="20"/>
          <w:highlight w:val="yellow"/>
        </w:rPr>
      </w:pPr>
    </w:p>
    <w:p w14:paraId="0A09276F" w14:textId="77777777" w:rsidR="007B66C1" w:rsidRPr="0073347E" w:rsidRDefault="007B66C1" w:rsidP="007B66C1">
      <w:pPr>
        <w:jc w:val="both"/>
        <w:rPr>
          <w:rFonts w:ascii="Georgia" w:hAnsi="Georgia"/>
          <w:color w:val="404040" w:themeColor="text1" w:themeTint="BF"/>
          <w:sz w:val="20"/>
          <w:szCs w:val="20"/>
        </w:rPr>
      </w:pPr>
      <w:r w:rsidRPr="0073347E">
        <w:rPr>
          <w:rFonts w:ascii="Georgia" w:hAnsi="Georgia"/>
          <w:color w:val="404040" w:themeColor="text1" w:themeTint="BF"/>
          <w:sz w:val="20"/>
          <w:szCs w:val="20"/>
        </w:rPr>
        <w:t>The table below shows a breakdown of the Directors’ Valuations over the last three financial years:</w:t>
      </w:r>
    </w:p>
    <w:p w14:paraId="1C3A7318" w14:textId="77777777" w:rsidR="007B66C1" w:rsidRPr="00904E51" w:rsidRDefault="007B66C1" w:rsidP="007B66C1">
      <w:pPr>
        <w:jc w:val="both"/>
        <w:rPr>
          <w:rFonts w:ascii="Georgia" w:hAnsi="Georgia"/>
          <w:color w:val="404040" w:themeColor="text1" w:themeTint="BF"/>
          <w:sz w:val="20"/>
          <w:szCs w:val="20"/>
          <w:highlight w:val="yellow"/>
        </w:rPr>
      </w:pPr>
    </w:p>
    <w:tbl>
      <w:tblPr>
        <w:tblStyle w:val="TableGrid6"/>
        <w:tblW w:w="5000" w:type="pct"/>
        <w:tblLook w:val="04A0" w:firstRow="1" w:lastRow="0" w:firstColumn="1" w:lastColumn="0" w:noHBand="0" w:noVBand="1"/>
      </w:tblPr>
      <w:tblGrid>
        <w:gridCol w:w="3748"/>
        <w:gridCol w:w="1840"/>
        <w:gridCol w:w="1883"/>
        <w:gridCol w:w="1879"/>
      </w:tblGrid>
      <w:tr w:rsidR="007B66C1" w:rsidRPr="00904E51" w14:paraId="2FD3F01B" w14:textId="77777777" w:rsidTr="006F0858">
        <w:trPr>
          <w:trHeight w:val="259"/>
        </w:trPr>
        <w:tc>
          <w:tcPr>
            <w:tcW w:w="2004" w:type="pct"/>
            <w:shd w:val="clear" w:color="auto" w:fill="auto"/>
          </w:tcPr>
          <w:p w14:paraId="095E18CF" w14:textId="77777777" w:rsidR="007B66C1" w:rsidRPr="0073347E" w:rsidRDefault="007B66C1" w:rsidP="006F0858">
            <w:pPr>
              <w:jc w:val="both"/>
              <w:rPr>
                <w:rFonts w:ascii="Georgia" w:hAnsi="Georgia" w:cs="Calibri"/>
                <w:b/>
                <w:color w:val="404040"/>
                <w:sz w:val="20"/>
                <w:lang w:eastAsia="en-GB"/>
              </w:rPr>
            </w:pPr>
            <w:r w:rsidRPr="0073347E">
              <w:rPr>
                <w:rFonts w:ascii="Georgia" w:hAnsi="Georgia" w:cs="Calibri"/>
                <w:b/>
                <w:color w:val="404040"/>
                <w:sz w:val="20"/>
                <w:lang w:eastAsia="en-GB"/>
              </w:rPr>
              <w:t>Valuation Component (£m)</w:t>
            </w:r>
          </w:p>
        </w:tc>
        <w:tc>
          <w:tcPr>
            <w:tcW w:w="984" w:type="pct"/>
          </w:tcPr>
          <w:p w14:paraId="79EA7129" w14:textId="77777777" w:rsidR="007B66C1" w:rsidRPr="0037227F" w:rsidRDefault="007B66C1" w:rsidP="006F0858">
            <w:pPr>
              <w:jc w:val="right"/>
              <w:rPr>
                <w:rFonts w:ascii="Georgia" w:hAnsi="Georgia" w:cs="Calibri"/>
                <w:b/>
                <w:color w:val="404040"/>
                <w:sz w:val="20"/>
                <w:lang w:eastAsia="en-GB"/>
              </w:rPr>
            </w:pPr>
            <w:r w:rsidRPr="0037227F">
              <w:rPr>
                <w:rFonts w:ascii="Georgia" w:hAnsi="Georgia" w:cs="Calibri"/>
                <w:b/>
                <w:color w:val="404040"/>
                <w:sz w:val="20"/>
                <w:lang w:eastAsia="en-GB"/>
              </w:rPr>
              <w:t>June 2020</w:t>
            </w:r>
          </w:p>
        </w:tc>
        <w:tc>
          <w:tcPr>
            <w:tcW w:w="1007" w:type="pct"/>
          </w:tcPr>
          <w:p w14:paraId="32041DAE" w14:textId="77777777" w:rsidR="007B66C1" w:rsidRPr="0073347E" w:rsidRDefault="007B66C1" w:rsidP="006F0858">
            <w:pPr>
              <w:jc w:val="right"/>
              <w:rPr>
                <w:rFonts w:ascii="Georgia" w:hAnsi="Georgia" w:cs="Calibri"/>
                <w:b/>
                <w:color w:val="404040"/>
                <w:sz w:val="20"/>
                <w:lang w:eastAsia="en-GB"/>
              </w:rPr>
            </w:pPr>
            <w:r w:rsidRPr="0073347E">
              <w:rPr>
                <w:rFonts w:ascii="Georgia" w:hAnsi="Georgia" w:cs="Calibri"/>
                <w:b/>
                <w:color w:val="404040"/>
                <w:sz w:val="20"/>
                <w:lang w:eastAsia="en-GB"/>
              </w:rPr>
              <w:t>June 2019</w:t>
            </w:r>
          </w:p>
        </w:tc>
        <w:tc>
          <w:tcPr>
            <w:tcW w:w="1005" w:type="pct"/>
            <w:shd w:val="clear" w:color="auto" w:fill="auto"/>
          </w:tcPr>
          <w:p w14:paraId="62F36E1B" w14:textId="77777777" w:rsidR="007B66C1" w:rsidRPr="0073347E" w:rsidRDefault="007B66C1" w:rsidP="006F0858">
            <w:pPr>
              <w:jc w:val="right"/>
              <w:rPr>
                <w:rFonts w:ascii="Georgia" w:hAnsi="Georgia" w:cs="Calibri"/>
                <w:b/>
                <w:color w:val="404040"/>
                <w:sz w:val="20"/>
                <w:lang w:eastAsia="en-GB"/>
              </w:rPr>
            </w:pPr>
            <w:r w:rsidRPr="0073347E">
              <w:rPr>
                <w:rFonts w:ascii="Georgia" w:hAnsi="Georgia" w:cs="Calibri"/>
                <w:b/>
                <w:color w:val="404040"/>
                <w:sz w:val="20"/>
                <w:lang w:eastAsia="en-GB"/>
              </w:rPr>
              <w:t>June 2018</w:t>
            </w:r>
          </w:p>
        </w:tc>
      </w:tr>
      <w:tr w:rsidR="007B66C1" w:rsidRPr="00904E51" w14:paraId="3C3A62ED" w14:textId="77777777" w:rsidTr="006F0858">
        <w:trPr>
          <w:trHeight w:val="259"/>
        </w:trPr>
        <w:tc>
          <w:tcPr>
            <w:tcW w:w="2004" w:type="pct"/>
            <w:shd w:val="clear" w:color="auto" w:fill="auto"/>
          </w:tcPr>
          <w:p w14:paraId="70AEFDAB" w14:textId="77777777" w:rsidR="007B66C1" w:rsidRPr="0073347E" w:rsidRDefault="007B66C1" w:rsidP="006F0858">
            <w:pPr>
              <w:rPr>
                <w:rFonts w:ascii="Georgia" w:hAnsi="Georgia" w:cs="Calibri"/>
                <w:color w:val="404040"/>
                <w:sz w:val="20"/>
                <w:lang w:eastAsia="en-GB"/>
              </w:rPr>
            </w:pPr>
            <w:r w:rsidRPr="0073347E">
              <w:rPr>
                <w:rFonts w:ascii="Georgia" w:hAnsi="Georgia" w:cs="Calibri"/>
                <w:color w:val="404040"/>
                <w:sz w:val="20"/>
                <w:lang w:eastAsia="en-GB"/>
              </w:rPr>
              <w:t>Enterprise Portfolio DCF value (EV)</w:t>
            </w:r>
          </w:p>
        </w:tc>
        <w:tc>
          <w:tcPr>
            <w:tcW w:w="984" w:type="pct"/>
          </w:tcPr>
          <w:p w14:paraId="04467C5D" w14:textId="481E33AE" w:rsidR="007B66C1" w:rsidRPr="0037227F" w:rsidRDefault="007B66C1" w:rsidP="006F0858">
            <w:pPr>
              <w:jc w:val="right"/>
              <w:rPr>
                <w:rFonts w:ascii="Georgia" w:hAnsi="Georgia" w:cs="Calibri"/>
                <w:color w:val="404040"/>
                <w:sz w:val="20"/>
                <w:lang w:eastAsia="en-GB"/>
              </w:rPr>
            </w:pPr>
            <w:r w:rsidRPr="0037227F">
              <w:rPr>
                <w:rFonts w:ascii="Georgia" w:hAnsi="Georgia" w:cs="Calibri"/>
                <w:color w:val="404040"/>
                <w:sz w:val="20"/>
                <w:lang w:eastAsia="en-GB"/>
              </w:rPr>
              <w:t>60</w:t>
            </w:r>
            <w:r w:rsidR="0037227F" w:rsidRPr="0037227F">
              <w:rPr>
                <w:rFonts w:ascii="Georgia" w:hAnsi="Georgia" w:cs="Calibri"/>
                <w:color w:val="404040"/>
                <w:sz w:val="20"/>
                <w:lang w:eastAsia="en-GB"/>
              </w:rPr>
              <w:t>2.7</w:t>
            </w:r>
          </w:p>
        </w:tc>
        <w:tc>
          <w:tcPr>
            <w:tcW w:w="1007" w:type="pct"/>
          </w:tcPr>
          <w:p w14:paraId="1F1DBD5A"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605.2</w:t>
            </w:r>
          </w:p>
        </w:tc>
        <w:tc>
          <w:tcPr>
            <w:tcW w:w="1005" w:type="pct"/>
            <w:shd w:val="clear" w:color="auto" w:fill="auto"/>
          </w:tcPr>
          <w:p w14:paraId="52F5D6B3"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592.5</w:t>
            </w:r>
          </w:p>
        </w:tc>
      </w:tr>
      <w:tr w:rsidR="007B66C1" w:rsidRPr="00904E51" w14:paraId="0C783873" w14:textId="77777777" w:rsidTr="006F0858">
        <w:trPr>
          <w:trHeight w:val="259"/>
        </w:trPr>
        <w:tc>
          <w:tcPr>
            <w:tcW w:w="2004" w:type="pct"/>
            <w:shd w:val="clear" w:color="auto" w:fill="auto"/>
          </w:tcPr>
          <w:p w14:paraId="26F1E608" w14:textId="77777777" w:rsidR="007B66C1" w:rsidRPr="0073347E" w:rsidRDefault="007B66C1" w:rsidP="006F0858">
            <w:pPr>
              <w:rPr>
                <w:rFonts w:ascii="Georgia" w:hAnsi="Georgia" w:cs="Calibri"/>
                <w:color w:val="404040"/>
                <w:sz w:val="20"/>
                <w:lang w:eastAsia="en-GB"/>
              </w:rPr>
            </w:pPr>
            <w:r w:rsidRPr="0073347E">
              <w:rPr>
                <w:rFonts w:ascii="Georgia" w:hAnsi="Georgia" w:cs="Calibri"/>
                <w:color w:val="404040"/>
                <w:sz w:val="20"/>
                <w:lang w:eastAsia="en-GB"/>
              </w:rPr>
              <w:t>Deduction of Project Co debt</w:t>
            </w:r>
          </w:p>
        </w:tc>
        <w:tc>
          <w:tcPr>
            <w:tcW w:w="984" w:type="pct"/>
            <w:shd w:val="clear" w:color="auto" w:fill="auto"/>
          </w:tcPr>
          <w:p w14:paraId="291282C5" w14:textId="77777777" w:rsidR="007B66C1" w:rsidRPr="000F6070" w:rsidRDefault="007B66C1" w:rsidP="006F0858">
            <w:pPr>
              <w:jc w:val="right"/>
              <w:rPr>
                <w:rFonts w:ascii="Georgia" w:hAnsi="Georgia" w:cs="Calibri"/>
                <w:color w:val="404040"/>
                <w:sz w:val="20"/>
                <w:lang w:eastAsia="en-GB"/>
              </w:rPr>
            </w:pPr>
            <w:r w:rsidRPr="000F6070">
              <w:rPr>
                <w:rFonts w:ascii="Georgia" w:hAnsi="Georgia" w:cs="Calibri"/>
                <w:color w:val="404040"/>
                <w:sz w:val="20"/>
                <w:lang w:eastAsia="en-GB"/>
              </w:rPr>
              <w:t>-10.8</w:t>
            </w:r>
          </w:p>
        </w:tc>
        <w:tc>
          <w:tcPr>
            <w:tcW w:w="1007" w:type="pct"/>
            <w:shd w:val="clear" w:color="auto" w:fill="auto"/>
          </w:tcPr>
          <w:p w14:paraId="462F8C71" w14:textId="77777777" w:rsidR="007B66C1" w:rsidRPr="008920D1" w:rsidRDefault="007B66C1" w:rsidP="006F0858">
            <w:pPr>
              <w:jc w:val="right"/>
              <w:rPr>
                <w:rFonts w:ascii="Georgia" w:hAnsi="Georgia" w:cs="Calibri"/>
                <w:color w:val="404040"/>
                <w:sz w:val="20"/>
                <w:lang w:eastAsia="en-GB"/>
              </w:rPr>
            </w:pPr>
            <w:r w:rsidRPr="008920D1">
              <w:rPr>
                <w:rFonts w:ascii="Georgia" w:hAnsi="Georgia" w:cs="Calibri"/>
                <w:color w:val="404040"/>
                <w:sz w:val="20"/>
                <w:lang w:eastAsia="en-GB"/>
              </w:rPr>
              <w:t>-11.7</w:t>
            </w:r>
          </w:p>
        </w:tc>
        <w:tc>
          <w:tcPr>
            <w:tcW w:w="1005" w:type="pct"/>
            <w:shd w:val="clear" w:color="auto" w:fill="auto"/>
          </w:tcPr>
          <w:p w14:paraId="292BB2D4"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-12.5</w:t>
            </w:r>
          </w:p>
        </w:tc>
      </w:tr>
      <w:tr w:rsidR="007B66C1" w:rsidRPr="00904E51" w14:paraId="4B23D305" w14:textId="77777777" w:rsidTr="006F0858">
        <w:trPr>
          <w:trHeight w:val="259"/>
        </w:trPr>
        <w:tc>
          <w:tcPr>
            <w:tcW w:w="2004" w:type="pct"/>
            <w:shd w:val="clear" w:color="auto" w:fill="auto"/>
          </w:tcPr>
          <w:p w14:paraId="7B1A478D" w14:textId="77777777" w:rsidR="007B66C1" w:rsidRPr="0073347E" w:rsidRDefault="007B66C1" w:rsidP="006F0858">
            <w:pPr>
              <w:rPr>
                <w:rFonts w:ascii="Georgia" w:hAnsi="Georgia" w:cs="Calibri"/>
                <w:color w:val="404040"/>
                <w:sz w:val="20"/>
                <w:lang w:eastAsia="en-GB"/>
              </w:rPr>
            </w:pPr>
            <w:r w:rsidRPr="0073347E">
              <w:rPr>
                <w:rFonts w:ascii="Georgia" w:hAnsi="Georgia" w:cs="Calibri"/>
                <w:color w:val="404040"/>
                <w:sz w:val="20"/>
                <w:lang w:eastAsia="en-GB"/>
              </w:rPr>
              <w:t>Projects valued at cost (amount invested)</w:t>
            </w:r>
          </w:p>
        </w:tc>
        <w:tc>
          <w:tcPr>
            <w:tcW w:w="984" w:type="pct"/>
          </w:tcPr>
          <w:p w14:paraId="3A37D9C5" w14:textId="77777777" w:rsidR="007B66C1" w:rsidRPr="00904E51" w:rsidRDefault="007B66C1" w:rsidP="006F0858">
            <w:pPr>
              <w:jc w:val="right"/>
              <w:rPr>
                <w:rFonts w:ascii="Georgia" w:hAnsi="Georgia" w:cs="Calibri"/>
                <w:color w:val="404040"/>
                <w:sz w:val="20"/>
                <w:highlight w:val="yellow"/>
                <w:lang w:eastAsia="en-GB"/>
              </w:rPr>
            </w:pPr>
            <w:r w:rsidRPr="000F6070">
              <w:rPr>
                <w:rFonts w:ascii="Georgia" w:hAnsi="Georgia" w:cs="Calibri"/>
                <w:color w:val="404040"/>
                <w:sz w:val="20"/>
                <w:lang w:eastAsia="en-GB"/>
              </w:rPr>
              <w:t>0.0</w:t>
            </w:r>
          </w:p>
        </w:tc>
        <w:tc>
          <w:tcPr>
            <w:tcW w:w="1007" w:type="pct"/>
          </w:tcPr>
          <w:p w14:paraId="0BAA23A0"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0.0</w:t>
            </w:r>
          </w:p>
        </w:tc>
        <w:tc>
          <w:tcPr>
            <w:tcW w:w="1005" w:type="pct"/>
            <w:shd w:val="clear" w:color="auto" w:fill="auto"/>
          </w:tcPr>
          <w:p w14:paraId="1925686D"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0.0</w:t>
            </w:r>
          </w:p>
        </w:tc>
      </w:tr>
      <w:tr w:rsidR="007B66C1" w:rsidRPr="00904E51" w14:paraId="035B432A" w14:textId="77777777" w:rsidTr="0037227F">
        <w:trPr>
          <w:trHeight w:val="259"/>
        </w:trPr>
        <w:tc>
          <w:tcPr>
            <w:tcW w:w="2004" w:type="pct"/>
            <w:shd w:val="clear" w:color="auto" w:fill="auto"/>
          </w:tcPr>
          <w:p w14:paraId="38635436" w14:textId="77777777" w:rsidR="007B66C1" w:rsidRPr="0073347E" w:rsidRDefault="007B66C1" w:rsidP="006F0858">
            <w:pPr>
              <w:rPr>
                <w:rFonts w:ascii="Georgia" w:hAnsi="Georgia" w:cs="Calibri"/>
                <w:color w:val="404040"/>
                <w:sz w:val="20"/>
                <w:lang w:eastAsia="en-GB"/>
              </w:rPr>
            </w:pPr>
            <w:r w:rsidRPr="0073347E">
              <w:rPr>
                <w:rFonts w:ascii="Georgia" w:hAnsi="Georgia" w:cs="Calibri"/>
                <w:color w:val="404040"/>
                <w:sz w:val="20"/>
                <w:lang w:eastAsia="en-GB"/>
              </w:rPr>
              <w:t>Project Net Current Assets</w:t>
            </w:r>
          </w:p>
        </w:tc>
        <w:tc>
          <w:tcPr>
            <w:tcW w:w="984" w:type="pct"/>
            <w:shd w:val="clear" w:color="auto" w:fill="auto"/>
          </w:tcPr>
          <w:p w14:paraId="55A27CF3" w14:textId="1A4652ED" w:rsidR="007B66C1" w:rsidRPr="00904E51" w:rsidRDefault="0037227F" w:rsidP="006F0858">
            <w:pPr>
              <w:jc w:val="right"/>
              <w:rPr>
                <w:rFonts w:ascii="Georgia" w:hAnsi="Georgia" w:cs="Calibri"/>
                <w:color w:val="404040"/>
                <w:sz w:val="20"/>
                <w:highlight w:val="yellow"/>
                <w:lang w:eastAsia="en-GB"/>
              </w:rPr>
            </w:pPr>
            <w:r w:rsidRPr="0037227F">
              <w:rPr>
                <w:rFonts w:ascii="Georgia" w:hAnsi="Georgia" w:cs="Calibri"/>
                <w:color w:val="404040"/>
                <w:sz w:val="20"/>
                <w:lang w:eastAsia="en-GB"/>
              </w:rPr>
              <w:t>32.</w:t>
            </w:r>
            <w:r>
              <w:rPr>
                <w:rFonts w:ascii="Georgia" w:hAnsi="Georgia" w:cs="Calibri"/>
                <w:color w:val="404040"/>
                <w:sz w:val="20"/>
                <w:lang w:eastAsia="en-GB"/>
              </w:rPr>
              <w:t>4</w:t>
            </w:r>
          </w:p>
        </w:tc>
        <w:tc>
          <w:tcPr>
            <w:tcW w:w="1007" w:type="pct"/>
          </w:tcPr>
          <w:p w14:paraId="55A04E3E"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28.6</w:t>
            </w:r>
          </w:p>
        </w:tc>
        <w:tc>
          <w:tcPr>
            <w:tcW w:w="1005" w:type="pct"/>
            <w:shd w:val="clear" w:color="auto" w:fill="auto"/>
          </w:tcPr>
          <w:p w14:paraId="01E683CF" w14:textId="77777777" w:rsidR="007B66C1" w:rsidRPr="0073347E" w:rsidRDefault="007B66C1" w:rsidP="006F0858">
            <w:pPr>
              <w:jc w:val="right"/>
              <w:rPr>
                <w:rFonts w:ascii="Georgia" w:hAnsi="Georgia" w:cs="Calibri"/>
                <w:color w:val="404040"/>
                <w:sz w:val="20"/>
                <w:lang w:eastAsia="en-GB"/>
              </w:rPr>
            </w:pPr>
            <w:r w:rsidRPr="0073347E">
              <w:rPr>
                <w:rFonts w:ascii="Georgia" w:hAnsi="Georgia" w:cs="Calibri"/>
                <w:color w:val="404040"/>
                <w:sz w:val="20"/>
                <w:lang w:eastAsia="en-GB"/>
              </w:rPr>
              <w:t>24.2</w:t>
            </w:r>
          </w:p>
        </w:tc>
      </w:tr>
      <w:tr w:rsidR="007B66C1" w:rsidRPr="00904E51" w14:paraId="5C085B4E" w14:textId="77777777" w:rsidTr="006F0858">
        <w:trPr>
          <w:trHeight w:val="259"/>
        </w:trPr>
        <w:tc>
          <w:tcPr>
            <w:tcW w:w="2004" w:type="pct"/>
            <w:shd w:val="clear" w:color="auto" w:fill="auto"/>
          </w:tcPr>
          <w:p w14:paraId="5F2C671E" w14:textId="77777777" w:rsidR="007B66C1" w:rsidRPr="0073347E" w:rsidRDefault="007B66C1" w:rsidP="006F0858">
            <w:pPr>
              <w:rPr>
                <w:rFonts w:ascii="Georgia" w:hAnsi="Georgia" w:cs="Calibri"/>
                <w:b/>
                <w:color w:val="404040"/>
                <w:sz w:val="20"/>
                <w:lang w:eastAsia="en-GB"/>
              </w:rPr>
            </w:pPr>
            <w:r w:rsidRPr="0073347E">
              <w:rPr>
                <w:rFonts w:ascii="Georgia" w:hAnsi="Georgia" w:cs="Calibri"/>
                <w:b/>
                <w:color w:val="404040"/>
                <w:sz w:val="20"/>
                <w:lang w:eastAsia="en-GB"/>
              </w:rPr>
              <w:t>Directors’ Valuation</w:t>
            </w:r>
          </w:p>
        </w:tc>
        <w:tc>
          <w:tcPr>
            <w:tcW w:w="984" w:type="pct"/>
          </w:tcPr>
          <w:p w14:paraId="457CD7F5" w14:textId="1D90D0B0" w:rsidR="007B66C1" w:rsidRPr="00904E51" w:rsidRDefault="007B66C1" w:rsidP="006F0858">
            <w:pPr>
              <w:jc w:val="right"/>
              <w:rPr>
                <w:rFonts w:ascii="Georgia" w:hAnsi="Georgia" w:cs="Calibri"/>
                <w:b/>
                <w:color w:val="404040"/>
                <w:sz w:val="20"/>
                <w:highlight w:val="yellow"/>
                <w:lang w:eastAsia="en-GB"/>
              </w:rPr>
            </w:pPr>
            <w:r w:rsidRPr="0037227F">
              <w:rPr>
                <w:rFonts w:ascii="Georgia" w:hAnsi="Georgia" w:cs="Calibri"/>
                <w:b/>
                <w:color w:val="404040"/>
                <w:sz w:val="20"/>
                <w:lang w:eastAsia="en-GB"/>
              </w:rPr>
              <w:t>62</w:t>
            </w:r>
            <w:r w:rsidR="0037227F" w:rsidRPr="0037227F">
              <w:rPr>
                <w:rFonts w:ascii="Georgia" w:hAnsi="Georgia" w:cs="Calibri"/>
                <w:b/>
                <w:color w:val="404040"/>
                <w:sz w:val="20"/>
                <w:lang w:eastAsia="en-GB"/>
              </w:rPr>
              <w:t>4.3</w:t>
            </w:r>
          </w:p>
        </w:tc>
        <w:tc>
          <w:tcPr>
            <w:tcW w:w="1007" w:type="pct"/>
          </w:tcPr>
          <w:p w14:paraId="6175BC66" w14:textId="77777777" w:rsidR="007B66C1" w:rsidRPr="0073347E" w:rsidRDefault="007B66C1" w:rsidP="006F0858">
            <w:pPr>
              <w:jc w:val="right"/>
              <w:rPr>
                <w:rFonts w:ascii="Georgia" w:hAnsi="Georgia" w:cs="Calibri"/>
                <w:b/>
                <w:color w:val="404040"/>
                <w:sz w:val="20"/>
                <w:lang w:eastAsia="en-GB"/>
              </w:rPr>
            </w:pPr>
            <w:r w:rsidRPr="0073347E">
              <w:rPr>
                <w:rFonts w:ascii="Georgia" w:hAnsi="Georgia" w:cs="Calibri"/>
                <w:b/>
                <w:color w:val="404040"/>
                <w:sz w:val="20"/>
                <w:lang w:eastAsia="en-GB"/>
              </w:rPr>
              <w:t>622.1</w:t>
            </w:r>
          </w:p>
        </w:tc>
        <w:tc>
          <w:tcPr>
            <w:tcW w:w="1005" w:type="pct"/>
            <w:shd w:val="clear" w:color="auto" w:fill="auto"/>
          </w:tcPr>
          <w:p w14:paraId="7CC9928E" w14:textId="77777777" w:rsidR="007B66C1" w:rsidRPr="0073347E" w:rsidRDefault="007B66C1" w:rsidP="006F0858">
            <w:pPr>
              <w:jc w:val="right"/>
              <w:rPr>
                <w:rFonts w:ascii="Georgia" w:hAnsi="Georgia" w:cs="Calibri"/>
                <w:b/>
                <w:color w:val="404040"/>
                <w:sz w:val="20"/>
                <w:lang w:eastAsia="en-GB"/>
              </w:rPr>
            </w:pPr>
            <w:r w:rsidRPr="0073347E">
              <w:rPr>
                <w:rFonts w:ascii="Georgia" w:hAnsi="Georgia" w:cs="Calibri"/>
                <w:b/>
                <w:color w:val="404040"/>
                <w:sz w:val="20"/>
                <w:lang w:eastAsia="en-GB"/>
              </w:rPr>
              <w:t>604.2</w:t>
            </w:r>
          </w:p>
        </w:tc>
      </w:tr>
      <w:tr w:rsidR="00CB4DE2" w:rsidRPr="00904E51" w14:paraId="50DA6F5E" w14:textId="77777777" w:rsidTr="006F0858">
        <w:trPr>
          <w:trHeight w:val="259"/>
        </w:trPr>
        <w:tc>
          <w:tcPr>
            <w:tcW w:w="2004" w:type="pct"/>
            <w:shd w:val="clear" w:color="auto" w:fill="auto"/>
          </w:tcPr>
          <w:p w14:paraId="79379F4A" w14:textId="577B4003" w:rsidR="00CB4DE2" w:rsidRPr="0073347E" w:rsidRDefault="00CB4DE2" w:rsidP="006F0858">
            <w:pPr>
              <w:rPr>
                <w:rFonts w:ascii="Georgia" w:hAnsi="Georgia" w:cs="Calibri"/>
                <w:b/>
                <w:color w:val="404040"/>
                <w:sz w:val="20"/>
                <w:lang w:eastAsia="en-GB"/>
              </w:rPr>
            </w:pPr>
            <w:r>
              <w:rPr>
                <w:rFonts w:ascii="Georgia" w:hAnsi="Georgia" w:cs="Calibri"/>
                <w:b/>
                <w:color w:val="404040"/>
                <w:sz w:val="20"/>
                <w:lang w:eastAsia="en-GB"/>
              </w:rPr>
              <w:t>Portfolio Size (</w:t>
            </w:r>
            <w:proofErr w:type="spellStart"/>
            <w:r>
              <w:rPr>
                <w:rFonts w:ascii="Georgia" w:hAnsi="Georgia" w:cs="Calibri"/>
                <w:b/>
                <w:color w:val="404040"/>
                <w:sz w:val="20"/>
                <w:lang w:eastAsia="en-GB"/>
              </w:rPr>
              <w:t>MWp</w:t>
            </w:r>
            <w:proofErr w:type="spellEnd"/>
            <w:r>
              <w:rPr>
                <w:rFonts w:ascii="Georgia" w:hAnsi="Georgia" w:cs="Calibri"/>
                <w:b/>
                <w:color w:val="404040"/>
                <w:sz w:val="20"/>
                <w:lang w:eastAsia="en-GB"/>
              </w:rPr>
              <w:t>)</w:t>
            </w:r>
          </w:p>
        </w:tc>
        <w:tc>
          <w:tcPr>
            <w:tcW w:w="984" w:type="pct"/>
          </w:tcPr>
          <w:p w14:paraId="65E6CB19" w14:textId="698A00C5" w:rsidR="00CB4DE2" w:rsidRPr="0037227F" w:rsidRDefault="00790246" w:rsidP="006F0858">
            <w:pPr>
              <w:jc w:val="right"/>
              <w:rPr>
                <w:rFonts w:ascii="Georgia" w:hAnsi="Georgia" w:cs="Calibri"/>
                <w:b/>
                <w:color w:val="404040"/>
                <w:sz w:val="20"/>
                <w:lang w:eastAsia="en-GB"/>
              </w:rPr>
            </w:pPr>
            <w:r>
              <w:rPr>
                <w:rFonts w:ascii="Georgia" w:hAnsi="Georgia" w:cs="Calibri"/>
                <w:b/>
                <w:color w:val="404040"/>
                <w:sz w:val="20"/>
                <w:lang w:eastAsia="en-GB"/>
              </w:rPr>
              <w:t>478.8</w:t>
            </w:r>
          </w:p>
        </w:tc>
        <w:tc>
          <w:tcPr>
            <w:tcW w:w="1007" w:type="pct"/>
          </w:tcPr>
          <w:p w14:paraId="620A699A" w14:textId="0614AE1B" w:rsidR="00CB4DE2" w:rsidRPr="0073347E" w:rsidRDefault="001E0641" w:rsidP="006F0858">
            <w:pPr>
              <w:jc w:val="right"/>
              <w:rPr>
                <w:rFonts w:ascii="Georgia" w:hAnsi="Georgia" w:cs="Calibri"/>
                <w:b/>
                <w:color w:val="404040"/>
                <w:sz w:val="20"/>
                <w:lang w:eastAsia="en-GB"/>
              </w:rPr>
            </w:pPr>
            <w:r>
              <w:rPr>
                <w:rFonts w:ascii="Georgia" w:hAnsi="Georgia" w:cs="Calibri"/>
                <w:b/>
                <w:color w:val="404040"/>
                <w:sz w:val="20"/>
                <w:lang w:eastAsia="en-GB"/>
              </w:rPr>
              <w:t>465.3</w:t>
            </w:r>
          </w:p>
        </w:tc>
        <w:tc>
          <w:tcPr>
            <w:tcW w:w="1005" w:type="pct"/>
            <w:shd w:val="clear" w:color="auto" w:fill="auto"/>
          </w:tcPr>
          <w:p w14:paraId="44822BE3" w14:textId="2E97807E" w:rsidR="00CB4DE2" w:rsidRPr="0073347E" w:rsidRDefault="00DE1A18" w:rsidP="006F0858">
            <w:pPr>
              <w:jc w:val="right"/>
              <w:rPr>
                <w:rFonts w:ascii="Georgia" w:hAnsi="Georgia" w:cs="Calibri"/>
                <w:b/>
                <w:color w:val="404040"/>
                <w:sz w:val="20"/>
                <w:lang w:eastAsia="en-GB"/>
              </w:rPr>
            </w:pPr>
            <w:r>
              <w:rPr>
                <w:rFonts w:ascii="Georgia" w:hAnsi="Georgia" w:cs="Calibri"/>
                <w:b/>
                <w:color w:val="404040"/>
                <w:sz w:val="20"/>
                <w:lang w:eastAsia="en-GB"/>
              </w:rPr>
              <w:t>460.3</w:t>
            </w:r>
          </w:p>
        </w:tc>
      </w:tr>
    </w:tbl>
    <w:p w14:paraId="47A393C8" w14:textId="2D74B23F" w:rsidR="007B66C1" w:rsidRDefault="007B66C1" w:rsidP="007B66C1">
      <w:pPr>
        <w:pStyle w:val="ListParagraph"/>
        <w:jc w:val="both"/>
        <w:rPr>
          <w:rFonts w:ascii="Georgia" w:hAnsi="Georgia"/>
          <w:b/>
          <w:color w:val="404040" w:themeColor="text1" w:themeTint="BF"/>
          <w:sz w:val="20"/>
          <w:szCs w:val="20"/>
        </w:rPr>
      </w:pPr>
    </w:p>
    <w:p w14:paraId="70E6D388" w14:textId="624DEE88" w:rsidR="00CB4DE2" w:rsidRDefault="00CB4DE2" w:rsidP="007B66C1">
      <w:pPr>
        <w:pStyle w:val="ListParagraph"/>
        <w:jc w:val="both"/>
        <w:rPr>
          <w:rFonts w:ascii="Georgia" w:hAnsi="Georgia"/>
          <w:b/>
          <w:color w:val="404040" w:themeColor="text1" w:themeTint="BF"/>
          <w:sz w:val="20"/>
          <w:szCs w:val="20"/>
        </w:rPr>
      </w:pPr>
    </w:p>
    <w:p w14:paraId="0804878F" w14:textId="77777777" w:rsidR="00F40822" w:rsidRPr="00475D47" w:rsidRDefault="00F40822" w:rsidP="00F40822">
      <w:pPr>
        <w:pStyle w:val="Heading2"/>
        <w:spacing w:before="0"/>
      </w:pPr>
      <w:r w:rsidRPr="00475D47">
        <w:lastRenderedPageBreak/>
        <w:t>Report of the Investment Adviser (continued)</w:t>
      </w:r>
    </w:p>
    <w:p w14:paraId="30D11F64" w14:textId="6A53EE7A" w:rsidR="00F40822" w:rsidRPr="00475D47" w:rsidRDefault="00F40822" w:rsidP="00F40822">
      <w:pPr>
        <w:rPr>
          <w:rFonts w:ascii="Georgia" w:hAnsi="Georgia" w:cs="Calibri"/>
          <w:b/>
          <w:color w:val="404040" w:themeColor="text1" w:themeTint="BF"/>
          <w:sz w:val="20"/>
          <w:szCs w:val="20"/>
        </w:rPr>
      </w:pPr>
    </w:p>
    <w:p w14:paraId="0EA6ECBB" w14:textId="3E771D15" w:rsidR="00F40822" w:rsidRPr="00EF6464" w:rsidRDefault="00F40822" w:rsidP="00F40822">
      <w:pPr>
        <w:spacing w:after="160" w:line="259" w:lineRule="auto"/>
        <w:jc w:val="both"/>
        <w:rPr>
          <w:rFonts w:ascii="Georgia" w:hAnsi="Georgia"/>
          <w:b/>
          <w:color w:val="404040" w:themeColor="text1" w:themeTint="BF"/>
          <w:sz w:val="20"/>
          <w:szCs w:val="20"/>
        </w:rPr>
      </w:pPr>
      <w:r w:rsidRPr="00475D47">
        <w:rPr>
          <w:rFonts w:ascii="Georgia" w:hAnsi="Georgia"/>
          <w:b/>
          <w:color w:val="404040" w:themeColor="text1" w:themeTint="BF"/>
          <w:sz w:val="20"/>
          <w:szCs w:val="20"/>
        </w:rPr>
        <w:t>4. NAV and Valuation of the Portfolio (continued)</w:t>
      </w:r>
    </w:p>
    <w:p w14:paraId="24AD7C67" w14:textId="77777777" w:rsidR="007B66C1" w:rsidRPr="00FD4239" w:rsidRDefault="007B66C1" w:rsidP="007B66C1">
      <w:pPr>
        <w:contextualSpacing/>
        <w:jc w:val="both"/>
        <w:rPr>
          <w:rFonts w:ascii="Georgia" w:hAnsi="Georgia"/>
          <w:color w:val="404040" w:themeColor="text1" w:themeTint="BF"/>
          <w:sz w:val="20"/>
          <w:szCs w:val="20"/>
        </w:rPr>
      </w:pPr>
      <w:r w:rsidRPr="00FD4239">
        <w:rPr>
          <w:rFonts w:ascii="Georgia" w:hAnsi="Georgia"/>
          <w:color w:val="404040" w:themeColor="text1" w:themeTint="BF"/>
          <w:sz w:val="20"/>
          <w:szCs w:val="20"/>
        </w:rPr>
        <w:t>During the reporting period there have been a number of key factors that have been considered in the Investment Adviser’s recommendation to the Directors’ Valuation:</w:t>
      </w:r>
    </w:p>
    <w:p w14:paraId="2E8A2F7F" w14:textId="77777777" w:rsidR="007B66C1" w:rsidRPr="00FD4239" w:rsidRDefault="007B66C1" w:rsidP="007B66C1">
      <w:pPr>
        <w:ind w:left="720" w:hanging="720"/>
        <w:contextualSpacing/>
        <w:jc w:val="both"/>
        <w:rPr>
          <w:rFonts w:ascii="Georgia" w:hAnsi="Georgia"/>
          <w:color w:val="404040" w:themeColor="text1" w:themeTint="BF"/>
          <w:sz w:val="20"/>
          <w:szCs w:val="20"/>
        </w:rPr>
      </w:pPr>
    </w:p>
    <w:p w14:paraId="064CD7D5" w14:textId="2C5CC880" w:rsidR="007B66C1" w:rsidRPr="00E02611" w:rsidRDefault="00790246" w:rsidP="000916C2">
      <w:pPr>
        <w:pStyle w:val="ListParagraph"/>
        <w:numPr>
          <w:ilvl w:val="0"/>
          <w:numId w:val="18"/>
        </w:numPr>
        <w:ind w:hanging="720"/>
        <w:jc w:val="both"/>
        <w:rPr>
          <w:rFonts w:ascii="Georgia" w:hAnsi="Georgia"/>
          <w:color w:val="404040" w:themeColor="text1" w:themeTint="BF"/>
          <w:sz w:val="20"/>
          <w:szCs w:val="20"/>
        </w:rPr>
      </w:pPr>
      <w:r w:rsidRPr="00FD4239">
        <w:rPr>
          <w:rFonts w:ascii="Georgia" w:hAnsi="Georgia"/>
          <w:color w:val="404040" w:themeColor="text1" w:themeTint="BF"/>
          <w:sz w:val="20"/>
          <w:szCs w:val="20"/>
        </w:rPr>
        <w:t>Competition for operational assets has remained high,</w:t>
      </w:r>
      <w:r>
        <w:rPr>
          <w:rFonts w:ascii="Georgia" w:hAnsi="Georgia"/>
          <w:color w:val="404040" w:themeColor="text1" w:themeTint="BF"/>
          <w:sz w:val="20"/>
          <w:szCs w:val="20"/>
        </w:rPr>
        <w:t xml:space="preserve"> with </w:t>
      </w:r>
      <w:r w:rsidRPr="00FD4239">
        <w:rPr>
          <w:rFonts w:ascii="Georgia" w:hAnsi="Georgia"/>
          <w:color w:val="404040" w:themeColor="text1" w:themeTint="BF"/>
          <w:sz w:val="20"/>
          <w:szCs w:val="20"/>
        </w:rPr>
        <w:t>demand for subsidised renewable assets</w:t>
      </w:r>
      <w:r>
        <w:rPr>
          <w:rFonts w:ascii="Georgia" w:hAnsi="Georgia"/>
          <w:color w:val="404040" w:themeColor="text1" w:themeTint="BF"/>
          <w:sz w:val="20"/>
          <w:szCs w:val="20"/>
        </w:rPr>
        <w:t xml:space="preserve"> continuing to outpace the trend of falling long term power forecasts. As such, the range of pricing on subsidised solar assets equivalent to the ROC weighting of the Company’s portfolio (average c.1.4ROC) has been between c.£1.20</w:t>
      </w:r>
      <w:r w:rsidRPr="00FD4239">
        <w:rPr>
          <w:rFonts w:ascii="Georgia" w:hAnsi="Georgia"/>
          <w:color w:val="404040" w:themeColor="text1" w:themeTint="BF"/>
          <w:sz w:val="20"/>
          <w:szCs w:val="20"/>
        </w:rPr>
        <w:t>m/</w:t>
      </w:r>
      <w:proofErr w:type="spellStart"/>
      <w:r w:rsidRPr="00FD4239">
        <w:rPr>
          <w:rFonts w:ascii="Georgia" w:hAnsi="Georgia"/>
          <w:color w:val="404040" w:themeColor="text1" w:themeTint="BF"/>
          <w:sz w:val="20"/>
          <w:szCs w:val="20"/>
        </w:rPr>
        <w:t>MWp</w:t>
      </w:r>
      <w:proofErr w:type="spellEnd"/>
      <w:r>
        <w:rPr>
          <w:rFonts w:ascii="Georgia" w:hAnsi="Georgia"/>
          <w:color w:val="404040" w:themeColor="text1" w:themeTint="BF"/>
          <w:sz w:val="20"/>
          <w:szCs w:val="20"/>
        </w:rPr>
        <w:t xml:space="preserve"> and c.£1.40m/</w:t>
      </w:r>
      <w:proofErr w:type="spellStart"/>
      <w:r>
        <w:rPr>
          <w:rFonts w:ascii="Georgia" w:hAnsi="Georgia"/>
          <w:color w:val="404040" w:themeColor="text1" w:themeTint="BF"/>
          <w:sz w:val="20"/>
          <w:szCs w:val="20"/>
        </w:rPr>
        <w:t>MWp</w:t>
      </w:r>
      <w:proofErr w:type="spellEnd"/>
      <w:r>
        <w:rPr>
          <w:rFonts w:ascii="Georgia" w:hAnsi="Georgia"/>
          <w:color w:val="404040" w:themeColor="text1" w:themeTint="BF"/>
          <w:sz w:val="20"/>
          <w:szCs w:val="20"/>
        </w:rPr>
        <w:t xml:space="preserve">. Accordingly, </w:t>
      </w:r>
      <w:r w:rsidRPr="00FD4239">
        <w:rPr>
          <w:rFonts w:ascii="Georgia" w:hAnsi="Georgia"/>
          <w:color w:val="404040" w:themeColor="text1" w:themeTint="BF"/>
          <w:sz w:val="20"/>
          <w:szCs w:val="20"/>
        </w:rPr>
        <w:t>to ensure the Company’s portfolio</w:t>
      </w:r>
      <w:r>
        <w:rPr>
          <w:rFonts w:ascii="Georgia" w:hAnsi="Georgia"/>
          <w:color w:val="404040" w:themeColor="text1" w:themeTint="BF"/>
          <w:sz w:val="20"/>
          <w:szCs w:val="20"/>
        </w:rPr>
        <w:t xml:space="preserve"> sensibly</w:t>
      </w:r>
      <w:r w:rsidRPr="00FD4239">
        <w:rPr>
          <w:rFonts w:ascii="Georgia" w:hAnsi="Georgia"/>
          <w:color w:val="404040" w:themeColor="text1" w:themeTint="BF"/>
          <w:sz w:val="20"/>
          <w:szCs w:val="20"/>
        </w:rPr>
        <w:t xml:space="preserve"> </w:t>
      </w:r>
      <w:r>
        <w:rPr>
          <w:rFonts w:ascii="Georgia" w:hAnsi="Georgia"/>
          <w:color w:val="404040" w:themeColor="text1" w:themeTint="BF"/>
          <w:sz w:val="20"/>
          <w:szCs w:val="20"/>
        </w:rPr>
        <w:t>reflects</w:t>
      </w:r>
      <w:r w:rsidRPr="00FD4239">
        <w:rPr>
          <w:rFonts w:ascii="Georgia" w:hAnsi="Georgia"/>
          <w:color w:val="404040" w:themeColor="text1" w:themeTint="BF"/>
          <w:sz w:val="20"/>
          <w:szCs w:val="20"/>
        </w:rPr>
        <w:t xml:space="preserve"> market pricing</w:t>
      </w:r>
      <w:r>
        <w:rPr>
          <w:rFonts w:ascii="Georgia" w:hAnsi="Georgia"/>
          <w:color w:val="404040" w:themeColor="text1" w:themeTint="BF"/>
          <w:sz w:val="20"/>
          <w:szCs w:val="20"/>
        </w:rPr>
        <w:t xml:space="preserve"> as at 30 Jun 2020</w:t>
      </w:r>
      <w:r w:rsidRPr="00FD4239">
        <w:rPr>
          <w:rFonts w:ascii="Georgia" w:hAnsi="Georgia"/>
          <w:color w:val="404040" w:themeColor="text1" w:themeTint="BF"/>
          <w:sz w:val="20"/>
          <w:szCs w:val="20"/>
        </w:rPr>
        <w:t xml:space="preserve">, the Directors have reduced </w:t>
      </w:r>
      <w:r>
        <w:rPr>
          <w:rFonts w:ascii="Georgia" w:hAnsi="Georgia"/>
          <w:color w:val="404040" w:themeColor="text1" w:themeTint="BF"/>
          <w:sz w:val="20"/>
          <w:szCs w:val="20"/>
        </w:rPr>
        <w:t xml:space="preserve">the </w:t>
      </w:r>
      <w:r w:rsidRPr="00FD4239">
        <w:rPr>
          <w:rFonts w:ascii="Georgia" w:hAnsi="Georgia"/>
          <w:color w:val="404040" w:themeColor="text1" w:themeTint="BF"/>
          <w:sz w:val="20"/>
          <w:szCs w:val="20"/>
        </w:rPr>
        <w:t xml:space="preserve">discount rate </w:t>
      </w:r>
      <w:r>
        <w:rPr>
          <w:rFonts w:ascii="Georgia" w:hAnsi="Georgia"/>
          <w:color w:val="404040" w:themeColor="text1" w:themeTint="BF"/>
          <w:sz w:val="20"/>
          <w:szCs w:val="20"/>
        </w:rPr>
        <w:t xml:space="preserve">to </w:t>
      </w:r>
      <w:r w:rsidRPr="00FD4239">
        <w:rPr>
          <w:rFonts w:ascii="Georgia" w:hAnsi="Georgia"/>
          <w:color w:val="404040" w:themeColor="text1" w:themeTint="BF"/>
          <w:sz w:val="20"/>
          <w:szCs w:val="20"/>
        </w:rPr>
        <w:t>6.</w:t>
      </w:r>
      <w:r>
        <w:rPr>
          <w:rFonts w:ascii="Georgia" w:hAnsi="Georgia"/>
          <w:color w:val="404040" w:themeColor="text1" w:themeTint="BF"/>
          <w:sz w:val="20"/>
          <w:szCs w:val="20"/>
        </w:rPr>
        <w:t>00</w:t>
      </w:r>
      <w:r w:rsidRPr="00FD4239">
        <w:rPr>
          <w:rFonts w:ascii="Georgia" w:hAnsi="Georgia"/>
          <w:color w:val="404040" w:themeColor="text1" w:themeTint="BF"/>
          <w:sz w:val="20"/>
          <w:szCs w:val="20"/>
        </w:rPr>
        <w:t>%</w:t>
      </w:r>
      <w:r w:rsidR="00D9684D">
        <w:rPr>
          <w:rFonts w:ascii="Georgia" w:hAnsi="Georgia"/>
          <w:color w:val="404040" w:themeColor="text1" w:themeTint="BF"/>
          <w:sz w:val="20"/>
          <w:szCs w:val="20"/>
        </w:rPr>
        <w:t xml:space="preserve"> (</w:t>
      </w:r>
      <w:r>
        <w:rPr>
          <w:rFonts w:ascii="Georgia" w:hAnsi="Georgia"/>
          <w:color w:val="404040" w:themeColor="text1" w:themeTint="BF"/>
          <w:sz w:val="20"/>
          <w:szCs w:val="20"/>
        </w:rPr>
        <w:t>v</w:t>
      </w:r>
      <w:r w:rsidR="00D9684D">
        <w:rPr>
          <w:rFonts w:ascii="Georgia" w:hAnsi="Georgia"/>
          <w:color w:val="404040" w:themeColor="text1" w:themeTint="BF"/>
          <w:sz w:val="20"/>
          <w:szCs w:val="20"/>
        </w:rPr>
        <w:t>ersu</w:t>
      </w:r>
      <w:r>
        <w:rPr>
          <w:rFonts w:ascii="Georgia" w:hAnsi="Georgia"/>
          <w:color w:val="404040" w:themeColor="text1" w:themeTint="BF"/>
          <w:sz w:val="20"/>
          <w:szCs w:val="20"/>
        </w:rPr>
        <w:t>s 7.18% in June 2019 and 6.50% in December 2019)</w:t>
      </w:r>
      <w:r w:rsidR="007B66C1">
        <w:rPr>
          <w:rFonts w:ascii="Georgia" w:hAnsi="Georgia"/>
          <w:color w:val="404040" w:themeColor="text1" w:themeTint="BF"/>
          <w:sz w:val="20"/>
          <w:szCs w:val="20"/>
        </w:rPr>
        <w:t>;</w:t>
      </w:r>
    </w:p>
    <w:p w14:paraId="4D00BECD" w14:textId="77777777" w:rsidR="007B66C1" w:rsidRPr="00321E51" w:rsidRDefault="007B66C1" w:rsidP="007B66C1">
      <w:pPr>
        <w:jc w:val="both"/>
        <w:rPr>
          <w:rFonts w:ascii="Georgia" w:hAnsi="Georgia"/>
          <w:color w:val="404040" w:themeColor="text1" w:themeTint="BF"/>
          <w:sz w:val="20"/>
          <w:szCs w:val="20"/>
        </w:rPr>
      </w:pPr>
    </w:p>
    <w:p w14:paraId="781ED712" w14:textId="009A1CE8" w:rsidR="002A188C" w:rsidRDefault="007B66C1" w:rsidP="002A188C">
      <w:pPr>
        <w:pStyle w:val="ListParagraph"/>
        <w:numPr>
          <w:ilvl w:val="0"/>
          <w:numId w:val="18"/>
        </w:numPr>
        <w:spacing w:after="160" w:line="259" w:lineRule="auto"/>
        <w:ind w:hanging="720"/>
        <w:jc w:val="both"/>
        <w:rPr>
          <w:rFonts w:ascii="Georgia" w:hAnsi="Georgia"/>
          <w:color w:val="404040" w:themeColor="text1" w:themeTint="BF"/>
          <w:sz w:val="20"/>
          <w:szCs w:val="20"/>
        </w:rPr>
      </w:pPr>
      <w:r w:rsidRPr="005B4D74">
        <w:rPr>
          <w:rFonts w:ascii="Georgia" w:hAnsi="Georgia"/>
          <w:color w:val="404040" w:themeColor="text1" w:themeTint="BF"/>
          <w:sz w:val="20"/>
          <w:szCs w:val="20"/>
        </w:rPr>
        <w:t>Progress continue</w:t>
      </w:r>
      <w:r w:rsidR="000E08F3">
        <w:rPr>
          <w:rFonts w:ascii="Georgia" w:hAnsi="Georgia"/>
          <w:color w:val="404040" w:themeColor="text1" w:themeTint="BF"/>
          <w:sz w:val="20"/>
          <w:szCs w:val="20"/>
        </w:rPr>
        <w:t>d</w:t>
      </w:r>
      <w:r w:rsidRPr="005B4D74">
        <w:rPr>
          <w:rFonts w:ascii="Georgia" w:hAnsi="Georgia"/>
          <w:color w:val="404040" w:themeColor="text1" w:themeTint="BF"/>
          <w:sz w:val="20"/>
          <w:szCs w:val="20"/>
        </w:rPr>
        <w:t xml:space="preserve"> regarding the Company’s asset life extension programme (as outlined in the Portfolio section), </w:t>
      </w:r>
      <w:r w:rsidRPr="00E336CB">
        <w:rPr>
          <w:rFonts w:ascii="Georgia" w:hAnsi="Georgia"/>
          <w:color w:val="404040" w:themeColor="text1" w:themeTint="BF"/>
          <w:sz w:val="20"/>
          <w:szCs w:val="20"/>
        </w:rPr>
        <w:t>with 2</w:t>
      </w:r>
      <w:r w:rsidR="00153F81">
        <w:rPr>
          <w:rFonts w:ascii="Georgia" w:hAnsi="Georgia"/>
          <w:color w:val="404040" w:themeColor="text1" w:themeTint="BF"/>
          <w:sz w:val="20"/>
          <w:szCs w:val="20"/>
        </w:rPr>
        <w:t>4</w:t>
      </w:r>
      <w:r>
        <w:rPr>
          <w:rFonts w:ascii="Georgia" w:hAnsi="Georgia"/>
          <w:color w:val="404040" w:themeColor="text1" w:themeTint="BF"/>
          <w:sz w:val="20"/>
          <w:szCs w:val="20"/>
        </w:rPr>
        <w:t>5</w:t>
      </w:r>
      <w:r w:rsidRPr="00E336CB">
        <w:rPr>
          <w:rFonts w:ascii="Georgia" w:hAnsi="Georgia"/>
          <w:color w:val="404040" w:themeColor="text1" w:themeTint="BF"/>
          <w:sz w:val="20"/>
          <w:szCs w:val="20"/>
        </w:rPr>
        <w:t>MWp</w:t>
      </w:r>
      <w:r w:rsidRPr="005B4D74">
        <w:rPr>
          <w:rFonts w:ascii="Georgia" w:hAnsi="Georgia"/>
          <w:color w:val="404040" w:themeColor="text1" w:themeTint="BF"/>
          <w:sz w:val="20"/>
          <w:szCs w:val="20"/>
        </w:rPr>
        <w:t xml:space="preserve"> (107MWp as at 30 June 2019) of the Company’s portfolio now valued on the basis of an additional 15 years of operational life. </w:t>
      </w:r>
      <w:r>
        <w:rPr>
          <w:rFonts w:ascii="Georgia" w:hAnsi="Georgia"/>
          <w:color w:val="404040" w:themeColor="text1" w:themeTint="BF"/>
          <w:sz w:val="20"/>
          <w:szCs w:val="20"/>
        </w:rPr>
        <w:t>T</w:t>
      </w:r>
      <w:r w:rsidRPr="005B4D74">
        <w:rPr>
          <w:rFonts w:ascii="Georgia" w:hAnsi="Georgia"/>
          <w:color w:val="404040" w:themeColor="text1" w:themeTint="BF"/>
          <w:sz w:val="20"/>
          <w:szCs w:val="20"/>
        </w:rPr>
        <w:t xml:space="preserve">he Board </w:t>
      </w:r>
      <w:r>
        <w:rPr>
          <w:rFonts w:ascii="Georgia" w:hAnsi="Georgia"/>
          <w:color w:val="404040" w:themeColor="text1" w:themeTint="BF"/>
          <w:sz w:val="20"/>
          <w:szCs w:val="20"/>
        </w:rPr>
        <w:t xml:space="preserve">continues to believe </w:t>
      </w:r>
      <w:r w:rsidRPr="005B4D74">
        <w:rPr>
          <w:rFonts w:ascii="Georgia" w:hAnsi="Georgia"/>
          <w:color w:val="404040" w:themeColor="text1" w:themeTint="BF"/>
          <w:sz w:val="20"/>
          <w:szCs w:val="20"/>
        </w:rPr>
        <w:t xml:space="preserve">the most suitable method to value the additional cash flows from these assets is to apply a combination of </w:t>
      </w:r>
      <w:r w:rsidRPr="00CF6EBB">
        <w:rPr>
          <w:rFonts w:ascii="Georgia" w:hAnsi="Georgia"/>
          <w:color w:val="404040" w:themeColor="text1" w:themeTint="BF"/>
          <w:sz w:val="20"/>
          <w:szCs w:val="20"/>
        </w:rPr>
        <w:t xml:space="preserve">prudent assumptions on performance and maintenance reserve as well as an increased discount rate of </w:t>
      </w:r>
      <w:r w:rsidR="006604EE" w:rsidRPr="00CF6EBB">
        <w:rPr>
          <w:rFonts w:ascii="Georgia" w:hAnsi="Georgia"/>
          <w:color w:val="404040" w:themeColor="text1" w:themeTint="BF"/>
          <w:sz w:val="20"/>
          <w:szCs w:val="20"/>
        </w:rPr>
        <w:t>7</w:t>
      </w:r>
      <w:r w:rsidRPr="00CF6EBB">
        <w:rPr>
          <w:rFonts w:ascii="Georgia" w:hAnsi="Georgia"/>
          <w:color w:val="404040" w:themeColor="text1" w:themeTint="BF"/>
          <w:sz w:val="20"/>
          <w:szCs w:val="20"/>
        </w:rPr>
        <w:t xml:space="preserve">.5% </w:t>
      </w:r>
      <w:r w:rsidR="004D227B" w:rsidRPr="00CF6EBB">
        <w:rPr>
          <w:rFonts w:ascii="Georgia" w:hAnsi="Georgia"/>
          <w:color w:val="404040" w:themeColor="text1" w:themeTint="BF"/>
          <w:sz w:val="20"/>
          <w:szCs w:val="20"/>
        </w:rPr>
        <w:t>(vs 8.5% in</w:t>
      </w:r>
      <w:r w:rsidR="004D227B">
        <w:rPr>
          <w:rFonts w:ascii="Georgia" w:hAnsi="Georgia"/>
          <w:color w:val="404040" w:themeColor="text1" w:themeTint="BF"/>
          <w:sz w:val="20"/>
          <w:szCs w:val="20"/>
        </w:rPr>
        <w:t xml:space="preserve"> Jun</w:t>
      </w:r>
      <w:r w:rsidR="00DE079A">
        <w:rPr>
          <w:rFonts w:ascii="Georgia" w:hAnsi="Georgia"/>
          <w:color w:val="404040" w:themeColor="text1" w:themeTint="BF"/>
          <w:sz w:val="20"/>
          <w:szCs w:val="20"/>
        </w:rPr>
        <w:t>e</w:t>
      </w:r>
      <w:r w:rsidR="004D227B">
        <w:rPr>
          <w:rFonts w:ascii="Georgia" w:hAnsi="Georgia"/>
          <w:color w:val="404040" w:themeColor="text1" w:themeTint="BF"/>
          <w:sz w:val="20"/>
          <w:szCs w:val="20"/>
        </w:rPr>
        <w:t xml:space="preserve"> </w:t>
      </w:r>
      <w:r w:rsidR="00DE079A">
        <w:rPr>
          <w:rFonts w:ascii="Georgia" w:hAnsi="Georgia"/>
          <w:color w:val="404040" w:themeColor="text1" w:themeTint="BF"/>
          <w:sz w:val="20"/>
          <w:szCs w:val="20"/>
        </w:rPr>
        <w:t>20</w:t>
      </w:r>
      <w:r w:rsidR="004D227B">
        <w:rPr>
          <w:rFonts w:ascii="Georgia" w:hAnsi="Georgia"/>
          <w:color w:val="404040" w:themeColor="text1" w:themeTint="BF"/>
          <w:sz w:val="20"/>
          <w:szCs w:val="20"/>
        </w:rPr>
        <w:t xml:space="preserve">19) </w:t>
      </w:r>
      <w:r w:rsidRPr="005B4D74">
        <w:rPr>
          <w:rFonts w:ascii="Georgia" w:hAnsi="Georgia"/>
          <w:color w:val="404040" w:themeColor="text1" w:themeTint="BF"/>
          <w:sz w:val="20"/>
          <w:szCs w:val="20"/>
        </w:rPr>
        <w:t>over the final 10 years of extended operating life.</w:t>
      </w:r>
      <w:r>
        <w:rPr>
          <w:rFonts w:ascii="Georgia" w:hAnsi="Georgia"/>
          <w:color w:val="404040" w:themeColor="text1" w:themeTint="BF"/>
          <w:sz w:val="20"/>
          <w:szCs w:val="20"/>
        </w:rPr>
        <w:t xml:space="preserve"> As at 3</w:t>
      </w:r>
      <w:r w:rsidR="002C757C">
        <w:rPr>
          <w:rFonts w:ascii="Georgia" w:hAnsi="Georgia"/>
          <w:color w:val="404040" w:themeColor="text1" w:themeTint="BF"/>
          <w:sz w:val="20"/>
          <w:szCs w:val="20"/>
        </w:rPr>
        <w:t>0</w:t>
      </w:r>
      <w:r>
        <w:rPr>
          <w:rFonts w:ascii="Georgia" w:hAnsi="Georgia"/>
          <w:color w:val="404040" w:themeColor="text1" w:themeTint="BF"/>
          <w:sz w:val="20"/>
          <w:szCs w:val="20"/>
        </w:rPr>
        <w:t xml:space="preserve"> </w:t>
      </w:r>
      <w:r w:rsidR="002C757C">
        <w:rPr>
          <w:rFonts w:ascii="Georgia" w:hAnsi="Georgia"/>
          <w:color w:val="404040" w:themeColor="text1" w:themeTint="BF"/>
          <w:sz w:val="20"/>
          <w:szCs w:val="20"/>
        </w:rPr>
        <w:t xml:space="preserve">June </w:t>
      </w:r>
      <w:r w:rsidR="00DE079A">
        <w:rPr>
          <w:rFonts w:ascii="Georgia" w:hAnsi="Georgia"/>
          <w:color w:val="404040" w:themeColor="text1" w:themeTint="BF"/>
          <w:sz w:val="20"/>
          <w:szCs w:val="20"/>
        </w:rPr>
        <w:t>20</w:t>
      </w:r>
      <w:r w:rsidR="00AB0EC0">
        <w:rPr>
          <w:rFonts w:ascii="Georgia" w:hAnsi="Georgia"/>
          <w:color w:val="404040" w:themeColor="text1" w:themeTint="BF"/>
          <w:sz w:val="20"/>
          <w:szCs w:val="20"/>
        </w:rPr>
        <w:t>20</w:t>
      </w:r>
      <w:r>
        <w:rPr>
          <w:rFonts w:ascii="Georgia" w:hAnsi="Georgia"/>
          <w:color w:val="404040" w:themeColor="text1" w:themeTint="BF"/>
          <w:sz w:val="20"/>
          <w:szCs w:val="20"/>
        </w:rPr>
        <w:t>, the weighted average life of the portfolio was 2</w:t>
      </w:r>
      <w:r w:rsidR="00884711">
        <w:rPr>
          <w:rFonts w:ascii="Georgia" w:hAnsi="Georgia"/>
          <w:color w:val="404040" w:themeColor="text1" w:themeTint="BF"/>
          <w:sz w:val="20"/>
          <w:szCs w:val="20"/>
        </w:rPr>
        <w:t>7</w:t>
      </w:r>
      <w:r>
        <w:rPr>
          <w:rFonts w:ascii="Georgia" w:hAnsi="Georgia"/>
          <w:color w:val="404040" w:themeColor="text1" w:themeTint="BF"/>
          <w:sz w:val="20"/>
          <w:szCs w:val="20"/>
        </w:rPr>
        <w:t>.</w:t>
      </w:r>
      <w:r w:rsidR="00884711">
        <w:rPr>
          <w:rFonts w:ascii="Georgia" w:hAnsi="Georgia"/>
          <w:color w:val="404040" w:themeColor="text1" w:themeTint="BF"/>
          <w:sz w:val="20"/>
          <w:szCs w:val="20"/>
        </w:rPr>
        <w:t>4</w:t>
      </w:r>
      <w:r>
        <w:rPr>
          <w:rFonts w:ascii="Georgia" w:hAnsi="Georgia"/>
          <w:color w:val="404040" w:themeColor="text1" w:themeTint="BF"/>
          <w:sz w:val="20"/>
          <w:szCs w:val="20"/>
        </w:rPr>
        <w:t xml:space="preserve"> years (June 2019; 24.2 years)</w:t>
      </w:r>
      <w:r w:rsidR="00D46D6F">
        <w:rPr>
          <w:rFonts w:ascii="Georgia" w:hAnsi="Georgia"/>
          <w:color w:val="404040" w:themeColor="text1" w:themeTint="BF"/>
          <w:sz w:val="20"/>
          <w:szCs w:val="20"/>
        </w:rPr>
        <w:t>;</w:t>
      </w:r>
    </w:p>
    <w:p w14:paraId="052ADA96" w14:textId="77777777" w:rsidR="002A188C" w:rsidRDefault="002A188C" w:rsidP="002A188C">
      <w:pPr>
        <w:pStyle w:val="ListParagraph"/>
        <w:spacing w:after="160" w:line="259" w:lineRule="auto"/>
        <w:jc w:val="both"/>
        <w:rPr>
          <w:rFonts w:ascii="Georgia" w:hAnsi="Georgia"/>
          <w:color w:val="404040" w:themeColor="text1" w:themeTint="BF"/>
          <w:sz w:val="20"/>
          <w:szCs w:val="20"/>
        </w:rPr>
      </w:pPr>
    </w:p>
    <w:p w14:paraId="13FB708A" w14:textId="7CCD9473" w:rsidR="00F30614" w:rsidRPr="002A188C" w:rsidRDefault="00790246" w:rsidP="002A188C">
      <w:pPr>
        <w:pStyle w:val="ListParagraph"/>
        <w:numPr>
          <w:ilvl w:val="0"/>
          <w:numId w:val="18"/>
        </w:numPr>
        <w:spacing w:after="160" w:line="259" w:lineRule="auto"/>
        <w:ind w:hanging="720"/>
        <w:jc w:val="both"/>
        <w:rPr>
          <w:rFonts w:ascii="Georgia" w:hAnsi="Georgia"/>
          <w:color w:val="404040" w:themeColor="text1" w:themeTint="BF"/>
          <w:sz w:val="20"/>
          <w:szCs w:val="20"/>
        </w:rPr>
      </w:pPr>
      <w:r w:rsidRPr="002A188C">
        <w:rPr>
          <w:rFonts w:ascii="Georgia" w:hAnsi="Georgia"/>
          <w:color w:val="404040" w:themeColor="text1" w:themeTint="BF"/>
          <w:sz w:val="20"/>
          <w:szCs w:val="20"/>
        </w:rPr>
        <w:t>As reported in the Company’s 30 June 2019 annual accounts and the December 2019 Interim Statements, the Board took the decision in H1 2019 to subscribe, on an initial 12 month trial basis, to a third power price forecaster. This trial period has been successful and so the Board, subject to consultation with the Investment Adviser, consider</w:t>
      </w:r>
      <w:r w:rsidR="00250A7E" w:rsidRPr="002A188C">
        <w:rPr>
          <w:rFonts w:ascii="Georgia" w:hAnsi="Georgia"/>
          <w:color w:val="404040" w:themeColor="text1" w:themeTint="BF"/>
          <w:sz w:val="20"/>
          <w:szCs w:val="20"/>
        </w:rPr>
        <w:t>s</w:t>
      </w:r>
      <w:r w:rsidRPr="002A188C">
        <w:rPr>
          <w:rFonts w:ascii="Georgia" w:hAnsi="Georgia"/>
          <w:color w:val="404040" w:themeColor="text1" w:themeTint="BF"/>
          <w:sz w:val="20"/>
          <w:szCs w:val="20"/>
        </w:rPr>
        <w:t xml:space="preserve"> it appropriate that this third forecaster’s power curve, blended with those of the other two leading forecasters historically used, be adopted in the </w:t>
      </w:r>
      <w:r w:rsidR="00482CDC">
        <w:rPr>
          <w:rFonts w:ascii="Georgia" w:hAnsi="Georgia"/>
          <w:color w:val="404040" w:themeColor="text1" w:themeTint="BF"/>
          <w:sz w:val="20"/>
          <w:szCs w:val="20"/>
        </w:rPr>
        <w:t xml:space="preserve">30 </w:t>
      </w:r>
      <w:r w:rsidRPr="002A188C">
        <w:rPr>
          <w:rFonts w:ascii="Georgia" w:hAnsi="Georgia"/>
          <w:color w:val="404040" w:themeColor="text1" w:themeTint="BF"/>
          <w:sz w:val="20"/>
          <w:szCs w:val="20"/>
        </w:rPr>
        <w:t>June 2020 Directors’ Valuation</w:t>
      </w:r>
      <w:r w:rsidR="00F30614" w:rsidRPr="002A188C">
        <w:rPr>
          <w:rFonts w:ascii="Georgia" w:hAnsi="Georgia"/>
          <w:color w:val="404040" w:themeColor="text1" w:themeTint="BF"/>
          <w:sz w:val="20"/>
          <w:szCs w:val="20"/>
        </w:rPr>
        <w:t>.</w:t>
      </w:r>
    </w:p>
    <w:p w14:paraId="2F0AADD9" w14:textId="77777777" w:rsidR="007B66C1" w:rsidRPr="00FA61AC" w:rsidRDefault="007B66C1" w:rsidP="007B66C1">
      <w:pPr>
        <w:pStyle w:val="ListParagraph"/>
        <w:ind w:left="0"/>
        <w:jc w:val="both"/>
        <w:rPr>
          <w:rFonts w:ascii="Georgia" w:hAnsi="Georgia"/>
          <w:color w:val="404040" w:themeColor="text1" w:themeTint="BF"/>
          <w:sz w:val="20"/>
          <w:szCs w:val="20"/>
          <w:highlight w:val="yellow"/>
        </w:rPr>
      </w:pPr>
    </w:p>
    <w:p w14:paraId="47BC1893" w14:textId="77777777" w:rsidR="007B66C1" w:rsidRPr="0082707E" w:rsidRDefault="007B66C1" w:rsidP="007B66C1">
      <w:pPr>
        <w:pStyle w:val="ListParagraph"/>
        <w:ind w:left="0"/>
        <w:jc w:val="both"/>
        <w:rPr>
          <w:rFonts w:ascii="Georgia" w:hAnsi="Georgia"/>
          <w:b/>
          <w:color w:val="404040" w:themeColor="text1" w:themeTint="BF"/>
          <w:sz w:val="20"/>
          <w:szCs w:val="20"/>
        </w:rPr>
      </w:pPr>
      <w:r w:rsidRPr="0082707E">
        <w:rPr>
          <w:rFonts w:ascii="Georgia" w:hAnsi="Georgia"/>
          <w:b/>
          <w:color w:val="404040" w:themeColor="text1" w:themeTint="BF"/>
          <w:sz w:val="20"/>
          <w:szCs w:val="20"/>
        </w:rPr>
        <w:t>Discounting Methodology and Discount Rate</w:t>
      </w:r>
    </w:p>
    <w:p w14:paraId="1607A8D4" w14:textId="77777777" w:rsidR="007B66C1" w:rsidRPr="0082707E" w:rsidRDefault="007B66C1" w:rsidP="007B66C1">
      <w:pPr>
        <w:pStyle w:val="ListParagraph"/>
        <w:ind w:left="0"/>
        <w:jc w:val="both"/>
        <w:rPr>
          <w:rFonts w:ascii="Georgia" w:hAnsi="Georgia"/>
          <w:b/>
          <w:color w:val="404040" w:themeColor="text1" w:themeTint="BF"/>
          <w:sz w:val="20"/>
          <w:szCs w:val="20"/>
        </w:rPr>
      </w:pPr>
    </w:p>
    <w:p w14:paraId="3EE4964C" w14:textId="77777777" w:rsidR="007B66C1" w:rsidRPr="005C3886" w:rsidRDefault="007B66C1" w:rsidP="007B66C1">
      <w:pPr>
        <w:jc w:val="both"/>
        <w:rPr>
          <w:rFonts w:ascii="Georgia" w:hAnsi="Georgia"/>
          <w:color w:val="404040" w:themeColor="text1" w:themeTint="BF"/>
          <w:sz w:val="20"/>
          <w:szCs w:val="20"/>
        </w:rPr>
      </w:pPr>
      <w:r w:rsidRPr="005C3886">
        <w:rPr>
          <w:rFonts w:ascii="Georgia" w:hAnsi="Georgia"/>
          <w:color w:val="404040" w:themeColor="text1" w:themeTint="BF"/>
          <w:sz w:val="20"/>
          <w:szCs w:val="20"/>
        </w:rPr>
        <w:t xml:space="preserve">The Directors’ Valuation is based on the discounting of post-tax, projected cash flows of each investment, based on the Company’s current capital structure, with the result then benchmarked against comparable market multiples. The discount rate applied on the post-tax levered project cash flows is the weighted average discount rate. </w:t>
      </w:r>
    </w:p>
    <w:p w14:paraId="6266ADCF" w14:textId="77777777" w:rsidR="007B66C1" w:rsidRPr="005C3886" w:rsidRDefault="007B66C1" w:rsidP="007B66C1">
      <w:pPr>
        <w:jc w:val="both"/>
        <w:rPr>
          <w:rFonts w:ascii="Georgia" w:hAnsi="Georgia"/>
          <w:color w:val="404040" w:themeColor="text1" w:themeTint="BF"/>
          <w:sz w:val="20"/>
          <w:szCs w:val="20"/>
        </w:rPr>
      </w:pPr>
    </w:p>
    <w:p w14:paraId="1826D3FD" w14:textId="77777777" w:rsidR="007B66C1" w:rsidRPr="005C3886" w:rsidRDefault="007B66C1" w:rsidP="007B66C1">
      <w:pPr>
        <w:jc w:val="both"/>
        <w:rPr>
          <w:rFonts w:ascii="Georgia" w:hAnsi="Georgia"/>
          <w:vanish/>
          <w:color w:val="404040" w:themeColor="text1" w:themeTint="BF"/>
          <w:sz w:val="20"/>
          <w:szCs w:val="20"/>
          <w:specVanish/>
        </w:rPr>
      </w:pPr>
      <w:r w:rsidRPr="005C3886">
        <w:rPr>
          <w:rFonts w:ascii="Georgia" w:hAnsi="Georgia"/>
          <w:color w:val="404040" w:themeColor="text1" w:themeTint="BF"/>
          <w:sz w:val="20"/>
          <w:szCs w:val="20"/>
        </w:rPr>
        <w:t>In addition, the Board continues to adopt the approach under the ‘willing buyer/willing seller’ methodology, that the valuation of the Company’s portfolio be appropriately benchmarked on £/</w:t>
      </w:r>
      <w:proofErr w:type="spellStart"/>
      <w:r w:rsidRPr="005C3886">
        <w:rPr>
          <w:rFonts w:ascii="Georgia" w:hAnsi="Georgia"/>
          <w:color w:val="404040" w:themeColor="text1" w:themeTint="BF"/>
          <w:sz w:val="20"/>
          <w:szCs w:val="20"/>
        </w:rPr>
        <w:t>MWp</w:t>
      </w:r>
      <w:proofErr w:type="spellEnd"/>
      <w:r w:rsidRPr="005C3886">
        <w:rPr>
          <w:rFonts w:ascii="Georgia" w:hAnsi="Georgia"/>
          <w:color w:val="404040" w:themeColor="text1" w:themeTint="BF"/>
          <w:sz w:val="20"/>
          <w:szCs w:val="20"/>
        </w:rPr>
        <w:t xml:space="preserve"> basis against comparable portfolio transactions. </w:t>
      </w:r>
    </w:p>
    <w:p w14:paraId="249F5911" w14:textId="16DCD16A" w:rsidR="007B66C1" w:rsidRPr="005C3886" w:rsidRDefault="007B66C1" w:rsidP="007B66C1">
      <w:pPr>
        <w:pStyle w:val="ListParagraph"/>
        <w:jc w:val="both"/>
        <w:rPr>
          <w:rFonts w:ascii="Georgia" w:hAnsi="Georgia"/>
          <w:vanish/>
          <w:color w:val="404040" w:themeColor="text1" w:themeTint="BF"/>
          <w:sz w:val="20"/>
          <w:szCs w:val="20"/>
          <w:specVanish/>
        </w:rPr>
      </w:pPr>
    </w:p>
    <w:p w14:paraId="1028B7F2" w14:textId="32956BE3" w:rsidR="007B66C1" w:rsidRPr="005C3886" w:rsidRDefault="007B66C1" w:rsidP="007B66C1">
      <w:pPr>
        <w:jc w:val="both"/>
        <w:rPr>
          <w:rFonts w:ascii="Georgia" w:hAnsi="Georgia"/>
          <w:color w:val="404040" w:themeColor="text1" w:themeTint="BF"/>
          <w:sz w:val="20"/>
          <w:szCs w:val="20"/>
        </w:rPr>
      </w:pPr>
      <w:r w:rsidRPr="005C3886">
        <w:rPr>
          <w:rFonts w:ascii="Georgia" w:hAnsi="Georgia"/>
          <w:color w:val="404040" w:themeColor="text1" w:themeTint="BF"/>
          <w:sz w:val="20"/>
          <w:szCs w:val="20"/>
        </w:rPr>
        <w:t>As the period to 3</w:t>
      </w:r>
      <w:r w:rsidR="002251D0" w:rsidRPr="005C3886">
        <w:rPr>
          <w:rFonts w:ascii="Georgia" w:hAnsi="Georgia"/>
          <w:color w:val="404040" w:themeColor="text1" w:themeTint="BF"/>
          <w:sz w:val="20"/>
          <w:szCs w:val="20"/>
        </w:rPr>
        <w:t>0</w:t>
      </w:r>
      <w:r w:rsidRPr="005C3886">
        <w:rPr>
          <w:rFonts w:ascii="Georgia" w:hAnsi="Georgia"/>
          <w:color w:val="404040" w:themeColor="text1" w:themeTint="BF"/>
          <w:sz w:val="20"/>
          <w:szCs w:val="20"/>
        </w:rPr>
        <w:t xml:space="preserve"> </w:t>
      </w:r>
      <w:r w:rsidR="002251D0" w:rsidRPr="005C3886">
        <w:rPr>
          <w:rFonts w:ascii="Georgia" w:hAnsi="Georgia"/>
          <w:color w:val="404040" w:themeColor="text1" w:themeTint="BF"/>
          <w:sz w:val="20"/>
          <w:szCs w:val="20"/>
        </w:rPr>
        <w:t>June</w:t>
      </w:r>
      <w:r w:rsidRPr="005C3886">
        <w:rPr>
          <w:rFonts w:ascii="Georgia" w:hAnsi="Georgia"/>
          <w:color w:val="404040" w:themeColor="text1" w:themeTint="BF"/>
          <w:sz w:val="20"/>
          <w:szCs w:val="20"/>
        </w:rPr>
        <w:t xml:space="preserve"> 20</w:t>
      </w:r>
      <w:r w:rsidR="002251D0" w:rsidRPr="005C3886">
        <w:rPr>
          <w:rFonts w:ascii="Georgia" w:hAnsi="Georgia"/>
          <w:color w:val="404040" w:themeColor="text1" w:themeTint="BF"/>
          <w:sz w:val="20"/>
          <w:szCs w:val="20"/>
        </w:rPr>
        <w:t>20</w:t>
      </w:r>
      <w:r w:rsidRPr="005C3886">
        <w:rPr>
          <w:rFonts w:ascii="Georgia" w:hAnsi="Georgia"/>
          <w:color w:val="404040" w:themeColor="text1" w:themeTint="BF"/>
          <w:sz w:val="20"/>
          <w:szCs w:val="20"/>
        </w:rPr>
        <w:t xml:space="preserve"> has continued to see high levels of competition for large scale portfolios</w:t>
      </w:r>
      <w:r w:rsidR="008C2CE3" w:rsidRPr="005C3886">
        <w:rPr>
          <w:rFonts w:ascii="Georgia" w:hAnsi="Georgia"/>
          <w:color w:val="404040" w:themeColor="text1" w:themeTint="BF"/>
          <w:sz w:val="20"/>
          <w:szCs w:val="20"/>
        </w:rPr>
        <w:t xml:space="preserve"> of equivalent or lower ROC banding</w:t>
      </w:r>
      <w:r w:rsidR="00DD570F" w:rsidRPr="005C3886">
        <w:rPr>
          <w:rFonts w:ascii="Georgia" w:hAnsi="Georgia"/>
          <w:color w:val="404040" w:themeColor="text1" w:themeTint="BF"/>
          <w:sz w:val="20"/>
          <w:szCs w:val="20"/>
        </w:rPr>
        <w:t xml:space="preserve"> to the Company</w:t>
      </w:r>
      <w:r w:rsidR="006762CE" w:rsidRPr="005C3886">
        <w:rPr>
          <w:rFonts w:ascii="Georgia" w:hAnsi="Georgia"/>
          <w:color w:val="404040" w:themeColor="text1" w:themeTint="BF"/>
          <w:sz w:val="20"/>
          <w:szCs w:val="20"/>
        </w:rPr>
        <w:t>’</w:t>
      </w:r>
      <w:r w:rsidR="00DD570F" w:rsidRPr="005C3886">
        <w:rPr>
          <w:rFonts w:ascii="Georgia" w:hAnsi="Georgia"/>
          <w:color w:val="404040" w:themeColor="text1" w:themeTint="BF"/>
          <w:sz w:val="20"/>
          <w:szCs w:val="20"/>
        </w:rPr>
        <w:t>s</w:t>
      </w:r>
      <w:r w:rsidR="00AE2050" w:rsidRPr="005C3886">
        <w:rPr>
          <w:rFonts w:ascii="Georgia" w:hAnsi="Georgia"/>
          <w:color w:val="404040" w:themeColor="text1" w:themeTint="BF"/>
          <w:sz w:val="20"/>
          <w:szCs w:val="20"/>
        </w:rPr>
        <w:t>,</w:t>
      </w:r>
      <w:r w:rsidRPr="005C3886">
        <w:rPr>
          <w:rFonts w:ascii="Georgia" w:hAnsi="Georgia"/>
          <w:color w:val="404040" w:themeColor="text1" w:themeTint="BF"/>
          <w:sz w:val="20"/>
          <w:szCs w:val="20"/>
        </w:rPr>
        <w:t xml:space="preserve"> within a pricing range of £1.</w:t>
      </w:r>
      <w:r w:rsidR="008C2CE3" w:rsidRPr="005C3886">
        <w:rPr>
          <w:rFonts w:ascii="Georgia" w:hAnsi="Georgia"/>
          <w:color w:val="404040" w:themeColor="text1" w:themeTint="BF"/>
          <w:sz w:val="20"/>
          <w:szCs w:val="20"/>
        </w:rPr>
        <w:t>20</w:t>
      </w:r>
      <w:r w:rsidRPr="005C3886">
        <w:rPr>
          <w:rFonts w:ascii="Georgia" w:hAnsi="Georgia"/>
          <w:color w:val="404040" w:themeColor="text1" w:themeTint="BF"/>
          <w:sz w:val="20"/>
          <w:szCs w:val="20"/>
        </w:rPr>
        <w:t>m/</w:t>
      </w:r>
      <w:proofErr w:type="spellStart"/>
      <w:r w:rsidRPr="005C3886">
        <w:rPr>
          <w:rFonts w:ascii="Georgia" w:hAnsi="Georgia"/>
          <w:color w:val="404040" w:themeColor="text1" w:themeTint="BF"/>
          <w:sz w:val="20"/>
          <w:szCs w:val="20"/>
        </w:rPr>
        <w:t>MWp</w:t>
      </w:r>
      <w:proofErr w:type="spellEnd"/>
      <w:r w:rsidRPr="005C3886">
        <w:rPr>
          <w:rFonts w:ascii="Georgia" w:hAnsi="Georgia"/>
          <w:color w:val="404040" w:themeColor="text1" w:themeTint="BF"/>
          <w:sz w:val="20"/>
          <w:szCs w:val="20"/>
        </w:rPr>
        <w:t xml:space="preserve"> - £1.</w:t>
      </w:r>
      <w:r w:rsidR="00C474FB" w:rsidRPr="005C3886">
        <w:rPr>
          <w:rFonts w:ascii="Georgia" w:hAnsi="Georgia"/>
          <w:color w:val="404040" w:themeColor="text1" w:themeTint="BF"/>
          <w:sz w:val="20"/>
          <w:szCs w:val="20"/>
        </w:rPr>
        <w:t>40</w:t>
      </w:r>
      <w:r w:rsidRPr="005C3886">
        <w:rPr>
          <w:rFonts w:ascii="Georgia" w:hAnsi="Georgia"/>
          <w:color w:val="404040" w:themeColor="text1" w:themeTint="BF"/>
          <w:sz w:val="20"/>
          <w:szCs w:val="20"/>
        </w:rPr>
        <w:t>m/</w:t>
      </w:r>
      <w:proofErr w:type="spellStart"/>
      <w:r w:rsidRPr="005C3886">
        <w:rPr>
          <w:rFonts w:ascii="Georgia" w:hAnsi="Georgia"/>
          <w:color w:val="404040" w:themeColor="text1" w:themeTint="BF"/>
          <w:sz w:val="20"/>
          <w:szCs w:val="20"/>
        </w:rPr>
        <w:t>MWp</w:t>
      </w:r>
      <w:proofErr w:type="spellEnd"/>
      <w:r w:rsidRPr="005C3886">
        <w:rPr>
          <w:rFonts w:ascii="Georgia" w:hAnsi="Georgia"/>
          <w:color w:val="404040" w:themeColor="text1" w:themeTint="BF"/>
          <w:sz w:val="20"/>
          <w:szCs w:val="20"/>
        </w:rPr>
        <w:t>, the Board believes it appropriate to maintain a prudent benchmarking approach to market activity in respect of the valuation of the BSIF portfolio.</w:t>
      </w:r>
    </w:p>
    <w:p w14:paraId="05257F6E" w14:textId="77777777" w:rsidR="007B66C1" w:rsidRPr="005C3886" w:rsidRDefault="007B66C1" w:rsidP="007B66C1">
      <w:pPr>
        <w:pStyle w:val="ListParagraph"/>
        <w:jc w:val="both"/>
        <w:rPr>
          <w:color w:val="404040" w:themeColor="text1" w:themeTint="BF"/>
        </w:rPr>
      </w:pPr>
    </w:p>
    <w:p w14:paraId="0A966180" w14:textId="14B33C1E" w:rsidR="007B66C1" w:rsidRPr="005C3886" w:rsidRDefault="007B66C1" w:rsidP="007B66C1">
      <w:pPr>
        <w:jc w:val="both"/>
        <w:rPr>
          <w:rFonts w:ascii="Georgia" w:hAnsi="Georgia"/>
          <w:color w:val="404040" w:themeColor="text1" w:themeTint="BF"/>
          <w:sz w:val="20"/>
          <w:szCs w:val="20"/>
          <w:highlight w:val="yellow"/>
        </w:rPr>
      </w:pPr>
      <w:r w:rsidRPr="005C3886">
        <w:rPr>
          <w:rFonts w:ascii="Georgia" w:hAnsi="Georgia"/>
          <w:color w:val="404040" w:themeColor="text1" w:themeTint="BF"/>
          <w:sz w:val="20"/>
          <w:szCs w:val="20"/>
        </w:rPr>
        <w:t>As a result, by valuing the portfolio at an EV of £6</w:t>
      </w:r>
      <w:r w:rsidR="00854BA7" w:rsidRPr="005C3886">
        <w:rPr>
          <w:rFonts w:ascii="Georgia" w:hAnsi="Georgia"/>
          <w:color w:val="404040" w:themeColor="text1" w:themeTint="BF"/>
          <w:sz w:val="20"/>
          <w:szCs w:val="20"/>
        </w:rPr>
        <w:t>02</w:t>
      </w:r>
      <w:r w:rsidRPr="005C3886">
        <w:rPr>
          <w:rFonts w:ascii="Georgia" w:hAnsi="Georgia"/>
          <w:color w:val="404040" w:themeColor="text1" w:themeTint="BF"/>
          <w:sz w:val="20"/>
          <w:szCs w:val="20"/>
        </w:rPr>
        <w:t>.</w:t>
      </w:r>
      <w:r w:rsidR="00854BA7" w:rsidRPr="005C3886">
        <w:rPr>
          <w:rFonts w:ascii="Georgia" w:hAnsi="Georgia"/>
          <w:color w:val="404040" w:themeColor="text1" w:themeTint="BF"/>
          <w:sz w:val="20"/>
          <w:szCs w:val="20"/>
        </w:rPr>
        <w:t>7</w:t>
      </w:r>
      <w:r w:rsidRPr="005C3886">
        <w:rPr>
          <w:rFonts w:ascii="Georgia" w:hAnsi="Georgia"/>
          <w:color w:val="404040" w:themeColor="text1" w:themeTint="BF"/>
          <w:sz w:val="20"/>
          <w:szCs w:val="20"/>
        </w:rPr>
        <w:t>m (June 2019: £605.2m), and an effective price of £1.</w:t>
      </w:r>
      <w:r w:rsidR="00404D8A" w:rsidRPr="005C3886">
        <w:rPr>
          <w:rFonts w:ascii="Georgia" w:hAnsi="Georgia"/>
          <w:color w:val="404040" w:themeColor="text1" w:themeTint="BF"/>
          <w:sz w:val="20"/>
          <w:szCs w:val="20"/>
        </w:rPr>
        <w:t>26</w:t>
      </w:r>
      <w:r w:rsidRPr="005C3886">
        <w:rPr>
          <w:rFonts w:ascii="Georgia" w:hAnsi="Georgia"/>
          <w:color w:val="404040" w:themeColor="text1" w:themeTint="BF"/>
          <w:sz w:val="20"/>
          <w:szCs w:val="20"/>
        </w:rPr>
        <w:t>m/</w:t>
      </w:r>
      <w:proofErr w:type="spellStart"/>
      <w:r w:rsidRPr="005C3886">
        <w:rPr>
          <w:rFonts w:ascii="Georgia" w:hAnsi="Georgia"/>
          <w:color w:val="404040" w:themeColor="text1" w:themeTint="BF"/>
          <w:sz w:val="20"/>
          <w:szCs w:val="20"/>
        </w:rPr>
        <w:t>MWp</w:t>
      </w:r>
      <w:proofErr w:type="spellEnd"/>
      <w:r w:rsidRPr="005C3886">
        <w:rPr>
          <w:rFonts w:ascii="Georgia" w:hAnsi="Georgia"/>
          <w:color w:val="404040" w:themeColor="text1" w:themeTint="BF"/>
          <w:sz w:val="20"/>
          <w:szCs w:val="20"/>
        </w:rPr>
        <w:t xml:space="preserve"> (June 2019: £1.30m/</w:t>
      </w:r>
      <w:proofErr w:type="spellStart"/>
      <w:r w:rsidRPr="005C3886">
        <w:rPr>
          <w:rFonts w:ascii="Georgia" w:hAnsi="Georgia"/>
          <w:color w:val="404040" w:themeColor="text1" w:themeTint="BF"/>
          <w:sz w:val="20"/>
          <w:szCs w:val="20"/>
        </w:rPr>
        <w:t>MWp</w:t>
      </w:r>
      <w:proofErr w:type="spellEnd"/>
      <w:r w:rsidRPr="005C3886">
        <w:rPr>
          <w:rFonts w:ascii="Georgia" w:hAnsi="Georgia"/>
          <w:color w:val="404040" w:themeColor="text1" w:themeTint="BF"/>
          <w:sz w:val="20"/>
          <w:szCs w:val="20"/>
        </w:rPr>
        <w:t>), using a discount rate of 6.</w:t>
      </w:r>
      <w:r w:rsidR="00404D8A" w:rsidRPr="005C3886">
        <w:rPr>
          <w:rFonts w:ascii="Georgia" w:hAnsi="Georgia"/>
          <w:color w:val="404040" w:themeColor="text1" w:themeTint="BF"/>
          <w:sz w:val="20"/>
          <w:szCs w:val="20"/>
        </w:rPr>
        <w:t>0</w:t>
      </w:r>
      <w:r w:rsidRPr="005C3886">
        <w:rPr>
          <w:rFonts w:ascii="Georgia" w:hAnsi="Georgia"/>
          <w:color w:val="404040" w:themeColor="text1" w:themeTint="BF"/>
          <w:sz w:val="20"/>
          <w:szCs w:val="20"/>
        </w:rPr>
        <w:t>0%, the Board remains conservatively within the pricing range of precedent market transactions.</w:t>
      </w:r>
      <w:r w:rsidRPr="005C3886">
        <w:rPr>
          <w:rFonts w:ascii="Georgia" w:hAnsi="Georgia"/>
          <w:color w:val="404040" w:themeColor="text1" w:themeTint="BF"/>
          <w:sz w:val="20"/>
          <w:szCs w:val="20"/>
          <w:highlight w:val="yellow"/>
        </w:rPr>
        <w:t xml:space="preserve"> </w:t>
      </w:r>
    </w:p>
    <w:p w14:paraId="62ABEED2" w14:textId="77777777" w:rsidR="008E513B" w:rsidRPr="005C3886" w:rsidRDefault="008E513B" w:rsidP="007B66C1">
      <w:pPr>
        <w:jc w:val="both"/>
        <w:rPr>
          <w:rFonts w:ascii="Georgia" w:hAnsi="Georgia"/>
          <w:color w:val="404040" w:themeColor="text1" w:themeTint="BF"/>
          <w:sz w:val="20"/>
          <w:szCs w:val="20"/>
        </w:rPr>
      </w:pPr>
      <w:bookmarkStart w:id="6" w:name="_Hlk1384671"/>
    </w:p>
    <w:p w14:paraId="78664269" w14:textId="75066496" w:rsidR="007B66C1" w:rsidRPr="005C3886" w:rsidRDefault="007B66C1" w:rsidP="007B66C1">
      <w:pPr>
        <w:jc w:val="both"/>
        <w:rPr>
          <w:rFonts w:ascii="Georgia" w:hAnsi="Georgia"/>
          <w:color w:val="404040" w:themeColor="text1" w:themeTint="BF"/>
          <w:sz w:val="20"/>
          <w:szCs w:val="20"/>
        </w:rPr>
      </w:pPr>
      <w:r w:rsidRPr="005C3886">
        <w:rPr>
          <w:rFonts w:ascii="Georgia" w:hAnsi="Georgia"/>
          <w:color w:val="404040" w:themeColor="text1" w:themeTint="BF"/>
          <w:sz w:val="20"/>
          <w:szCs w:val="20"/>
        </w:rPr>
        <w:t>The Company continues to apply the</w:t>
      </w:r>
      <w:r w:rsidR="00600C35" w:rsidRPr="005C3886">
        <w:rPr>
          <w:rFonts w:ascii="Georgia" w:hAnsi="Georgia"/>
          <w:color w:val="404040" w:themeColor="text1" w:themeTint="BF"/>
          <w:sz w:val="20"/>
          <w:szCs w:val="20"/>
        </w:rPr>
        <w:t xml:space="preserve"> conservative</w:t>
      </w:r>
      <w:r w:rsidRPr="005C3886">
        <w:rPr>
          <w:rFonts w:ascii="Georgia" w:hAnsi="Georgia"/>
          <w:color w:val="404040" w:themeColor="text1" w:themeTint="BF"/>
          <w:sz w:val="20"/>
          <w:szCs w:val="20"/>
        </w:rPr>
        <w:t xml:space="preserve"> assumption that 70% (£</w:t>
      </w:r>
      <w:r w:rsidR="00A41055" w:rsidRPr="005C3886">
        <w:rPr>
          <w:rFonts w:ascii="Georgia" w:hAnsi="Georgia"/>
          <w:color w:val="404040" w:themeColor="text1" w:themeTint="BF"/>
          <w:sz w:val="20"/>
          <w:szCs w:val="20"/>
        </w:rPr>
        <w:t>30</w:t>
      </w:r>
      <w:r w:rsidRPr="005C3886">
        <w:rPr>
          <w:rFonts w:ascii="Georgia" w:hAnsi="Georgia"/>
          <w:color w:val="404040" w:themeColor="text1" w:themeTint="BF"/>
          <w:sz w:val="20"/>
          <w:szCs w:val="20"/>
        </w:rPr>
        <w:t>.1m) of the amounts drawn under the RCF (£</w:t>
      </w:r>
      <w:r w:rsidR="00F239E1" w:rsidRPr="005C3886">
        <w:rPr>
          <w:rFonts w:ascii="Georgia" w:hAnsi="Georgia"/>
          <w:color w:val="404040" w:themeColor="text1" w:themeTint="BF"/>
          <w:sz w:val="20"/>
          <w:szCs w:val="20"/>
        </w:rPr>
        <w:t>44</w:t>
      </w:r>
      <w:r w:rsidRPr="005C3886">
        <w:rPr>
          <w:rFonts w:ascii="Georgia" w:hAnsi="Georgia"/>
          <w:color w:val="404040" w:themeColor="text1" w:themeTint="BF"/>
          <w:sz w:val="20"/>
          <w:szCs w:val="20"/>
        </w:rPr>
        <w:t>.</w:t>
      </w:r>
      <w:r w:rsidR="00F239E1" w:rsidRPr="005C3886">
        <w:rPr>
          <w:rFonts w:ascii="Georgia" w:hAnsi="Georgia"/>
          <w:color w:val="404040" w:themeColor="text1" w:themeTint="BF"/>
          <w:sz w:val="20"/>
          <w:szCs w:val="20"/>
        </w:rPr>
        <w:t>1</w:t>
      </w:r>
      <w:r w:rsidRPr="005C3886">
        <w:rPr>
          <w:rFonts w:ascii="Georgia" w:hAnsi="Georgia"/>
          <w:color w:val="404040" w:themeColor="text1" w:themeTint="BF"/>
          <w:sz w:val="20"/>
          <w:szCs w:val="20"/>
        </w:rPr>
        <w:t>m as at 3</w:t>
      </w:r>
      <w:r w:rsidR="00F239E1" w:rsidRPr="005C3886">
        <w:rPr>
          <w:rFonts w:ascii="Georgia" w:hAnsi="Georgia"/>
          <w:color w:val="404040" w:themeColor="text1" w:themeTint="BF"/>
          <w:sz w:val="20"/>
          <w:szCs w:val="20"/>
        </w:rPr>
        <w:t>0</w:t>
      </w:r>
      <w:r w:rsidRPr="005C3886">
        <w:rPr>
          <w:rFonts w:ascii="Georgia" w:hAnsi="Georgia"/>
          <w:color w:val="404040" w:themeColor="text1" w:themeTint="BF"/>
          <w:sz w:val="20"/>
          <w:szCs w:val="20"/>
        </w:rPr>
        <w:t xml:space="preserve"> </w:t>
      </w:r>
      <w:r w:rsidR="00F239E1" w:rsidRPr="005C3886">
        <w:rPr>
          <w:rFonts w:ascii="Georgia" w:hAnsi="Georgia"/>
          <w:color w:val="404040" w:themeColor="text1" w:themeTint="BF"/>
          <w:sz w:val="20"/>
          <w:szCs w:val="20"/>
        </w:rPr>
        <w:t>June</w:t>
      </w:r>
      <w:r w:rsidRPr="005C3886">
        <w:rPr>
          <w:rFonts w:ascii="Georgia" w:hAnsi="Georgia"/>
          <w:color w:val="404040" w:themeColor="text1" w:themeTint="BF"/>
          <w:sz w:val="20"/>
          <w:szCs w:val="20"/>
        </w:rPr>
        <w:t xml:space="preserve"> 20</w:t>
      </w:r>
      <w:r w:rsidR="00F239E1" w:rsidRPr="005C3886">
        <w:rPr>
          <w:rFonts w:ascii="Georgia" w:hAnsi="Georgia"/>
          <w:color w:val="404040" w:themeColor="text1" w:themeTint="BF"/>
          <w:sz w:val="20"/>
          <w:szCs w:val="20"/>
        </w:rPr>
        <w:t>20</w:t>
      </w:r>
      <w:r w:rsidRPr="005C3886">
        <w:rPr>
          <w:rFonts w:ascii="Georgia" w:hAnsi="Georgia"/>
          <w:color w:val="404040" w:themeColor="text1" w:themeTint="BF"/>
          <w:sz w:val="20"/>
          <w:szCs w:val="20"/>
        </w:rPr>
        <w:t>) will be converted into long term fully amortising debt on maturity in September 2021, at an interest rate of 3.50%.</w:t>
      </w:r>
    </w:p>
    <w:p w14:paraId="060EB1B5" w14:textId="77777777" w:rsidR="007B66C1" w:rsidRPr="00061BCA" w:rsidRDefault="007B66C1" w:rsidP="007B66C1">
      <w:pPr>
        <w:jc w:val="both"/>
        <w:rPr>
          <w:rFonts w:ascii="Georgia" w:hAnsi="Georgia"/>
          <w:color w:val="404040" w:themeColor="text1" w:themeTint="BF"/>
          <w:sz w:val="20"/>
          <w:szCs w:val="20"/>
        </w:rPr>
      </w:pPr>
    </w:p>
    <w:p w14:paraId="085DA868" w14:textId="7B8B2ABC" w:rsidR="007B66C1" w:rsidRDefault="00062413" w:rsidP="007B66C1">
      <w:pPr>
        <w:pStyle w:val="ListParagraph"/>
        <w:ind w:left="0"/>
        <w:jc w:val="both"/>
        <w:rPr>
          <w:rFonts w:ascii="Georgia" w:hAnsi="Georgia"/>
          <w:b/>
          <w:color w:val="404040" w:themeColor="text1" w:themeTint="BF"/>
          <w:sz w:val="20"/>
          <w:szCs w:val="20"/>
          <w:highlight w:val="yellow"/>
        </w:rPr>
      </w:pPr>
      <w:r w:rsidRPr="00061BCA">
        <w:rPr>
          <w:rFonts w:ascii="Georgia" w:hAnsi="Georgia"/>
          <w:color w:val="404040" w:themeColor="text1" w:themeTint="BF"/>
          <w:sz w:val="20"/>
          <w:szCs w:val="20"/>
        </w:rPr>
        <w:t>The average EBITDA interest tax shield from third party long term debt (£178.7m) and inter-company debt (£80m) equates to 17.9% over the life of the long term debt, being 27% (15% from external shielding and 12% from internal shielding) in 2020 and falling thereafter with amortisation of the debt, and remains conservative with respect to the</w:t>
      </w:r>
      <w:r w:rsidRPr="005C3886">
        <w:rPr>
          <w:rFonts w:ascii="Georgia" w:hAnsi="Georgia"/>
          <w:color w:val="404040" w:themeColor="text1" w:themeTint="BF"/>
          <w:sz w:val="20"/>
          <w:szCs w:val="20"/>
        </w:rPr>
        <w:t xml:space="preserve"> 30% level permitted under the fixed ratio test of the corporate interest restriction rules</w:t>
      </w:r>
      <w:r>
        <w:rPr>
          <w:rFonts w:ascii="Georgia" w:hAnsi="Georgia"/>
          <w:color w:val="404040" w:themeColor="text1" w:themeTint="BF"/>
          <w:sz w:val="20"/>
          <w:szCs w:val="20"/>
        </w:rPr>
        <w:t>.</w:t>
      </w:r>
    </w:p>
    <w:p w14:paraId="0BB168F4" w14:textId="30140287" w:rsidR="00CE41B2" w:rsidRDefault="00CE41B2" w:rsidP="007B66C1">
      <w:pPr>
        <w:pStyle w:val="ListParagraph"/>
        <w:ind w:left="0"/>
        <w:jc w:val="both"/>
        <w:rPr>
          <w:rFonts w:ascii="Georgia" w:hAnsi="Georgia"/>
          <w:b/>
          <w:color w:val="404040" w:themeColor="text1" w:themeTint="BF"/>
          <w:sz w:val="20"/>
          <w:szCs w:val="20"/>
          <w:highlight w:val="yellow"/>
        </w:rPr>
      </w:pPr>
    </w:p>
    <w:p w14:paraId="507BF7B5" w14:textId="77777777" w:rsidR="00CE41B2" w:rsidRPr="00F93890" w:rsidRDefault="00CE41B2" w:rsidP="00CE41B2">
      <w:pPr>
        <w:pStyle w:val="Heading2"/>
        <w:spacing w:before="0"/>
      </w:pPr>
      <w:r w:rsidRPr="00F93890">
        <w:lastRenderedPageBreak/>
        <w:t>Report of the Investment Adviser (continued)</w:t>
      </w:r>
    </w:p>
    <w:p w14:paraId="3EDACD2B" w14:textId="77777777" w:rsidR="00CE41B2" w:rsidRPr="00F93890" w:rsidRDefault="00CE41B2" w:rsidP="00CE41B2">
      <w:pPr>
        <w:rPr>
          <w:rFonts w:ascii="Georgia" w:hAnsi="Georgia" w:cs="Calibri"/>
          <w:b/>
          <w:color w:val="404040" w:themeColor="text1" w:themeTint="BF"/>
          <w:sz w:val="20"/>
          <w:szCs w:val="20"/>
        </w:rPr>
      </w:pPr>
    </w:p>
    <w:p w14:paraId="6AFDD278" w14:textId="77777777" w:rsidR="00CE41B2" w:rsidRPr="00EF6464" w:rsidRDefault="00CE41B2" w:rsidP="00CE41B2">
      <w:pPr>
        <w:spacing w:after="160" w:line="259" w:lineRule="auto"/>
        <w:jc w:val="both"/>
        <w:rPr>
          <w:rFonts w:ascii="Georgia" w:hAnsi="Georgia"/>
          <w:b/>
          <w:color w:val="404040" w:themeColor="text1" w:themeTint="BF"/>
          <w:sz w:val="20"/>
          <w:szCs w:val="20"/>
        </w:rPr>
      </w:pPr>
      <w:r w:rsidRPr="00F93890">
        <w:rPr>
          <w:rFonts w:ascii="Georgia" w:hAnsi="Georgia"/>
          <w:b/>
          <w:color w:val="404040" w:themeColor="text1" w:themeTint="BF"/>
          <w:sz w:val="20"/>
          <w:szCs w:val="20"/>
        </w:rPr>
        <w:t>4. NAV and Valuation of the Portfolio (continued)</w:t>
      </w:r>
    </w:p>
    <w:p w14:paraId="2E9ACE3C" w14:textId="77777777" w:rsidR="00CE41B2" w:rsidRPr="00FA61AC" w:rsidRDefault="00CE41B2" w:rsidP="007B66C1">
      <w:pPr>
        <w:pStyle w:val="ListParagraph"/>
        <w:ind w:left="0"/>
        <w:jc w:val="both"/>
        <w:rPr>
          <w:rFonts w:ascii="Georgia" w:hAnsi="Georgia"/>
          <w:b/>
          <w:color w:val="404040" w:themeColor="text1" w:themeTint="BF"/>
          <w:sz w:val="20"/>
          <w:szCs w:val="20"/>
          <w:highlight w:val="yellow"/>
        </w:rPr>
      </w:pPr>
    </w:p>
    <w:p w14:paraId="0C1250A9" w14:textId="77777777" w:rsidR="007B66C1" w:rsidRPr="00F16295" w:rsidRDefault="007B66C1" w:rsidP="007B66C1">
      <w:pPr>
        <w:pStyle w:val="ListParagraph"/>
        <w:ind w:left="0"/>
        <w:jc w:val="both"/>
        <w:rPr>
          <w:rFonts w:ascii="Georgia" w:hAnsi="Georgia"/>
          <w:b/>
          <w:color w:val="404040" w:themeColor="text1" w:themeTint="BF"/>
          <w:sz w:val="20"/>
          <w:szCs w:val="20"/>
        </w:rPr>
      </w:pPr>
      <w:r w:rsidRPr="00F16295">
        <w:rPr>
          <w:rFonts w:ascii="Georgia" w:hAnsi="Georgia"/>
          <w:b/>
          <w:color w:val="404040" w:themeColor="text1" w:themeTint="BF"/>
          <w:sz w:val="20"/>
          <w:szCs w:val="20"/>
        </w:rPr>
        <w:t>Power Price</w:t>
      </w:r>
    </w:p>
    <w:p w14:paraId="35AD23AF" w14:textId="77777777" w:rsidR="007B66C1" w:rsidRPr="00F16295" w:rsidRDefault="007B66C1" w:rsidP="007B66C1">
      <w:pPr>
        <w:jc w:val="both"/>
        <w:rPr>
          <w:rFonts w:ascii="Georgia" w:hAnsi="Georgia"/>
          <w:color w:val="404040" w:themeColor="text1" w:themeTint="BF"/>
          <w:sz w:val="20"/>
          <w:szCs w:val="20"/>
        </w:rPr>
      </w:pPr>
    </w:p>
    <w:p w14:paraId="0397ABD3" w14:textId="77777777" w:rsidR="00997287" w:rsidRDefault="007B66C1" w:rsidP="007B66C1">
      <w:pPr>
        <w:jc w:val="both"/>
        <w:rPr>
          <w:rFonts w:ascii="Georgia" w:hAnsi="Georgia"/>
          <w:color w:val="404040"/>
          <w:sz w:val="20"/>
          <w:szCs w:val="20"/>
        </w:rPr>
      </w:pPr>
      <w:r w:rsidRPr="00F16295">
        <w:rPr>
          <w:rFonts w:ascii="Georgia" w:hAnsi="Georgia"/>
          <w:color w:val="404040"/>
          <w:sz w:val="20"/>
          <w:szCs w:val="20"/>
        </w:rPr>
        <w:t xml:space="preserve">The blended forecast </w:t>
      </w:r>
      <w:r w:rsidR="004862F5">
        <w:rPr>
          <w:rFonts w:ascii="Georgia" w:hAnsi="Georgia"/>
          <w:color w:val="404040"/>
          <w:sz w:val="20"/>
          <w:szCs w:val="20"/>
        </w:rPr>
        <w:t xml:space="preserve">of three leading consultants </w:t>
      </w:r>
      <w:r w:rsidRPr="00F16295">
        <w:rPr>
          <w:rFonts w:ascii="Georgia" w:hAnsi="Georgia"/>
          <w:color w:val="404040"/>
          <w:sz w:val="20"/>
          <w:szCs w:val="20"/>
        </w:rPr>
        <w:t>used within the latest Directors’ Valuation</w:t>
      </w:r>
      <w:r>
        <w:rPr>
          <w:rFonts w:ascii="Georgia" w:hAnsi="Georgia"/>
          <w:color w:val="404040"/>
          <w:sz w:val="20"/>
          <w:szCs w:val="20"/>
        </w:rPr>
        <w:t>, as shown graphically below,</w:t>
      </w:r>
      <w:r w:rsidRPr="00F16295">
        <w:rPr>
          <w:rFonts w:ascii="Georgia" w:hAnsi="Georgia"/>
          <w:color w:val="404040"/>
          <w:sz w:val="20"/>
          <w:szCs w:val="20"/>
        </w:rPr>
        <w:t xml:space="preserve"> is based on forecasts</w:t>
      </w:r>
      <w:r w:rsidRPr="00F16295">
        <w:rPr>
          <w:rFonts w:ascii="Georgia" w:hAnsi="Georgia"/>
          <w:sz w:val="20"/>
          <w:szCs w:val="20"/>
        </w:rPr>
        <w:t xml:space="preserve"> </w:t>
      </w:r>
      <w:r w:rsidRPr="00A526C6">
        <w:rPr>
          <w:rFonts w:ascii="Georgia" w:hAnsi="Georgia"/>
          <w:color w:val="404040"/>
          <w:sz w:val="20"/>
          <w:szCs w:val="20"/>
        </w:rPr>
        <w:t xml:space="preserve">released in </w:t>
      </w:r>
      <w:r w:rsidR="00B35616" w:rsidRPr="00A526C6">
        <w:rPr>
          <w:rFonts w:ascii="Georgia" w:hAnsi="Georgia"/>
          <w:color w:val="404040"/>
          <w:sz w:val="20"/>
          <w:szCs w:val="20"/>
        </w:rPr>
        <w:t>Jun</w:t>
      </w:r>
      <w:r w:rsidR="004738C6" w:rsidRPr="00A526C6">
        <w:rPr>
          <w:rFonts w:ascii="Georgia" w:hAnsi="Georgia"/>
          <w:color w:val="404040"/>
          <w:sz w:val="20"/>
          <w:szCs w:val="20"/>
        </w:rPr>
        <w:t>e</w:t>
      </w:r>
      <w:r w:rsidR="00250A7E" w:rsidRPr="00A526C6">
        <w:rPr>
          <w:rFonts w:ascii="Georgia" w:hAnsi="Georgia"/>
          <w:color w:val="404040"/>
          <w:sz w:val="20"/>
          <w:szCs w:val="20"/>
        </w:rPr>
        <w:t xml:space="preserve"> and July</w:t>
      </w:r>
      <w:r w:rsidRPr="00A526C6">
        <w:rPr>
          <w:rFonts w:ascii="Georgia" w:hAnsi="Georgia"/>
          <w:color w:val="404040"/>
          <w:sz w:val="20"/>
          <w:szCs w:val="20"/>
        </w:rPr>
        <w:t xml:space="preserve"> 20</w:t>
      </w:r>
      <w:r w:rsidR="004738C6" w:rsidRPr="00A526C6">
        <w:rPr>
          <w:rFonts w:ascii="Georgia" w:hAnsi="Georgia"/>
          <w:color w:val="404040"/>
          <w:sz w:val="20"/>
          <w:szCs w:val="20"/>
        </w:rPr>
        <w:t>20</w:t>
      </w:r>
      <w:r w:rsidR="00D9684D" w:rsidRPr="00A526C6">
        <w:rPr>
          <w:rFonts w:ascii="Georgia" w:hAnsi="Georgia"/>
          <w:color w:val="404040"/>
          <w:sz w:val="20"/>
          <w:szCs w:val="20"/>
        </w:rPr>
        <w:t xml:space="preserve"> and implies a compound</w:t>
      </w:r>
      <w:r w:rsidRPr="00A526C6">
        <w:rPr>
          <w:rFonts w:ascii="Georgia" w:hAnsi="Georgia"/>
          <w:color w:val="404040"/>
          <w:sz w:val="20"/>
          <w:szCs w:val="20"/>
        </w:rPr>
        <w:t xml:space="preserve"> annual growth rate, in real terms from 2020, over the 30 year forecast of </w:t>
      </w:r>
      <w:r w:rsidR="00250A7E" w:rsidRPr="00A526C6">
        <w:rPr>
          <w:rFonts w:ascii="Georgia" w:hAnsi="Georgia"/>
          <w:color w:val="404040"/>
          <w:sz w:val="20"/>
          <w:szCs w:val="20"/>
        </w:rPr>
        <w:t>1.39</w:t>
      </w:r>
      <w:r w:rsidRPr="00A526C6">
        <w:rPr>
          <w:rFonts w:ascii="Georgia" w:hAnsi="Georgia"/>
          <w:color w:val="404040"/>
          <w:sz w:val="20"/>
          <w:szCs w:val="20"/>
        </w:rPr>
        <w:t>% per</w:t>
      </w:r>
      <w:r w:rsidRPr="00121F9B">
        <w:rPr>
          <w:rFonts w:ascii="Georgia" w:hAnsi="Georgia"/>
          <w:color w:val="404040"/>
          <w:sz w:val="20"/>
          <w:szCs w:val="20"/>
        </w:rPr>
        <w:t xml:space="preserve"> annum </w:t>
      </w:r>
      <w:r w:rsidRPr="004E0D32">
        <w:rPr>
          <w:rFonts w:ascii="Georgia" w:hAnsi="Georgia"/>
          <w:color w:val="404040"/>
          <w:sz w:val="20"/>
          <w:szCs w:val="20"/>
        </w:rPr>
        <w:t>from a starting point in</w:t>
      </w:r>
      <w:r w:rsidRPr="00704986">
        <w:rPr>
          <w:rFonts w:ascii="Georgia" w:hAnsi="Georgia"/>
          <w:color w:val="404040"/>
          <w:sz w:val="20"/>
          <w:szCs w:val="20"/>
        </w:rPr>
        <w:t xml:space="preserve"> the </w:t>
      </w:r>
      <w:r w:rsidR="005F79EC">
        <w:rPr>
          <w:rFonts w:ascii="Georgia" w:hAnsi="Georgia"/>
          <w:color w:val="404040"/>
          <w:sz w:val="20"/>
          <w:szCs w:val="20"/>
        </w:rPr>
        <w:t>low</w:t>
      </w:r>
      <w:r w:rsidRPr="00701B42">
        <w:rPr>
          <w:rFonts w:ascii="Georgia" w:hAnsi="Georgia"/>
          <w:color w:val="404040"/>
          <w:sz w:val="20"/>
          <w:szCs w:val="20"/>
        </w:rPr>
        <w:t xml:space="preserve"> £</w:t>
      </w:r>
      <w:r w:rsidR="005F79EC">
        <w:rPr>
          <w:rFonts w:ascii="Georgia" w:hAnsi="Georgia"/>
          <w:color w:val="404040"/>
          <w:sz w:val="20"/>
          <w:szCs w:val="20"/>
        </w:rPr>
        <w:t>3</w:t>
      </w:r>
      <w:r w:rsidRPr="00701B42">
        <w:rPr>
          <w:rFonts w:ascii="Georgia" w:hAnsi="Georgia"/>
          <w:color w:val="404040"/>
          <w:sz w:val="20"/>
          <w:szCs w:val="20"/>
        </w:rPr>
        <w:t>0s / MWh</w:t>
      </w:r>
      <w:r w:rsidRPr="00121F9B">
        <w:rPr>
          <w:rFonts w:ascii="Georgia" w:hAnsi="Georgia"/>
          <w:color w:val="404040"/>
          <w:sz w:val="20"/>
          <w:szCs w:val="20"/>
        </w:rPr>
        <w:t xml:space="preserve"> to </w:t>
      </w:r>
      <w:r w:rsidR="00D16E95">
        <w:rPr>
          <w:rFonts w:ascii="Georgia" w:hAnsi="Georgia"/>
          <w:color w:val="404040"/>
          <w:sz w:val="20"/>
          <w:szCs w:val="20"/>
        </w:rPr>
        <w:t>£45</w:t>
      </w:r>
      <w:r w:rsidR="0075649E">
        <w:rPr>
          <w:rFonts w:ascii="Georgia" w:hAnsi="Georgia"/>
          <w:color w:val="404040"/>
          <w:sz w:val="20"/>
          <w:szCs w:val="20"/>
        </w:rPr>
        <w:t>/</w:t>
      </w:r>
      <w:r w:rsidR="00D16E95">
        <w:rPr>
          <w:rFonts w:ascii="Georgia" w:hAnsi="Georgia"/>
          <w:color w:val="404040"/>
          <w:sz w:val="20"/>
          <w:szCs w:val="20"/>
        </w:rPr>
        <w:t>MWh</w:t>
      </w:r>
      <w:r w:rsidRPr="00121F9B">
        <w:rPr>
          <w:rFonts w:ascii="Georgia" w:hAnsi="Georgia"/>
          <w:color w:val="404040"/>
          <w:sz w:val="20"/>
          <w:szCs w:val="20"/>
        </w:rPr>
        <w:t xml:space="preserve"> </w:t>
      </w:r>
      <w:r w:rsidR="00551F89">
        <w:rPr>
          <w:rFonts w:ascii="Georgia" w:hAnsi="Georgia"/>
          <w:color w:val="404040"/>
          <w:sz w:val="20"/>
          <w:szCs w:val="20"/>
        </w:rPr>
        <w:t>in</w:t>
      </w:r>
      <w:r w:rsidRPr="004E0D32">
        <w:rPr>
          <w:rFonts w:ascii="Georgia" w:hAnsi="Georgia"/>
          <w:color w:val="404040"/>
          <w:sz w:val="20"/>
          <w:szCs w:val="20"/>
        </w:rPr>
        <w:t xml:space="preserve"> </w:t>
      </w:r>
      <w:r w:rsidRPr="00701B42">
        <w:rPr>
          <w:rFonts w:ascii="Georgia" w:hAnsi="Georgia"/>
          <w:color w:val="404040"/>
          <w:sz w:val="20"/>
          <w:szCs w:val="20"/>
        </w:rPr>
        <w:t>2050</w:t>
      </w:r>
      <w:r w:rsidRPr="00121F9B">
        <w:rPr>
          <w:rFonts w:ascii="Georgia" w:hAnsi="Georgia"/>
          <w:color w:val="404040"/>
          <w:sz w:val="20"/>
          <w:szCs w:val="20"/>
        </w:rPr>
        <w:t>.</w:t>
      </w:r>
      <w:r w:rsidR="00997287">
        <w:rPr>
          <w:rFonts w:ascii="Georgia" w:hAnsi="Georgia"/>
          <w:color w:val="404040"/>
          <w:sz w:val="20"/>
          <w:szCs w:val="20"/>
        </w:rPr>
        <w:t xml:space="preserve"> </w:t>
      </w:r>
    </w:p>
    <w:p w14:paraId="32E2A5BF" w14:textId="77777777" w:rsidR="00997287" w:rsidRDefault="00997287" w:rsidP="007B66C1">
      <w:pPr>
        <w:jc w:val="both"/>
        <w:rPr>
          <w:rFonts w:ascii="Georgia" w:hAnsi="Georgia"/>
          <w:color w:val="404040"/>
          <w:sz w:val="20"/>
          <w:szCs w:val="20"/>
        </w:rPr>
      </w:pPr>
    </w:p>
    <w:p w14:paraId="65FA213E" w14:textId="2F8B74BF" w:rsidR="00997287" w:rsidRDefault="00997287" w:rsidP="007B66C1">
      <w:pPr>
        <w:jc w:val="both"/>
        <w:rPr>
          <w:rFonts w:ascii="Georgia" w:hAnsi="Georgia"/>
          <w:color w:val="404040"/>
          <w:sz w:val="20"/>
          <w:szCs w:val="20"/>
        </w:rPr>
      </w:pPr>
      <w:r>
        <w:rPr>
          <w:rFonts w:ascii="Georgia" w:hAnsi="Georgia"/>
          <w:color w:val="404040"/>
          <w:sz w:val="20"/>
          <w:szCs w:val="20"/>
        </w:rPr>
        <w:t>For illustration purposes, the graph also includes the impact on the Jun</w:t>
      </w:r>
      <w:r w:rsidR="003F68BF">
        <w:rPr>
          <w:rFonts w:ascii="Georgia" w:hAnsi="Georgia"/>
          <w:color w:val="404040"/>
          <w:sz w:val="20"/>
          <w:szCs w:val="20"/>
        </w:rPr>
        <w:t>e</w:t>
      </w:r>
      <w:r>
        <w:rPr>
          <w:rFonts w:ascii="Georgia" w:hAnsi="Georgia"/>
          <w:color w:val="404040"/>
          <w:sz w:val="20"/>
          <w:szCs w:val="20"/>
        </w:rPr>
        <w:t xml:space="preserve"> </w:t>
      </w:r>
      <w:r w:rsidR="003F68BF">
        <w:rPr>
          <w:rFonts w:ascii="Georgia" w:hAnsi="Georgia"/>
          <w:color w:val="404040"/>
          <w:sz w:val="20"/>
          <w:szCs w:val="20"/>
        </w:rPr>
        <w:t>20</w:t>
      </w:r>
      <w:r>
        <w:rPr>
          <w:rFonts w:ascii="Georgia" w:hAnsi="Georgia"/>
          <w:color w:val="404040"/>
          <w:sz w:val="20"/>
          <w:szCs w:val="20"/>
        </w:rPr>
        <w:t xml:space="preserve">20 valuation if historic curves from June </w:t>
      </w:r>
      <w:r w:rsidR="003F68BF">
        <w:rPr>
          <w:rFonts w:ascii="Georgia" w:hAnsi="Georgia"/>
          <w:color w:val="404040"/>
          <w:sz w:val="20"/>
          <w:szCs w:val="20"/>
        </w:rPr>
        <w:t>20</w:t>
      </w:r>
      <w:r>
        <w:rPr>
          <w:rFonts w:ascii="Georgia" w:hAnsi="Georgia"/>
          <w:color w:val="404040"/>
          <w:sz w:val="20"/>
          <w:szCs w:val="20"/>
        </w:rPr>
        <w:t xml:space="preserve">18 and June </w:t>
      </w:r>
      <w:r w:rsidR="003F68BF">
        <w:rPr>
          <w:rFonts w:ascii="Georgia" w:hAnsi="Georgia"/>
          <w:color w:val="404040"/>
          <w:sz w:val="20"/>
          <w:szCs w:val="20"/>
        </w:rPr>
        <w:t>20</w:t>
      </w:r>
      <w:r>
        <w:rPr>
          <w:rFonts w:ascii="Georgia" w:hAnsi="Georgia"/>
          <w:color w:val="404040"/>
          <w:sz w:val="20"/>
          <w:szCs w:val="20"/>
        </w:rPr>
        <w:t>19 were used in pl</w:t>
      </w:r>
      <w:r w:rsidR="007961E0">
        <w:rPr>
          <w:rFonts w:ascii="Georgia" w:hAnsi="Georgia"/>
          <w:color w:val="404040"/>
          <w:sz w:val="20"/>
          <w:szCs w:val="20"/>
        </w:rPr>
        <w:t xml:space="preserve">ace of the latest blended curve </w:t>
      </w:r>
      <w:r w:rsidR="007961E0" w:rsidRPr="0087302A">
        <w:rPr>
          <w:rFonts w:ascii="Georgia" w:hAnsi="Georgia"/>
          <w:color w:val="404040"/>
          <w:sz w:val="20"/>
          <w:szCs w:val="20"/>
        </w:rPr>
        <w:t xml:space="preserve"> </w:t>
      </w:r>
      <w:r w:rsidR="007961E0">
        <w:rPr>
          <w:rFonts w:ascii="Georgia" w:hAnsi="Georgia"/>
          <w:color w:val="404040"/>
          <w:sz w:val="20"/>
          <w:szCs w:val="20"/>
        </w:rPr>
        <w:t>as well as a reference to the December 2016 curve (as this was the last point where forecasters assumed continuous increases in power prices).</w:t>
      </w:r>
    </w:p>
    <w:p w14:paraId="4D22D9E5" w14:textId="38373D03" w:rsidR="006B62BC" w:rsidRDefault="006B62BC" w:rsidP="007B66C1">
      <w:pPr>
        <w:jc w:val="both"/>
        <w:rPr>
          <w:rFonts w:ascii="Georgia" w:hAnsi="Georgia"/>
          <w:color w:val="404040"/>
          <w:sz w:val="20"/>
          <w:szCs w:val="20"/>
        </w:rPr>
      </w:pPr>
    </w:p>
    <w:p w14:paraId="3A2C6DD6" w14:textId="557E8B19" w:rsidR="00DA1203" w:rsidRDefault="00DA1203" w:rsidP="007B66C1">
      <w:pPr>
        <w:jc w:val="both"/>
        <w:rPr>
          <w:rFonts w:ascii="Georgia" w:hAnsi="Georgia"/>
          <w:color w:val="404040"/>
          <w:sz w:val="20"/>
          <w:szCs w:val="20"/>
        </w:rPr>
      </w:pPr>
    </w:p>
    <w:p w14:paraId="72AB2E8C" w14:textId="5395BA60" w:rsidR="00DA1203" w:rsidRDefault="00997287" w:rsidP="007B66C1">
      <w:pPr>
        <w:jc w:val="both"/>
        <w:rPr>
          <w:rFonts w:ascii="Georgia" w:hAnsi="Georgia"/>
          <w:color w:val="404040"/>
          <w:sz w:val="20"/>
          <w:szCs w:val="20"/>
        </w:rPr>
      </w:pPr>
      <w:r>
        <w:rPr>
          <w:noProof/>
          <w:lang w:eastAsia="zh-CN"/>
        </w:rPr>
        <w:drawing>
          <wp:inline distT="0" distB="0" distL="0" distR="0" wp14:anchorId="321BC520" wp14:editId="432AE3BD">
            <wp:extent cx="5943600" cy="278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3AF87C27" w14:textId="69BFB071" w:rsidR="00DA1203" w:rsidRDefault="00DA1203" w:rsidP="007B66C1">
      <w:pPr>
        <w:jc w:val="both"/>
        <w:rPr>
          <w:rFonts w:ascii="Georgia" w:hAnsi="Georgia"/>
          <w:color w:val="404040"/>
          <w:sz w:val="20"/>
          <w:szCs w:val="20"/>
        </w:rPr>
      </w:pPr>
    </w:p>
    <w:p w14:paraId="79E0DBCE" w14:textId="77777777" w:rsidR="00DA1203" w:rsidRDefault="00DA1203" w:rsidP="007B66C1">
      <w:pPr>
        <w:jc w:val="both"/>
        <w:rPr>
          <w:rFonts w:ascii="Georgia" w:hAnsi="Georgia"/>
          <w:color w:val="404040"/>
          <w:sz w:val="20"/>
          <w:szCs w:val="20"/>
        </w:rPr>
      </w:pPr>
    </w:p>
    <w:p w14:paraId="251C6D24" w14:textId="4AF51ECD" w:rsidR="0002788C" w:rsidRPr="00475D47" w:rsidRDefault="001E6FDC" w:rsidP="007B66C1">
      <w:pPr>
        <w:jc w:val="both"/>
        <w:rPr>
          <w:rFonts w:ascii="Georgia" w:hAnsi="Georgia"/>
          <w:color w:val="404040" w:themeColor="text1" w:themeTint="BF"/>
          <w:sz w:val="20"/>
          <w:szCs w:val="20"/>
        </w:rPr>
      </w:pPr>
      <w:r>
        <w:rPr>
          <w:rFonts w:ascii="Georgia" w:hAnsi="Georgia"/>
          <w:color w:val="404040"/>
          <w:sz w:val="20"/>
          <w:szCs w:val="20"/>
        </w:rPr>
        <w:t>The impact of Covid-19</w:t>
      </w:r>
      <w:r w:rsidR="00C00E38">
        <w:rPr>
          <w:rFonts w:ascii="Georgia" w:hAnsi="Georgia"/>
          <w:color w:val="404040"/>
          <w:sz w:val="20"/>
          <w:szCs w:val="20"/>
        </w:rPr>
        <w:t xml:space="preserve"> has meant power prices in the short term have fallen </w:t>
      </w:r>
      <w:r w:rsidR="00250A7E">
        <w:rPr>
          <w:rFonts w:ascii="Georgia" w:hAnsi="Georgia"/>
          <w:color w:val="404040"/>
          <w:sz w:val="20"/>
          <w:szCs w:val="20"/>
        </w:rPr>
        <w:t>significantl</w:t>
      </w:r>
      <w:r w:rsidR="00C00E38">
        <w:rPr>
          <w:rFonts w:ascii="Georgia" w:hAnsi="Georgia"/>
          <w:color w:val="404040"/>
          <w:sz w:val="20"/>
          <w:szCs w:val="20"/>
        </w:rPr>
        <w:t xml:space="preserve">y </w:t>
      </w:r>
      <w:r w:rsidR="003D7A89">
        <w:rPr>
          <w:rFonts w:ascii="Georgia" w:hAnsi="Georgia"/>
          <w:color w:val="404040"/>
          <w:sz w:val="20"/>
          <w:szCs w:val="20"/>
        </w:rPr>
        <w:t>(as outlined in the PPA section</w:t>
      </w:r>
      <w:r w:rsidR="000A2A94">
        <w:rPr>
          <w:rFonts w:ascii="Georgia" w:hAnsi="Georgia"/>
          <w:color w:val="404040"/>
          <w:sz w:val="20"/>
          <w:szCs w:val="20"/>
        </w:rPr>
        <w:t xml:space="preserve"> on </w:t>
      </w:r>
      <w:r w:rsidR="000A2A94" w:rsidRPr="00427DC3">
        <w:rPr>
          <w:rFonts w:ascii="Georgia" w:hAnsi="Georgia"/>
          <w:color w:val="404040"/>
          <w:sz w:val="20"/>
          <w:szCs w:val="20"/>
        </w:rPr>
        <w:t xml:space="preserve">page </w:t>
      </w:r>
      <w:r w:rsidR="00427DC3">
        <w:rPr>
          <w:rFonts w:ascii="Georgia" w:hAnsi="Georgia"/>
          <w:color w:val="404040"/>
          <w:sz w:val="20"/>
          <w:szCs w:val="20"/>
        </w:rPr>
        <w:t>54</w:t>
      </w:r>
      <w:r w:rsidR="000A2A94">
        <w:rPr>
          <w:rFonts w:ascii="Georgia" w:hAnsi="Georgia"/>
          <w:color w:val="404040"/>
          <w:sz w:val="20"/>
          <w:szCs w:val="20"/>
        </w:rPr>
        <w:t>)</w:t>
      </w:r>
      <w:r w:rsidR="0072563E">
        <w:rPr>
          <w:rFonts w:ascii="Georgia" w:hAnsi="Georgia"/>
          <w:color w:val="404040"/>
          <w:sz w:val="20"/>
          <w:szCs w:val="20"/>
        </w:rPr>
        <w:t>, but</w:t>
      </w:r>
      <w:r w:rsidR="00DC7214">
        <w:rPr>
          <w:rFonts w:ascii="Georgia" w:hAnsi="Georgia"/>
          <w:color w:val="404040"/>
          <w:sz w:val="20"/>
          <w:szCs w:val="20"/>
        </w:rPr>
        <w:t xml:space="preserve"> pricing expectations over both the</w:t>
      </w:r>
      <w:r w:rsidR="0072563E">
        <w:rPr>
          <w:rFonts w:ascii="Georgia" w:hAnsi="Georgia"/>
          <w:color w:val="404040"/>
          <w:sz w:val="20"/>
          <w:szCs w:val="20"/>
        </w:rPr>
        <w:t xml:space="preserve"> </w:t>
      </w:r>
      <w:r w:rsidR="00681F7A">
        <w:rPr>
          <w:rFonts w:ascii="Georgia" w:hAnsi="Georgia"/>
          <w:color w:val="404040"/>
          <w:sz w:val="20"/>
          <w:szCs w:val="20"/>
        </w:rPr>
        <w:t xml:space="preserve">medium and longer term </w:t>
      </w:r>
      <w:r w:rsidR="00DC7214">
        <w:rPr>
          <w:rFonts w:ascii="Georgia" w:hAnsi="Georgia"/>
          <w:color w:val="404040"/>
          <w:sz w:val="20"/>
          <w:szCs w:val="20"/>
        </w:rPr>
        <w:t xml:space="preserve">horizons have also </w:t>
      </w:r>
      <w:r w:rsidR="00C817E2">
        <w:rPr>
          <w:rFonts w:ascii="Georgia" w:hAnsi="Georgia"/>
          <w:color w:val="404040"/>
          <w:sz w:val="20"/>
          <w:szCs w:val="20"/>
        </w:rPr>
        <w:t xml:space="preserve">been lowered </w:t>
      </w:r>
      <w:r w:rsidR="00142A57">
        <w:rPr>
          <w:rFonts w:ascii="Georgia" w:hAnsi="Georgia"/>
          <w:color w:val="404040"/>
          <w:sz w:val="20"/>
          <w:szCs w:val="20"/>
        </w:rPr>
        <w:t xml:space="preserve">as </w:t>
      </w:r>
      <w:bookmarkEnd w:id="6"/>
      <w:r w:rsidR="007B66C1" w:rsidRPr="00F16295">
        <w:rPr>
          <w:rFonts w:ascii="Georgia" w:hAnsi="Georgia"/>
          <w:color w:val="404040"/>
          <w:sz w:val="20"/>
          <w:szCs w:val="20"/>
        </w:rPr>
        <w:t xml:space="preserve">a consequence of </w:t>
      </w:r>
      <w:r w:rsidR="007B66C1">
        <w:rPr>
          <w:rFonts w:ascii="Georgia" w:hAnsi="Georgia"/>
          <w:color w:val="404040"/>
          <w:sz w:val="20"/>
          <w:szCs w:val="20"/>
        </w:rPr>
        <w:t>projected</w:t>
      </w:r>
      <w:r w:rsidR="007B66C1" w:rsidRPr="00F16295">
        <w:rPr>
          <w:rFonts w:ascii="Georgia" w:hAnsi="Georgia"/>
          <w:color w:val="404040"/>
          <w:sz w:val="20"/>
          <w:szCs w:val="20"/>
        </w:rPr>
        <w:t xml:space="preserve"> </w:t>
      </w:r>
      <w:r w:rsidR="007B66C1" w:rsidRPr="00F16295">
        <w:rPr>
          <w:rFonts w:ascii="Georgia" w:hAnsi="Georgia"/>
          <w:color w:val="404040" w:themeColor="text1" w:themeTint="BF"/>
          <w:sz w:val="20"/>
          <w:szCs w:val="20"/>
        </w:rPr>
        <w:t>lower gas prices in the long term, higher renewable penetration driving down prices post 2030, and higher levels of interconnection capacity to European markets</w:t>
      </w:r>
      <w:r w:rsidR="007B66C1">
        <w:rPr>
          <w:rFonts w:ascii="Georgia" w:hAnsi="Georgia"/>
          <w:color w:val="404040" w:themeColor="text1" w:themeTint="BF"/>
          <w:sz w:val="20"/>
          <w:szCs w:val="20"/>
        </w:rPr>
        <w:t xml:space="preserve">, </w:t>
      </w:r>
      <w:r w:rsidR="007B66C1" w:rsidRPr="00F16295">
        <w:rPr>
          <w:rFonts w:ascii="Georgia" w:hAnsi="Georgia"/>
          <w:color w:val="404040" w:themeColor="text1" w:themeTint="BF"/>
          <w:sz w:val="20"/>
          <w:szCs w:val="20"/>
        </w:rPr>
        <w:t xml:space="preserve">where prices are forecast to be lower. </w:t>
      </w:r>
    </w:p>
    <w:p w14:paraId="37A78FDB" w14:textId="77777777" w:rsidR="007B66C1" w:rsidRPr="00FA61AC" w:rsidRDefault="007B66C1" w:rsidP="007B66C1">
      <w:pPr>
        <w:pStyle w:val="ListParagraph"/>
        <w:jc w:val="both"/>
        <w:rPr>
          <w:rFonts w:ascii="Georgia" w:hAnsi="Georgia"/>
          <w:color w:val="404040" w:themeColor="text1" w:themeTint="BF"/>
          <w:sz w:val="20"/>
          <w:szCs w:val="20"/>
          <w:highlight w:val="yellow"/>
        </w:rPr>
      </w:pPr>
      <w:r w:rsidRPr="00FA61AC" w:rsidDel="002C2F8D">
        <w:rPr>
          <w:rFonts w:ascii="Georgia" w:hAnsi="Georgia"/>
          <w:color w:val="404040" w:themeColor="text1" w:themeTint="BF"/>
          <w:sz w:val="20"/>
          <w:szCs w:val="20"/>
          <w:highlight w:val="yellow"/>
        </w:rPr>
        <w:t xml:space="preserve"> </w:t>
      </w:r>
    </w:p>
    <w:p w14:paraId="32469675" w14:textId="77777777" w:rsidR="007B66C1" w:rsidRPr="00F64BF1" w:rsidRDefault="007B66C1" w:rsidP="007B66C1">
      <w:pPr>
        <w:pStyle w:val="ListParagraph"/>
        <w:ind w:left="0"/>
        <w:jc w:val="both"/>
        <w:rPr>
          <w:rFonts w:ascii="Georgia" w:hAnsi="Georgia"/>
          <w:color w:val="404040" w:themeColor="text1" w:themeTint="BF"/>
          <w:sz w:val="20"/>
          <w:szCs w:val="20"/>
        </w:rPr>
      </w:pPr>
      <w:r w:rsidRPr="00F64BF1">
        <w:rPr>
          <w:rFonts w:ascii="Georgia" w:hAnsi="Georgia"/>
          <w:color w:val="404040" w:themeColor="text1" w:themeTint="BF"/>
          <w:sz w:val="20"/>
          <w:szCs w:val="20"/>
        </w:rPr>
        <w:t xml:space="preserve">The DCF for each project applies the contractually fixed power price applicable to each solar PV asset until the end of the fixed period and, thereafter, the blended independent forecast price. </w:t>
      </w:r>
    </w:p>
    <w:p w14:paraId="5906CE6F" w14:textId="77777777" w:rsidR="007B66C1" w:rsidRPr="00F64BF1" w:rsidRDefault="007B66C1" w:rsidP="007B66C1">
      <w:pPr>
        <w:pStyle w:val="ListParagraph"/>
        <w:ind w:left="0"/>
        <w:jc w:val="both"/>
        <w:rPr>
          <w:rFonts w:ascii="Georgia" w:hAnsi="Georgia"/>
          <w:color w:val="404040" w:themeColor="text1" w:themeTint="BF"/>
          <w:sz w:val="20"/>
          <w:szCs w:val="20"/>
        </w:rPr>
      </w:pPr>
    </w:p>
    <w:p w14:paraId="79238E27" w14:textId="77777777" w:rsidR="009F30BE" w:rsidRPr="00A527AA" w:rsidRDefault="009F30BE" w:rsidP="009F30BE">
      <w:pPr>
        <w:pStyle w:val="ListParagraph"/>
        <w:ind w:left="0"/>
        <w:jc w:val="both"/>
        <w:rPr>
          <w:rFonts w:ascii="Georgia" w:hAnsi="Georgia"/>
          <w:b/>
          <w:color w:val="404040" w:themeColor="text1" w:themeTint="BF"/>
          <w:sz w:val="20"/>
          <w:szCs w:val="20"/>
        </w:rPr>
      </w:pPr>
      <w:r w:rsidRPr="00A527AA">
        <w:rPr>
          <w:rFonts w:ascii="Georgia" w:hAnsi="Georgia"/>
          <w:b/>
          <w:color w:val="404040" w:themeColor="text1" w:themeTint="BF"/>
          <w:sz w:val="20"/>
          <w:szCs w:val="20"/>
        </w:rPr>
        <w:t>Plant Performance</w:t>
      </w:r>
      <w:r>
        <w:rPr>
          <w:rFonts w:ascii="Georgia" w:hAnsi="Georgia"/>
          <w:b/>
          <w:color w:val="404040" w:themeColor="text1" w:themeTint="BF"/>
          <w:sz w:val="20"/>
          <w:szCs w:val="20"/>
        </w:rPr>
        <w:t xml:space="preserve"> </w:t>
      </w:r>
    </w:p>
    <w:p w14:paraId="64115A96" w14:textId="77777777" w:rsidR="009F30BE" w:rsidRPr="00A527AA" w:rsidRDefault="009F30BE" w:rsidP="009F30BE">
      <w:pPr>
        <w:pStyle w:val="ListParagraph"/>
        <w:ind w:left="0"/>
        <w:jc w:val="both"/>
        <w:rPr>
          <w:rFonts w:ascii="Georgia" w:hAnsi="Georgia"/>
          <w:b/>
          <w:color w:val="404040" w:themeColor="text1" w:themeTint="BF"/>
          <w:sz w:val="20"/>
          <w:szCs w:val="20"/>
        </w:rPr>
      </w:pPr>
    </w:p>
    <w:p w14:paraId="3E1889B7" w14:textId="7E30D24A" w:rsidR="002B57E1" w:rsidRPr="00266FB0" w:rsidRDefault="009F30BE" w:rsidP="009F30BE">
      <w:pPr>
        <w:jc w:val="both"/>
        <w:rPr>
          <w:rFonts w:ascii="Georgia" w:hAnsi="Georgia"/>
          <w:color w:val="404040" w:themeColor="text1" w:themeTint="BF"/>
          <w:sz w:val="20"/>
          <w:szCs w:val="20"/>
        </w:rPr>
      </w:pPr>
      <w:r w:rsidRPr="00266FB0">
        <w:rPr>
          <w:rFonts w:ascii="Georgia" w:hAnsi="Georgia"/>
          <w:color w:val="404040" w:themeColor="text1" w:themeTint="BF"/>
          <w:sz w:val="20"/>
          <w:szCs w:val="20"/>
        </w:rPr>
        <w:t xml:space="preserve">In the twelve month period to 30 June 2020, a further </w:t>
      </w:r>
      <w:r w:rsidR="006C766A" w:rsidRPr="00266FB0">
        <w:rPr>
          <w:rFonts w:ascii="Georgia" w:hAnsi="Georgia"/>
          <w:color w:val="404040" w:themeColor="text1" w:themeTint="BF"/>
          <w:sz w:val="20"/>
          <w:szCs w:val="20"/>
        </w:rPr>
        <w:t>11</w:t>
      </w:r>
      <w:r w:rsidRPr="00266FB0">
        <w:rPr>
          <w:rFonts w:ascii="Georgia" w:hAnsi="Georgia"/>
          <w:color w:val="404040" w:themeColor="text1" w:themeTint="BF"/>
          <w:sz w:val="20"/>
          <w:szCs w:val="20"/>
        </w:rPr>
        <w:t xml:space="preserve"> plants (combined capacity </w:t>
      </w:r>
      <w:r w:rsidR="00A960A3" w:rsidRPr="00266FB0">
        <w:rPr>
          <w:rFonts w:ascii="Georgia" w:hAnsi="Georgia"/>
          <w:color w:val="404040" w:themeColor="text1" w:themeTint="BF"/>
          <w:sz w:val="20"/>
          <w:szCs w:val="20"/>
        </w:rPr>
        <w:t>51</w:t>
      </w:r>
      <w:r w:rsidRPr="00266FB0">
        <w:rPr>
          <w:rFonts w:ascii="Georgia" w:hAnsi="Georgia"/>
          <w:color w:val="404040" w:themeColor="text1" w:themeTint="BF"/>
          <w:sz w:val="20"/>
          <w:szCs w:val="20"/>
        </w:rPr>
        <w:t>.5MWp) passed FAC testing. This process triggers the end of performance related EPC warranties and, in the context of the valuation approach, marks the first point at which long term operational performance can potentially be adopted within the future cash flows of the project.</w:t>
      </w:r>
    </w:p>
    <w:p w14:paraId="41470533" w14:textId="77777777" w:rsidR="009F30BE" w:rsidRPr="00266FB0" w:rsidRDefault="009F30BE" w:rsidP="009F30BE">
      <w:pPr>
        <w:jc w:val="both"/>
        <w:rPr>
          <w:rFonts w:ascii="Georgia" w:hAnsi="Georgia"/>
          <w:color w:val="404040" w:themeColor="text1" w:themeTint="BF"/>
          <w:sz w:val="20"/>
          <w:szCs w:val="20"/>
        </w:rPr>
      </w:pPr>
    </w:p>
    <w:p w14:paraId="5C9F4FD1" w14:textId="6C24976F" w:rsidR="009F30BE" w:rsidRPr="00A527AA" w:rsidRDefault="009F30BE" w:rsidP="009F30BE">
      <w:pPr>
        <w:jc w:val="both"/>
        <w:rPr>
          <w:rFonts w:ascii="Georgia" w:hAnsi="Georgia"/>
          <w:color w:val="404040" w:themeColor="text1" w:themeTint="BF"/>
          <w:sz w:val="20"/>
          <w:szCs w:val="20"/>
        </w:rPr>
      </w:pPr>
      <w:r w:rsidRPr="00266FB0">
        <w:rPr>
          <w:rFonts w:ascii="Georgia" w:hAnsi="Georgia"/>
          <w:color w:val="404040" w:themeColor="text1" w:themeTint="BF"/>
          <w:sz w:val="20"/>
          <w:szCs w:val="20"/>
        </w:rPr>
        <w:t xml:space="preserve">The percentage of the Company’s portfolio now being valued </w:t>
      </w:r>
      <w:r w:rsidR="00250A7E" w:rsidRPr="00266FB0">
        <w:rPr>
          <w:rFonts w:ascii="Georgia" w:hAnsi="Georgia"/>
          <w:color w:val="404040" w:themeColor="text1" w:themeTint="BF"/>
          <w:sz w:val="20"/>
          <w:szCs w:val="20"/>
        </w:rPr>
        <w:t>with reference to</w:t>
      </w:r>
      <w:r w:rsidRPr="00266FB0">
        <w:rPr>
          <w:rFonts w:ascii="Georgia" w:hAnsi="Georgia"/>
          <w:color w:val="404040" w:themeColor="text1" w:themeTint="BF"/>
          <w:sz w:val="20"/>
          <w:szCs w:val="20"/>
        </w:rPr>
        <w:t xml:space="preserve"> PR from operational or final acceptance (this covers a minimum of 2 years of operational data) is 91% (425MWp) compared to 88% (409MWp) in June 2019. The weighted average PR for these plants, including the effects of degradation, is 82.4% (June 2019: 82.6%).</w:t>
      </w:r>
      <w:r w:rsidRPr="00A527AA">
        <w:rPr>
          <w:rFonts w:ascii="Georgia" w:hAnsi="Georgia"/>
          <w:color w:val="404040" w:themeColor="text1" w:themeTint="BF"/>
          <w:sz w:val="20"/>
          <w:szCs w:val="20"/>
        </w:rPr>
        <w:t xml:space="preserve"> </w:t>
      </w:r>
    </w:p>
    <w:p w14:paraId="752A608C" w14:textId="589183D7" w:rsidR="007B66C1" w:rsidRPr="00F64BF1" w:rsidRDefault="007B66C1" w:rsidP="007B66C1">
      <w:pPr>
        <w:pStyle w:val="ListParagraph"/>
        <w:ind w:left="0"/>
        <w:jc w:val="both"/>
        <w:rPr>
          <w:rFonts w:ascii="Georgia" w:hAnsi="Georgia"/>
          <w:color w:val="404040"/>
          <w:sz w:val="20"/>
          <w:szCs w:val="20"/>
        </w:rPr>
      </w:pPr>
    </w:p>
    <w:p w14:paraId="1650DC04" w14:textId="77777777" w:rsidR="007B66C1" w:rsidRPr="00981352" w:rsidRDefault="007B66C1" w:rsidP="007B66C1">
      <w:pPr>
        <w:pStyle w:val="Heading2"/>
        <w:spacing w:before="0"/>
        <w:rPr>
          <w:color w:val="404040" w:themeColor="text1" w:themeTint="BF"/>
        </w:rPr>
      </w:pPr>
      <w:bookmarkStart w:id="7" w:name="_Toc1140154"/>
      <w:r w:rsidRPr="00981352">
        <w:rPr>
          <w:color w:val="404040" w:themeColor="text1" w:themeTint="BF"/>
        </w:rPr>
        <w:lastRenderedPageBreak/>
        <w:t>Report of the Investment Adviser (continued)</w:t>
      </w:r>
      <w:bookmarkEnd w:id="7"/>
    </w:p>
    <w:p w14:paraId="3715539B" w14:textId="77777777" w:rsidR="007B66C1" w:rsidRPr="00981352" w:rsidRDefault="007B66C1" w:rsidP="007B66C1">
      <w:pPr>
        <w:pStyle w:val="ListParagraph"/>
        <w:ind w:left="0"/>
        <w:jc w:val="both"/>
        <w:rPr>
          <w:rFonts w:ascii="Georgia" w:hAnsi="Georgia"/>
          <w:color w:val="404040" w:themeColor="text1" w:themeTint="BF"/>
          <w:sz w:val="20"/>
          <w:szCs w:val="20"/>
        </w:rPr>
      </w:pPr>
    </w:p>
    <w:p w14:paraId="48352618" w14:textId="77777777" w:rsidR="007B66C1" w:rsidRDefault="007B66C1" w:rsidP="007B66C1">
      <w:pPr>
        <w:spacing w:after="160" w:line="259" w:lineRule="auto"/>
        <w:jc w:val="both"/>
        <w:rPr>
          <w:rFonts w:ascii="Georgia" w:hAnsi="Georgia"/>
          <w:b/>
          <w:color w:val="404040" w:themeColor="text1" w:themeTint="BF"/>
          <w:sz w:val="20"/>
          <w:szCs w:val="20"/>
        </w:rPr>
      </w:pPr>
      <w:r w:rsidRPr="00981352">
        <w:rPr>
          <w:rFonts w:ascii="Georgia" w:hAnsi="Georgia"/>
          <w:b/>
          <w:color w:val="404040" w:themeColor="text1" w:themeTint="BF"/>
          <w:sz w:val="20"/>
          <w:szCs w:val="20"/>
        </w:rPr>
        <w:t>5. NAV and Valuation of the Portfolio (continued)</w:t>
      </w:r>
    </w:p>
    <w:p w14:paraId="15C6044D" w14:textId="01C26FA1" w:rsidR="00997287" w:rsidRPr="00997287" w:rsidRDefault="00997287" w:rsidP="00997287">
      <w:pPr>
        <w:pStyle w:val="ListParagraph"/>
        <w:ind w:left="0"/>
        <w:jc w:val="both"/>
        <w:rPr>
          <w:rFonts w:ascii="Georgia" w:hAnsi="Georgia"/>
          <w:b/>
          <w:color w:val="404040" w:themeColor="text1" w:themeTint="BF"/>
          <w:sz w:val="20"/>
          <w:szCs w:val="20"/>
        </w:rPr>
      </w:pPr>
      <w:r w:rsidRPr="00A527AA">
        <w:rPr>
          <w:rFonts w:ascii="Georgia" w:hAnsi="Georgia"/>
          <w:b/>
          <w:color w:val="404040" w:themeColor="text1" w:themeTint="BF"/>
          <w:sz w:val="20"/>
          <w:szCs w:val="20"/>
        </w:rPr>
        <w:t>Plant Performance</w:t>
      </w:r>
      <w:r>
        <w:rPr>
          <w:rFonts w:ascii="Georgia" w:hAnsi="Georgia"/>
          <w:b/>
          <w:color w:val="404040" w:themeColor="text1" w:themeTint="BF"/>
          <w:sz w:val="20"/>
          <w:szCs w:val="20"/>
        </w:rPr>
        <w:t xml:space="preserve"> (continued)</w:t>
      </w:r>
    </w:p>
    <w:p w14:paraId="6A65D2D4" w14:textId="77777777" w:rsidR="00997287" w:rsidRDefault="00997287" w:rsidP="00997287">
      <w:pPr>
        <w:pStyle w:val="ListParagraph"/>
        <w:ind w:left="0"/>
        <w:jc w:val="both"/>
        <w:rPr>
          <w:rFonts w:ascii="Georgia" w:hAnsi="Georgia"/>
          <w:color w:val="404040" w:themeColor="text1" w:themeTint="BF"/>
          <w:sz w:val="20"/>
          <w:szCs w:val="20"/>
        </w:rPr>
      </w:pPr>
    </w:p>
    <w:p w14:paraId="35FA89C5" w14:textId="1A85B038" w:rsidR="00997287" w:rsidRPr="00A527AA" w:rsidRDefault="00997287" w:rsidP="00997287">
      <w:pPr>
        <w:pStyle w:val="ListParagraph"/>
        <w:ind w:left="0"/>
        <w:jc w:val="both"/>
        <w:rPr>
          <w:rFonts w:ascii="Georgia" w:hAnsi="Georgia"/>
          <w:color w:val="404040" w:themeColor="text1" w:themeTint="BF"/>
          <w:sz w:val="20"/>
          <w:szCs w:val="20"/>
        </w:rPr>
      </w:pPr>
      <w:r w:rsidRPr="00A527AA">
        <w:rPr>
          <w:rFonts w:ascii="Georgia" w:hAnsi="Georgia"/>
          <w:color w:val="404040" w:themeColor="text1" w:themeTint="BF"/>
          <w:sz w:val="20"/>
          <w:szCs w:val="20"/>
        </w:rPr>
        <w:t>Consistent with the valuation approach taken in previous periods, the Directors’ Valuation does not amend long term plant performance forecasts based upon short term performance, especially while the plants remain within the warranty period and subject to outstanding contractual testing obligations.</w:t>
      </w:r>
    </w:p>
    <w:p w14:paraId="5BE4F717" w14:textId="77777777" w:rsidR="00997287" w:rsidRDefault="00997287" w:rsidP="007B66C1">
      <w:pPr>
        <w:pStyle w:val="ListParagraph"/>
        <w:ind w:left="0"/>
        <w:jc w:val="both"/>
        <w:rPr>
          <w:rFonts w:ascii="Georgia" w:hAnsi="Georgia"/>
          <w:b/>
          <w:color w:val="404040" w:themeColor="text1" w:themeTint="BF"/>
          <w:sz w:val="20"/>
          <w:szCs w:val="20"/>
        </w:rPr>
      </w:pPr>
    </w:p>
    <w:p w14:paraId="770B22B3" w14:textId="694D7741" w:rsidR="00B745C4" w:rsidRDefault="00B745C4" w:rsidP="007B66C1">
      <w:pPr>
        <w:pStyle w:val="ListParagraph"/>
        <w:ind w:left="0"/>
        <w:jc w:val="both"/>
        <w:rPr>
          <w:rFonts w:ascii="Georgia" w:hAnsi="Georgia"/>
          <w:b/>
          <w:color w:val="404040" w:themeColor="text1" w:themeTint="BF"/>
          <w:sz w:val="20"/>
          <w:szCs w:val="20"/>
        </w:rPr>
      </w:pPr>
      <w:r>
        <w:rPr>
          <w:rFonts w:ascii="Georgia" w:hAnsi="Georgia"/>
          <w:b/>
          <w:color w:val="404040" w:themeColor="text1" w:themeTint="BF"/>
          <w:sz w:val="20"/>
          <w:szCs w:val="20"/>
        </w:rPr>
        <w:t>Inflation</w:t>
      </w:r>
    </w:p>
    <w:p w14:paraId="6CC3041E" w14:textId="1081D5F5" w:rsidR="00B745C4" w:rsidRDefault="00B745C4" w:rsidP="007B66C1">
      <w:pPr>
        <w:pStyle w:val="ListParagraph"/>
        <w:ind w:left="0"/>
        <w:jc w:val="both"/>
        <w:rPr>
          <w:rFonts w:ascii="Georgia" w:hAnsi="Georgia"/>
          <w:b/>
          <w:color w:val="404040" w:themeColor="text1" w:themeTint="BF"/>
          <w:sz w:val="20"/>
          <w:szCs w:val="20"/>
        </w:rPr>
      </w:pPr>
    </w:p>
    <w:p w14:paraId="489F7F10" w14:textId="09EC30F2" w:rsidR="00B745C4" w:rsidRPr="00475D47" w:rsidRDefault="00D9277C" w:rsidP="00475D47">
      <w:pPr>
        <w:jc w:val="both"/>
        <w:rPr>
          <w:rFonts w:ascii="Georgia" w:hAnsi="Georgia"/>
          <w:color w:val="404040" w:themeColor="text1" w:themeTint="BF"/>
          <w:sz w:val="20"/>
          <w:szCs w:val="20"/>
        </w:rPr>
      </w:pPr>
      <w:r w:rsidRPr="00266FB0">
        <w:rPr>
          <w:rFonts w:ascii="Georgia" w:hAnsi="Georgia"/>
          <w:iCs/>
          <w:color w:val="404040" w:themeColor="text1" w:themeTint="BF"/>
          <w:sz w:val="20"/>
          <w:szCs w:val="20"/>
        </w:rPr>
        <w:t xml:space="preserve">Consistent with the change in </w:t>
      </w:r>
      <w:r w:rsidR="00266FB0" w:rsidRPr="00266FB0">
        <w:rPr>
          <w:rFonts w:ascii="Georgia" w:hAnsi="Georgia"/>
          <w:iCs/>
          <w:color w:val="404040" w:themeColor="text1" w:themeTint="BF"/>
          <w:sz w:val="20"/>
          <w:szCs w:val="20"/>
        </w:rPr>
        <w:t>June 2019</w:t>
      </w:r>
      <w:r w:rsidRPr="00266FB0">
        <w:rPr>
          <w:rFonts w:ascii="Georgia" w:hAnsi="Georgia"/>
          <w:iCs/>
          <w:color w:val="404040" w:themeColor="text1" w:themeTint="BF"/>
          <w:sz w:val="20"/>
          <w:szCs w:val="20"/>
        </w:rPr>
        <w:t>, t</w:t>
      </w:r>
      <w:r w:rsidR="006B252F" w:rsidRPr="00266FB0">
        <w:rPr>
          <w:rFonts w:ascii="Georgia" w:hAnsi="Georgia"/>
          <w:iCs/>
          <w:color w:val="404040" w:themeColor="text1" w:themeTint="BF"/>
          <w:sz w:val="20"/>
          <w:szCs w:val="20"/>
        </w:rPr>
        <w:t>he</w:t>
      </w:r>
      <w:r w:rsidR="006B252F" w:rsidRPr="00475D47">
        <w:rPr>
          <w:rFonts w:ascii="Georgia" w:hAnsi="Georgia"/>
          <w:iCs/>
          <w:color w:val="404040" w:themeColor="text1" w:themeTint="BF"/>
          <w:sz w:val="20"/>
          <w:szCs w:val="20"/>
        </w:rPr>
        <w:t xml:space="preserve"> Directors have continued to apply</w:t>
      </w:r>
      <w:r w:rsidR="00331950" w:rsidRPr="00475D47">
        <w:rPr>
          <w:rFonts w:ascii="Georgia" w:hAnsi="Georgia"/>
          <w:iCs/>
          <w:color w:val="404040" w:themeColor="text1" w:themeTint="BF"/>
          <w:sz w:val="20"/>
          <w:szCs w:val="20"/>
        </w:rPr>
        <w:t xml:space="preserve"> an</w:t>
      </w:r>
      <w:r w:rsidR="004F3BFE" w:rsidRPr="00475D47">
        <w:rPr>
          <w:rFonts w:ascii="Georgia" w:hAnsi="Georgia"/>
          <w:iCs/>
          <w:color w:val="404040" w:themeColor="text1" w:themeTint="BF"/>
          <w:sz w:val="20"/>
          <w:szCs w:val="20"/>
        </w:rPr>
        <w:t xml:space="preserve"> </w:t>
      </w:r>
      <w:r w:rsidR="0000289F" w:rsidRPr="00475D47">
        <w:rPr>
          <w:rFonts w:ascii="Georgia" w:hAnsi="Georgia"/>
          <w:iCs/>
          <w:color w:val="404040" w:themeColor="text1" w:themeTint="BF"/>
          <w:sz w:val="20"/>
          <w:szCs w:val="20"/>
        </w:rPr>
        <w:t xml:space="preserve">inflation assumption between 2020 and 2024 </w:t>
      </w:r>
      <w:r w:rsidR="00331950" w:rsidRPr="00475D47">
        <w:rPr>
          <w:rFonts w:ascii="Georgia" w:hAnsi="Georgia"/>
          <w:iCs/>
          <w:color w:val="404040" w:themeColor="text1" w:themeTint="BF"/>
          <w:sz w:val="20"/>
          <w:szCs w:val="20"/>
        </w:rPr>
        <w:t>of</w:t>
      </w:r>
      <w:r w:rsidR="0000289F" w:rsidRPr="00475D47">
        <w:rPr>
          <w:rFonts w:ascii="Georgia" w:hAnsi="Georgia"/>
          <w:iCs/>
          <w:color w:val="404040" w:themeColor="text1" w:themeTint="BF"/>
          <w:sz w:val="20"/>
          <w:szCs w:val="20"/>
        </w:rPr>
        <w:t xml:space="preserve"> 3.00% </w:t>
      </w:r>
      <w:r w:rsidR="00331950" w:rsidRPr="00475D47">
        <w:rPr>
          <w:rFonts w:ascii="Georgia" w:hAnsi="Georgia"/>
          <w:iCs/>
          <w:color w:val="404040" w:themeColor="text1" w:themeTint="BF"/>
          <w:sz w:val="20"/>
          <w:szCs w:val="20"/>
        </w:rPr>
        <w:t xml:space="preserve">and </w:t>
      </w:r>
      <w:r w:rsidR="008C7F09" w:rsidRPr="00475D47">
        <w:rPr>
          <w:rFonts w:ascii="Georgia" w:hAnsi="Georgia"/>
          <w:iCs/>
          <w:color w:val="404040" w:themeColor="text1" w:themeTint="BF"/>
          <w:sz w:val="20"/>
          <w:szCs w:val="20"/>
        </w:rPr>
        <w:t xml:space="preserve">from 2025 onwards </w:t>
      </w:r>
      <w:r w:rsidR="00250A7E">
        <w:rPr>
          <w:rFonts w:ascii="Georgia" w:hAnsi="Georgia"/>
          <w:iCs/>
          <w:color w:val="404040" w:themeColor="text1" w:themeTint="BF"/>
          <w:sz w:val="20"/>
          <w:szCs w:val="20"/>
        </w:rPr>
        <w:t>of</w:t>
      </w:r>
      <w:r w:rsidR="00331950" w:rsidRPr="00475D47">
        <w:rPr>
          <w:rFonts w:ascii="Georgia" w:hAnsi="Georgia"/>
          <w:iCs/>
          <w:color w:val="404040" w:themeColor="text1" w:themeTint="BF"/>
          <w:sz w:val="20"/>
          <w:szCs w:val="20"/>
        </w:rPr>
        <w:t xml:space="preserve"> </w:t>
      </w:r>
      <w:r w:rsidR="0000289F" w:rsidRPr="00475D47">
        <w:rPr>
          <w:rFonts w:ascii="Georgia" w:hAnsi="Georgia"/>
          <w:iCs/>
          <w:color w:val="404040" w:themeColor="text1" w:themeTint="BF"/>
          <w:sz w:val="20"/>
          <w:szCs w:val="20"/>
        </w:rPr>
        <w:t>2.75%.</w:t>
      </w:r>
      <w:r w:rsidR="0000289F" w:rsidRPr="00475D47">
        <w:rPr>
          <w:rFonts w:ascii="Georgia" w:hAnsi="Georgia"/>
          <w:color w:val="404040" w:themeColor="text1" w:themeTint="BF"/>
          <w:sz w:val="20"/>
          <w:szCs w:val="20"/>
        </w:rPr>
        <w:t xml:space="preserve"> </w:t>
      </w:r>
    </w:p>
    <w:p w14:paraId="3DAC86FD" w14:textId="77777777" w:rsidR="00B745C4" w:rsidRPr="00A527AA" w:rsidRDefault="00B745C4" w:rsidP="007B66C1">
      <w:pPr>
        <w:pStyle w:val="ListParagraph"/>
        <w:ind w:left="0"/>
        <w:jc w:val="both"/>
        <w:rPr>
          <w:rFonts w:ascii="Georgia" w:hAnsi="Georgia"/>
          <w:b/>
          <w:color w:val="404040" w:themeColor="text1" w:themeTint="BF"/>
          <w:sz w:val="20"/>
          <w:szCs w:val="20"/>
        </w:rPr>
      </w:pPr>
    </w:p>
    <w:p w14:paraId="0C1954CB" w14:textId="77777777" w:rsidR="007B66C1" w:rsidRPr="00E720D8" w:rsidRDefault="007B66C1" w:rsidP="007B66C1">
      <w:pPr>
        <w:pStyle w:val="ListParagraph"/>
        <w:ind w:left="0"/>
        <w:jc w:val="both"/>
        <w:rPr>
          <w:rFonts w:ascii="Georgia" w:hAnsi="Georgia"/>
          <w:b/>
          <w:color w:val="404040" w:themeColor="text1" w:themeTint="BF"/>
          <w:sz w:val="20"/>
          <w:szCs w:val="20"/>
        </w:rPr>
      </w:pPr>
      <w:r w:rsidRPr="00E720D8">
        <w:rPr>
          <w:rFonts w:ascii="Georgia" w:hAnsi="Georgia"/>
          <w:b/>
          <w:color w:val="404040" w:themeColor="text1" w:themeTint="BF"/>
          <w:sz w:val="20"/>
          <w:szCs w:val="20"/>
        </w:rPr>
        <w:t>Other Cash flow Assumptions</w:t>
      </w:r>
    </w:p>
    <w:p w14:paraId="42D6AC70" w14:textId="77777777" w:rsidR="007B66C1" w:rsidRPr="00E720D8" w:rsidRDefault="007B66C1" w:rsidP="007B66C1">
      <w:pPr>
        <w:pStyle w:val="ListParagraph"/>
        <w:jc w:val="both"/>
        <w:rPr>
          <w:rFonts w:ascii="Georgia" w:hAnsi="Georgia"/>
          <w:color w:val="404040" w:themeColor="text1" w:themeTint="BF"/>
          <w:sz w:val="20"/>
          <w:szCs w:val="20"/>
        </w:rPr>
      </w:pPr>
    </w:p>
    <w:p w14:paraId="40A22379" w14:textId="77777777" w:rsidR="007B66C1" w:rsidRPr="00E720D8" w:rsidRDefault="007B66C1" w:rsidP="007B66C1">
      <w:pPr>
        <w:pStyle w:val="ListParagraph"/>
        <w:ind w:left="0"/>
        <w:jc w:val="both"/>
        <w:rPr>
          <w:rFonts w:ascii="Georgia" w:hAnsi="Georgia"/>
          <w:color w:val="404040" w:themeColor="text1" w:themeTint="BF"/>
          <w:sz w:val="20"/>
          <w:szCs w:val="20"/>
        </w:rPr>
      </w:pPr>
      <w:r w:rsidRPr="00E720D8">
        <w:rPr>
          <w:rFonts w:ascii="Georgia" w:hAnsi="Georgia"/>
          <w:color w:val="404040" w:themeColor="text1" w:themeTint="BF"/>
          <w:sz w:val="20"/>
          <w:szCs w:val="20"/>
        </w:rPr>
        <w:t xml:space="preserve">No material changes have been made regarding regulatory revenue or cost assumptions. </w:t>
      </w:r>
    </w:p>
    <w:p w14:paraId="2737AA2E" w14:textId="77777777" w:rsidR="007B66C1" w:rsidRPr="00FA61AC" w:rsidRDefault="007B66C1" w:rsidP="007B66C1">
      <w:pPr>
        <w:jc w:val="both"/>
        <w:rPr>
          <w:rFonts w:ascii="Georgia" w:hAnsi="Georgia"/>
          <w:color w:val="404040"/>
          <w:sz w:val="20"/>
          <w:szCs w:val="20"/>
          <w:highlight w:val="yellow"/>
        </w:rPr>
      </w:pPr>
    </w:p>
    <w:p w14:paraId="1D887CA8" w14:textId="77777777" w:rsidR="007B66C1" w:rsidRPr="00E720D8" w:rsidRDefault="007B66C1" w:rsidP="007B66C1">
      <w:pPr>
        <w:pStyle w:val="ListParagraph"/>
        <w:ind w:left="0"/>
        <w:jc w:val="both"/>
        <w:rPr>
          <w:rFonts w:ascii="Georgia" w:hAnsi="Georgia"/>
          <w:b/>
          <w:color w:val="404040" w:themeColor="text1" w:themeTint="BF"/>
          <w:sz w:val="20"/>
          <w:szCs w:val="20"/>
        </w:rPr>
      </w:pPr>
      <w:r w:rsidRPr="00E720D8">
        <w:rPr>
          <w:rFonts w:ascii="Georgia" w:hAnsi="Georgia"/>
          <w:b/>
          <w:color w:val="404040" w:themeColor="text1" w:themeTint="BF"/>
          <w:sz w:val="20"/>
          <w:szCs w:val="20"/>
        </w:rPr>
        <w:t xml:space="preserve">NAV movement </w:t>
      </w:r>
    </w:p>
    <w:p w14:paraId="1822F99F" w14:textId="77777777" w:rsidR="007B66C1" w:rsidRPr="00FA61AC" w:rsidRDefault="007B66C1" w:rsidP="007B66C1">
      <w:pPr>
        <w:pStyle w:val="ListParagraph"/>
        <w:jc w:val="both"/>
        <w:rPr>
          <w:rFonts w:ascii="Georgia" w:hAnsi="Georgia"/>
          <w:color w:val="404040" w:themeColor="text1" w:themeTint="BF"/>
          <w:sz w:val="20"/>
          <w:szCs w:val="20"/>
          <w:highlight w:val="yellow"/>
        </w:rPr>
      </w:pPr>
    </w:p>
    <w:p w14:paraId="10CF1245" w14:textId="39B9EA15" w:rsidR="007B66C1" w:rsidRPr="00475D47" w:rsidRDefault="007B66C1" w:rsidP="007B66C1">
      <w:pPr>
        <w:jc w:val="both"/>
        <w:rPr>
          <w:rFonts w:ascii="Georgia" w:hAnsi="Georgia"/>
          <w:color w:val="404040"/>
          <w:sz w:val="20"/>
          <w:szCs w:val="20"/>
        </w:rPr>
      </w:pPr>
      <w:r w:rsidRPr="003F3FE9">
        <w:rPr>
          <w:rFonts w:ascii="Georgia" w:hAnsi="Georgia"/>
          <w:color w:val="404040"/>
          <w:sz w:val="20"/>
          <w:szCs w:val="20"/>
        </w:rPr>
        <w:t xml:space="preserve">In the period, the Company paid total </w:t>
      </w:r>
      <w:r w:rsidRPr="00B00EBF">
        <w:rPr>
          <w:rFonts w:ascii="Georgia" w:hAnsi="Georgia"/>
          <w:color w:val="404040"/>
          <w:sz w:val="20"/>
          <w:szCs w:val="20"/>
        </w:rPr>
        <w:t>dividends of £</w:t>
      </w:r>
      <w:r w:rsidR="007D6E15" w:rsidRPr="00B00EBF">
        <w:rPr>
          <w:rFonts w:ascii="Georgia" w:hAnsi="Georgia"/>
          <w:color w:val="404040"/>
          <w:sz w:val="20"/>
          <w:szCs w:val="20"/>
        </w:rPr>
        <w:t>31</w:t>
      </w:r>
      <w:r w:rsidRPr="00B00EBF">
        <w:rPr>
          <w:rFonts w:ascii="Georgia" w:hAnsi="Georgia"/>
          <w:color w:val="404040"/>
          <w:sz w:val="20"/>
          <w:szCs w:val="20"/>
        </w:rPr>
        <w:t>.</w:t>
      </w:r>
      <w:r w:rsidR="007D6E15" w:rsidRPr="00B00EBF">
        <w:rPr>
          <w:rFonts w:ascii="Georgia" w:hAnsi="Georgia"/>
          <w:color w:val="404040"/>
          <w:sz w:val="20"/>
          <w:szCs w:val="20"/>
        </w:rPr>
        <w:t>1</w:t>
      </w:r>
      <w:r w:rsidRPr="00B00EBF">
        <w:rPr>
          <w:rFonts w:ascii="Georgia" w:hAnsi="Georgia"/>
          <w:color w:val="404040"/>
          <w:sz w:val="20"/>
          <w:szCs w:val="20"/>
        </w:rPr>
        <w:t>m,</w:t>
      </w:r>
      <w:r w:rsidRPr="003F3FE9">
        <w:rPr>
          <w:rFonts w:ascii="Georgia" w:hAnsi="Georgia"/>
          <w:color w:val="404040"/>
          <w:sz w:val="20"/>
          <w:szCs w:val="20"/>
        </w:rPr>
        <w:t xml:space="preserve"> being 4.51pps in total for the third and fourth interim dividends in respect of the year ended 30 June 2019</w:t>
      </w:r>
      <w:r w:rsidR="00F453D9">
        <w:rPr>
          <w:rFonts w:ascii="Georgia" w:hAnsi="Georgia"/>
          <w:color w:val="404040"/>
          <w:sz w:val="20"/>
          <w:szCs w:val="20"/>
        </w:rPr>
        <w:t xml:space="preserve"> and </w:t>
      </w:r>
      <w:r w:rsidR="00300CE3">
        <w:rPr>
          <w:rFonts w:ascii="Georgia" w:hAnsi="Georgia"/>
          <w:color w:val="404040"/>
          <w:sz w:val="20"/>
          <w:szCs w:val="20"/>
        </w:rPr>
        <w:t>3.9</w:t>
      </w:r>
      <w:r w:rsidR="00B920A5">
        <w:rPr>
          <w:rFonts w:ascii="Georgia" w:hAnsi="Georgia"/>
          <w:color w:val="404040"/>
          <w:sz w:val="20"/>
          <w:szCs w:val="20"/>
        </w:rPr>
        <w:t>0</w:t>
      </w:r>
      <w:r w:rsidR="006309DD">
        <w:rPr>
          <w:rFonts w:ascii="Georgia" w:hAnsi="Georgia"/>
          <w:color w:val="404040"/>
          <w:sz w:val="20"/>
          <w:szCs w:val="20"/>
        </w:rPr>
        <w:t>pps</w:t>
      </w:r>
      <w:r w:rsidR="00250A7E">
        <w:rPr>
          <w:rFonts w:ascii="Georgia" w:hAnsi="Georgia"/>
          <w:color w:val="404040"/>
          <w:sz w:val="20"/>
          <w:szCs w:val="20"/>
        </w:rPr>
        <w:t xml:space="preserve"> in total</w:t>
      </w:r>
      <w:r w:rsidR="006309DD">
        <w:rPr>
          <w:rFonts w:ascii="Georgia" w:hAnsi="Georgia"/>
          <w:color w:val="404040"/>
          <w:sz w:val="20"/>
          <w:szCs w:val="20"/>
        </w:rPr>
        <w:t xml:space="preserve"> for the first and second interim dividends </w:t>
      </w:r>
      <w:r w:rsidR="00114901">
        <w:rPr>
          <w:rFonts w:ascii="Georgia" w:hAnsi="Georgia"/>
          <w:color w:val="404040"/>
          <w:sz w:val="20"/>
          <w:szCs w:val="20"/>
        </w:rPr>
        <w:t>in respect of the year ended 30 June 2020</w:t>
      </w:r>
      <w:r w:rsidRPr="003F3FE9">
        <w:rPr>
          <w:rFonts w:ascii="Georgia" w:hAnsi="Georgia"/>
          <w:color w:val="404040"/>
          <w:sz w:val="20"/>
          <w:szCs w:val="20"/>
        </w:rPr>
        <w:t>.</w:t>
      </w:r>
    </w:p>
    <w:p w14:paraId="72FC9BCF" w14:textId="77777777" w:rsidR="007B66C1" w:rsidRDefault="007B66C1" w:rsidP="007B66C1">
      <w:pPr>
        <w:jc w:val="both"/>
        <w:rPr>
          <w:rFonts w:ascii="Georgia" w:hAnsi="Georgia"/>
          <w:color w:val="404040"/>
          <w:sz w:val="20"/>
          <w:szCs w:val="20"/>
        </w:rPr>
      </w:pPr>
    </w:p>
    <w:p w14:paraId="5FF23D9F" w14:textId="06863B2A" w:rsidR="007B66C1" w:rsidRPr="00475D47" w:rsidRDefault="007B66C1" w:rsidP="007B66C1">
      <w:pPr>
        <w:jc w:val="both"/>
        <w:rPr>
          <w:rFonts w:ascii="Georgia" w:hAnsi="Georgia"/>
          <w:color w:val="404040"/>
          <w:sz w:val="20"/>
          <w:szCs w:val="20"/>
          <w:highlight w:val="yellow"/>
        </w:rPr>
      </w:pPr>
      <w:r w:rsidRPr="003124B3">
        <w:rPr>
          <w:rFonts w:ascii="Georgia" w:hAnsi="Georgia"/>
          <w:color w:val="404040"/>
          <w:sz w:val="20"/>
          <w:szCs w:val="20"/>
        </w:rPr>
        <w:t xml:space="preserve">Over the period the Company’s NAV has </w:t>
      </w:r>
      <w:r w:rsidR="003124B3" w:rsidRPr="003124B3">
        <w:rPr>
          <w:rFonts w:ascii="Georgia" w:hAnsi="Georgia"/>
          <w:color w:val="404040"/>
          <w:sz w:val="20"/>
          <w:szCs w:val="20"/>
        </w:rPr>
        <w:t xml:space="preserve">decreased </w:t>
      </w:r>
      <w:r w:rsidRPr="003124B3">
        <w:rPr>
          <w:rFonts w:ascii="Georgia" w:hAnsi="Georgia"/>
          <w:color w:val="404040"/>
          <w:sz w:val="20"/>
          <w:szCs w:val="20"/>
        </w:rPr>
        <w:t>by £</w:t>
      </w:r>
      <w:r w:rsidR="003124B3" w:rsidRPr="00475D47">
        <w:rPr>
          <w:rFonts w:ascii="Georgia" w:hAnsi="Georgia"/>
          <w:color w:val="404040"/>
          <w:sz w:val="20"/>
          <w:szCs w:val="20"/>
        </w:rPr>
        <w:t>2</w:t>
      </w:r>
      <w:r w:rsidRPr="003124B3">
        <w:rPr>
          <w:rFonts w:ascii="Georgia" w:hAnsi="Georgia"/>
          <w:color w:val="404040"/>
          <w:sz w:val="20"/>
          <w:szCs w:val="20"/>
        </w:rPr>
        <w:t>.</w:t>
      </w:r>
      <w:r w:rsidR="00D37A8B">
        <w:rPr>
          <w:rFonts w:ascii="Georgia" w:hAnsi="Georgia"/>
          <w:color w:val="404040"/>
          <w:sz w:val="20"/>
          <w:szCs w:val="20"/>
        </w:rPr>
        <w:t>9</w:t>
      </w:r>
      <w:r w:rsidRPr="003124B3">
        <w:rPr>
          <w:rFonts w:ascii="Georgia" w:hAnsi="Georgia"/>
          <w:color w:val="404040"/>
          <w:sz w:val="20"/>
          <w:szCs w:val="20"/>
        </w:rPr>
        <w:t>m, from £436.4m as at 30 June 2019, to £4</w:t>
      </w:r>
      <w:r w:rsidR="00A649AC">
        <w:rPr>
          <w:rFonts w:ascii="Georgia" w:hAnsi="Georgia"/>
          <w:color w:val="404040"/>
          <w:sz w:val="20"/>
          <w:szCs w:val="20"/>
        </w:rPr>
        <w:t>33.5</w:t>
      </w:r>
      <w:r w:rsidRPr="003124B3">
        <w:rPr>
          <w:rFonts w:ascii="Georgia" w:hAnsi="Georgia"/>
          <w:color w:val="404040"/>
          <w:sz w:val="20"/>
          <w:szCs w:val="20"/>
        </w:rPr>
        <w:t>m as at 3</w:t>
      </w:r>
      <w:r w:rsidR="003124B3" w:rsidRPr="00475D47">
        <w:rPr>
          <w:rFonts w:ascii="Georgia" w:hAnsi="Georgia"/>
          <w:color w:val="404040"/>
          <w:sz w:val="20"/>
          <w:szCs w:val="20"/>
        </w:rPr>
        <w:t xml:space="preserve">0 June </w:t>
      </w:r>
      <w:r w:rsidRPr="003124B3">
        <w:rPr>
          <w:rFonts w:ascii="Georgia" w:hAnsi="Georgia"/>
          <w:color w:val="404040"/>
          <w:sz w:val="20"/>
          <w:szCs w:val="20"/>
        </w:rPr>
        <w:t>20</w:t>
      </w:r>
      <w:r w:rsidR="003124B3" w:rsidRPr="00475D47">
        <w:rPr>
          <w:rFonts w:ascii="Georgia" w:hAnsi="Georgia"/>
          <w:color w:val="404040"/>
          <w:sz w:val="20"/>
          <w:szCs w:val="20"/>
        </w:rPr>
        <w:t>20</w:t>
      </w:r>
      <w:r w:rsidRPr="003124B3">
        <w:rPr>
          <w:rFonts w:ascii="Georgia" w:hAnsi="Georgia"/>
          <w:color w:val="404040"/>
          <w:sz w:val="20"/>
          <w:szCs w:val="20"/>
        </w:rPr>
        <w:t>. Adjusting the 30 June 2019 NAV of £436.4m for the dividends paid in the period (£</w:t>
      </w:r>
      <w:r w:rsidR="003124B3" w:rsidRPr="00475D47">
        <w:rPr>
          <w:rFonts w:ascii="Georgia" w:hAnsi="Georgia"/>
          <w:color w:val="404040"/>
          <w:sz w:val="20"/>
          <w:szCs w:val="20"/>
        </w:rPr>
        <w:t>31.1</w:t>
      </w:r>
      <w:r w:rsidRPr="003124B3">
        <w:rPr>
          <w:rFonts w:ascii="Georgia" w:hAnsi="Georgia"/>
          <w:color w:val="404040"/>
          <w:sz w:val="20"/>
          <w:szCs w:val="20"/>
        </w:rPr>
        <w:t>m) results in an uplift in the NAV of the Company during the period of £2</w:t>
      </w:r>
      <w:r w:rsidR="003124B3" w:rsidRPr="00475D47">
        <w:rPr>
          <w:rFonts w:ascii="Georgia" w:hAnsi="Georgia"/>
          <w:color w:val="404040"/>
          <w:sz w:val="20"/>
          <w:szCs w:val="20"/>
        </w:rPr>
        <w:t>8.9</w:t>
      </w:r>
      <w:r w:rsidRPr="003124B3">
        <w:rPr>
          <w:rFonts w:ascii="Georgia" w:hAnsi="Georgia"/>
          <w:color w:val="404040"/>
          <w:sz w:val="20"/>
          <w:szCs w:val="20"/>
        </w:rPr>
        <w:t>m.</w:t>
      </w:r>
    </w:p>
    <w:p w14:paraId="6B32EC7A" w14:textId="77777777" w:rsidR="007B66C1" w:rsidRPr="003124B3" w:rsidRDefault="007B66C1" w:rsidP="007B66C1">
      <w:pPr>
        <w:jc w:val="both"/>
        <w:rPr>
          <w:rFonts w:ascii="Georgia" w:hAnsi="Georgia"/>
          <w:color w:val="404040"/>
          <w:sz w:val="20"/>
          <w:szCs w:val="20"/>
        </w:rPr>
      </w:pPr>
    </w:p>
    <w:p w14:paraId="1BA6FDDB" w14:textId="598F8ED2" w:rsidR="007B66C1" w:rsidRDefault="007B66C1" w:rsidP="007B66C1">
      <w:pPr>
        <w:jc w:val="both"/>
        <w:rPr>
          <w:rFonts w:ascii="Georgia" w:hAnsi="Georgia"/>
          <w:color w:val="404040"/>
          <w:sz w:val="20"/>
          <w:szCs w:val="20"/>
        </w:rPr>
      </w:pPr>
      <w:r w:rsidRPr="003124B3">
        <w:rPr>
          <w:rFonts w:ascii="Georgia" w:hAnsi="Georgia"/>
          <w:color w:val="404040"/>
          <w:sz w:val="20"/>
          <w:szCs w:val="20"/>
        </w:rPr>
        <w:t xml:space="preserve">A breakdown in the movement of the NAV of the Company over the period and how this interacts with the movement in the valuation of the portfolio is illustrated in the charts below. Post period end, in </w:t>
      </w:r>
      <w:r w:rsidR="003124B3" w:rsidRPr="00475D47">
        <w:rPr>
          <w:rFonts w:ascii="Georgia" w:hAnsi="Georgia"/>
          <w:color w:val="404040"/>
          <w:sz w:val="20"/>
          <w:szCs w:val="20"/>
        </w:rPr>
        <w:t>August</w:t>
      </w:r>
      <w:r w:rsidR="00250A7E">
        <w:rPr>
          <w:rFonts w:ascii="Georgia" w:hAnsi="Georgia"/>
          <w:color w:val="404040"/>
          <w:sz w:val="20"/>
          <w:szCs w:val="20"/>
        </w:rPr>
        <w:t xml:space="preserve"> 2020</w:t>
      </w:r>
      <w:r w:rsidRPr="003124B3">
        <w:rPr>
          <w:rFonts w:ascii="Georgia" w:hAnsi="Georgia"/>
          <w:color w:val="404040"/>
          <w:sz w:val="20"/>
          <w:szCs w:val="20"/>
        </w:rPr>
        <w:t xml:space="preserve"> the Company paid the </w:t>
      </w:r>
      <w:r w:rsidR="003124B3" w:rsidRPr="00475D47">
        <w:rPr>
          <w:rFonts w:ascii="Georgia" w:hAnsi="Georgia"/>
          <w:color w:val="404040"/>
          <w:sz w:val="20"/>
          <w:szCs w:val="20"/>
        </w:rPr>
        <w:t>third</w:t>
      </w:r>
      <w:r w:rsidRPr="003124B3">
        <w:rPr>
          <w:rFonts w:ascii="Georgia" w:hAnsi="Georgia"/>
          <w:color w:val="404040"/>
          <w:sz w:val="20"/>
          <w:szCs w:val="20"/>
        </w:rPr>
        <w:t xml:space="preserve"> interim dividend for the 2019/20 financial year of 1.95pps.</w:t>
      </w:r>
    </w:p>
    <w:p w14:paraId="70658602" w14:textId="7EEA6801" w:rsidR="007B66C1" w:rsidRPr="00094057" w:rsidRDefault="002135F4">
      <w:pPr>
        <w:rPr>
          <w:rFonts w:ascii="Georgia" w:hAnsi="Georgia"/>
          <w:color w:val="404040" w:themeColor="text1" w:themeTint="BF"/>
          <w:sz w:val="20"/>
          <w:szCs w:val="20"/>
          <w:highlight w:val="yellow"/>
        </w:rPr>
      </w:pPr>
      <w:r>
        <w:rPr>
          <w:rFonts w:ascii="Georgia" w:hAnsi="Georgia"/>
          <w:color w:val="404040" w:themeColor="text1" w:themeTint="BF"/>
          <w:sz w:val="20"/>
          <w:szCs w:val="20"/>
          <w:highlight w:val="yellow"/>
        </w:rPr>
        <w:br w:type="page"/>
      </w:r>
    </w:p>
    <w:p w14:paraId="01A4E4C1" w14:textId="77777777" w:rsidR="007B66C1" w:rsidRPr="00094057" w:rsidRDefault="007B66C1" w:rsidP="007B66C1">
      <w:pPr>
        <w:pStyle w:val="ListParagraph"/>
        <w:ind w:left="0"/>
        <w:jc w:val="both"/>
        <w:rPr>
          <w:rFonts w:ascii="Georgia" w:hAnsi="Georgia"/>
          <w:color w:val="404040" w:themeColor="text1" w:themeTint="BF"/>
          <w:sz w:val="20"/>
          <w:szCs w:val="20"/>
          <w:highlight w:val="yellow"/>
        </w:rPr>
      </w:pPr>
    </w:p>
    <w:p w14:paraId="5919E70A" w14:textId="77777777" w:rsidR="00684981" w:rsidRPr="00981352" w:rsidRDefault="00684981" w:rsidP="00684981">
      <w:pPr>
        <w:pStyle w:val="Heading2"/>
        <w:spacing w:before="0"/>
        <w:rPr>
          <w:color w:val="404040" w:themeColor="text1" w:themeTint="BF"/>
        </w:rPr>
      </w:pPr>
      <w:r w:rsidRPr="00981352">
        <w:rPr>
          <w:color w:val="404040" w:themeColor="text1" w:themeTint="BF"/>
        </w:rPr>
        <w:t>Report of the Investment Adviser (continued)</w:t>
      </w:r>
    </w:p>
    <w:p w14:paraId="51C1412D" w14:textId="77777777" w:rsidR="00684981" w:rsidRPr="00981352" w:rsidRDefault="00684981" w:rsidP="00684981">
      <w:pPr>
        <w:pStyle w:val="ListParagraph"/>
        <w:ind w:left="0"/>
        <w:jc w:val="both"/>
        <w:rPr>
          <w:rFonts w:ascii="Georgia" w:hAnsi="Georgia"/>
          <w:color w:val="404040" w:themeColor="text1" w:themeTint="BF"/>
          <w:sz w:val="20"/>
          <w:szCs w:val="20"/>
        </w:rPr>
      </w:pPr>
    </w:p>
    <w:p w14:paraId="7DEE2D51" w14:textId="77777777" w:rsidR="00684981" w:rsidRDefault="00684981" w:rsidP="00684981">
      <w:pPr>
        <w:spacing w:after="160" w:line="259" w:lineRule="auto"/>
        <w:jc w:val="both"/>
        <w:rPr>
          <w:rFonts w:ascii="Georgia" w:hAnsi="Georgia"/>
          <w:b/>
          <w:color w:val="404040" w:themeColor="text1" w:themeTint="BF"/>
          <w:sz w:val="20"/>
          <w:szCs w:val="20"/>
        </w:rPr>
      </w:pPr>
      <w:r w:rsidRPr="00981352">
        <w:rPr>
          <w:rFonts w:ascii="Georgia" w:hAnsi="Georgia"/>
          <w:b/>
          <w:color w:val="404040" w:themeColor="text1" w:themeTint="BF"/>
          <w:sz w:val="20"/>
          <w:szCs w:val="20"/>
        </w:rPr>
        <w:t>5. NAV and Valuation of the Portfolio (continued)</w:t>
      </w:r>
    </w:p>
    <w:p w14:paraId="7C27B150" w14:textId="77777777" w:rsidR="007B66C1" w:rsidRPr="00475D47" w:rsidRDefault="007B66C1" w:rsidP="007B66C1">
      <w:pPr>
        <w:pStyle w:val="ListParagraph"/>
        <w:ind w:left="0"/>
        <w:jc w:val="both"/>
        <w:rPr>
          <w:rFonts w:ascii="Georgia" w:hAnsi="Georgia"/>
          <w:color w:val="404040" w:themeColor="text1" w:themeTint="BF"/>
          <w:sz w:val="20"/>
          <w:szCs w:val="20"/>
        </w:rPr>
      </w:pPr>
    </w:p>
    <w:p w14:paraId="19CA3703" w14:textId="6B83E064" w:rsidR="007B66C1" w:rsidRPr="00475D47" w:rsidRDefault="00BD5F22" w:rsidP="007B66C1">
      <w:pPr>
        <w:autoSpaceDE w:val="0"/>
        <w:autoSpaceDN w:val="0"/>
        <w:jc w:val="both"/>
        <w:rPr>
          <w:rFonts w:ascii="Georgia" w:hAnsi="Georgia"/>
          <w:color w:val="404040"/>
          <w:sz w:val="20"/>
          <w:szCs w:val="20"/>
        </w:rPr>
      </w:pPr>
      <w:r w:rsidRPr="005E2775">
        <w:rPr>
          <w:noProof/>
          <w:lang w:eastAsia="zh-CN"/>
        </w:rPr>
        <w:drawing>
          <wp:inline distT="0" distB="0" distL="0" distR="0" wp14:anchorId="0271DB17" wp14:editId="64EEAA0A">
            <wp:extent cx="5731510" cy="65773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577330"/>
                    </a:xfrm>
                    <a:prstGeom prst="rect">
                      <a:avLst/>
                    </a:prstGeom>
                    <a:noFill/>
                    <a:ln>
                      <a:noFill/>
                    </a:ln>
                  </pic:spPr>
                </pic:pic>
              </a:graphicData>
            </a:graphic>
          </wp:inline>
        </w:drawing>
      </w:r>
    </w:p>
    <w:p w14:paraId="7DAD25C2" w14:textId="49E01C3E" w:rsidR="007B66C1" w:rsidRPr="00475D47" w:rsidRDefault="002135F4">
      <w:pPr>
        <w:rPr>
          <w:rFonts w:ascii="Georgia" w:hAnsi="Georgia"/>
          <w:color w:val="404040"/>
          <w:sz w:val="20"/>
          <w:szCs w:val="20"/>
        </w:rPr>
      </w:pPr>
      <w:r w:rsidRPr="00475D47">
        <w:rPr>
          <w:rFonts w:ascii="Georgia" w:hAnsi="Georgia"/>
          <w:color w:val="404040"/>
          <w:sz w:val="20"/>
          <w:szCs w:val="20"/>
        </w:rPr>
        <w:br w:type="page"/>
      </w:r>
    </w:p>
    <w:p w14:paraId="35A84C9E" w14:textId="77777777" w:rsidR="007B66C1" w:rsidRPr="00904E51" w:rsidRDefault="007B66C1" w:rsidP="007B66C1">
      <w:pPr>
        <w:autoSpaceDE w:val="0"/>
        <w:autoSpaceDN w:val="0"/>
        <w:jc w:val="both"/>
        <w:rPr>
          <w:rFonts w:ascii="Georgia" w:hAnsi="Georgia"/>
          <w:color w:val="404040"/>
          <w:sz w:val="20"/>
          <w:szCs w:val="20"/>
          <w:highlight w:val="yellow"/>
        </w:rPr>
      </w:pPr>
    </w:p>
    <w:p w14:paraId="768E821A" w14:textId="77777777" w:rsidR="007B66C1" w:rsidRPr="00944AC6" w:rsidRDefault="007B66C1" w:rsidP="007B66C1">
      <w:pPr>
        <w:pStyle w:val="Heading2"/>
        <w:spacing w:before="0"/>
      </w:pPr>
      <w:r w:rsidRPr="00944AC6">
        <w:t>Report of the Investment Adviser (continued)</w:t>
      </w:r>
    </w:p>
    <w:p w14:paraId="54221EBF" w14:textId="77777777" w:rsidR="007B66C1" w:rsidRPr="00944AC6" w:rsidRDefault="007B66C1" w:rsidP="007B66C1">
      <w:pPr>
        <w:rPr>
          <w:rFonts w:ascii="Georgia" w:hAnsi="Georgia" w:cs="Calibri"/>
          <w:b/>
          <w:color w:val="404040" w:themeColor="text1" w:themeTint="BF"/>
          <w:sz w:val="20"/>
          <w:szCs w:val="20"/>
        </w:rPr>
      </w:pPr>
    </w:p>
    <w:p w14:paraId="3C02769B" w14:textId="77777777" w:rsidR="007B66C1" w:rsidRPr="00944AC6" w:rsidRDefault="007B66C1" w:rsidP="007B66C1">
      <w:pPr>
        <w:spacing w:after="160" w:line="259" w:lineRule="auto"/>
        <w:jc w:val="both"/>
        <w:rPr>
          <w:rFonts w:ascii="Georgia" w:hAnsi="Georgia"/>
          <w:b/>
          <w:color w:val="404040" w:themeColor="text1" w:themeTint="BF"/>
          <w:sz w:val="20"/>
          <w:szCs w:val="20"/>
        </w:rPr>
      </w:pPr>
      <w:r w:rsidRPr="00944AC6">
        <w:rPr>
          <w:rFonts w:ascii="Georgia" w:hAnsi="Georgia"/>
          <w:b/>
          <w:color w:val="404040" w:themeColor="text1" w:themeTint="BF"/>
          <w:sz w:val="20"/>
          <w:szCs w:val="20"/>
        </w:rPr>
        <w:t>4. NAV and Valuation of the Portfolio (continued)</w:t>
      </w:r>
    </w:p>
    <w:p w14:paraId="458CDD64" w14:textId="77777777" w:rsidR="007B66C1" w:rsidRPr="00944AC6" w:rsidRDefault="007B66C1" w:rsidP="007B66C1">
      <w:pPr>
        <w:pStyle w:val="ListParagraph"/>
        <w:ind w:left="0"/>
        <w:jc w:val="both"/>
        <w:rPr>
          <w:rFonts w:ascii="Georgia" w:hAnsi="Georgia"/>
          <w:b/>
          <w:color w:val="404040" w:themeColor="text1" w:themeTint="BF"/>
          <w:sz w:val="20"/>
          <w:szCs w:val="20"/>
        </w:rPr>
      </w:pPr>
      <w:r w:rsidRPr="00944AC6">
        <w:rPr>
          <w:rFonts w:ascii="Georgia" w:hAnsi="Georgia"/>
          <w:b/>
          <w:color w:val="404040" w:themeColor="text1" w:themeTint="BF"/>
          <w:sz w:val="20"/>
          <w:szCs w:val="20"/>
        </w:rPr>
        <w:t>NAV movement (continued)</w:t>
      </w:r>
    </w:p>
    <w:p w14:paraId="4816314D" w14:textId="77777777" w:rsidR="007B66C1" w:rsidRPr="00944AC6" w:rsidRDefault="007B66C1" w:rsidP="007B66C1">
      <w:pPr>
        <w:jc w:val="both"/>
        <w:rPr>
          <w:rFonts w:ascii="Georgia" w:hAnsi="Georgia" w:cs="Calibri"/>
          <w:b/>
          <w:color w:val="404040" w:themeColor="text1" w:themeTint="BF"/>
          <w:sz w:val="20"/>
        </w:rPr>
      </w:pPr>
    </w:p>
    <w:p w14:paraId="166E2700" w14:textId="77777777" w:rsidR="007B66C1" w:rsidRPr="00944AC6" w:rsidRDefault="007B66C1" w:rsidP="007B66C1">
      <w:pPr>
        <w:spacing w:line="300" w:lineRule="auto"/>
        <w:jc w:val="both"/>
        <w:rPr>
          <w:rFonts w:ascii="Georgia" w:hAnsi="Georgia" w:cs="Calibri"/>
          <w:color w:val="404040" w:themeColor="text1" w:themeTint="BF"/>
          <w:sz w:val="20"/>
        </w:rPr>
      </w:pPr>
      <w:r w:rsidRPr="00944AC6">
        <w:rPr>
          <w:rFonts w:ascii="Georgia" w:hAnsi="Georgia" w:cs="Calibri"/>
          <w:b/>
          <w:color w:val="404040" w:themeColor="text1" w:themeTint="BF"/>
          <w:sz w:val="20"/>
        </w:rPr>
        <w:t>Directors’ Valuation movement</w:t>
      </w:r>
    </w:p>
    <w:tbl>
      <w:tblPr>
        <w:tblW w:w="10249" w:type="dxa"/>
        <w:tblInd w:w="108" w:type="dxa"/>
        <w:tblLook w:val="04A0" w:firstRow="1" w:lastRow="0" w:firstColumn="1" w:lastColumn="0" w:noHBand="0" w:noVBand="1"/>
      </w:tblPr>
      <w:tblGrid>
        <w:gridCol w:w="4003"/>
        <w:gridCol w:w="733"/>
        <w:gridCol w:w="200"/>
        <w:gridCol w:w="874"/>
        <w:gridCol w:w="779"/>
        <w:gridCol w:w="1310"/>
        <w:gridCol w:w="1188"/>
        <w:gridCol w:w="581"/>
        <w:gridCol w:w="581"/>
      </w:tblGrid>
      <w:tr w:rsidR="007B66C1" w:rsidRPr="00944AC6" w14:paraId="4AFCE040" w14:textId="77777777" w:rsidTr="006F0858">
        <w:trPr>
          <w:gridAfter w:val="1"/>
          <w:wAfter w:w="581" w:type="dxa"/>
          <w:trHeight w:val="298"/>
        </w:trPr>
        <w:tc>
          <w:tcPr>
            <w:tcW w:w="4003" w:type="dxa"/>
            <w:tcBorders>
              <w:top w:val="nil"/>
              <w:left w:val="nil"/>
              <w:bottom w:val="single" w:sz="4" w:space="0" w:color="auto"/>
              <w:right w:val="nil"/>
            </w:tcBorders>
            <w:shd w:val="clear" w:color="auto" w:fill="auto"/>
            <w:hideMark/>
          </w:tcPr>
          <w:p w14:paraId="1ADADE2E" w14:textId="77777777" w:rsidR="007B66C1" w:rsidRPr="00944AC6" w:rsidRDefault="007B66C1" w:rsidP="006F0858">
            <w:pPr>
              <w:jc w:val="both"/>
              <w:rPr>
                <w:rFonts w:ascii="Georgia" w:hAnsi="Georgia" w:cs="Calibri"/>
                <w:b/>
                <w:bCs/>
                <w:color w:val="404040" w:themeColor="text1" w:themeTint="BF"/>
                <w:sz w:val="20"/>
                <w:szCs w:val="20"/>
                <w:lang w:eastAsia="en-GB"/>
              </w:rPr>
            </w:pPr>
          </w:p>
          <w:p w14:paraId="598A4082" w14:textId="77777777" w:rsidR="007B66C1" w:rsidRPr="00944AC6" w:rsidRDefault="007B66C1" w:rsidP="006F0858">
            <w:pPr>
              <w:jc w:val="both"/>
              <w:rPr>
                <w:rFonts w:ascii="Georgia" w:hAnsi="Georgia" w:cs="Calibri"/>
                <w:b/>
                <w:bCs/>
                <w:color w:val="404040" w:themeColor="text1" w:themeTint="BF"/>
                <w:sz w:val="20"/>
                <w:szCs w:val="20"/>
                <w:lang w:eastAsia="en-GB"/>
              </w:rPr>
            </w:pPr>
          </w:p>
          <w:p w14:paraId="27D9A51A" w14:textId="77777777" w:rsidR="007B66C1" w:rsidRPr="00944AC6" w:rsidRDefault="007B66C1" w:rsidP="006F0858">
            <w:pPr>
              <w:jc w:val="both"/>
              <w:rPr>
                <w:rFonts w:ascii="Georgia" w:hAnsi="Georgia" w:cs="Calibri"/>
                <w:b/>
                <w:bCs/>
                <w:color w:val="404040" w:themeColor="text1" w:themeTint="BF"/>
                <w:sz w:val="20"/>
                <w:szCs w:val="20"/>
                <w:lang w:eastAsia="en-GB"/>
              </w:rPr>
            </w:pPr>
          </w:p>
        </w:tc>
        <w:tc>
          <w:tcPr>
            <w:tcW w:w="933" w:type="dxa"/>
            <w:gridSpan w:val="2"/>
            <w:tcBorders>
              <w:top w:val="nil"/>
              <w:left w:val="nil"/>
              <w:bottom w:val="single" w:sz="4" w:space="0" w:color="auto"/>
              <w:right w:val="nil"/>
            </w:tcBorders>
            <w:shd w:val="clear" w:color="auto" w:fill="auto"/>
            <w:noWrap/>
            <w:vAlign w:val="bottom"/>
            <w:hideMark/>
          </w:tcPr>
          <w:p w14:paraId="639FA32C" w14:textId="77777777" w:rsidR="007B66C1" w:rsidRPr="00944AC6" w:rsidRDefault="007B66C1" w:rsidP="006F0858">
            <w:pPr>
              <w:rPr>
                <w:rFonts w:ascii="Georgia" w:hAnsi="Georgia" w:cs="Calibri"/>
                <w:color w:val="404040" w:themeColor="text1" w:themeTint="BF"/>
                <w:lang w:eastAsia="en-GB"/>
              </w:rPr>
            </w:pPr>
          </w:p>
        </w:tc>
        <w:tc>
          <w:tcPr>
            <w:tcW w:w="874" w:type="dxa"/>
            <w:tcBorders>
              <w:top w:val="nil"/>
              <w:left w:val="nil"/>
              <w:bottom w:val="single" w:sz="4" w:space="0" w:color="auto"/>
              <w:right w:val="nil"/>
            </w:tcBorders>
            <w:shd w:val="clear" w:color="auto" w:fill="auto"/>
            <w:hideMark/>
          </w:tcPr>
          <w:p w14:paraId="7E43A8D2" w14:textId="77777777" w:rsidR="007B66C1" w:rsidRPr="00944AC6" w:rsidRDefault="007B66C1" w:rsidP="006F0858">
            <w:pPr>
              <w:rPr>
                <w:rFonts w:ascii="Georgia" w:hAnsi="Georgia" w:cs="Calibri"/>
                <w:b/>
                <w:bCs/>
                <w:color w:val="404040" w:themeColor="text1" w:themeTint="BF"/>
                <w:sz w:val="20"/>
                <w:szCs w:val="20"/>
                <w:lang w:eastAsia="en-GB"/>
              </w:rPr>
            </w:pPr>
          </w:p>
        </w:tc>
        <w:tc>
          <w:tcPr>
            <w:tcW w:w="779" w:type="dxa"/>
            <w:tcBorders>
              <w:top w:val="nil"/>
              <w:left w:val="nil"/>
              <w:bottom w:val="single" w:sz="4" w:space="0" w:color="auto"/>
              <w:right w:val="nil"/>
            </w:tcBorders>
            <w:shd w:val="clear" w:color="auto" w:fill="auto"/>
            <w:hideMark/>
          </w:tcPr>
          <w:p w14:paraId="04B07854" w14:textId="77777777" w:rsidR="007B66C1" w:rsidRPr="00944AC6" w:rsidRDefault="007B66C1" w:rsidP="006F0858">
            <w:pPr>
              <w:rPr>
                <w:rFonts w:ascii="Georgia" w:hAnsi="Georgia" w:cs="Calibri"/>
                <w:b/>
                <w:bCs/>
                <w:color w:val="404040" w:themeColor="text1" w:themeTint="BF"/>
                <w:sz w:val="20"/>
                <w:szCs w:val="20"/>
                <w:lang w:eastAsia="en-GB"/>
              </w:rPr>
            </w:pPr>
          </w:p>
        </w:tc>
        <w:tc>
          <w:tcPr>
            <w:tcW w:w="1310" w:type="dxa"/>
            <w:tcBorders>
              <w:top w:val="nil"/>
              <w:left w:val="nil"/>
              <w:bottom w:val="single" w:sz="4" w:space="0" w:color="auto"/>
              <w:right w:val="nil"/>
            </w:tcBorders>
            <w:shd w:val="clear" w:color="auto" w:fill="auto"/>
            <w:hideMark/>
          </w:tcPr>
          <w:p w14:paraId="0104E1B2" w14:textId="77777777" w:rsidR="007B66C1" w:rsidRPr="00944AC6" w:rsidRDefault="007B66C1" w:rsidP="006F0858">
            <w:pPr>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 xml:space="preserve"> (£million)</w:t>
            </w:r>
          </w:p>
        </w:tc>
        <w:tc>
          <w:tcPr>
            <w:tcW w:w="1188" w:type="dxa"/>
            <w:tcBorders>
              <w:top w:val="nil"/>
              <w:left w:val="nil"/>
              <w:bottom w:val="single" w:sz="4" w:space="0" w:color="auto"/>
              <w:right w:val="nil"/>
            </w:tcBorders>
          </w:tcPr>
          <w:p w14:paraId="33531F77" w14:textId="77777777" w:rsidR="007B66C1" w:rsidRPr="00944AC6" w:rsidRDefault="007B66C1" w:rsidP="006F0858">
            <w:pPr>
              <w:jc w:val="right"/>
              <w:rPr>
                <w:rFonts w:ascii="Georgia" w:hAnsi="Georgia" w:cs="Calibri"/>
                <w:b/>
                <w:bCs/>
                <w:i/>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As % of re-based   valuation</w:t>
            </w:r>
          </w:p>
        </w:tc>
        <w:tc>
          <w:tcPr>
            <w:tcW w:w="581" w:type="dxa"/>
            <w:tcBorders>
              <w:top w:val="nil"/>
              <w:left w:val="nil"/>
              <w:bottom w:val="single" w:sz="4" w:space="0" w:color="auto"/>
              <w:right w:val="nil"/>
            </w:tcBorders>
          </w:tcPr>
          <w:p w14:paraId="16EADBBF" w14:textId="77777777" w:rsidR="007B66C1" w:rsidRPr="00944AC6" w:rsidRDefault="007B66C1" w:rsidP="006F0858">
            <w:pPr>
              <w:rPr>
                <w:rFonts w:ascii="Georgia" w:hAnsi="Georgia" w:cs="Calibri"/>
                <w:b/>
                <w:bCs/>
                <w:color w:val="404040" w:themeColor="text1" w:themeTint="BF"/>
                <w:sz w:val="20"/>
                <w:szCs w:val="20"/>
                <w:lang w:eastAsia="en-GB"/>
              </w:rPr>
            </w:pPr>
          </w:p>
        </w:tc>
      </w:tr>
      <w:tr w:rsidR="007B66C1" w:rsidRPr="00904E51" w14:paraId="77905357" w14:textId="77777777" w:rsidTr="006F0858">
        <w:trPr>
          <w:gridAfter w:val="1"/>
          <w:wAfter w:w="581" w:type="dxa"/>
          <w:trHeight w:val="335"/>
        </w:trPr>
        <w:tc>
          <w:tcPr>
            <w:tcW w:w="4003" w:type="dxa"/>
            <w:tcBorders>
              <w:top w:val="single" w:sz="4" w:space="0" w:color="auto"/>
              <w:left w:val="nil"/>
              <w:bottom w:val="single" w:sz="4" w:space="0" w:color="auto"/>
              <w:right w:val="nil"/>
            </w:tcBorders>
            <w:shd w:val="clear" w:color="000000" w:fill="FFFFFF"/>
            <w:vAlign w:val="center"/>
            <w:hideMark/>
          </w:tcPr>
          <w:p w14:paraId="6233DFBC" w14:textId="77777777" w:rsidR="007B66C1" w:rsidRPr="00944AC6" w:rsidRDefault="007B66C1" w:rsidP="006F0858">
            <w:pPr>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30 June 2019 Valuation</w:t>
            </w:r>
          </w:p>
        </w:tc>
        <w:tc>
          <w:tcPr>
            <w:tcW w:w="933" w:type="dxa"/>
            <w:gridSpan w:val="2"/>
            <w:tcBorders>
              <w:top w:val="single" w:sz="4" w:space="0" w:color="auto"/>
              <w:left w:val="nil"/>
              <w:bottom w:val="single" w:sz="4" w:space="0" w:color="auto"/>
              <w:right w:val="nil"/>
            </w:tcBorders>
            <w:shd w:val="clear" w:color="000000" w:fill="FFFFFF"/>
            <w:vAlign w:val="center"/>
            <w:hideMark/>
          </w:tcPr>
          <w:p w14:paraId="7B1B27C7" w14:textId="77777777" w:rsidR="007B66C1" w:rsidRPr="00944AC6" w:rsidRDefault="007B66C1" w:rsidP="006F0858">
            <w:pPr>
              <w:jc w:val="center"/>
              <w:rPr>
                <w:rFonts w:ascii="Georgia" w:hAnsi="Georgia" w:cs="Calibri"/>
                <w:b/>
                <w:bCs/>
                <w:color w:val="404040" w:themeColor="text1" w:themeTint="BF"/>
                <w:sz w:val="20"/>
                <w:szCs w:val="20"/>
                <w:lang w:eastAsia="en-GB"/>
              </w:rPr>
            </w:pPr>
          </w:p>
        </w:tc>
        <w:tc>
          <w:tcPr>
            <w:tcW w:w="874" w:type="dxa"/>
            <w:tcBorders>
              <w:top w:val="single" w:sz="4" w:space="0" w:color="auto"/>
              <w:left w:val="nil"/>
              <w:bottom w:val="single" w:sz="4" w:space="0" w:color="auto"/>
              <w:right w:val="nil"/>
            </w:tcBorders>
            <w:shd w:val="clear" w:color="000000" w:fill="FFFFFF"/>
            <w:vAlign w:val="center"/>
            <w:hideMark/>
          </w:tcPr>
          <w:p w14:paraId="5BD2007E" w14:textId="77777777" w:rsidR="007B66C1" w:rsidRPr="00944AC6" w:rsidRDefault="007B66C1" w:rsidP="006F0858">
            <w:pPr>
              <w:jc w:val="center"/>
              <w:rPr>
                <w:rFonts w:ascii="Georgia" w:hAnsi="Georgia" w:cs="Calibri"/>
                <w:b/>
                <w:bCs/>
                <w:color w:val="404040" w:themeColor="text1" w:themeTint="BF"/>
                <w:sz w:val="20"/>
                <w:szCs w:val="20"/>
                <w:lang w:eastAsia="en-GB"/>
              </w:rPr>
            </w:pPr>
          </w:p>
        </w:tc>
        <w:tc>
          <w:tcPr>
            <w:tcW w:w="2089" w:type="dxa"/>
            <w:gridSpan w:val="2"/>
            <w:tcBorders>
              <w:top w:val="single" w:sz="4" w:space="0" w:color="auto"/>
              <w:left w:val="nil"/>
              <w:bottom w:val="single" w:sz="4" w:space="0" w:color="auto"/>
              <w:right w:val="nil"/>
            </w:tcBorders>
            <w:shd w:val="clear" w:color="000000" w:fill="FFFFFF"/>
            <w:vAlign w:val="center"/>
          </w:tcPr>
          <w:p w14:paraId="2269BDB6" w14:textId="612694EA" w:rsidR="007B66C1" w:rsidRPr="00944AC6" w:rsidRDefault="007B66C1" w:rsidP="006F0858">
            <w:pPr>
              <w:jc w:val="right"/>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6</w:t>
            </w:r>
            <w:r w:rsidR="008660FC" w:rsidRPr="00944AC6">
              <w:rPr>
                <w:rFonts w:ascii="Georgia" w:hAnsi="Georgia" w:cs="Calibri"/>
                <w:b/>
                <w:bCs/>
                <w:color w:val="404040" w:themeColor="text1" w:themeTint="BF"/>
                <w:sz w:val="20"/>
                <w:szCs w:val="20"/>
                <w:lang w:eastAsia="en-GB"/>
              </w:rPr>
              <w:t>22.1</w:t>
            </w:r>
          </w:p>
        </w:tc>
        <w:tc>
          <w:tcPr>
            <w:tcW w:w="1188" w:type="dxa"/>
            <w:tcBorders>
              <w:top w:val="single" w:sz="4" w:space="0" w:color="auto"/>
              <w:left w:val="nil"/>
              <w:bottom w:val="single" w:sz="4" w:space="0" w:color="auto"/>
              <w:right w:val="nil"/>
            </w:tcBorders>
            <w:shd w:val="clear" w:color="000000" w:fill="FFFFFF"/>
          </w:tcPr>
          <w:p w14:paraId="4D9FC416" w14:textId="77777777" w:rsidR="007B66C1" w:rsidRPr="00944AC6" w:rsidRDefault="007B66C1" w:rsidP="006F0858">
            <w:pPr>
              <w:rPr>
                <w:rFonts w:ascii="Georgia" w:hAnsi="Georgia" w:cs="Calibri"/>
                <w:b/>
                <w:bCs/>
                <w:color w:val="404040" w:themeColor="text1" w:themeTint="BF"/>
                <w:sz w:val="20"/>
                <w:szCs w:val="20"/>
                <w:lang w:eastAsia="en-GB"/>
              </w:rPr>
            </w:pPr>
          </w:p>
        </w:tc>
        <w:tc>
          <w:tcPr>
            <w:tcW w:w="581" w:type="dxa"/>
            <w:tcBorders>
              <w:top w:val="single" w:sz="4" w:space="0" w:color="auto"/>
              <w:left w:val="nil"/>
              <w:bottom w:val="single" w:sz="4" w:space="0" w:color="auto"/>
              <w:right w:val="nil"/>
            </w:tcBorders>
            <w:shd w:val="clear" w:color="000000" w:fill="FFFFFF"/>
          </w:tcPr>
          <w:p w14:paraId="05325916" w14:textId="77777777" w:rsidR="007B66C1" w:rsidRPr="00944AC6" w:rsidRDefault="007B66C1" w:rsidP="006F0858">
            <w:pPr>
              <w:jc w:val="right"/>
              <w:rPr>
                <w:rFonts w:ascii="Georgia" w:hAnsi="Georgia" w:cs="Calibri"/>
                <w:b/>
                <w:bCs/>
                <w:color w:val="404040" w:themeColor="text1" w:themeTint="BF"/>
                <w:sz w:val="20"/>
                <w:szCs w:val="20"/>
                <w:lang w:eastAsia="en-GB"/>
              </w:rPr>
            </w:pPr>
          </w:p>
        </w:tc>
      </w:tr>
      <w:tr w:rsidR="007B66C1" w:rsidRPr="00904E51" w14:paraId="73A06CF5" w14:textId="77777777" w:rsidTr="006F0858">
        <w:trPr>
          <w:gridAfter w:val="1"/>
          <w:wAfter w:w="581" w:type="dxa"/>
          <w:trHeight w:val="401"/>
        </w:trPr>
        <w:tc>
          <w:tcPr>
            <w:tcW w:w="4003" w:type="dxa"/>
            <w:tcBorders>
              <w:top w:val="single" w:sz="4" w:space="0" w:color="auto"/>
              <w:left w:val="nil"/>
              <w:bottom w:val="single" w:sz="4" w:space="0" w:color="auto"/>
              <w:right w:val="nil"/>
            </w:tcBorders>
            <w:shd w:val="clear" w:color="auto" w:fill="auto"/>
            <w:vAlign w:val="center"/>
            <w:hideMark/>
          </w:tcPr>
          <w:p w14:paraId="76DA3334" w14:textId="77777777" w:rsidR="007B66C1" w:rsidRPr="00944AC6" w:rsidRDefault="007B66C1" w:rsidP="006F0858">
            <w:pPr>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Addition in the period</w:t>
            </w:r>
            <w:r w:rsidRPr="00944AC6">
              <w:rPr>
                <w:rFonts w:ascii="Georgia" w:hAnsi="Georgia" w:cs="Calibri"/>
                <w:b/>
                <w:bCs/>
                <w:color w:val="404040" w:themeColor="text1" w:themeTint="BF"/>
                <w:sz w:val="20"/>
                <w:szCs w:val="20"/>
                <w:vertAlign w:val="superscript"/>
                <w:lang w:eastAsia="en-GB"/>
              </w:rPr>
              <w:t>#</w:t>
            </w:r>
          </w:p>
        </w:tc>
        <w:tc>
          <w:tcPr>
            <w:tcW w:w="1807" w:type="dxa"/>
            <w:gridSpan w:val="3"/>
            <w:tcBorders>
              <w:top w:val="single" w:sz="4" w:space="0" w:color="auto"/>
              <w:left w:val="nil"/>
              <w:bottom w:val="single" w:sz="4" w:space="0" w:color="auto"/>
              <w:right w:val="nil"/>
            </w:tcBorders>
            <w:shd w:val="clear" w:color="auto" w:fill="auto"/>
            <w:vAlign w:val="center"/>
            <w:hideMark/>
          </w:tcPr>
          <w:p w14:paraId="2BEB42CF" w14:textId="24248A3D" w:rsidR="007B66C1" w:rsidRPr="00944AC6" w:rsidRDefault="00944AC6" w:rsidP="006F0858">
            <w:pPr>
              <w:jc w:val="right"/>
              <w:rPr>
                <w:rFonts w:ascii="Georgia" w:hAnsi="Georgia" w:cs="Calibri"/>
                <w:color w:val="404040" w:themeColor="text1" w:themeTint="BF"/>
                <w:sz w:val="20"/>
                <w:szCs w:val="20"/>
                <w:lang w:eastAsia="en-GB"/>
              </w:rPr>
            </w:pPr>
            <w:r w:rsidRPr="00944AC6">
              <w:rPr>
                <w:rFonts w:ascii="Georgia" w:hAnsi="Georgia" w:cs="Calibri"/>
                <w:color w:val="404040" w:themeColor="text1" w:themeTint="BF"/>
                <w:sz w:val="20"/>
                <w:szCs w:val="20"/>
                <w:lang w:eastAsia="en-GB"/>
              </w:rPr>
              <w:t>13.9</w:t>
            </w:r>
          </w:p>
        </w:tc>
        <w:tc>
          <w:tcPr>
            <w:tcW w:w="2089" w:type="dxa"/>
            <w:gridSpan w:val="2"/>
            <w:tcBorders>
              <w:top w:val="single" w:sz="4" w:space="0" w:color="auto"/>
              <w:left w:val="nil"/>
              <w:bottom w:val="single" w:sz="4" w:space="0" w:color="auto"/>
              <w:right w:val="nil"/>
            </w:tcBorders>
            <w:shd w:val="clear" w:color="auto" w:fill="auto"/>
            <w:hideMark/>
          </w:tcPr>
          <w:p w14:paraId="7B6ECED8" w14:textId="77777777" w:rsidR="007B66C1" w:rsidRPr="00944AC6" w:rsidRDefault="007B66C1" w:rsidP="006F0858">
            <w:pPr>
              <w:jc w:val="right"/>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 </w:t>
            </w:r>
          </w:p>
        </w:tc>
        <w:tc>
          <w:tcPr>
            <w:tcW w:w="1188" w:type="dxa"/>
            <w:tcBorders>
              <w:top w:val="single" w:sz="4" w:space="0" w:color="auto"/>
              <w:left w:val="nil"/>
              <w:bottom w:val="single" w:sz="4" w:space="0" w:color="auto"/>
              <w:right w:val="nil"/>
            </w:tcBorders>
          </w:tcPr>
          <w:p w14:paraId="650237E4" w14:textId="77777777" w:rsidR="007B66C1" w:rsidRPr="00944AC6" w:rsidRDefault="007B66C1" w:rsidP="006F0858">
            <w:pPr>
              <w:jc w:val="right"/>
              <w:rPr>
                <w:rFonts w:ascii="Georgia" w:hAnsi="Georgia" w:cs="Calibri"/>
                <w:b/>
                <w:bCs/>
                <w:color w:val="404040" w:themeColor="text1" w:themeTint="BF"/>
                <w:sz w:val="20"/>
                <w:szCs w:val="20"/>
                <w:lang w:eastAsia="en-GB"/>
              </w:rPr>
            </w:pPr>
          </w:p>
        </w:tc>
        <w:tc>
          <w:tcPr>
            <w:tcW w:w="581" w:type="dxa"/>
            <w:tcBorders>
              <w:top w:val="single" w:sz="4" w:space="0" w:color="auto"/>
              <w:left w:val="nil"/>
              <w:bottom w:val="single" w:sz="4" w:space="0" w:color="auto"/>
              <w:right w:val="nil"/>
            </w:tcBorders>
          </w:tcPr>
          <w:p w14:paraId="212716BF" w14:textId="77777777" w:rsidR="007B66C1" w:rsidRPr="00904E51" w:rsidRDefault="007B66C1" w:rsidP="006F0858">
            <w:pPr>
              <w:jc w:val="right"/>
              <w:rPr>
                <w:rFonts w:ascii="Georgia" w:hAnsi="Georgia" w:cs="Calibri"/>
                <w:b/>
                <w:bCs/>
                <w:color w:val="404040" w:themeColor="text1" w:themeTint="BF"/>
                <w:sz w:val="20"/>
                <w:szCs w:val="20"/>
                <w:highlight w:val="yellow"/>
                <w:lang w:eastAsia="en-GB"/>
              </w:rPr>
            </w:pPr>
          </w:p>
        </w:tc>
      </w:tr>
      <w:tr w:rsidR="007B66C1" w:rsidRPr="00904E51" w14:paraId="2C521F66" w14:textId="77777777" w:rsidTr="006F0858">
        <w:trPr>
          <w:gridAfter w:val="1"/>
          <w:wAfter w:w="581" w:type="dxa"/>
          <w:trHeight w:val="436"/>
        </w:trPr>
        <w:tc>
          <w:tcPr>
            <w:tcW w:w="4003" w:type="dxa"/>
            <w:tcBorders>
              <w:top w:val="single" w:sz="4" w:space="0" w:color="auto"/>
              <w:left w:val="nil"/>
              <w:bottom w:val="single" w:sz="4" w:space="0" w:color="auto"/>
              <w:right w:val="nil"/>
            </w:tcBorders>
            <w:shd w:val="clear" w:color="auto" w:fill="auto"/>
            <w:vAlign w:val="center"/>
            <w:hideMark/>
          </w:tcPr>
          <w:p w14:paraId="6C80EF75" w14:textId="77777777" w:rsidR="007B66C1" w:rsidRPr="00944AC6" w:rsidRDefault="007B66C1" w:rsidP="006F0858">
            <w:pPr>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Re-based Valuation</w:t>
            </w:r>
          </w:p>
        </w:tc>
        <w:tc>
          <w:tcPr>
            <w:tcW w:w="1807" w:type="dxa"/>
            <w:gridSpan w:val="3"/>
            <w:tcBorders>
              <w:top w:val="single" w:sz="4" w:space="0" w:color="auto"/>
              <w:left w:val="nil"/>
              <w:bottom w:val="single" w:sz="4" w:space="0" w:color="auto"/>
              <w:right w:val="nil"/>
            </w:tcBorders>
            <w:shd w:val="clear" w:color="auto" w:fill="auto"/>
            <w:vAlign w:val="center"/>
            <w:hideMark/>
          </w:tcPr>
          <w:p w14:paraId="296F5078" w14:textId="77777777" w:rsidR="007B66C1" w:rsidRPr="00944AC6" w:rsidRDefault="007B66C1" w:rsidP="006F0858">
            <w:pPr>
              <w:jc w:val="center"/>
              <w:rPr>
                <w:rFonts w:ascii="Georgia" w:hAnsi="Georgia" w:cs="Calibri"/>
                <w:b/>
                <w:bCs/>
                <w:color w:val="404040" w:themeColor="text1" w:themeTint="BF"/>
                <w:sz w:val="20"/>
                <w:szCs w:val="20"/>
                <w:lang w:eastAsia="en-GB"/>
              </w:rPr>
            </w:pPr>
          </w:p>
        </w:tc>
        <w:tc>
          <w:tcPr>
            <w:tcW w:w="2089" w:type="dxa"/>
            <w:gridSpan w:val="2"/>
            <w:tcBorders>
              <w:top w:val="single" w:sz="4" w:space="0" w:color="auto"/>
              <w:left w:val="nil"/>
              <w:bottom w:val="single" w:sz="4" w:space="0" w:color="auto"/>
              <w:right w:val="nil"/>
            </w:tcBorders>
            <w:shd w:val="clear" w:color="auto" w:fill="auto"/>
            <w:vAlign w:val="center"/>
            <w:hideMark/>
          </w:tcPr>
          <w:p w14:paraId="2E6ED3E7" w14:textId="2F94876D" w:rsidR="007B66C1" w:rsidRPr="00944AC6" w:rsidRDefault="007B66C1" w:rsidP="006F0858">
            <w:pPr>
              <w:jc w:val="right"/>
              <w:rPr>
                <w:rFonts w:ascii="Georgia" w:hAnsi="Georgia" w:cs="Calibri"/>
                <w:b/>
                <w:bCs/>
                <w:color w:val="404040" w:themeColor="text1" w:themeTint="BF"/>
                <w:sz w:val="20"/>
                <w:szCs w:val="20"/>
                <w:lang w:eastAsia="en-GB"/>
              </w:rPr>
            </w:pPr>
            <w:r w:rsidRPr="00944AC6">
              <w:rPr>
                <w:rFonts w:ascii="Georgia" w:hAnsi="Georgia" w:cs="Calibri"/>
                <w:b/>
                <w:bCs/>
                <w:color w:val="404040" w:themeColor="text1" w:themeTint="BF"/>
                <w:sz w:val="20"/>
                <w:szCs w:val="20"/>
                <w:lang w:eastAsia="en-GB"/>
              </w:rPr>
              <w:t>6</w:t>
            </w:r>
            <w:r w:rsidR="00944AC6" w:rsidRPr="00944AC6">
              <w:rPr>
                <w:rFonts w:ascii="Georgia" w:hAnsi="Georgia" w:cs="Calibri"/>
                <w:b/>
                <w:bCs/>
                <w:color w:val="404040" w:themeColor="text1" w:themeTint="BF"/>
                <w:sz w:val="20"/>
                <w:szCs w:val="20"/>
                <w:lang w:eastAsia="en-GB"/>
              </w:rPr>
              <w:t>36</w:t>
            </w:r>
            <w:r w:rsidR="00116697">
              <w:rPr>
                <w:rFonts w:ascii="Georgia" w:hAnsi="Georgia" w:cs="Calibri"/>
                <w:b/>
                <w:bCs/>
                <w:color w:val="404040" w:themeColor="text1" w:themeTint="BF"/>
                <w:sz w:val="20"/>
                <w:szCs w:val="20"/>
                <w:lang w:eastAsia="en-GB"/>
              </w:rPr>
              <w:t>.0</w:t>
            </w:r>
          </w:p>
        </w:tc>
        <w:tc>
          <w:tcPr>
            <w:tcW w:w="1188" w:type="dxa"/>
            <w:tcBorders>
              <w:top w:val="single" w:sz="4" w:space="0" w:color="auto"/>
              <w:left w:val="nil"/>
              <w:bottom w:val="single" w:sz="4" w:space="0" w:color="auto"/>
              <w:right w:val="nil"/>
            </w:tcBorders>
            <w:vAlign w:val="center"/>
          </w:tcPr>
          <w:p w14:paraId="6CC40342" w14:textId="77777777" w:rsidR="007B66C1" w:rsidRPr="00944AC6" w:rsidRDefault="007B66C1" w:rsidP="006F0858">
            <w:pPr>
              <w:jc w:val="center"/>
              <w:rPr>
                <w:rFonts w:ascii="Georgia" w:hAnsi="Georgia" w:cs="Calibri"/>
                <w:b/>
                <w:bCs/>
                <w:color w:val="404040" w:themeColor="text1" w:themeTint="BF"/>
                <w:sz w:val="20"/>
                <w:szCs w:val="20"/>
                <w:lang w:eastAsia="en-GB"/>
              </w:rPr>
            </w:pPr>
          </w:p>
        </w:tc>
        <w:tc>
          <w:tcPr>
            <w:tcW w:w="581" w:type="dxa"/>
            <w:tcBorders>
              <w:top w:val="single" w:sz="4" w:space="0" w:color="auto"/>
              <w:left w:val="nil"/>
              <w:bottom w:val="single" w:sz="4" w:space="0" w:color="auto"/>
              <w:right w:val="nil"/>
            </w:tcBorders>
            <w:vAlign w:val="center"/>
          </w:tcPr>
          <w:p w14:paraId="36BDD99D" w14:textId="77777777" w:rsidR="007B66C1" w:rsidRPr="00904E51" w:rsidRDefault="007B66C1" w:rsidP="006F0858">
            <w:pPr>
              <w:jc w:val="center"/>
              <w:rPr>
                <w:rFonts w:ascii="Georgia" w:hAnsi="Georgia" w:cs="Calibri"/>
                <w:b/>
                <w:bCs/>
                <w:color w:val="404040" w:themeColor="text1" w:themeTint="BF"/>
                <w:sz w:val="20"/>
                <w:szCs w:val="20"/>
                <w:highlight w:val="yellow"/>
                <w:lang w:eastAsia="en-GB"/>
              </w:rPr>
            </w:pPr>
          </w:p>
        </w:tc>
      </w:tr>
      <w:tr w:rsidR="007B66C1" w:rsidRPr="00904E51" w14:paraId="0CB1FCA8" w14:textId="77777777" w:rsidTr="00475D47">
        <w:trPr>
          <w:gridAfter w:val="1"/>
          <w:wAfter w:w="581" w:type="dxa"/>
          <w:trHeight w:val="284"/>
        </w:trPr>
        <w:tc>
          <w:tcPr>
            <w:tcW w:w="4003" w:type="dxa"/>
            <w:tcBorders>
              <w:top w:val="single" w:sz="4" w:space="0" w:color="auto"/>
              <w:left w:val="nil"/>
              <w:bottom w:val="nil"/>
              <w:right w:val="nil"/>
            </w:tcBorders>
            <w:shd w:val="clear" w:color="auto" w:fill="auto"/>
            <w:hideMark/>
          </w:tcPr>
          <w:p w14:paraId="658B4AD8" w14:textId="77777777" w:rsidR="007B66C1" w:rsidRPr="00904E51" w:rsidRDefault="007B66C1" w:rsidP="006F0858">
            <w:pPr>
              <w:jc w:val="both"/>
              <w:rPr>
                <w:rFonts w:ascii="Georgia" w:hAnsi="Georgia" w:cs="Calibri"/>
                <w:b/>
                <w:bCs/>
                <w:color w:val="404040" w:themeColor="text1" w:themeTint="BF"/>
                <w:sz w:val="20"/>
                <w:szCs w:val="20"/>
                <w:highlight w:val="yellow"/>
                <w:lang w:eastAsia="en-GB"/>
              </w:rPr>
            </w:pPr>
          </w:p>
        </w:tc>
        <w:tc>
          <w:tcPr>
            <w:tcW w:w="1807" w:type="dxa"/>
            <w:gridSpan w:val="3"/>
            <w:tcBorders>
              <w:top w:val="single" w:sz="4" w:space="0" w:color="auto"/>
              <w:left w:val="nil"/>
              <w:bottom w:val="nil"/>
              <w:right w:val="nil"/>
            </w:tcBorders>
            <w:shd w:val="clear" w:color="auto" w:fill="auto"/>
            <w:hideMark/>
          </w:tcPr>
          <w:p w14:paraId="2BC3228D" w14:textId="77777777" w:rsidR="007B66C1" w:rsidRPr="00475D47" w:rsidRDefault="007B66C1"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 </w:t>
            </w:r>
          </w:p>
        </w:tc>
        <w:tc>
          <w:tcPr>
            <w:tcW w:w="2089" w:type="dxa"/>
            <w:gridSpan w:val="2"/>
            <w:vMerge w:val="restart"/>
            <w:tcBorders>
              <w:top w:val="single" w:sz="4" w:space="0" w:color="auto"/>
              <w:left w:val="nil"/>
              <w:bottom w:val="nil"/>
              <w:right w:val="nil"/>
            </w:tcBorders>
            <w:shd w:val="clear" w:color="auto" w:fill="auto"/>
            <w:hideMark/>
          </w:tcPr>
          <w:p w14:paraId="78114C24" w14:textId="77777777" w:rsidR="007B66C1" w:rsidRPr="00475D47" w:rsidRDefault="007B66C1" w:rsidP="006F0858">
            <w:pPr>
              <w:jc w:val="right"/>
              <w:rPr>
                <w:rFonts w:ascii="Georgia" w:hAnsi="Georgia" w:cs="Calibri"/>
                <w:b/>
                <w:color w:val="404040" w:themeColor="text1" w:themeTint="BF"/>
                <w:sz w:val="20"/>
                <w:szCs w:val="20"/>
                <w:lang w:eastAsia="en-GB"/>
              </w:rPr>
            </w:pPr>
            <w:r w:rsidRPr="00475D47">
              <w:rPr>
                <w:rFonts w:ascii="Georgia" w:hAnsi="Georgia" w:cs="Calibri"/>
                <w:b/>
                <w:color w:val="404040" w:themeColor="text1" w:themeTint="BF"/>
                <w:sz w:val="20"/>
                <w:szCs w:val="20"/>
                <w:lang w:eastAsia="en-GB"/>
              </w:rPr>
              <w:t> </w:t>
            </w:r>
          </w:p>
        </w:tc>
        <w:tc>
          <w:tcPr>
            <w:tcW w:w="1188" w:type="dxa"/>
            <w:tcBorders>
              <w:top w:val="single" w:sz="4" w:space="0" w:color="auto"/>
              <w:left w:val="nil"/>
              <w:right w:val="nil"/>
            </w:tcBorders>
            <w:shd w:val="clear" w:color="auto" w:fill="auto"/>
          </w:tcPr>
          <w:p w14:paraId="4AA307E0"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581" w:type="dxa"/>
            <w:tcBorders>
              <w:top w:val="single" w:sz="4" w:space="0" w:color="auto"/>
              <w:left w:val="nil"/>
              <w:right w:val="nil"/>
            </w:tcBorders>
          </w:tcPr>
          <w:p w14:paraId="6B71ED85" w14:textId="77777777" w:rsidR="007B66C1" w:rsidRPr="00904E51" w:rsidRDefault="007B66C1" w:rsidP="006F0858">
            <w:pPr>
              <w:jc w:val="right"/>
              <w:rPr>
                <w:rFonts w:ascii="Georgia" w:hAnsi="Georgia" w:cs="Calibri"/>
                <w:b/>
                <w:bCs/>
                <w:color w:val="404040" w:themeColor="text1" w:themeTint="BF"/>
                <w:sz w:val="20"/>
                <w:szCs w:val="20"/>
                <w:highlight w:val="yellow"/>
                <w:lang w:eastAsia="en-GB"/>
              </w:rPr>
            </w:pPr>
          </w:p>
        </w:tc>
      </w:tr>
      <w:tr w:rsidR="007B66C1" w:rsidRPr="00904E51" w14:paraId="59F1B4FA" w14:textId="77777777" w:rsidTr="00475D47">
        <w:trPr>
          <w:trHeight w:val="284"/>
        </w:trPr>
        <w:tc>
          <w:tcPr>
            <w:tcW w:w="4736" w:type="dxa"/>
            <w:gridSpan w:val="2"/>
            <w:tcBorders>
              <w:top w:val="nil"/>
              <w:left w:val="nil"/>
              <w:bottom w:val="nil"/>
              <w:right w:val="nil"/>
            </w:tcBorders>
            <w:shd w:val="clear" w:color="auto" w:fill="auto"/>
          </w:tcPr>
          <w:p w14:paraId="23367DE4" w14:textId="77777777" w:rsidR="007B66C1" w:rsidRPr="00475D47" w:rsidRDefault="007B66C1" w:rsidP="006F0858">
            <w:pPr>
              <w:jc w:val="both"/>
              <w:rPr>
                <w:rFonts w:ascii="Georgia" w:hAnsi="Georgia" w:cs="Calibri"/>
                <w:b/>
                <w:color w:val="404040" w:themeColor="text1" w:themeTint="BF"/>
                <w:sz w:val="20"/>
                <w:szCs w:val="20"/>
                <w:lang w:eastAsia="en-GB"/>
              </w:rPr>
            </w:pPr>
            <w:r w:rsidRPr="00475D47">
              <w:rPr>
                <w:rFonts w:ascii="Georgia" w:hAnsi="Georgia" w:cs="Calibri"/>
                <w:b/>
                <w:color w:val="404040" w:themeColor="text1" w:themeTint="BF"/>
                <w:sz w:val="20"/>
                <w:szCs w:val="20"/>
                <w:lang w:eastAsia="en-GB"/>
              </w:rPr>
              <w:t>Cash receipts from portfolio</w:t>
            </w:r>
          </w:p>
        </w:tc>
        <w:tc>
          <w:tcPr>
            <w:tcW w:w="1074" w:type="dxa"/>
            <w:gridSpan w:val="2"/>
            <w:tcBorders>
              <w:top w:val="nil"/>
              <w:left w:val="nil"/>
              <w:bottom w:val="nil"/>
              <w:right w:val="nil"/>
            </w:tcBorders>
            <w:shd w:val="clear" w:color="auto" w:fill="auto"/>
          </w:tcPr>
          <w:p w14:paraId="7C886AE4" w14:textId="6DFB163A" w:rsidR="007B66C1" w:rsidRPr="00475D47" w:rsidRDefault="007B66C1"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(4</w:t>
            </w:r>
            <w:r w:rsidR="0092503F" w:rsidRPr="00475D47">
              <w:rPr>
                <w:rFonts w:ascii="Georgia" w:hAnsi="Georgia" w:cs="Calibri"/>
                <w:color w:val="404040" w:themeColor="text1" w:themeTint="BF"/>
                <w:sz w:val="20"/>
                <w:szCs w:val="20"/>
                <w:lang w:eastAsia="en-GB"/>
              </w:rPr>
              <w:t>8</w:t>
            </w:r>
            <w:r w:rsidRPr="00475D47">
              <w:rPr>
                <w:rFonts w:ascii="Georgia" w:hAnsi="Georgia" w:cs="Calibri"/>
                <w:color w:val="404040" w:themeColor="text1" w:themeTint="BF"/>
                <w:sz w:val="20"/>
                <w:szCs w:val="20"/>
                <w:lang w:eastAsia="en-GB"/>
              </w:rPr>
              <w:t>.</w:t>
            </w:r>
            <w:r w:rsidR="0092503F" w:rsidRPr="00475D47">
              <w:rPr>
                <w:rFonts w:ascii="Georgia" w:hAnsi="Georgia" w:cs="Calibri"/>
                <w:color w:val="404040" w:themeColor="text1" w:themeTint="BF"/>
                <w:sz w:val="20"/>
                <w:szCs w:val="20"/>
                <w:lang w:eastAsia="en-GB"/>
              </w:rPr>
              <w:t>1</w:t>
            </w:r>
            <w:r w:rsidRPr="00475D47">
              <w:rPr>
                <w:rFonts w:ascii="Georgia" w:hAnsi="Georgia" w:cs="Calibri"/>
                <w:color w:val="404040" w:themeColor="text1" w:themeTint="BF"/>
                <w:sz w:val="20"/>
                <w:szCs w:val="20"/>
                <w:lang w:eastAsia="en-GB"/>
              </w:rPr>
              <w:t>)</w:t>
            </w:r>
          </w:p>
        </w:tc>
        <w:tc>
          <w:tcPr>
            <w:tcW w:w="2089" w:type="dxa"/>
            <w:gridSpan w:val="2"/>
            <w:vMerge/>
            <w:tcBorders>
              <w:top w:val="single" w:sz="8" w:space="0" w:color="auto"/>
              <w:left w:val="nil"/>
              <w:bottom w:val="nil"/>
              <w:right w:val="nil"/>
            </w:tcBorders>
            <w:shd w:val="clear" w:color="auto" w:fill="auto"/>
          </w:tcPr>
          <w:p w14:paraId="1879AF95" w14:textId="77777777" w:rsidR="007B66C1" w:rsidRPr="00475D47" w:rsidRDefault="007B66C1" w:rsidP="006F0858">
            <w:pPr>
              <w:rPr>
                <w:rFonts w:ascii="Georgia" w:hAnsi="Georgia" w:cs="Calibri"/>
                <w:b/>
                <w:color w:val="404040" w:themeColor="text1" w:themeTint="BF"/>
                <w:sz w:val="20"/>
                <w:szCs w:val="20"/>
                <w:lang w:eastAsia="en-GB"/>
              </w:rPr>
            </w:pPr>
          </w:p>
        </w:tc>
        <w:tc>
          <w:tcPr>
            <w:tcW w:w="1188" w:type="dxa"/>
            <w:tcBorders>
              <w:left w:val="nil"/>
              <w:bottom w:val="nil"/>
              <w:right w:val="nil"/>
            </w:tcBorders>
            <w:shd w:val="clear" w:color="auto" w:fill="auto"/>
          </w:tcPr>
          <w:p w14:paraId="0F519942" w14:textId="5490974B" w:rsidR="007B66C1" w:rsidRPr="00475D47" w:rsidRDefault="007B66C1"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w:t>
            </w:r>
            <w:r w:rsidR="0092503F" w:rsidRPr="00475D47">
              <w:rPr>
                <w:rFonts w:ascii="Georgia" w:hAnsi="Georgia" w:cs="Calibri"/>
                <w:bCs/>
                <w:color w:val="404040" w:themeColor="text1" w:themeTint="BF"/>
                <w:sz w:val="20"/>
                <w:szCs w:val="20"/>
                <w:lang w:eastAsia="en-GB"/>
              </w:rPr>
              <w:t>7.7</w:t>
            </w:r>
            <w:r w:rsidRPr="00475D47">
              <w:rPr>
                <w:rFonts w:ascii="Georgia" w:hAnsi="Georgia" w:cs="Calibri"/>
                <w:color w:val="404040" w:themeColor="text1" w:themeTint="BF"/>
                <w:sz w:val="20"/>
                <w:szCs w:val="20"/>
                <w:lang w:eastAsia="en-GB"/>
              </w:rPr>
              <w:t>)%</w:t>
            </w:r>
          </w:p>
        </w:tc>
        <w:tc>
          <w:tcPr>
            <w:tcW w:w="581" w:type="dxa"/>
            <w:tcBorders>
              <w:left w:val="nil"/>
              <w:bottom w:val="nil"/>
              <w:right w:val="nil"/>
            </w:tcBorders>
            <w:shd w:val="clear" w:color="auto" w:fill="auto"/>
          </w:tcPr>
          <w:p w14:paraId="4871404F" w14:textId="77777777" w:rsidR="007B66C1" w:rsidRPr="00475D47" w:rsidRDefault="007B66C1" w:rsidP="006F0858">
            <w:pPr>
              <w:jc w:val="right"/>
              <w:rPr>
                <w:rFonts w:ascii="Georgia" w:hAnsi="Georgia" w:cs="Calibri"/>
                <w:color w:val="404040" w:themeColor="text1" w:themeTint="BF"/>
                <w:sz w:val="20"/>
                <w:szCs w:val="20"/>
                <w:lang w:eastAsia="en-GB"/>
              </w:rPr>
            </w:pPr>
          </w:p>
        </w:tc>
        <w:tc>
          <w:tcPr>
            <w:tcW w:w="581" w:type="dxa"/>
          </w:tcPr>
          <w:p w14:paraId="3BBCED8B" w14:textId="77777777" w:rsidR="007B66C1" w:rsidRPr="00904E51" w:rsidRDefault="007B66C1" w:rsidP="006F0858">
            <w:pPr>
              <w:rPr>
                <w:color w:val="404040" w:themeColor="text1" w:themeTint="BF"/>
                <w:highlight w:val="yellow"/>
              </w:rPr>
            </w:pPr>
          </w:p>
        </w:tc>
      </w:tr>
      <w:tr w:rsidR="007B66C1" w:rsidRPr="00904E51" w14:paraId="7248934C" w14:textId="77777777" w:rsidTr="00475D47">
        <w:trPr>
          <w:gridAfter w:val="1"/>
          <w:wAfter w:w="581" w:type="dxa"/>
          <w:trHeight w:val="298"/>
        </w:trPr>
        <w:tc>
          <w:tcPr>
            <w:tcW w:w="4736" w:type="dxa"/>
            <w:gridSpan w:val="2"/>
            <w:tcBorders>
              <w:top w:val="nil"/>
              <w:left w:val="nil"/>
              <w:bottom w:val="nil"/>
              <w:right w:val="nil"/>
            </w:tcBorders>
            <w:shd w:val="clear" w:color="auto" w:fill="auto"/>
            <w:hideMark/>
          </w:tcPr>
          <w:p w14:paraId="28B8BF9A" w14:textId="77777777" w:rsidR="007B66C1" w:rsidRPr="00475D47" w:rsidRDefault="007B66C1" w:rsidP="006F0858">
            <w:pPr>
              <w:jc w:val="both"/>
              <w:rPr>
                <w:rFonts w:ascii="Georgia" w:hAnsi="Georgia" w:cs="Calibri"/>
                <w:b/>
                <w:color w:val="404040" w:themeColor="text1" w:themeTint="BF"/>
                <w:sz w:val="20"/>
                <w:szCs w:val="20"/>
                <w:lang w:eastAsia="en-GB"/>
              </w:rPr>
            </w:pPr>
            <w:r w:rsidRPr="00475D47">
              <w:rPr>
                <w:rFonts w:ascii="Georgia" w:hAnsi="Georgia" w:cs="Calibri"/>
                <w:b/>
                <w:color w:val="404040" w:themeColor="text1" w:themeTint="BF"/>
                <w:sz w:val="20"/>
                <w:szCs w:val="20"/>
                <w:lang w:eastAsia="en-GB"/>
              </w:rPr>
              <w:t>Power price movement</w:t>
            </w:r>
          </w:p>
        </w:tc>
        <w:tc>
          <w:tcPr>
            <w:tcW w:w="1074" w:type="dxa"/>
            <w:gridSpan w:val="2"/>
            <w:tcBorders>
              <w:top w:val="nil"/>
              <w:left w:val="nil"/>
              <w:bottom w:val="nil"/>
              <w:right w:val="nil"/>
            </w:tcBorders>
            <w:shd w:val="clear" w:color="auto" w:fill="auto"/>
            <w:hideMark/>
          </w:tcPr>
          <w:p w14:paraId="529B362F" w14:textId="4A090B8F"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(56.4)</w:t>
            </w:r>
          </w:p>
        </w:tc>
        <w:tc>
          <w:tcPr>
            <w:tcW w:w="779" w:type="dxa"/>
            <w:tcBorders>
              <w:top w:val="nil"/>
              <w:left w:val="nil"/>
              <w:bottom w:val="nil"/>
              <w:right w:val="nil"/>
            </w:tcBorders>
            <w:shd w:val="clear" w:color="auto" w:fill="auto"/>
            <w:hideMark/>
          </w:tcPr>
          <w:p w14:paraId="277A8E9B"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310" w:type="dxa"/>
            <w:tcBorders>
              <w:top w:val="nil"/>
              <w:left w:val="nil"/>
              <w:bottom w:val="nil"/>
              <w:right w:val="nil"/>
            </w:tcBorders>
            <w:shd w:val="clear" w:color="auto" w:fill="auto"/>
            <w:hideMark/>
          </w:tcPr>
          <w:p w14:paraId="23BD8882"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188" w:type="dxa"/>
            <w:tcBorders>
              <w:top w:val="nil"/>
              <w:left w:val="nil"/>
              <w:bottom w:val="nil"/>
              <w:right w:val="nil"/>
            </w:tcBorders>
            <w:shd w:val="clear" w:color="auto" w:fill="auto"/>
          </w:tcPr>
          <w:p w14:paraId="392A9F8B" w14:textId="580D5BB1"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bCs/>
                <w:color w:val="404040" w:themeColor="text1" w:themeTint="BF"/>
                <w:sz w:val="20"/>
                <w:szCs w:val="20"/>
                <w:lang w:eastAsia="en-GB"/>
              </w:rPr>
              <w:t>(9.9)</w:t>
            </w:r>
            <w:r w:rsidR="007B66C1" w:rsidRPr="00475D47">
              <w:rPr>
                <w:rFonts w:ascii="Georgia" w:hAnsi="Georgia" w:cs="Calibri"/>
                <w:color w:val="404040" w:themeColor="text1" w:themeTint="BF"/>
                <w:sz w:val="20"/>
                <w:szCs w:val="20"/>
                <w:lang w:eastAsia="en-GB"/>
              </w:rPr>
              <w:t>%</w:t>
            </w:r>
          </w:p>
        </w:tc>
        <w:tc>
          <w:tcPr>
            <w:tcW w:w="581" w:type="dxa"/>
            <w:tcBorders>
              <w:top w:val="nil"/>
              <w:left w:val="nil"/>
              <w:bottom w:val="nil"/>
              <w:right w:val="nil"/>
            </w:tcBorders>
            <w:shd w:val="clear" w:color="auto" w:fill="auto"/>
          </w:tcPr>
          <w:p w14:paraId="333779CE" w14:textId="77777777" w:rsidR="007B66C1" w:rsidRPr="00475D47" w:rsidRDefault="007B66C1" w:rsidP="006F0858">
            <w:pPr>
              <w:jc w:val="right"/>
              <w:rPr>
                <w:rFonts w:ascii="Georgia" w:hAnsi="Georgia" w:cs="Calibri"/>
                <w:color w:val="404040" w:themeColor="text1" w:themeTint="BF"/>
                <w:sz w:val="20"/>
                <w:szCs w:val="20"/>
                <w:lang w:eastAsia="en-GB"/>
              </w:rPr>
            </w:pPr>
          </w:p>
        </w:tc>
      </w:tr>
      <w:tr w:rsidR="007B66C1" w:rsidRPr="00904E51" w14:paraId="0E3D908E" w14:textId="77777777" w:rsidTr="00475D47">
        <w:trPr>
          <w:gridAfter w:val="1"/>
          <w:wAfter w:w="581" w:type="dxa"/>
          <w:trHeight w:val="284"/>
        </w:trPr>
        <w:tc>
          <w:tcPr>
            <w:tcW w:w="4736" w:type="dxa"/>
            <w:gridSpan w:val="2"/>
            <w:tcBorders>
              <w:top w:val="nil"/>
              <w:left w:val="nil"/>
              <w:bottom w:val="nil"/>
              <w:right w:val="nil"/>
            </w:tcBorders>
            <w:shd w:val="clear" w:color="auto" w:fill="auto"/>
          </w:tcPr>
          <w:p w14:paraId="6547C50A" w14:textId="138380FA" w:rsidR="007B66C1" w:rsidRPr="00475D47" w:rsidRDefault="0092503F" w:rsidP="006F0858">
            <w:pPr>
              <w:jc w:val="both"/>
              <w:rPr>
                <w:rFonts w:ascii="Georgia" w:hAnsi="Georgia" w:cs="Calibri"/>
                <w:b/>
                <w:color w:val="404040" w:themeColor="text1" w:themeTint="BF"/>
                <w:sz w:val="20"/>
                <w:szCs w:val="20"/>
                <w:lang w:eastAsia="en-GB"/>
              </w:rPr>
            </w:pPr>
            <w:r w:rsidRPr="00475D47">
              <w:rPr>
                <w:rFonts w:ascii="Georgia" w:hAnsi="Georgia" w:cs="Calibri"/>
                <w:b/>
                <w:bCs/>
                <w:color w:val="404040" w:themeColor="text1" w:themeTint="BF"/>
                <w:sz w:val="20"/>
                <w:szCs w:val="20"/>
                <w:lang w:eastAsia="en-GB"/>
              </w:rPr>
              <w:t>Updated Corporate Tax rate to 19</w:t>
            </w:r>
            <w:r w:rsidR="004827D7">
              <w:rPr>
                <w:rFonts w:ascii="Georgia" w:hAnsi="Georgia" w:cs="Calibri"/>
                <w:b/>
                <w:bCs/>
                <w:color w:val="404040" w:themeColor="text1" w:themeTint="BF"/>
                <w:sz w:val="20"/>
                <w:szCs w:val="20"/>
                <w:lang w:eastAsia="en-GB"/>
              </w:rPr>
              <w:t>.0</w:t>
            </w:r>
            <w:r w:rsidRPr="00475D47">
              <w:rPr>
                <w:rFonts w:ascii="Georgia" w:hAnsi="Georgia" w:cs="Calibri"/>
                <w:b/>
                <w:bCs/>
                <w:color w:val="404040" w:themeColor="text1" w:themeTint="BF"/>
                <w:sz w:val="20"/>
                <w:szCs w:val="20"/>
                <w:lang w:eastAsia="en-GB"/>
              </w:rPr>
              <w:t>%</w:t>
            </w:r>
            <w:r w:rsidR="007B66C1" w:rsidRPr="00475D47">
              <w:rPr>
                <w:rFonts w:ascii="Georgia" w:hAnsi="Georgia" w:cs="Calibri"/>
                <w:b/>
                <w:bCs/>
                <w:color w:val="404040" w:themeColor="text1" w:themeTint="BF"/>
                <w:sz w:val="20"/>
                <w:szCs w:val="20"/>
                <w:lang w:eastAsia="en-GB"/>
              </w:rPr>
              <w:t xml:space="preserve"> </w:t>
            </w:r>
          </w:p>
        </w:tc>
        <w:tc>
          <w:tcPr>
            <w:tcW w:w="1074" w:type="dxa"/>
            <w:gridSpan w:val="2"/>
            <w:tcBorders>
              <w:top w:val="nil"/>
              <w:left w:val="nil"/>
              <w:bottom w:val="nil"/>
              <w:right w:val="nil"/>
            </w:tcBorders>
            <w:shd w:val="clear" w:color="auto" w:fill="auto"/>
          </w:tcPr>
          <w:p w14:paraId="0D5F0959" w14:textId="36F7AAF9"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(5.8)</w:t>
            </w:r>
          </w:p>
        </w:tc>
        <w:tc>
          <w:tcPr>
            <w:tcW w:w="779" w:type="dxa"/>
            <w:tcBorders>
              <w:top w:val="nil"/>
              <w:left w:val="nil"/>
              <w:bottom w:val="nil"/>
              <w:right w:val="nil"/>
            </w:tcBorders>
            <w:shd w:val="clear" w:color="auto" w:fill="auto"/>
          </w:tcPr>
          <w:p w14:paraId="11F6405A"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310" w:type="dxa"/>
            <w:tcBorders>
              <w:top w:val="nil"/>
              <w:left w:val="nil"/>
              <w:bottom w:val="nil"/>
              <w:right w:val="nil"/>
            </w:tcBorders>
            <w:shd w:val="clear" w:color="auto" w:fill="auto"/>
          </w:tcPr>
          <w:p w14:paraId="2F0F65D5"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188" w:type="dxa"/>
            <w:tcBorders>
              <w:top w:val="nil"/>
              <w:left w:val="nil"/>
              <w:bottom w:val="nil"/>
              <w:right w:val="nil"/>
            </w:tcBorders>
            <w:shd w:val="clear" w:color="auto" w:fill="auto"/>
          </w:tcPr>
          <w:p w14:paraId="7CC26B80" w14:textId="5666D61E"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bCs/>
                <w:color w:val="404040" w:themeColor="text1" w:themeTint="BF"/>
                <w:sz w:val="20"/>
                <w:szCs w:val="20"/>
                <w:lang w:eastAsia="en-GB"/>
              </w:rPr>
              <w:t>(0.9)</w:t>
            </w:r>
            <w:r w:rsidR="007B66C1" w:rsidRPr="00475D47">
              <w:rPr>
                <w:rFonts w:ascii="Georgia" w:hAnsi="Georgia" w:cs="Calibri"/>
                <w:color w:val="404040" w:themeColor="text1" w:themeTint="BF"/>
                <w:sz w:val="20"/>
                <w:szCs w:val="20"/>
                <w:lang w:eastAsia="en-GB"/>
              </w:rPr>
              <w:t>%</w:t>
            </w:r>
          </w:p>
        </w:tc>
        <w:tc>
          <w:tcPr>
            <w:tcW w:w="581" w:type="dxa"/>
            <w:tcBorders>
              <w:top w:val="nil"/>
              <w:left w:val="nil"/>
              <w:bottom w:val="nil"/>
              <w:right w:val="nil"/>
            </w:tcBorders>
            <w:shd w:val="clear" w:color="auto" w:fill="auto"/>
          </w:tcPr>
          <w:p w14:paraId="49A30682" w14:textId="77777777" w:rsidR="007B66C1" w:rsidRPr="00475D47" w:rsidRDefault="007B66C1" w:rsidP="006F0858">
            <w:pPr>
              <w:jc w:val="right"/>
              <w:rPr>
                <w:rFonts w:ascii="Georgia" w:hAnsi="Georgia" w:cs="Calibri"/>
                <w:color w:val="404040" w:themeColor="text1" w:themeTint="BF"/>
                <w:sz w:val="20"/>
                <w:szCs w:val="20"/>
                <w:lang w:eastAsia="en-GB"/>
              </w:rPr>
            </w:pPr>
          </w:p>
        </w:tc>
      </w:tr>
      <w:tr w:rsidR="007B66C1" w:rsidRPr="00904E51" w14:paraId="0F949A7B" w14:textId="77777777" w:rsidTr="00475D47">
        <w:trPr>
          <w:gridAfter w:val="1"/>
          <w:wAfter w:w="581" w:type="dxa"/>
          <w:trHeight w:val="284"/>
        </w:trPr>
        <w:tc>
          <w:tcPr>
            <w:tcW w:w="4736" w:type="dxa"/>
            <w:gridSpan w:val="2"/>
            <w:tcBorders>
              <w:top w:val="nil"/>
              <w:left w:val="nil"/>
              <w:bottom w:val="nil"/>
              <w:right w:val="nil"/>
            </w:tcBorders>
            <w:shd w:val="clear" w:color="auto" w:fill="auto"/>
          </w:tcPr>
          <w:p w14:paraId="6ADF5D91" w14:textId="42311790" w:rsidR="007B66C1" w:rsidRPr="00475D47" w:rsidRDefault="0092503F" w:rsidP="006F0858">
            <w:pPr>
              <w:jc w:val="both"/>
              <w:rPr>
                <w:rFonts w:ascii="Georgia" w:hAnsi="Georgia" w:cs="Calibri"/>
                <w:b/>
                <w:color w:val="404040" w:themeColor="text1" w:themeTint="BF"/>
                <w:sz w:val="20"/>
                <w:szCs w:val="20"/>
                <w:lang w:eastAsia="en-GB"/>
              </w:rPr>
            </w:pPr>
            <w:r w:rsidRPr="00475D47">
              <w:rPr>
                <w:rFonts w:ascii="Georgia" w:hAnsi="Georgia" w:cs="Calibri"/>
                <w:b/>
                <w:bCs/>
                <w:color w:val="404040" w:themeColor="text1" w:themeTint="BF"/>
                <w:sz w:val="20"/>
                <w:szCs w:val="20"/>
                <w:lang w:eastAsia="en-GB"/>
              </w:rPr>
              <w:t>Asset life extensions</w:t>
            </w:r>
            <w:r w:rsidRPr="00475D47" w:rsidDel="0092503F">
              <w:rPr>
                <w:rFonts w:ascii="Georgia" w:hAnsi="Georgia" w:cs="Calibri"/>
                <w:b/>
                <w:bCs/>
                <w:color w:val="404040" w:themeColor="text1" w:themeTint="BF"/>
                <w:sz w:val="20"/>
                <w:szCs w:val="20"/>
                <w:lang w:eastAsia="en-GB"/>
              </w:rPr>
              <w:t xml:space="preserve"> </w:t>
            </w:r>
          </w:p>
        </w:tc>
        <w:tc>
          <w:tcPr>
            <w:tcW w:w="1074" w:type="dxa"/>
            <w:gridSpan w:val="2"/>
            <w:tcBorders>
              <w:top w:val="nil"/>
              <w:left w:val="nil"/>
              <w:bottom w:val="nil"/>
              <w:right w:val="nil"/>
            </w:tcBorders>
            <w:shd w:val="clear" w:color="auto" w:fill="auto"/>
          </w:tcPr>
          <w:p w14:paraId="1615768B" w14:textId="7061C0E8"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15.1</w:t>
            </w:r>
          </w:p>
        </w:tc>
        <w:tc>
          <w:tcPr>
            <w:tcW w:w="779" w:type="dxa"/>
            <w:tcBorders>
              <w:top w:val="nil"/>
              <w:left w:val="nil"/>
              <w:bottom w:val="nil"/>
              <w:right w:val="nil"/>
            </w:tcBorders>
            <w:shd w:val="clear" w:color="auto" w:fill="auto"/>
          </w:tcPr>
          <w:p w14:paraId="50717781"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310" w:type="dxa"/>
            <w:tcBorders>
              <w:top w:val="nil"/>
              <w:left w:val="nil"/>
              <w:bottom w:val="nil"/>
              <w:right w:val="nil"/>
            </w:tcBorders>
            <w:shd w:val="clear" w:color="auto" w:fill="auto"/>
          </w:tcPr>
          <w:p w14:paraId="2C0274DE"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188" w:type="dxa"/>
            <w:tcBorders>
              <w:top w:val="nil"/>
              <w:left w:val="nil"/>
              <w:bottom w:val="nil"/>
              <w:right w:val="nil"/>
            </w:tcBorders>
            <w:shd w:val="clear" w:color="auto" w:fill="auto"/>
          </w:tcPr>
          <w:p w14:paraId="754A3CCA" w14:textId="21972B22" w:rsidR="007B66C1" w:rsidRPr="00475D47" w:rsidRDefault="0092503F" w:rsidP="006F0858">
            <w:pPr>
              <w:jc w:val="right"/>
              <w:rPr>
                <w:rFonts w:ascii="Georgia" w:hAnsi="Georgia" w:cs="Calibri"/>
                <w:color w:val="404040" w:themeColor="text1" w:themeTint="BF"/>
                <w:sz w:val="20"/>
                <w:szCs w:val="20"/>
                <w:lang w:eastAsia="en-GB"/>
              </w:rPr>
            </w:pPr>
            <w:r>
              <w:rPr>
                <w:rFonts w:ascii="Georgia" w:hAnsi="Georgia" w:cs="Calibri"/>
                <w:bCs/>
                <w:color w:val="404040" w:themeColor="text1" w:themeTint="BF"/>
                <w:sz w:val="20"/>
                <w:szCs w:val="20"/>
                <w:lang w:eastAsia="en-GB"/>
              </w:rPr>
              <w:t>2</w:t>
            </w:r>
            <w:r w:rsidR="007B66C1" w:rsidRPr="00475D47">
              <w:rPr>
                <w:rFonts w:ascii="Georgia" w:hAnsi="Georgia" w:cs="Calibri"/>
                <w:color w:val="404040" w:themeColor="text1" w:themeTint="BF"/>
                <w:sz w:val="20"/>
                <w:szCs w:val="20"/>
                <w:lang w:eastAsia="en-GB"/>
              </w:rPr>
              <w:t>.4%</w:t>
            </w:r>
          </w:p>
        </w:tc>
        <w:tc>
          <w:tcPr>
            <w:tcW w:w="581" w:type="dxa"/>
            <w:tcBorders>
              <w:top w:val="nil"/>
              <w:left w:val="nil"/>
              <w:bottom w:val="nil"/>
              <w:right w:val="nil"/>
            </w:tcBorders>
            <w:shd w:val="clear" w:color="auto" w:fill="auto"/>
          </w:tcPr>
          <w:p w14:paraId="3C0B10E9" w14:textId="77777777" w:rsidR="007B66C1" w:rsidRPr="00475D47" w:rsidRDefault="007B66C1" w:rsidP="006F0858">
            <w:pPr>
              <w:jc w:val="right"/>
              <w:rPr>
                <w:rFonts w:ascii="Georgia" w:hAnsi="Georgia" w:cs="Calibri"/>
                <w:color w:val="404040" w:themeColor="text1" w:themeTint="BF"/>
                <w:sz w:val="20"/>
                <w:szCs w:val="20"/>
                <w:lang w:eastAsia="en-GB"/>
              </w:rPr>
            </w:pPr>
          </w:p>
        </w:tc>
      </w:tr>
      <w:tr w:rsidR="007B66C1" w:rsidRPr="00904E51" w14:paraId="781F1377" w14:textId="77777777" w:rsidTr="00475D47">
        <w:trPr>
          <w:trHeight w:val="284"/>
        </w:trPr>
        <w:tc>
          <w:tcPr>
            <w:tcW w:w="4736" w:type="dxa"/>
            <w:gridSpan w:val="2"/>
            <w:tcBorders>
              <w:top w:val="nil"/>
              <w:left w:val="nil"/>
              <w:bottom w:val="nil"/>
              <w:right w:val="nil"/>
            </w:tcBorders>
            <w:shd w:val="clear" w:color="auto" w:fill="auto"/>
          </w:tcPr>
          <w:p w14:paraId="52F7205F" w14:textId="3F5E8DD2" w:rsidR="007B66C1" w:rsidRPr="00475D47" w:rsidDel="00D70741" w:rsidRDefault="0092503F" w:rsidP="006F0858">
            <w:pPr>
              <w:jc w:val="both"/>
              <w:rPr>
                <w:rFonts w:ascii="Georgia" w:hAnsi="Georgia" w:cs="Calibri"/>
                <w:b/>
                <w:color w:val="404040" w:themeColor="text1" w:themeTint="BF"/>
                <w:sz w:val="20"/>
                <w:szCs w:val="20"/>
                <w:lang w:eastAsia="en-GB"/>
              </w:rPr>
            </w:pPr>
            <w:r w:rsidRPr="00475D47">
              <w:rPr>
                <w:rFonts w:ascii="Georgia" w:hAnsi="Georgia" w:cs="Calibri"/>
                <w:b/>
                <w:bCs/>
                <w:color w:val="404040" w:themeColor="text1" w:themeTint="BF"/>
                <w:sz w:val="20"/>
                <w:szCs w:val="20"/>
                <w:lang w:eastAsia="en-GB"/>
              </w:rPr>
              <w:t>Equity discount rate change to 6</w:t>
            </w:r>
            <w:r w:rsidR="004827D7">
              <w:rPr>
                <w:rFonts w:ascii="Georgia" w:hAnsi="Georgia" w:cs="Calibri"/>
                <w:b/>
                <w:bCs/>
                <w:color w:val="404040" w:themeColor="text1" w:themeTint="BF"/>
                <w:sz w:val="20"/>
                <w:szCs w:val="20"/>
                <w:lang w:eastAsia="en-GB"/>
              </w:rPr>
              <w:t>.0</w:t>
            </w:r>
            <w:r w:rsidRPr="00475D47">
              <w:rPr>
                <w:rFonts w:ascii="Georgia" w:hAnsi="Georgia" w:cs="Calibri"/>
                <w:b/>
                <w:bCs/>
                <w:color w:val="404040" w:themeColor="text1" w:themeTint="BF"/>
                <w:sz w:val="20"/>
                <w:szCs w:val="20"/>
                <w:lang w:eastAsia="en-GB"/>
              </w:rPr>
              <w:t>%</w:t>
            </w:r>
          </w:p>
        </w:tc>
        <w:tc>
          <w:tcPr>
            <w:tcW w:w="1074" w:type="dxa"/>
            <w:gridSpan w:val="2"/>
            <w:tcBorders>
              <w:top w:val="nil"/>
              <w:left w:val="nil"/>
              <w:bottom w:val="nil"/>
              <w:right w:val="nil"/>
            </w:tcBorders>
            <w:shd w:val="clear" w:color="auto" w:fill="auto"/>
          </w:tcPr>
          <w:p w14:paraId="6DA1C57C" w14:textId="29737C4B"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42.7</w:t>
            </w:r>
          </w:p>
        </w:tc>
        <w:tc>
          <w:tcPr>
            <w:tcW w:w="779" w:type="dxa"/>
            <w:tcBorders>
              <w:top w:val="nil"/>
              <w:left w:val="nil"/>
              <w:bottom w:val="nil"/>
              <w:right w:val="nil"/>
            </w:tcBorders>
            <w:shd w:val="clear" w:color="auto" w:fill="auto"/>
          </w:tcPr>
          <w:p w14:paraId="7222123E"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310" w:type="dxa"/>
            <w:tcBorders>
              <w:top w:val="nil"/>
              <w:left w:val="nil"/>
              <w:bottom w:val="nil"/>
              <w:right w:val="nil"/>
            </w:tcBorders>
            <w:shd w:val="clear" w:color="auto" w:fill="auto"/>
          </w:tcPr>
          <w:p w14:paraId="2022B974"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188" w:type="dxa"/>
            <w:tcBorders>
              <w:top w:val="nil"/>
              <w:left w:val="nil"/>
              <w:bottom w:val="nil"/>
              <w:right w:val="nil"/>
            </w:tcBorders>
            <w:shd w:val="clear" w:color="auto" w:fill="auto"/>
          </w:tcPr>
          <w:p w14:paraId="6F316464" w14:textId="4E741C44"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bCs/>
                <w:color w:val="404040" w:themeColor="text1" w:themeTint="BF"/>
                <w:sz w:val="20"/>
                <w:szCs w:val="20"/>
                <w:lang w:eastAsia="en-GB"/>
              </w:rPr>
              <w:t>6.9</w:t>
            </w:r>
            <w:r w:rsidR="007B66C1" w:rsidRPr="00475D47">
              <w:rPr>
                <w:rFonts w:ascii="Georgia" w:hAnsi="Georgia" w:cs="Calibri"/>
                <w:color w:val="404040" w:themeColor="text1" w:themeTint="BF"/>
                <w:sz w:val="20"/>
                <w:szCs w:val="20"/>
                <w:lang w:eastAsia="en-GB"/>
              </w:rPr>
              <w:t>%</w:t>
            </w:r>
          </w:p>
        </w:tc>
        <w:tc>
          <w:tcPr>
            <w:tcW w:w="581" w:type="dxa"/>
            <w:gridSpan w:val="2"/>
            <w:tcBorders>
              <w:top w:val="nil"/>
              <w:left w:val="nil"/>
              <w:bottom w:val="nil"/>
              <w:right w:val="nil"/>
            </w:tcBorders>
            <w:shd w:val="clear" w:color="auto" w:fill="auto"/>
          </w:tcPr>
          <w:p w14:paraId="54E53495" w14:textId="77777777" w:rsidR="007B66C1" w:rsidRPr="00475D47" w:rsidRDefault="007B66C1" w:rsidP="006F0858">
            <w:pPr>
              <w:jc w:val="right"/>
              <w:rPr>
                <w:rFonts w:ascii="Georgia" w:hAnsi="Georgia" w:cs="Calibri"/>
                <w:color w:val="404040" w:themeColor="text1" w:themeTint="BF"/>
                <w:sz w:val="20"/>
                <w:szCs w:val="20"/>
                <w:lang w:eastAsia="en-GB"/>
              </w:rPr>
            </w:pPr>
          </w:p>
        </w:tc>
      </w:tr>
      <w:tr w:rsidR="007B66C1" w:rsidRPr="00904E51" w14:paraId="73A6D76D" w14:textId="77777777" w:rsidTr="00475D47">
        <w:trPr>
          <w:gridAfter w:val="1"/>
          <w:wAfter w:w="581" w:type="dxa"/>
          <w:trHeight w:val="284"/>
        </w:trPr>
        <w:tc>
          <w:tcPr>
            <w:tcW w:w="4736" w:type="dxa"/>
            <w:gridSpan w:val="2"/>
            <w:tcBorders>
              <w:top w:val="nil"/>
              <w:left w:val="nil"/>
              <w:bottom w:val="nil"/>
              <w:right w:val="nil"/>
            </w:tcBorders>
            <w:shd w:val="clear" w:color="auto" w:fill="auto"/>
          </w:tcPr>
          <w:p w14:paraId="5B3AA62E" w14:textId="77777777" w:rsidR="007B66C1" w:rsidRPr="00475D47" w:rsidRDefault="007B66C1" w:rsidP="006F0858">
            <w:pPr>
              <w:jc w:val="both"/>
              <w:rPr>
                <w:rFonts w:ascii="Georgia" w:hAnsi="Georgia" w:cs="Calibri"/>
                <w:b/>
                <w:color w:val="404040" w:themeColor="text1" w:themeTint="BF"/>
                <w:sz w:val="20"/>
                <w:szCs w:val="20"/>
                <w:lang w:eastAsia="en-GB"/>
              </w:rPr>
            </w:pPr>
            <w:r w:rsidRPr="00475D47">
              <w:rPr>
                <w:rFonts w:ascii="Georgia" w:hAnsi="Georgia" w:cs="Calibri"/>
                <w:b/>
                <w:color w:val="404040" w:themeColor="text1" w:themeTint="BF"/>
                <w:sz w:val="20"/>
                <w:szCs w:val="20"/>
                <w:lang w:eastAsia="en-GB"/>
              </w:rPr>
              <w:t>Balance of portfolio return</w:t>
            </w:r>
          </w:p>
        </w:tc>
        <w:tc>
          <w:tcPr>
            <w:tcW w:w="1074" w:type="dxa"/>
            <w:gridSpan w:val="2"/>
            <w:tcBorders>
              <w:top w:val="nil"/>
              <w:left w:val="nil"/>
              <w:bottom w:val="nil"/>
              <w:right w:val="nil"/>
            </w:tcBorders>
            <w:shd w:val="clear" w:color="auto" w:fill="auto"/>
          </w:tcPr>
          <w:p w14:paraId="7406068E" w14:textId="576D406E"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color w:val="404040" w:themeColor="text1" w:themeTint="BF"/>
                <w:sz w:val="20"/>
                <w:szCs w:val="20"/>
                <w:lang w:eastAsia="en-GB"/>
              </w:rPr>
              <w:t>40.7</w:t>
            </w:r>
          </w:p>
        </w:tc>
        <w:tc>
          <w:tcPr>
            <w:tcW w:w="779" w:type="dxa"/>
            <w:tcBorders>
              <w:top w:val="nil"/>
              <w:left w:val="nil"/>
              <w:bottom w:val="nil"/>
              <w:right w:val="nil"/>
            </w:tcBorders>
            <w:shd w:val="clear" w:color="auto" w:fill="auto"/>
          </w:tcPr>
          <w:p w14:paraId="2636593E"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310" w:type="dxa"/>
            <w:tcBorders>
              <w:top w:val="nil"/>
              <w:left w:val="nil"/>
              <w:bottom w:val="nil"/>
              <w:right w:val="nil"/>
            </w:tcBorders>
            <w:shd w:val="clear" w:color="auto" w:fill="auto"/>
          </w:tcPr>
          <w:p w14:paraId="0E0A697B" w14:textId="77777777" w:rsidR="007B66C1" w:rsidRPr="00475D47" w:rsidRDefault="007B66C1" w:rsidP="006F0858">
            <w:pPr>
              <w:jc w:val="right"/>
              <w:rPr>
                <w:rFonts w:ascii="Georgia" w:hAnsi="Georgia" w:cs="Calibri"/>
                <w:b/>
                <w:color w:val="404040" w:themeColor="text1" w:themeTint="BF"/>
                <w:sz w:val="20"/>
                <w:szCs w:val="20"/>
                <w:lang w:eastAsia="en-GB"/>
              </w:rPr>
            </w:pPr>
          </w:p>
        </w:tc>
        <w:tc>
          <w:tcPr>
            <w:tcW w:w="1188" w:type="dxa"/>
            <w:tcBorders>
              <w:top w:val="nil"/>
              <w:left w:val="nil"/>
              <w:bottom w:val="nil"/>
              <w:right w:val="nil"/>
            </w:tcBorders>
            <w:shd w:val="clear" w:color="auto" w:fill="auto"/>
          </w:tcPr>
          <w:p w14:paraId="407D51E0" w14:textId="154DB31A" w:rsidR="007B66C1" w:rsidRPr="00475D47" w:rsidRDefault="0092503F" w:rsidP="006F0858">
            <w:pPr>
              <w:jc w:val="right"/>
              <w:rPr>
                <w:rFonts w:ascii="Georgia" w:hAnsi="Georgia" w:cs="Calibri"/>
                <w:color w:val="404040" w:themeColor="text1" w:themeTint="BF"/>
                <w:sz w:val="20"/>
                <w:szCs w:val="20"/>
                <w:lang w:eastAsia="en-GB"/>
              </w:rPr>
            </w:pPr>
            <w:r w:rsidRPr="00475D47">
              <w:rPr>
                <w:rFonts w:ascii="Georgia" w:hAnsi="Georgia" w:cs="Calibri"/>
                <w:bCs/>
                <w:color w:val="404040" w:themeColor="text1" w:themeTint="BF"/>
                <w:sz w:val="20"/>
                <w:szCs w:val="20"/>
                <w:lang w:eastAsia="en-GB"/>
              </w:rPr>
              <w:t>6.6</w:t>
            </w:r>
            <w:r w:rsidR="007B66C1" w:rsidRPr="00475D47">
              <w:rPr>
                <w:rFonts w:ascii="Georgia" w:hAnsi="Georgia" w:cs="Calibri"/>
                <w:color w:val="404040" w:themeColor="text1" w:themeTint="BF"/>
                <w:sz w:val="20"/>
                <w:szCs w:val="20"/>
                <w:lang w:eastAsia="en-GB"/>
              </w:rPr>
              <w:t>%</w:t>
            </w:r>
          </w:p>
        </w:tc>
        <w:tc>
          <w:tcPr>
            <w:tcW w:w="581" w:type="dxa"/>
            <w:tcBorders>
              <w:top w:val="nil"/>
              <w:left w:val="nil"/>
              <w:bottom w:val="nil"/>
              <w:right w:val="nil"/>
            </w:tcBorders>
            <w:shd w:val="clear" w:color="auto" w:fill="auto"/>
          </w:tcPr>
          <w:p w14:paraId="22BACF13" w14:textId="77777777" w:rsidR="007B66C1" w:rsidRPr="00475D47" w:rsidRDefault="007B66C1" w:rsidP="006F0858">
            <w:pPr>
              <w:jc w:val="right"/>
              <w:rPr>
                <w:rFonts w:ascii="Georgia" w:hAnsi="Georgia" w:cs="Calibri"/>
                <w:color w:val="404040" w:themeColor="text1" w:themeTint="BF"/>
                <w:sz w:val="20"/>
                <w:szCs w:val="20"/>
                <w:lang w:eastAsia="en-GB"/>
              </w:rPr>
            </w:pPr>
          </w:p>
        </w:tc>
      </w:tr>
      <w:tr w:rsidR="007B66C1" w:rsidRPr="00904E51" w14:paraId="6C3AE695" w14:textId="77777777" w:rsidTr="006F0858">
        <w:trPr>
          <w:gridAfter w:val="1"/>
          <w:wAfter w:w="581" w:type="dxa"/>
          <w:trHeight w:val="284"/>
        </w:trPr>
        <w:tc>
          <w:tcPr>
            <w:tcW w:w="4736" w:type="dxa"/>
            <w:gridSpan w:val="2"/>
            <w:tcBorders>
              <w:top w:val="nil"/>
              <w:left w:val="nil"/>
              <w:bottom w:val="nil"/>
              <w:right w:val="nil"/>
            </w:tcBorders>
            <w:shd w:val="clear" w:color="auto" w:fill="auto"/>
            <w:hideMark/>
          </w:tcPr>
          <w:p w14:paraId="62A37465" w14:textId="77777777" w:rsidR="007B66C1" w:rsidRPr="00904E51" w:rsidRDefault="007B66C1" w:rsidP="006F0858">
            <w:pPr>
              <w:jc w:val="both"/>
              <w:rPr>
                <w:rFonts w:ascii="Georgia" w:hAnsi="Georgia" w:cs="Calibri"/>
                <w:b/>
                <w:bCs/>
                <w:color w:val="404040" w:themeColor="text1" w:themeTint="BF"/>
                <w:sz w:val="20"/>
                <w:szCs w:val="20"/>
                <w:highlight w:val="yellow"/>
                <w:lang w:eastAsia="en-GB"/>
              </w:rPr>
            </w:pPr>
          </w:p>
        </w:tc>
        <w:tc>
          <w:tcPr>
            <w:tcW w:w="1074" w:type="dxa"/>
            <w:gridSpan w:val="2"/>
            <w:tcBorders>
              <w:top w:val="nil"/>
              <w:left w:val="nil"/>
              <w:bottom w:val="nil"/>
              <w:right w:val="nil"/>
            </w:tcBorders>
            <w:shd w:val="clear" w:color="auto" w:fill="auto"/>
            <w:hideMark/>
          </w:tcPr>
          <w:p w14:paraId="33B53403" w14:textId="77777777" w:rsidR="007B66C1" w:rsidRPr="00904E51" w:rsidRDefault="007B66C1" w:rsidP="006F0858">
            <w:pPr>
              <w:jc w:val="right"/>
              <w:rPr>
                <w:rFonts w:ascii="Georgia" w:hAnsi="Georgia" w:cs="Calibri"/>
                <w:color w:val="404040" w:themeColor="text1" w:themeTint="BF"/>
                <w:sz w:val="20"/>
                <w:szCs w:val="20"/>
                <w:highlight w:val="yellow"/>
                <w:lang w:eastAsia="en-GB"/>
              </w:rPr>
            </w:pPr>
          </w:p>
        </w:tc>
        <w:tc>
          <w:tcPr>
            <w:tcW w:w="779" w:type="dxa"/>
            <w:tcBorders>
              <w:top w:val="nil"/>
              <w:left w:val="nil"/>
              <w:bottom w:val="nil"/>
              <w:right w:val="nil"/>
            </w:tcBorders>
            <w:shd w:val="clear" w:color="auto" w:fill="auto"/>
            <w:hideMark/>
          </w:tcPr>
          <w:p w14:paraId="49993174" w14:textId="77777777" w:rsidR="007B66C1" w:rsidRPr="00904E51" w:rsidRDefault="007B66C1" w:rsidP="006F0858">
            <w:pPr>
              <w:jc w:val="right"/>
              <w:rPr>
                <w:rFonts w:ascii="Georgia" w:hAnsi="Georgia" w:cs="Calibri"/>
                <w:b/>
                <w:bCs/>
                <w:color w:val="404040" w:themeColor="text1" w:themeTint="BF"/>
                <w:sz w:val="20"/>
                <w:szCs w:val="20"/>
                <w:highlight w:val="yellow"/>
                <w:lang w:eastAsia="en-GB"/>
              </w:rPr>
            </w:pPr>
          </w:p>
        </w:tc>
        <w:tc>
          <w:tcPr>
            <w:tcW w:w="1310" w:type="dxa"/>
            <w:tcBorders>
              <w:top w:val="nil"/>
              <w:left w:val="nil"/>
              <w:bottom w:val="nil"/>
              <w:right w:val="nil"/>
            </w:tcBorders>
            <w:shd w:val="clear" w:color="auto" w:fill="auto"/>
            <w:hideMark/>
          </w:tcPr>
          <w:p w14:paraId="150B0B3B" w14:textId="77777777" w:rsidR="007B66C1" w:rsidRPr="00904E51" w:rsidRDefault="007B66C1" w:rsidP="006F0858">
            <w:pPr>
              <w:jc w:val="right"/>
              <w:rPr>
                <w:rFonts w:ascii="Georgia" w:hAnsi="Georgia" w:cs="Calibri"/>
                <w:b/>
                <w:bCs/>
                <w:color w:val="404040" w:themeColor="text1" w:themeTint="BF"/>
                <w:sz w:val="20"/>
                <w:szCs w:val="20"/>
                <w:highlight w:val="yellow"/>
                <w:lang w:eastAsia="en-GB"/>
              </w:rPr>
            </w:pPr>
          </w:p>
        </w:tc>
        <w:tc>
          <w:tcPr>
            <w:tcW w:w="1188" w:type="dxa"/>
            <w:tcBorders>
              <w:top w:val="nil"/>
              <w:left w:val="nil"/>
              <w:bottom w:val="nil"/>
              <w:right w:val="nil"/>
            </w:tcBorders>
          </w:tcPr>
          <w:p w14:paraId="63BA92F9" w14:textId="77777777" w:rsidR="007B66C1" w:rsidRPr="00904E51" w:rsidRDefault="007B66C1" w:rsidP="006F0858">
            <w:pPr>
              <w:jc w:val="right"/>
              <w:rPr>
                <w:rFonts w:ascii="Georgia" w:hAnsi="Georgia" w:cs="Calibri"/>
                <w:b/>
                <w:bCs/>
                <w:color w:val="404040" w:themeColor="text1" w:themeTint="BF"/>
                <w:sz w:val="20"/>
                <w:szCs w:val="20"/>
                <w:highlight w:val="yellow"/>
                <w:lang w:eastAsia="en-GB"/>
              </w:rPr>
            </w:pPr>
          </w:p>
        </w:tc>
        <w:tc>
          <w:tcPr>
            <w:tcW w:w="581" w:type="dxa"/>
            <w:tcBorders>
              <w:top w:val="nil"/>
              <w:left w:val="nil"/>
              <w:bottom w:val="nil"/>
              <w:right w:val="nil"/>
            </w:tcBorders>
          </w:tcPr>
          <w:p w14:paraId="07A551AC" w14:textId="77777777" w:rsidR="007B66C1" w:rsidRPr="00904E51" w:rsidRDefault="007B66C1" w:rsidP="006F0858">
            <w:pPr>
              <w:jc w:val="right"/>
              <w:rPr>
                <w:rFonts w:ascii="Georgia" w:hAnsi="Georgia" w:cs="Calibri"/>
                <w:b/>
                <w:bCs/>
                <w:color w:val="404040" w:themeColor="text1" w:themeTint="BF"/>
                <w:sz w:val="20"/>
                <w:szCs w:val="20"/>
                <w:highlight w:val="yellow"/>
                <w:lang w:eastAsia="en-GB"/>
              </w:rPr>
            </w:pPr>
          </w:p>
        </w:tc>
      </w:tr>
      <w:tr w:rsidR="007B66C1" w:rsidRPr="00904E51" w14:paraId="3E428CDE" w14:textId="77777777" w:rsidTr="00475D47">
        <w:trPr>
          <w:gridAfter w:val="1"/>
          <w:wAfter w:w="581" w:type="dxa"/>
          <w:trHeight w:val="394"/>
        </w:trPr>
        <w:tc>
          <w:tcPr>
            <w:tcW w:w="4936" w:type="dxa"/>
            <w:gridSpan w:val="3"/>
            <w:tcBorders>
              <w:top w:val="single" w:sz="8" w:space="0" w:color="auto"/>
              <w:left w:val="nil"/>
              <w:bottom w:val="single" w:sz="8" w:space="0" w:color="auto"/>
              <w:right w:val="nil"/>
            </w:tcBorders>
            <w:shd w:val="clear" w:color="auto" w:fill="auto"/>
            <w:vAlign w:val="center"/>
            <w:hideMark/>
          </w:tcPr>
          <w:p w14:paraId="2AACDDB0" w14:textId="77777777" w:rsidR="007B66C1" w:rsidRPr="00475D47" w:rsidRDefault="007B66C1" w:rsidP="006F0858">
            <w:pPr>
              <w:rPr>
                <w:rFonts w:ascii="Georgia" w:hAnsi="Georgia" w:cs="Calibri"/>
                <w:b/>
                <w:color w:val="404040" w:themeColor="text1" w:themeTint="BF"/>
                <w:sz w:val="20"/>
                <w:szCs w:val="20"/>
                <w:lang w:eastAsia="en-GB"/>
              </w:rPr>
            </w:pPr>
            <w:r w:rsidRPr="00475D47">
              <w:rPr>
                <w:rFonts w:ascii="Georgia" w:hAnsi="Georgia" w:cs="Calibri"/>
                <w:b/>
                <w:color w:val="404040" w:themeColor="text1" w:themeTint="BF"/>
                <w:sz w:val="20"/>
                <w:szCs w:val="20"/>
                <w:lang w:eastAsia="en-GB"/>
              </w:rPr>
              <w:t>30 June 2020 Valuation</w:t>
            </w:r>
          </w:p>
        </w:tc>
        <w:tc>
          <w:tcPr>
            <w:tcW w:w="1653" w:type="dxa"/>
            <w:gridSpan w:val="2"/>
            <w:tcBorders>
              <w:top w:val="single" w:sz="8" w:space="0" w:color="auto"/>
              <w:left w:val="nil"/>
              <w:bottom w:val="single" w:sz="8" w:space="0" w:color="auto"/>
              <w:right w:val="nil"/>
            </w:tcBorders>
            <w:shd w:val="clear" w:color="auto" w:fill="auto"/>
            <w:vAlign w:val="center"/>
            <w:hideMark/>
          </w:tcPr>
          <w:p w14:paraId="44C170A5" w14:textId="77777777" w:rsidR="007B66C1" w:rsidRPr="00475D47" w:rsidRDefault="007B66C1" w:rsidP="006F0858">
            <w:pPr>
              <w:jc w:val="center"/>
              <w:rPr>
                <w:rFonts w:ascii="Georgia" w:hAnsi="Georgia" w:cs="Calibri"/>
                <w:color w:val="404040" w:themeColor="text1" w:themeTint="BF"/>
                <w:lang w:eastAsia="en-GB"/>
              </w:rPr>
            </w:pPr>
          </w:p>
        </w:tc>
        <w:tc>
          <w:tcPr>
            <w:tcW w:w="1310" w:type="dxa"/>
            <w:tcBorders>
              <w:top w:val="single" w:sz="8" w:space="0" w:color="auto"/>
              <w:left w:val="nil"/>
              <w:bottom w:val="single" w:sz="8" w:space="0" w:color="auto"/>
              <w:right w:val="nil"/>
            </w:tcBorders>
            <w:shd w:val="clear" w:color="auto" w:fill="auto"/>
            <w:vAlign w:val="center"/>
            <w:hideMark/>
          </w:tcPr>
          <w:p w14:paraId="4C0B3D43" w14:textId="60DC9894" w:rsidR="007B66C1" w:rsidRPr="00475D47" w:rsidRDefault="007B66C1" w:rsidP="006F0858">
            <w:pPr>
              <w:jc w:val="right"/>
              <w:rPr>
                <w:rFonts w:ascii="Georgia" w:hAnsi="Georgia" w:cs="Calibri"/>
                <w:b/>
                <w:color w:val="404040" w:themeColor="text1" w:themeTint="BF"/>
                <w:sz w:val="20"/>
                <w:szCs w:val="20"/>
                <w:lang w:eastAsia="en-GB"/>
              </w:rPr>
            </w:pPr>
            <w:r w:rsidRPr="00475D47">
              <w:rPr>
                <w:rFonts w:ascii="Georgia" w:hAnsi="Georgia" w:cs="Calibri"/>
                <w:b/>
                <w:bCs/>
                <w:color w:val="404040" w:themeColor="text1" w:themeTint="BF"/>
                <w:sz w:val="20"/>
                <w:szCs w:val="20"/>
                <w:lang w:eastAsia="en-GB"/>
              </w:rPr>
              <w:t>62</w:t>
            </w:r>
            <w:r w:rsidR="0092503F">
              <w:rPr>
                <w:rFonts w:ascii="Georgia" w:hAnsi="Georgia" w:cs="Calibri"/>
                <w:b/>
                <w:bCs/>
                <w:color w:val="404040" w:themeColor="text1" w:themeTint="BF"/>
                <w:sz w:val="20"/>
                <w:szCs w:val="20"/>
                <w:lang w:eastAsia="en-GB"/>
              </w:rPr>
              <w:t>4.3</w:t>
            </w:r>
          </w:p>
        </w:tc>
        <w:tc>
          <w:tcPr>
            <w:tcW w:w="1188" w:type="dxa"/>
            <w:tcBorders>
              <w:top w:val="single" w:sz="8" w:space="0" w:color="auto"/>
              <w:left w:val="nil"/>
              <w:bottom w:val="single" w:sz="8" w:space="0" w:color="auto"/>
              <w:right w:val="nil"/>
            </w:tcBorders>
            <w:shd w:val="clear" w:color="auto" w:fill="auto"/>
            <w:vAlign w:val="center"/>
          </w:tcPr>
          <w:p w14:paraId="663A0C94" w14:textId="09D63F15" w:rsidR="007B66C1" w:rsidRPr="00475D47" w:rsidRDefault="00DA0B79" w:rsidP="006F0858">
            <w:pPr>
              <w:jc w:val="right"/>
              <w:rPr>
                <w:rFonts w:ascii="Georgia" w:hAnsi="Georgia" w:cs="Calibri"/>
                <w:b/>
                <w:color w:val="404040" w:themeColor="text1" w:themeTint="BF"/>
                <w:sz w:val="20"/>
                <w:szCs w:val="20"/>
                <w:lang w:eastAsia="en-GB"/>
              </w:rPr>
            </w:pPr>
            <w:r>
              <w:rPr>
                <w:rFonts w:ascii="Georgia" w:hAnsi="Georgia" w:cs="Calibri"/>
                <w:b/>
                <w:color w:val="404040" w:themeColor="text1" w:themeTint="BF"/>
                <w:sz w:val="20"/>
                <w:szCs w:val="20"/>
                <w:lang w:eastAsia="en-GB"/>
              </w:rPr>
              <w:t>(</w:t>
            </w:r>
            <w:r w:rsidR="007B66C1" w:rsidRPr="00475D47">
              <w:rPr>
                <w:rFonts w:ascii="Georgia" w:hAnsi="Georgia" w:cs="Calibri"/>
                <w:b/>
                <w:color w:val="404040" w:themeColor="text1" w:themeTint="BF"/>
                <w:sz w:val="20"/>
                <w:szCs w:val="20"/>
                <w:lang w:eastAsia="en-GB"/>
              </w:rPr>
              <w:t>1.</w:t>
            </w:r>
            <w:r w:rsidR="0092503F">
              <w:rPr>
                <w:rFonts w:ascii="Georgia" w:hAnsi="Georgia" w:cs="Calibri"/>
                <w:b/>
                <w:bCs/>
                <w:color w:val="404040" w:themeColor="text1" w:themeTint="BF"/>
                <w:sz w:val="20"/>
                <w:szCs w:val="20"/>
                <w:lang w:eastAsia="en-GB"/>
              </w:rPr>
              <w:t>9</w:t>
            </w:r>
            <w:r w:rsidR="007B66C1" w:rsidRPr="00475D47">
              <w:rPr>
                <w:rFonts w:ascii="Georgia" w:hAnsi="Georgia" w:cs="Calibri"/>
                <w:b/>
                <w:color w:val="404040" w:themeColor="text1" w:themeTint="BF"/>
                <w:sz w:val="20"/>
                <w:szCs w:val="20"/>
                <w:lang w:eastAsia="en-GB"/>
              </w:rPr>
              <w:t>%</w:t>
            </w:r>
            <w:r>
              <w:rPr>
                <w:rFonts w:ascii="Georgia" w:hAnsi="Georgia" w:cs="Calibri"/>
                <w:b/>
                <w:color w:val="404040" w:themeColor="text1" w:themeTint="BF"/>
                <w:sz w:val="20"/>
                <w:szCs w:val="20"/>
                <w:lang w:eastAsia="en-GB"/>
              </w:rPr>
              <w:t>)</w:t>
            </w:r>
          </w:p>
        </w:tc>
        <w:tc>
          <w:tcPr>
            <w:tcW w:w="581" w:type="dxa"/>
            <w:tcBorders>
              <w:top w:val="single" w:sz="8" w:space="0" w:color="auto"/>
              <w:left w:val="nil"/>
              <w:bottom w:val="single" w:sz="8" w:space="0" w:color="auto"/>
              <w:right w:val="nil"/>
            </w:tcBorders>
            <w:vAlign w:val="center"/>
          </w:tcPr>
          <w:p w14:paraId="5C01706A" w14:textId="77777777" w:rsidR="007B66C1" w:rsidRPr="00904E51" w:rsidRDefault="007B66C1" w:rsidP="006F0858">
            <w:pPr>
              <w:jc w:val="center"/>
              <w:rPr>
                <w:rFonts w:ascii="Georgia" w:hAnsi="Georgia" w:cs="Calibri"/>
                <w:b/>
                <w:bCs/>
                <w:color w:val="404040" w:themeColor="text1" w:themeTint="BF"/>
                <w:sz w:val="20"/>
                <w:szCs w:val="20"/>
                <w:highlight w:val="yellow"/>
                <w:lang w:eastAsia="en-GB"/>
              </w:rPr>
            </w:pPr>
          </w:p>
        </w:tc>
      </w:tr>
    </w:tbl>
    <w:p w14:paraId="4F1718EF" w14:textId="1D309E1F" w:rsidR="0092503F" w:rsidRPr="002028F0" w:rsidRDefault="007B66C1" w:rsidP="0092503F">
      <w:pPr>
        <w:jc w:val="both"/>
        <w:rPr>
          <w:rFonts w:ascii="Georgia" w:hAnsi="Georgia"/>
          <w:i/>
          <w:sz w:val="18"/>
          <w:szCs w:val="18"/>
        </w:rPr>
      </w:pPr>
      <w:r w:rsidRPr="00475D47">
        <w:rPr>
          <w:rFonts w:ascii="Georgia" w:hAnsi="Georgia"/>
          <w:color w:val="404040" w:themeColor="text1" w:themeTint="BF"/>
          <w:sz w:val="20"/>
          <w:szCs w:val="20"/>
        </w:rPr>
        <w:t xml:space="preserve">#Addition in the period reflects acquisition of </w:t>
      </w:r>
      <w:proofErr w:type="spellStart"/>
      <w:r w:rsidR="0092503F" w:rsidRPr="00475D47">
        <w:rPr>
          <w:rFonts w:ascii="Georgia" w:hAnsi="Georgia"/>
          <w:color w:val="404040" w:themeColor="text1" w:themeTint="BF"/>
          <w:sz w:val="20"/>
          <w:szCs w:val="20"/>
        </w:rPr>
        <w:t>Wormit</w:t>
      </w:r>
      <w:proofErr w:type="spellEnd"/>
      <w:r w:rsidR="0092503F" w:rsidRPr="00475D47">
        <w:rPr>
          <w:rFonts w:ascii="Georgia" w:hAnsi="Georgia"/>
          <w:color w:val="404040" w:themeColor="text1" w:themeTint="BF"/>
          <w:sz w:val="20"/>
          <w:szCs w:val="20"/>
        </w:rPr>
        <w:t xml:space="preserve">, Thornton Lane and </w:t>
      </w:r>
      <w:proofErr w:type="spellStart"/>
      <w:r w:rsidR="0092503F" w:rsidRPr="00475D47">
        <w:rPr>
          <w:rFonts w:ascii="Georgia" w:hAnsi="Georgia"/>
          <w:color w:val="404040" w:themeColor="text1" w:themeTint="BF"/>
          <w:sz w:val="20"/>
          <w:szCs w:val="20"/>
        </w:rPr>
        <w:t>Gre</w:t>
      </w:r>
      <w:r w:rsidR="001A0763">
        <w:rPr>
          <w:rFonts w:ascii="Georgia" w:hAnsi="Georgia"/>
          <w:color w:val="404040" w:themeColor="text1" w:themeTint="BF"/>
          <w:sz w:val="20"/>
          <w:szCs w:val="20"/>
        </w:rPr>
        <w:t>tton</w:t>
      </w:r>
      <w:proofErr w:type="spellEnd"/>
      <w:r w:rsidR="001A0763">
        <w:rPr>
          <w:rFonts w:ascii="Georgia" w:hAnsi="Georgia"/>
          <w:color w:val="404040" w:themeColor="text1" w:themeTint="BF"/>
          <w:sz w:val="20"/>
          <w:szCs w:val="20"/>
        </w:rPr>
        <w:t xml:space="preserve"> plants (13.5MWp in aggregate</w:t>
      </w:r>
      <w:r w:rsidR="0092503F" w:rsidRPr="00475D47">
        <w:rPr>
          <w:rFonts w:ascii="Georgia" w:hAnsi="Georgia"/>
          <w:color w:val="404040" w:themeColor="text1" w:themeTint="BF"/>
          <w:sz w:val="20"/>
          <w:szCs w:val="20"/>
        </w:rPr>
        <w:t>), acquired in January 2020</w:t>
      </w:r>
    </w:p>
    <w:p w14:paraId="1A22EBE1" w14:textId="33BA0757" w:rsidR="007B66C1" w:rsidRPr="00904E51" w:rsidRDefault="007B66C1" w:rsidP="007B66C1">
      <w:pPr>
        <w:jc w:val="both"/>
        <w:rPr>
          <w:rFonts w:ascii="Georgia" w:hAnsi="Georgia"/>
          <w:color w:val="404040" w:themeColor="text1" w:themeTint="BF"/>
          <w:sz w:val="20"/>
          <w:szCs w:val="20"/>
          <w:highlight w:val="yellow"/>
        </w:rPr>
      </w:pPr>
      <w:r w:rsidRPr="00904E51">
        <w:rPr>
          <w:rFonts w:ascii="Georgia" w:hAnsi="Georgia"/>
          <w:color w:val="404040" w:themeColor="text1" w:themeTint="BF"/>
          <w:sz w:val="20"/>
          <w:szCs w:val="20"/>
          <w:highlight w:val="yellow"/>
        </w:rPr>
        <w:t xml:space="preserve"> </w:t>
      </w:r>
    </w:p>
    <w:p w14:paraId="48BFD84D"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02D9D958" w14:textId="02B8605D"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Each movement between the re-based valuation and the 30 June 20</w:t>
      </w:r>
      <w:r w:rsidR="008B0F3F">
        <w:rPr>
          <w:rFonts w:ascii="Georgia" w:hAnsi="Georgia"/>
          <w:color w:val="404040" w:themeColor="text1" w:themeTint="BF"/>
          <w:sz w:val="20"/>
          <w:szCs w:val="20"/>
        </w:rPr>
        <w:t>20</w:t>
      </w:r>
      <w:r w:rsidRPr="00475D47">
        <w:rPr>
          <w:rFonts w:ascii="Georgia" w:hAnsi="Georgia"/>
          <w:color w:val="404040" w:themeColor="text1" w:themeTint="BF"/>
          <w:sz w:val="20"/>
          <w:szCs w:val="20"/>
        </w:rPr>
        <w:t xml:space="preserve"> valuation is considered in turn below: </w:t>
      </w:r>
    </w:p>
    <w:p w14:paraId="7A73B080" w14:textId="77777777" w:rsidR="007B66C1" w:rsidRPr="00904E51" w:rsidRDefault="007B66C1" w:rsidP="007B66C1">
      <w:pPr>
        <w:pStyle w:val="ListParagraph"/>
        <w:jc w:val="both"/>
        <w:rPr>
          <w:rFonts w:ascii="Georgia" w:hAnsi="Georgia"/>
          <w:color w:val="404040" w:themeColor="text1" w:themeTint="BF"/>
          <w:sz w:val="20"/>
          <w:szCs w:val="20"/>
          <w:highlight w:val="yellow"/>
        </w:rPr>
      </w:pPr>
    </w:p>
    <w:p w14:paraId="43470CCC" w14:textId="77777777" w:rsidR="007B66C1" w:rsidRPr="00475D47" w:rsidRDefault="007B66C1" w:rsidP="007B66C1">
      <w:pPr>
        <w:pStyle w:val="ListParagraph"/>
        <w:ind w:left="0"/>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Cash receipts from the Portfolio</w:t>
      </w:r>
    </w:p>
    <w:p w14:paraId="17C2C70D" w14:textId="77777777" w:rsidR="007B66C1" w:rsidRPr="00475D47" w:rsidRDefault="007B66C1" w:rsidP="007B66C1">
      <w:pPr>
        <w:pStyle w:val="ListParagraph"/>
        <w:jc w:val="both"/>
        <w:rPr>
          <w:rFonts w:ascii="Georgia" w:hAnsi="Georgia"/>
          <w:color w:val="404040" w:themeColor="text1" w:themeTint="BF"/>
          <w:sz w:val="20"/>
          <w:szCs w:val="20"/>
        </w:rPr>
      </w:pPr>
    </w:p>
    <w:p w14:paraId="265B0881" w14:textId="77777777" w:rsidR="007B66C1" w:rsidRPr="00475D47" w:rsidRDefault="007B66C1" w:rsidP="007B66C1">
      <w:pPr>
        <w:pStyle w:val="ListParagraph"/>
        <w:ind w:left="0"/>
        <w:jc w:val="both"/>
      </w:pPr>
      <w:r w:rsidRPr="00475D47">
        <w:rPr>
          <w:rFonts w:ascii="Georgia" w:hAnsi="Georgia"/>
          <w:color w:val="404040" w:themeColor="text1" w:themeTint="BF"/>
          <w:sz w:val="20"/>
          <w:szCs w:val="20"/>
        </w:rPr>
        <w:t>This movement reflects the cash payments made from the underlying project companies up to BSIFIL and the Company to enable the companies to settle operating costs and distribution commitments as they fall due within the period.</w:t>
      </w:r>
    </w:p>
    <w:p w14:paraId="0D61FAFB" w14:textId="77777777" w:rsidR="007B66C1" w:rsidRPr="00475D47" w:rsidRDefault="007B66C1" w:rsidP="007B66C1">
      <w:pPr>
        <w:pStyle w:val="ListParagraph"/>
        <w:ind w:left="0"/>
        <w:jc w:val="both"/>
        <w:rPr>
          <w:rFonts w:ascii="Georgia" w:hAnsi="Georgia"/>
          <w:i/>
          <w:color w:val="404040" w:themeColor="text1" w:themeTint="BF"/>
          <w:sz w:val="20"/>
          <w:szCs w:val="20"/>
        </w:rPr>
      </w:pPr>
    </w:p>
    <w:p w14:paraId="02E638EB" w14:textId="77777777" w:rsidR="007B66C1" w:rsidRPr="00475D47" w:rsidRDefault="007B66C1" w:rsidP="007B66C1">
      <w:pPr>
        <w:pStyle w:val="ListParagraph"/>
        <w:ind w:left="0"/>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Power price movement</w:t>
      </w:r>
    </w:p>
    <w:p w14:paraId="552238A8" w14:textId="77777777" w:rsidR="007B66C1" w:rsidRPr="00475D47" w:rsidRDefault="007B66C1" w:rsidP="007B66C1">
      <w:pPr>
        <w:pStyle w:val="ListParagraph"/>
        <w:jc w:val="both"/>
        <w:rPr>
          <w:rFonts w:ascii="Georgia" w:hAnsi="Georgia"/>
          <w:color w:val="404040" w:themeColor="text1" w:themeTint="BF"/>
          <w:sz w:val="20"/>
          <w:szCs w:val="20"/>
        </w:rPr>
      </w:pPr>
    </w:p>
    <w:p w14:paraId="1CE46219" w14:textId="14194256" w:rsidR="007B66C1" w:rsidRPr="00475D47" w:rsidRDefault="007B66C1" w:rsidP="007B66C1">
      <w:pPr>
        <w:jc w:val="both"/>
        <w:rPr>
          <w:rFonts w:ascii="Georgia" w:hAnsi="Georgia"/>
          <w:color w:val="404040" w:themeColor="text1" w:themeTint="BF"/>
          <w:sz w:val="20"/>
          <w:szCs w:val="20"/>
        </w:rPr>
      </w:pPr>
      <w:r w:rsidRPr="00475D47">
        <w:rPr>
          <w:rFonts w:ascii="Georgia" w:hAnsi="Georgia"/>
          <w:color w:val="404040" w:themeColor="text1" w:themeTint="BF"/>
          <w:sz w:val="20"/>
          <w:szCs w:val="20"/>
        </w:rPr>
        <w:t>The Company’s t</w:t>
      </w:r>
      <w:r w:rsidR="005E677E" w:rsidRPr="00475D47">
        <w:rPr>
          <w:rFonts w:ascii="Georgia" w:hAnsi="Georgia"/>
          <w:color w:val="404040" w:themeColor="text1" w:themeTint="BF"/>
          <w:sz w:val="20"/>
          <w:szCs w:val="20"/>
        </w:rPr>
        <w:t>hree</w:t>
      </w:r>
      <w:r w:rsidRPr="00475D47">
        <w:rPr>
          <w:rFonts w:ascii="Georgia" w:hAnsi="Georgia"/>
          <w:color w:val="404040" w:themeColor="text1" w:themeTint="BF"/>
          <w:sz w:val="20"/>
          <w:szCs w:val="20"/>
        </w:rPr>
        <w:t xml:space="preserve"> independent forecasters released updated forecasts in April and June 2020 and these have been applied to the Directors’ Valuation. The impact of adopting an e</w:t>
      </w:r>
      <w:r w:rsidR="005E677E">
        <w:rPr>
          <w:rFonts w:ascii="Georgia" w:hAnsi="Georgia"/>
          <w:color w:val="404040" w:themeColor="text1" w:themeTint="BF"/>
          <w:sz w:val="20"/>
          <w:szCs w:val="20"/>
        </w:rPr>
        <w:t>ven</w:t>
      </w:r>
      <w:r w:rsidRPr="00475D47">
        <w:rPr>
          <w:rFonts w:ascii="Georgia" w:hAnsi="Georgia"/>
          <w:color w:val="404040" w:themeColor="text1" w:themeTint="BF"/>
          <w:sz w:val="20"/>
          <w:szCs w:val="20"/>
        </w:rPr>
        <w:t xml:space="preserve"> blend of t</w:t>
      </w:r>
      <w:r w:rsidR="005E677E">
        <w:rPr>
          <w:rFonts w:ascii="Georgia" w:hAnsi="Georgia"/>
          <w:color w:val="404040" w:themeColor="text1" w:themeTint="BF"/>
          <w:sz w:val="20"/>
          <w:szCs w:val="20"/>
        </w:rPr>
        <w:t>hree</w:t>
      </w:r>
      <w:r w:rsidRPr="00475D47">
        <w:rPr>
          <w:rFonts w:ascii="Georgia" w:hAnsi="Georgia"/>
          <w:color w:val="404040" w:themeColor="text1" w:themeTint="BF"/>
          <w:sz w:val="20"/>
          <w:szCs w:val="20"/>
        </w:rPr>
        <w:t xml:space="preserve"> independent forecasters as well as the latest power price fixes, against power price expectations applied in the 30 June 2019 valuation, results in a valuation </w:t>
      </w:r>
      <w:r w:rsidR="00713341">
        <w:rPr>
          <w:rFonts w:ascii="Georgia" w:hAnsi="Georgia"/>
          <w:color w:val="404040" w:themeColor="text1" w:themeTint="BF"/>
          <w:sz w:val="20"/>
          <w:szCs w:val="20"/>
        </w:rPr>
        <w:t xml:space="preserve">decrease of </w:t>
      </w:r>
      <w:r w:rsidRPr="00475D47">
        <w:rPr>
          <w:rFonts w:ascii="Georgia" w:hAnsi="Georgia"/>
          <w:color w:val="404040" w:themeColor="text1" w:themeTint="BF"/>
          <w:sz w:val="20"/>
          <w:szCs w:val="20"/>
        </w:rPr>
        <w:t>£</w:t>
      </w:r>
      <w:r w:rsidR="00713341">
        <w:rPr>
          <w:rFonts w:ascii="Georgia" w:hAnsi="Georgia"/>
          <w:color w:val="404040" w:themeColor="text1" w:themeTint="BF"/>
          <w:sz w:val="20"/>
          <w:szCs w:val="20"/>
        </w:rPr>
        <w:t>56</w:t>
      </w:r>
      <w:r w:rsidRPr="00475D47">
        <w:rPr>
          <w:rFonts w:ascii="Georgia" w:hAnsi="Georgia"/>
          <w:color w:val="404040" w:themeColor="text1" w:themeTint="BF"/>
          <w:sz w:val="20"/>
          <w:szCs w:val="20"/>
        </w:rPr>
        <w:t>.</w:t>
      </w:r>
      <w:r w:rsidR="00713341">
        <w:rPr>
          <w:rFonts w:ascii="Georgia" w:hAnsi="Georgia"/>
          <w:color w:val="404040" w:themeColor="text1" w:themeTint="BF"/>
          <w:sz w:val="20"/>
          <w:szCs w:val="20"/>
        </w:rPr>
        <w:t>4</w:t>
      </w:r>
      <w:r w:rsidRPr="00475D47">
        <w:rPr>
          <w:rFonts w:ascii="Georgia" w:hAnsi="Georgia"/>
          <w:color w:val="404040" w:themeColor="text1" w:themeTint="BF"/>
          <w:sz w:val="20"/>
          <w:szCs w:val="20"/>
        </w:rPr>
        <w:t>m.</w:t>
      </w:r>
    </w:p>
    <w:p w14:paraId="42D0C31C" w14:textId="77777777" w:rsidR="007B66C1" w:rsidRPr="00475D47" w:rsidRDefault="007B66C1" w:rsidP="007B66C1">
      <w:pPr>
        <w:pStyle w:val="ListParagraph"/>
        <w:ind w:left="0"/>
        <w:jc w:val="both"/>
        <w:rPr>
          <w:rFonts w:ascii="Georgia" w:hAnsi="Georgia"/>
          <w:color w:val="404040" w:themeColor="text1" w:themeTint="BF"/>
          <w:sz w:val="20"/>
          <w:szCs w:val="20"/>
        </w:rPr>
      </w:pPr>
    </w:p>
    <w:p w14:paraId="5DD9E256" w14:textId="669A16C0" w:rsidR="007B66C1" w:rsidRPr="00475D47" w:rsidRDefault="00835D00" w:rsidP="007B66C1">
      <w:pPr>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 xml:space="preserve">Increase in Corporation Tax to 19% </w:t>
      </w:r>
    </w:p>
    <w:p w14:paraId="7A6E8876" w14:textId="7D7617BE" w:rsidR="001B06CF" w:rsidRPr="00475D47" w:rsidRDefault="001B06CF" w:rsidP="007B66C1">
      <w:pPr>
        <w:jc w:val="both"/>
        <w:rPr>
          <w:rFonts w:ascii="Georgia" w:hAnsi="Georgia"/>
          <w:i/>
          <w:color w:val="404040" w:themeColor="text1" w:themeTint="BF"/>
          <w:sz w:val="20"/>
          <w:szCs w:val="20"/>
        </w:rPr>
      </w:pPr>
    </w:p>
    <w:p w14:paraId="34F641B1" w14:textId="2A976DC3" w:rsidR="00EB4AAE" w:rsidRPr="00475D47" w:rsidRDefault="00EB4AAE" w:rsidP="00EB4AAE">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 xml:space="preserve">In </w:t>
      </w:r>
      <w:r w:rsidR="00464357" w:rsidRPr="00475D47">
        <w:rPr>
          <w:rFonts w:ascii="Georgia" w:hAnsi="Georgia"/>
          <w:color w:val="404040" w:themeColor="text1" w:themeTint="BF"/>
          <w:sz w:val="20"/>
          <w:szCs w:val="20"/>
        </w:rPr>
        <w:t>March 2020</w:t>
      </w:r>
      <w:r w:rsidRPr="00475D47">
        <w:rPr>
          <w:rFonts w:ascii="Georgia" w:hAnsi="Georgia"/>
          <w:color w:val="404040" w:themeColor="text1" w:themeTint="BF"/>
          <w:sz w:val="20"/>
          <w:szCs w:val="20"/>
        </w:rPr>
        <w:t xml:space="preserve">, the UK Government announced that </w:t>
      </w:r>
      <w:r w:rsidR="00464357" w:rsidRPr="00475D47">
        <w:rPr>
          <w:rFonts w:ascii="Georgia" w:hAnsi="Georgia"/>
          <w:color w:val="404040" w:themeColor="text1" w:themeTint="BF"/>
          <w:sz w:val="20"/>
          <w:szCs w:val="20"/>
        </w:rPr>
        <w:t>proposed reduction in Corporation Tax from 19% to 17% from April 2020 was being postponed</w:t>
      </w:r>
      <w:r w:rsidR="008C5DEE" w:rsidRPr="00475D47">
        <w:rPr>
          <w:rFonts w:ascii="Georgia" w:hAnsi="Georgia"/>
          <w:color w:val="404040" w:themeColor="text1" w:themeTint="BF"/>
          <w:sz w:val="20"/>
          <w:szCs w:val="20"/>
        </w:rPr>
        <w:t>. As such, the Directors</w:t>
      </w:r>
      <w:r w:rsidR="004704D1">
        <w:rPr>
          <w:rFonts w:ascii="Georgia" w:hAnsi="Georgia"/>
          <w:color w:val="404040" w:themeColor="text1" w:themeTint="BF"/>
          <w:sz w:val="20"/>
          <w:szCs w:val="20"/>
        </w:rPr>
        <w:t>’</w:t>
      </w:r>
      <w:r w:rsidR="008C5DEE" w:rsidRPr="00475D47">
        <w:rPr>
          <w:rFonts w:ascii="Georgia" w:hAnsi="Georgia"/>
          <w:color w:val="404040" w:themeColor="text1" w:themeTint="BF"/>
          <w:sz w:val="20"/>
          <w:szCs w:val="20"/>
        </w:rPr>
        <w:t xml:space="preserve"> valuation has duly </w:t>
      </w:r>
      <w:r w:rsidR="001A0763">
        <w:rPr>
          <w:rFonts w:ascii="Georgia" w:hAnsi="Georgia"/>
          <w:color w:val="404040" w:themeColor="text1" w:themeTint="BF"/>
          <w:sz w:val="20"/>
          <w:szCs w:val="20"/>
        </w:rPr>
        <w:t>recognised</w:t>
      </w:r>
      <w:r w:rsidR="008C5DEE" w:rsidRPr="00475D47">
        <w:rPr>
          <w:rFonts w:ascii="Georgia" w:hAnsi="Georgia"/>
          <w:color w:val="404040" w:themeColor="text1" w:themeTint="BF"/>
          <w:sz w:val="20"/>
          <w:szCs w:val="20"/>
        </w:rPr>
        <w:t xml:space="preserve"> this change </w:t>
      </w:r>
      <w:r w:rsidRPr="00475D47">
        <w:rPr>
          <w:rFonts w:ascii="Georgia" w:hAnsi="Georgia"/>
          <w:color w:val="404040" w:themeColor="text1" w:themeTint="BF"/>
          <w:sz w:val="20"/>
          <w:szCs w:val="20"/>
        </w:rPr>
        <w:t>a</w:t>
      </w:r>
      <w:r w:rsidR="00DD3C77">
        <w:rPr>
          <w:rFonts w:ascii="Georgia" w:hAnsi="Georgia"/>
          <w:color w:val="404040" w:themeColor="text1" w:themeTint="BF"/>
          <w:sz w:val="20"/>
          <w:szCs w:val="20"/>
        </w:rPr>
        <w:t>nd this results in a</w:t>
      </w:r>
      <w:r w:rsidRPr="00475D47">
        <w:rPr>
          <w:rFonts w:ascii="Georgia" w:hAnsi="Georgia"/>
          <w:color w:val="404040" w:themeColor="text1" w:themeTint="BF"/>
          <w:sz w:val="20"/>
          <w:szCs w:val="20"/>
        </w:rPr>
        <w:t xml:space="preserve"> reduction</w:t>
      </w:r>
      <w:r w:rsidR="00E6663A" w:rsidRPr="00475D47">
        <w:rPr>
          <w:rFonts w:ascii="Georgia" w:hAnsi="Georgia"/>
          <w:color w:val="404040" w:themeColor="text1" w:themeTint="BF"/>
          <w:sz w:val="20"/>
          <w:szCs w:val="20"/>
        </w:rPr>
        <w:t xml:space="preserve"> in value</w:t>
      </w:r>
      <w:r w:rsidRPr="00475D47">
        <w:rPr>
          <w:rFonts w:ascii="Georgia" w:hAnsi="Georgia"/>
          <w:color w:val="404040" w:themeColor="text1" w:themeTint="BF"/>
          <w:sz w:val="20"/>
          <w:szCs w:val="20"/>
        </w:rPr>
        <w:t xml:space="preserve"> of £</w:t>
      </w:r>
      <w:r w:rsidR="00E6663A" w:rsidRPr="00475D47">
        <w:rPr>
          <w:rFonts w:ascii="Georgia" w:hAnsi="Georgia"/>
          <w:color w:val="404040" w:themeColor="text1" w:themeTint="BF"/>
          <w:sz w:val="20"/>
          <w:szCs w:val="20"/>
        </w:rPr>
        <w:t>5</w:t>
      </w:r>
      <w:r w:rsidRPr="00475D47">
        <w:rPr>
          <w:rFonts w:ascii="Georgia" w:hAnsi="Georgia"/>
          <w:color w:val="404040" w:themeColor="text1" w:themeTint="BF"/>
          <w:sz w:val="20"/>
          <w:szCs w:val="20"/>
        </w:rPr>
        <w:t>.</w:t>
      </w:r>
      <w:r w:rsidR="00E6663A" w:rsidRPr="00475D47">
        <w:rPr>
          <w:rFonts w:ascii="Georgia" w:hAnsi="Georgia"/>
          <w:color w:val="404040" w:themeColor="text1" w:themeTint="BF"/>
          <w:sz w:val="20"/>
          <w:szCs w:val="20"/>
        </w:rPr>
        <w:t>8</w:t>
      </w:r>
      <w:r w:rsidRPr="00475D47">
        <w:rPr>
          <w:rFonts w:ascii="Georgia" w:hAnsi="Georgia"/>
          <w:color w:val="404040" w:themeColor="text1" w:themeTint="BF"/>
          <w:sz w:val="20"/>
          <w:szCs w:val="20"/>
        </w:rPr>
        <w:t>m compared to the 30 June 2019 valuation.</w:t>
      </w:r>
    </w:p>
    <w:p w14:paraId="3679BE0C" w14:textId="777CAD18" w:rsidR="001B06CF" w:rsidRPr="00475D47" w:rsidRDefault="001B06CF" w:rsidP="007B66C1">
      <w:pPr>
        <w:jc w:val="both"/>
        <w:rPr>
          <w:rFonts w:ascii="Georgia" w:hAnsi="Georgia"/>
          <w:i/>
          <w:color w:val="404040" w:themeColor="text1" w:themeTint="BF"/>
          <w:sz w:val="20"/>
          <w:szCs w:val="20"/>
        </w:rPr>
      </w:pPr>
    </w:p>
    <w:p w14:paraId="050970A7" w14:textId="56335EC1" w:rsidR="001B06CF" w:rsidRDefault="001B06CF" w:rsidP="007B66C1">
      <w:pPr>
        <w:jc w:val="both"/>
        <w:rPr>
          <w:rFonts w:ascii="Georgia" w:hAnsi="Georgia"/>
          <w:i/>
          <w:color w:val="404040" w:themeColor="text1" w:themeTint="BF"/>
          <w:sz w:val="20"/>
          <w:szCs w:val="20"/>
          <w:highlight w:val="yellow"/>
        </w:rPr>
      </w:pPr>
    </w:p>
    <w:p w14:paraId="0BC6F2C6" w14:textId="6A5C558B" w:rsidR="001B06CF" w:rsidRDefault="001B06CF" w:rsidP="007B66C1">
      <w:pPr>
        <w:jc w:val="both"/>
        <w:rPr>
          <w:rFonts w:ascii="Georgia" w:hAnsi="Georgia"/>
          <w:i/>
          <w:color w:val="404040" w:themeColor="text1" w:themeTint="BF"/>
          <w:sz w:val="20"/>
          <w:szCs w:val="20"/>
          <w:highlight w:val="yellow"/>
        </w:rPr>
      </w:pPr>
    </w:p>
    <w:p w14:paraId="734A9780" w14:textId="77777777" w:rsidR="001B06CF" w:rsidRPr="00904E51" w:rsidRDefault="001B06CF" w:rsidP="007B66C1">
      <w:pPr>
        <w:jc w:val="both"/>
        <w:rPr>
          <w:rFonts w:ascii="Georgia" w:hAnsi="Georgia"/>
          <w:i/>
          <w:color w:val="404040" w:themeColor="text1" w:themeTint="BF"/>
          <w:sz w:val="20"/>
          <w:szCs w:val="20"/>
          <w:highlight w:val="yellow"/>
        </w:rPr>
      </w:pPr>
    </w:p>
    <w:p w14:paraId="463DD87F" w14:textId="77777777" w:rsidR="007B66C1" w:rsidRPr="00904E51" w:rsidRDefault="007B66C1" w:rsidP="007B66C1">
      <w:pPr>
        <w:jc w:val="both"/>
        <w:rPr>
          <w:rFonts w:ascii="Georgia" w:hAnsi="Georgia"/>
          <w:color w:val="404040" w:themeColor="text1" w:themeTint="BF"/>
          <w:sz w:val="20"/>
          <w:szCs w:val="20"/>
          <w:highlight w:val="yellow"/>
        </w:rPr>
      </w:pPr>
    </w:p>
    <w:p w14:paraId="4DA74C0A"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261CF58C" w14:textId="77777777" w:rsidR="007B66C1" w:rsidRPr="00475D47" w:rsidRDefault="007B66C1" w:rsidP="007B66C1">
      <w:pPr>
        <w:pStyle w:val="Heading2"/>
        <w:spacing w:before="0"/>
      </w:pPr>
      <w:r w:rsidRPr="00475D47">
        <w:lastRenderedPageBreak/>
        <w:t>Report of the Investment Adviser (continued)</w:t>
      </w:r>
    </w:p>
    <w:p w14:paraId="4004D480" w14:textId="77777777" w:rsidR="007B66C1" w:rsidRPr="00475D47" w:rsidRDefault="007B66C1" w:rsidP="007B66C1">
      <w:pPr>
        <w:rPr>
          <w:rFonts w:ascii="Georgia" w:hAnsi="Georgia" w:cs="Calibri"/>
          <w:b/>
          <w:color w:val="404040" w:themeColor="text1" w:themeTint="BF"/>
          <w:sz w:val="20"/>
          <w:szCs w:val="20"/>
        </w:rPr>
      </w:pPr>
    </w:p>
    <w:p w14:paraId="145907C5" w14:textId="77777777" w:rsidR="007B66C1" w:rsidRPr="00475D47" w:rsidRDefault="007B66C1" w:rsidP="007B66C1">
      <w:pPr>
        <w:pStyle w:val="ListParagraph"/>
        <w:ind w:left="0"/>
        <w:jc w:val="both"/>
        <w:rPr>
          <w:rFonts w:ascii="Georgia" w:hAnsi="Georgia"/>
          <w:b/>
          <w:color w:val="404040" w:themeColor="text1" w:themeTint="BF"/>
          <w:sz w:val="20"/>
          <w:szCs w:val="20"/>
        </w:rPr>
      </w:pPr>
      <w:r w:rsidRPr="00475D47">
        <w:rPr>
          <w:rFonts w:ascii="Georgia" w:hAnsi="Georgia"/>
          <w:b/>
          <w:color w:val="404040" w:themeColor="text1" w:themeTint="BF"/>
          <w:sz w:val="20"/>
          <w:szCs w:val="20"/>
        </w:rPr>
        <w:t xml:space="preserve">4. NAV and Valuation of the Portfolio (continued) </w:t>
      </w:r>
    </w:p>
    <w:p w14:paraId="368BDF2B" w14:textId="77777777" w:rsidR="007B66C1" w:rsidRPr="00475D47" w:rsidRDefault="007B66C1" w:rsidP="007B66C1">
      <w:pPr>
        <w:pStyle w:val="ListParagraph"/>
        <w:ind w:left="0"/>
        <w:jc w:val="both"/>
        <w:rPr>
          <w:rFonts w:ascii="Georgia" w:hAnsi="Georgia"/>
          <w:b/>
          <w:color w:val="404040" w:themeColor="text1" w:themeTint="BF"/>
          <w:sz w:val="20"/>
          <w:szCs w:val="20"/>
        </w:rPr>
      </w:pPr>
    </w:p>
    <w:p w14:paraId="2EFD3CDA" w14:textId="77777777" w:rsidR="007B66C1" w:rsidRPr="00475D47" w:rsidRDefault="007B66C1" w:rsidP="007B66C1">
      <w:pPr>
        <w:pStyle w:val="ListParagraph"/>
        <w:ind w:left="0"/>
        <w:jc w:val="both"/>
        <w:rPr>
          <w:rFonts w:ascii="Georgia" w:hAnsi="Georgia"/>
          <w:b/>
          <w:color w:val="404040" w:themeColor="text1" w:themeTint="BF"/>
          <w:sz w:val="20"/>
          <w:szCs w:val="20"/>
        </w:rPr>
      </w:pPr>
      <w:r w:rsidRPr="00475D47">
        <w:rPr>
          <w:rFonts w:ascii="Georgia" w:hAnsi="Georgia"/>
          <w:b/>
          <w:color w:val="404040" w:themeColor="text1" w:themeTint="BF"/>
          <w:sz w:val="20"/>
          <w:szCs w:val="20"/>
        </w:rPr>
        <w:t>NAV movement (continued)</w:t>
      </w:r>
    </w:p>
    <w:p w14:paraId="441454EE" w14:textId="77777777" w:rsidR="007B66C1" w:rsidRPr="00475D47" w:rsidRDefault="007B66C1" w:rsidP="007B66C1">
      <w:pPr>
        <w:jc w:val="both"/>
        <w:rPr>
          <w:rFonts w:ascii="Georgia" w:hAnsi="Georgia" w:cs="Calibri"/>
          <w:b/>
          <w:color w:val="404040" w:themeColor="text1" w:themeTint="BF"/>
          <w:sz w:val="20"/>
        </w:rPr>
      </w:pPr>
    </w:p>
    <w:p w14:paraId="5B0B1137" w14:textId="77777777" w:rsidR="007B66C1" w:rsidRPr="00475D47" w:rsidRDefault="007B66C1" w:rsidP="007B66C1">
      <w:pPr>
        <w:spacing w:line="300" w:lineRule="auto"/>
        <w:jc w:val="both"/>
        <w:rPr>
          <w:rFonts w:ascii="Georgia" w:hAnsi="Georgia" w:cs="Calibri"/>
          <w:color w:val="404040" w:themeColor="text1" w:themeTint="BF"/>
          <w:sz w:val="20"/>
        </w:rPr>
      </w:pPr>
      <w:r w:rsidRPr="00475D47">
        <w:rPr>
          <w:rFonts w:ascii="Georgia" w:hAnsi="Georgia" w:cs="Calibri"/>
          <w:b/>
          <w:color w:val="404040" w:themeColor="text1" w:themeTint="BF"/>
          <w:sz w:val="20"/>
        </w:rPr>
        <w:t>Directors’ Valuation movement (continued)</w:t>
      </w:r>
    </w:p>
    <w:p w14:paraId="198D2A08" w14:textId="77777777" w:rsidR="007B66C1" w:rsidRPr="00475D47" w:rsidRDefault="007B66C1" w:rsidP="007B66C1">
      <w:pPr>
        <w:pStyle w:val="ListParagraph"/>
        <w:ind w:left="0"/>
        <w:jc w:val="both"/>
        <w:rPr>
          <w:rFonts w:ascii="Georgia" w:hAnsi="Georgia"/>
          <w:color w:val="404040" w:themeColor="text1" w:themeTint="BF"/>
          <w:sz w:val="20"/>
          <w:szCs w:val="20"/>
        </w:rPr>
      </w:pPr>
    </w:p>
    <w:p w14:paraId="57922409" w14:textId="77777777" w:rsidR="007B66C1" w:rsidRPr="00475D47" w:rsidRDefault="007B66C1" w:rsidP="007B66C1">
      <w:pPr>
        <w:pStyle w:val="ListParagraph"/>
        <w:ind w:left="0"/>
        <w:jc w:val="both"/>
        <w:rPr>
          <w:rFonts w:ascii="Georgia" w:hAnsi="Georgia"/>
          <w:i/>
          <w:iCs/>
          <w:color w:val="404040" w:themeColor="text1" w:themeTint="BF"/>
          <w:sz w:val="20"/>
          <w:szCs w:val="20"/>
        </w:rPr>
      </w:pPr>
      <w:r w:rsidRPr="00475D47">
        <w:rPr>
          <w:rFonts w:ascii="Georgia" w:hAnsi="Georgia"/>
          <w:i/>
          <w:iCs/>
          <w:color w:val="404040" w:themeColor="text1" w:themeTint="BF"/>
          <w:sz w:val="20"/>
          <w:szCs w:val="20"/>
        </w:rPr>
        <w:t>Asset life update</w:t>
      </w:r>
    </w:p>
    <w:p w14:paraId="1C7D50C7" w14:textId="77777777" w:rsidR="007B66C1" w:rsidRPr="00475D47" w:rsidRDefault="007B66C1" w:rsidP="007B66C1">
      <w:pPr>
        <w:pStyle w:val="ListParagraph"/>
        <w:ind w:left="0"/>
        <w:jc w:val="both"/>
        <w:rPr>
          <w:rFonts w:ascii="Georgia" w:hAnsi="Georgia"/>
          <w:i/>
          <w:iCs/>
          <w:color w:val="404040" w:themeColor="text1" w:themeTint="BF"/>
          <w:sz w:val="20"/>
          <w:szCs w:val="20"/>
        </w:rPr>
      </w:pPr>
    </w:p>
    <w:p w14:paraId="0E909E2A" w14:textId="4C2A1F96"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 xml:space="preserve">As at 30 June 2020, </w:t>
      </w:r>
      <w:r w:rsidR="004827D7" w:rsidRPr="00475D47">
        <w:rPr>
          <w:rFonts w:ascii="Georgia" w:hAnsi="Georgia"/>
          <w:color w:val="404040" w:themeColor="text1" w:themeTint="BF"/>
          <w:sz w:val="20"/>
          <w:szCs w:val="20"/>
        </w:rPr>
        <w:t>245MWp of the Company’s portfolio has been valued on the basis of 40</w:t>
      </w:r>
      <w:r w:rsidR="00265B73">
        <w:rPr>
          <w:rFonts w:ascii="Georgia" w:hAnsi="Georgia"/>
          <w:color w:val="404040" w:themeColor="text1" w:themeTint="BF"/>
          <w:sz w:val="20"/>
          <w:szCs w:val="20"/>
        </w:rPr>
        <w:t xml:space="preserve"> </w:t>
      </w:r>
      <w:r w:rsidR="004827D7" w:rsidRPr="00475D47">
        <w:rPr>
          <w:rFonts w:ascii="Georgia" w:hAnsi="Georgia"/>
          <w:color w:val="404040" w:themeColor="text1" w:themeTint="BF"/>
          <w:sz w:val="20"/>
          <w:szCs w:val="20"/>
        </w:rPr>
        <w:t>y</w:t>
      </w:r>
      <w:r w:rsidR="00A856B6">
        <w:rPr>
          <w:rFonts w:ascii="Georgia" w:hAnsi="Georgia"/>
          <w:color w:val="404040" w:themeColor="text1" w:themeTint="BF"/>
          <w:sz w:val="20"/>
          <w:szCs w:val="20"/>
        </w:rPr>
        <w:t>ea</w:t>
      </w:r>
      <w:r w:rsidR="004827D7" w:rsidRPr="00475D47">
        <w:rPr>
          <w:rFonts w:ascii="Georgia" w:hAnsi="Georgia"/>
          <w:color w:val="404040" w:themeColor="text1" w:themeTint="BF"/>
          <w:sz w:val="20"/>
          <w:szCs w:val="20"/>
        </w:rPr>
        <w:t>r operating life</w:t>
      </w:r>
      <w:r w:rsidR="00EF66D5" w:rsidRPr="00475D47">
        <w:rPr>
          <w:rFonts w:ascii="Georgia" w:hAnsi="Georgia"/>
          <w:color w:val="404040" w:themeColor="text1" w:themeTint="BF"/>
          <w:sz w:val="20"/>
          <w:szCs w:val="20"/>
        </w:rPr>
        <w:t xml:space="preserve"> (v</w:t>
      </w:r>
      <w:r w:rsidR="00DD3C77">
        <w:rPr>
          <w:rFonts w:ascii="Georgia" w:hAnsi="Georgia"/>
          <w:color w:val="404040" w:themeColor="text1" w:themeTint="BF"/>
          <w:sz w:val="20"/>
          <w:szCs w:val="20"/>
        </w:rPr>
        <w:t>ersu</w:t>
      </w:r>
      <w:r w:rsidR="00EF66D5" w:rsidRPr="00475D47">
        <w:rPr>
          <w:rFonts w:ascii="Georgia" w:hAnsi="Georgia"/>
          <w:color w:val="404040" w:themeColor="text1" w:themeTint="BF"/>
          <w:sz w:val="20"/>
          <w:szCs w:val="20"/>
        </w:rPr>
        <w:t xml:space="preserve">s </w:t>
      </w:r>
      <w:r w:rsidRPr="00475D47">
        <w:rPr>
          <w:rFonts w:ascii="Georgia" w:hAnsi="Georgia"/>
          <w:color w:val="404040" w:themeColor="text1" w:themeTint="BF"/>
          <w:sz w:val="20"/>
          <w:szCs w:val="20"/>
        </w:rPr>
        <w:t xml:space="preserve">107 </w:t>
      </w:r>
      <w:proofErr w:type="spellStart"/>
      <w:r w:rsidRPr="00475D47">
        <w:rPr>
          <w:rFonts w:ascii="Georgia" w:hAnsi="Georgia"/>
          <w:color w:val="404040" w:themeColor="text1" w:themeTint="BF"/>
          <w:sz w:val="20"/>
          <w:szCs w:val="20"/>
        </w:rPr>
        <w:t>MWp</w:t>
      </w:r>
      <w:proofErr w:type="spellEnd"/>
      <w:r w:rsidR="00EF66D5" w:rsidRPr="00475D47">
        <w:rPr>
          <w:rFonts w:ascii="Georgia" w:hAnsi="Georgia"/>
          <w:color w:val="404040" w:themeColor="text1" w:themeTint="BF"/>
          <w:sz w:val="20"/>
          <w:szCs w:val="20"/>
        </w:rPr>
        <w:t xml:space="preserve"> in Jun</w:t>
      </w:r>
      <w:r w:rsidR="00127B15">
        <w:rPr>
          <w:rFonts w:ascii="Georgia" w:hAnsi="Georgia"/>
          <w:color w:val="404040" w:themeColor="text1" w:themeTint="BF"/>
          <w:sz w:val="20"/>
          <w:szCs w:val="20"/>
        </w:rPr>
        <w:t>e</w:t>
      </w:r>
      <w:r w:rsidR="00EF66D5" w:rsidRPr="00475D47">
        <w:rPr>
          <w:rFonts w:ascii="Georgia" w:hAnsi="Georgia"/>
          <w:color w:val="404040" w:themeColor="text1" w:themeTint="BF"/>
          <w:sz w:val="20"/>
          <w:szCs w:val="20"/>
        </w:rPr>
        <w:t xml:space="preserve"> </w:t>
      </w:r>
      <w:r w:rsidR="00265B73">
        <w:rPr>
          <w:rFonts w:ascii="Georgia" w:hAnsi="Georgia"/>
          <w:color w:val="404040" w:themeColor="text1" w:themeTint="BF"/>
          <w:sz w:val="20"/>
          <w:szCs w:val="20"/>
        </w:rPr>
        <w:t>20</w:t>
      </w:r>
      <w:r w:rsidR="00EF66D5" w:rsidRPr="00475D47">
        <w:rPr>
          <w:rFonts w:ascii="Georgia" w:hAnsi="Georgia"/>
          <w:color w:val="404040" w:themeColor="text1" w:themeTint="BF"/>
          <w:sz w:val="20"/>
          <w:szCs w:val="20"/>
        </w:rPr>
        <w:t xml:space="preserve">19). </w:t>
      </w:r>
      <w:r w:rsidRPr="00475D47">
        <w:rPr>
          <w:rFonts w:ascii="Georgia" w:hAnsi="Georgia"/>
          <w:color w:val="404040" w:themeColor="text1" w:themeTint="BF"/>
          <w:sz w:val="20"/>
          <w:szCs w:val="20"/>
        </w:rPr>
        <w:t xml:space="preserve">  To reflect the increased uncertainty in the latter period of each asset’s lifetime, a discount rate of </w:t>
      </w:r>
      <w:r w:rsidR="00DB0398" w:rsidRPr="00475D47">
        <w:rPr>
          <w:rFonts w:ascii="Georgia" w:hAnsi="Georgia"/>
          <w:color w:val="404040" w:themeColor="text1" w:themeTint="BF"/>
          <w:sz w:val="20"/>
          <w:szCs w:val="20"/>
        </w:rPr>
        <w:t>7</w:t>
      </w:r>
      <w:r w:rsidRPr="00475D47">
        <w:rPr>
          <w:rFonts w:ascii="Georgia" w:hAnsi="Georgia"/>
          <w:color w:val="404040" w:themeColor="text1" w:themeTint="BF"/>
          <w:sz w:val="20"/>
          <w:szCs w:val="20"/>
        </w:rPr>
        <w:t xml:space="preserve">.50% </w:t>
      </w:r>
      <w:r w:rsidR="00DB0398" w:rsidRPr="00475D47">
        <w:rPr>
          <w:rFonts w:ascii="Georgia" w:hAnsi="Georgia"/>
          <w:color w:val="404040" w:themeColor="text1" w:themeTint="BF"/>
          <w:sz w:val="20"/>
          <w:szCs w:val="20"/>
        </w:rPr>
        <w:t>(8.5</w:t>
      </w:r>
      <w:r w:rsidR="00127B15">
        <w:rPr>
          <w:rFonts w:ascii="Georgia" w:hAnsi="Georgia"/>
          <w:color w:val="404040" w:themeColor="text1" w:themeTint="BF"/>
          <w:sz w:val="20"/>
          <w:szCs w:val="20"/>
        </w:rPr>
        <w:t>0</w:t>
      </w:r>
      <w:r w:rsidR="00DB0398" w:rsidRPr="00475D47">
        <w:rPr>
          <w:rFonts w:ascii="Georgia" w:hAnsi="Georgia"/>
          <w:color w:val="404040" w:themeColor="text1" w:themeTint="BF"/>
          <w:sz w:val="20"/>
          <w:szCs w:val="20"/>
        </w:rPr>
        <w:t xml:space="preserve">% in June 2019) </w:t>
      </w:r>
      <w:r w:rsidRPr="00475D47">
        <w:rPr>
          <w:rFonts w:ascii="Georgia" w:hAnsi="Georgia"/>
          <w:color w:val="404040" w:themeColor="text1" w:themeTint="BF"/>
          <w:sz w:val="20"/>
          <w:szCs w:val="20"/>
        </w:rPr>
        <w:t>has been applied to all cash flows after a 30 year asset life. The £1</w:t>
      </w:r>
      <w:r w:rsidR="004E1339" w:rsidRPr="00475D47">
        <w:rPr>
          <w:rFonts w:ascii="Georgia" w:hAnsi="Georgia"/>
          <w:color w:val="404040" w:themeColor="text1" w:themeTint="BF"/>
          <w:sz w:val="20"/>
          <w:szCs w:val="20"/>
        </w:rPr>
        <w:t>5</w:t>
      </w:r>
      <w:r w:rsidRPr="00475D47">
        <w:rPr>
          <w:rFonts w:ascii="Georgia" w:hAnsi="Georgia"/>
          <w:color w:val="404040" w:themeColor="text1" w:themeTint="BF"/>
          <w:sz w:val="20"/>
          <w:szCs w:val="20"/>
        </w:rPr>
        <w:t>.</w:t>
      </w:r>
      <w:r w:rsidR="004E1339" w:rsidRPr="00475D47">
        <w:rPr>
          <w:rFonts w:ascii="Georgia" w:hAnsi="Georgia"/>
          <w:color w:val="404040" w:themeColor="text1" w:themeTint="BF"/>
          <w:sz w:val="20"/>
          <w:szCs w:val="20"/>
        </w:rPr>
        <w:t>1</w:t>
      </w:r>
      <w:r w:rsidRPr="00475D47">
        <w:rPr>
          <w:rFonts w:ascii="Georgia" w:hAnsi="Georgia"/>
          <w:color w:val="404040" w:themeColor="text1" w:themeTint="BF"/>
          <w:sz w:val="20"/>
          <w:szCs w:val="20"/>
        </w:rPr>
        <w:t xml:space="preserve">m increase in valuation compared to 30 June 2019 reflects the progress of the Company’s asset life extension programme </w:t>
      </w:r>
      <w:r w:rsidR="00A179B7" w:rsidRPr="00475D47">
        <w:rPr>
          <w:rFonts w:ascii="Georgia" w:hAnsi="Georgia"/>
          <w:color w:val="404040" w:themeColor="text1" w:themeTint="BF"/>
          <w:sz w:val="20"/>
          <w:szCs w:val="20"/>
        </w:rPr>
        <w:t>over the last twelve months.</w:t>
      </w:r>
      <w:r w:rsidRPr="00475D47">
        <w:rPr>
          <w:rFonts w:ascii="Georgia" w:hAnsi="Georgia"/>
          <w:color w:val="404040" w:themeColor="text1" w:themeTint="BF"/>
          <w:sz w:val="20"/>
          <w:szCs w:val="20"/>
        </w:rPr>
        <w:t xml:space="preserve"> </w:t>
      </w:r>
    </w:p>
    <w:p w14:paraId="5D1069C1" w14:textId="5655B14B" w:rsidR="007B66C1" w:rsidRDefault="007B66C1" w:rsidP="007B66C1">
      <w:pPr>
        <w:pStyle w:val="ListParagraph"/>
        <w:ind w:left="0"/>
        <w:jc w:val="both"/>
        <w:rPr>
          <w:rFonts w:ascii="Georgia" w:hAnsi="Georgia"/>
          <w:color w:val="404040" w:themeColor="text1" w:themeTint="BF"/>
          <w:sz w:val="20"/>
          <w:szCs w:val="20"/>
          <w:highlight w:val="yellow"/>
        </w:rPr>
      </w:pPr>
    </w:p>
    <w:p w14:paraId="3E761C4A" w14:textId="77777777" w:rsidR="00AA186D" w:rsidRPr="00E720D8" w:rsidRDefault="00AA186D" w:rsidP="00AA186D">
      <w:pPr>
        <w:pStyle w:val="ListParagraph"/>
        <w:ind w:left="0"/>
        <w:jc w:val="both"/>
        <w:rPr>
          <w:rFonts w:ascii="Georgia" w:hAnsi="Georgia"/>
          <w:i/>
          <w:color w:val="404040" w:themeColor="text1" w:themeTint="BF"/>
          <w:sz w:val="20"/>
          <w:szCs w:val="20"/>
        </w:rPr>
      </w:pPr>
      <w:r w:rsidRPr="00E720D8">
        <w:rPr>
          <w:rFonts w:ascii="Georgia" w:hAnsi="Georgia"/>
          <w:i/>
          <w:color w:val="404040" w:themeColor="text1" w:themeTint="BF"/>
          <w:sz w:val="20"/>
          <w:szCs w:val="20"/>
        </w:rPr>
        <w:t xml:space="preserve">Equity Discount rate </w:t>
      </w:r>
    </w:p>
    <w:p w14:paraId="54282749" w14:textId="77777777" w:rsidR="00AA186D" w:rsidRPr="00E720D8" w:rsidRDefault="00AA186D" w:rsidP="00AA186D">
      <w:pPr>
        <w:pStyle w:val="ListParagraph"/>
        <w:ind w:left="0"/>
        <w:jc w:val="both"/>
        <w:rPr>
          <w:rFonts w:ascii="Georgia" w:hAnsi="Georgia"/>
          <w:i/>
          <w:color w:val="404040" w:themeColor="text1" w:themeTint="BF"/>
          <w:sz w:val="20"/>
          <w:szCs w:val="20"/>
        </w:rPr>
      </w:pPr>
    </w:p>
    <w:p w14:paraId="237804A5" w14:textId="2B2105EC" w:rsidR="00AA186D" w:rsidRPr="0085568E" w:rsidRDefault="00AA186D" w:rsidP="00AA186D">
      <w:pPr>
        <w:pStyle w:val="ListParagraph"/>
        <w:ind w:left="0"/>
        <w:jc w:val="both"/>
        <w:rPr>
          <w:rFonts w:ascii="Georgia" w:hAnsi="Georgia"/>
          <w:iCs/>
          <w:color w:val="404040" w:themeColor="text1" w:themeTint="BF"/>
          <w:sz w:val="20"/>
          <w:szCs w:val="20"/>
        </w:rPr>
      </w:pPr>
      <w:r>
        <w:rPr>
          <w:rFonts w:ascii="Georgia" w:hAnsi="Georgia"/>
          <w:color w:val="404040" w:themeColor="text1" w:themeTint="BF"/>
          <w:sz w:val="20"/>
          <w:szCs w:val="20"/>
        </w:rPr>
        <w:t xml:space="preserve">To ensure the Directors’ Valuation appropriately reflects transactional pricing for lowly levered, UK focused portfolios of subsidised solar assets within the UK, the Directors have reduced the weighted average discount rate from 7.18% in June 2019 to 6.0% in June 2020.  This material reduction allows the rate applied in the Directors’ Valuation to be </w:t>
      </w:r>
      <w:r w:rsidR="00405536">
        <w:rPr>
          <w:rFonts w:ascii="Georgia" w:hAnsi="Georgia"/>
          <w:color w:val="404040" w:themeColor="text1" w:themeTint="BF"/>
          <w:sz w:val="20"/>
          <w:szCs w:val="20"/>
        </w:rPr>
        <w:t xml:space="preserve">prudently </w:t>
      </w:r>
      <w:r>
        <w:rPr>
          <w:rFonts w:ascii="Georgia" w:hAnsi="Georgia"/>
          <w:color w:val="404040" w:themeColor="text1" w:themeTint="BF"/>
          <w:sz w:val="20"/>
          <w:szCs w:val="20"/>
        </w:rPr>
        <w:t xml:space="preserve">comparable to those now being applied by buyers in market transactions. </w:t>
      </w:r>
      <w:r w:rsidRPr="00E720D8">
        <w:rPr>
          <w:rFonts w:ascii="Georgia" w:hAnsi="Georgia"/>
          <w:iCs/>
          <w:color w:val="404040" w:themeColor="text1" w:themeTint="BF"/>
          <w:sz w:val="20"/>
          <w:szCs w:val="20"/>
        </w:rPr>
        <w:t xml:space="preserve">The impact of </w:t>
      </w:r>
      <w:r w:rsidR="0040733B">
        <w:rPr>
          <w:rFonts w:ascii="Georgia" w:hAnsi="Georgia"/>
          <w:iCs/>
          <w:color w:val="404040" w:themeColor="text1" w:themeTint="BF"/>
          <w:sz w:val="20"/>
          <w:szCs w:val="20"/>
        </w:rPr>
        <w:t xml:space="preserve">closer </w:t>
      </w:r>
      <w:r w:rsidRPr="00E720D8">
        <w:rPr>
          <w:rFonts w:ascii="Georgia" w:hAnsi="Georgia"/>
          <w:iCs/>
          <w:color w:val="404040" w:themeColor="text1" w:themeTint="BF"/>
          <w:sz w:val="20"/>
          <w:szCs w:val="20"/>
        </w:rPr>
        <w:t>aligning the discount rate to precedent market transactions</w:t>
      </w:r>
      <w:r>
        <w:rPr>
          <w:rFonts w:ascii="Georgia" w:hAnsi="Georgia"/>
          <w:iCs/>
          <w:color w:val="404040" w:themeColor="text1" w:themeTint="BF"/>
          <w:sz w:val="20"/>
          <w:szCs w:val="20"/>
        </w:rPr>
        <w:t>,</w:t>
      </w:r>
      <w:r w:rsidRPr="00E720D8">
        <w:rPr>
          <w:rFonts w:ascii="Georgia" w:hAnsi="Georgia"/>
          <w:iCs/>
          <w:color w:val="404040" w:themeColor="text1" w:themeTint="BF"/>
          <w:sz w:val="20"/>
          <w:szCs w:val="20"/>
        </w:rPr>
        <w:t xml:space="preserve"> is an increase of £</w:t>
      </w:r>
      <w:r w:rsidR="0040733B">
        <w:rPr>
          <w:rFonts w:ascii="Georgia" w:hAnsi="Georgia"/>
          <w:iCs/>
          <w:color w:val="404040" w:themeColor="text1" w:themeTint="BF"/>
          <w:sz w:val="20"/>
          <w:szCs w:val="20"/>
        </w:rPr>
        <w:t>42.7</w:t>
      </w:r>
      <w:r w:rsidRPr="00E720D8">
        <w:rPr>
          <w:rFonts w:ascii="Georgia" w:hAnsi="Georgia"/>
          <w:iCs/>
          <w:color w:val="404040" w:themeColor="text1" w:themeTint="BF"/>
          <w:sz w:val="20"/>
          <w:szCs w:val="20"/>
        </w:rPr>
        <w:t xml:space="preserve">m </w:t>
      </w:r>
      <w:r>
        <w:rPr>
          <w:rFonts w:ascii="Georgia" w:hAnsi="Georgia"/>
          <w:iCs/>
          <w:color w:val="404040" w:themeColor="text1" w:themeTint="BF"/>
          <w:sz w:val="20"/>
          <w:szCs w:val="20"/>
        </w:rPr>
        <w:t xml:space="preserve">to the Directors’ Valuation compared to 30 June 2019. </w:t>
      </w:r>
    </w:p>
    <w:p w14:paraId="49222870" w14:textId="77777777" w:rsidR="00AA186D" w:rsidRPr="00904E51" w:rsidRDefault="00AA186D" w:rsidP="007B66C1">
      <w:pPr>
        <w:pStyle w:val="ListParagraph"/>
        <w:ind w:left="0"/>
        <w:jc w:val="both"/>
        <w:rPr>
          <w:rFonts w:ascii="Georgia" w:hAnsi="Georgia"/>
          <w:color w:val="404040" w:themeColor="text1" w:themeTint="BF"/>
          <w:sz w:val="20"/>
          <w:szCs w:val="20"/>
          <w:highlight w:val="yellow"/>
        </w:rPr>
      </w:pPr>
    </w:p>
    <w:p w14:paraId="59B5E94D" w14:textId="77777777" w:rsidR="007B66C1" w:rsidRPr="00475D47" w:rsidRDefault="007B66C1" w:rsidP="007B66C1">
      <w:pPr>
        <w:pStyle w:val="ListParagraph"/>
        <w:ind w:left="0"/>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Balance of Portfolio Return</w:t>
      </w:r>
    </w:p>
    <w:p w14:paraId="32C42729" w14:textId="77777777" w:rsidR="007B66C1" w:rsidRPr="00475D47" w:rsidRDefault="007B66C1" w:rsidP="007B66C1">
      <w:pPr>
        <w:pStyle w:val="ListParagraph"/>
        <w:ind w:left="0"/>
        <w:jc w:val="both"/>
        <w:rPr>
          <w:rFonts w:ascii="Georgia" w:hAnsi="Georgia"/>
          <w:i/>
          <w:color w:val="404040" w:themeColor="text1" w:themeTint="BF"/>
          <w:sz w:val="20"/>
          <w:szCs w:val="20"/>
        </w:rPr>
      </w:pPr>
    </w:p>
    <w:p w14:paraId="2A1F10DC" w14:textId="77777777"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The balance of portfolio return is the result of the unwinding of the discount rate over the period, as well as minor operational and financial assumption changes.</w:t>
      </w:r>
    </w:p>
    <w:p w14:paraId="04D68DE9" w14:textId="77777777" w:rsidR="007B66C1" w:rsidRPr="00475D47" w:rsidRDefault="007B66C1" w:rsidP="007B66C1">
      <w:pPr>
        <w:pStyle w:val="ListParagraph"/>
        <w:ind w:left="0"/>
        <w:jc w:val="both"/>
        <w:rPr>
          <w:rFonts w:ascii="Georgia" w:hAnsi="Georgia"/>
          <w:i/>
          <w:color w:val="404040" w:themeColor="text1" w:themeTint="BF"/>
          <w:sz w:val="20"/>
          <w:szCs w:val="20"/>
        </w:rPr>
      </w:pPr>
    </w:p>
    <w:p w14:paraId="360EC9C9" w14:textId="77777777" w:rsidR="007B66C1" w:rsidRPr="00475D47" w:rsidRDefault="007B66C1" w:rsidP="007B66C1">
      <w:pPr>
        <w:pStyle w:val="ListParagraph"/>
        <w:ind w:left="0"/>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Other assumptions</w:t>
      </w:r>
    </w:p>
    <w:p w14:paraId="705FE8F3" w14:textId="77777777" w:rsidR="007B66C1" w:rsidRPr="00475D47" w:rsidRDefault="007B66C1" w:rsidP="007B66C1">
      <w:pPr>
        <w:pStyle w:val="ListParagraph"/>
        <w:ind w:left="0"/>
        <w:jc w:val="both"/>
        <w:rPr>
          <w:rFonts w:ascii="Georgia" w:hAnsi="Georgia"/>
          <w:color w:val="404040" w:themeColor="text1" w:themeTint="BF"/>
          <w:sz w:val="20"/>
          <w:szCs w:val="20"/>
        </w:rPr>
      </w:pPr>
    </w:p>
    <w:p w14:paraId="2A78B6AD" w14:textId="77777777"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Consistent with previous Directors’ Valuations, the valuation assumes a terminal value of zero for all projects within the portfolio c.25 years after their commencement of operation, or 40 years for those with asset life extensions.</w:t>
      </w:r>
    </w:p>
    <w:p w14:paraId="7404E32F" w14:textId="77777777" w:rsidR="007B66C1" w:rsidRPr="00475D47" w:rsidRDefault="007B66C1" w:rsidP="007B66C1">
      <w:pPr>
        <w:pStyle w:val="ListParagraph"/>
        <w:jc w:val="both"/>
        <w:rPr>
          <w:rFonts w:ascii="Georgia" w:hAnsi="Georgia"/>
          <w:color w:val="404040" w:themeColor="text1" w:themeTint="BF"/>
          <w:sz w:val="20"/>
          <w:szCs w:val="20"/>
        </w:rPr>
      </w:pPr>
    </w:p>
    <w:p w14:paraId="7A8C8831" w14:textId="77777777"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 xml:space="preserve">There have been no material changes to assumptions regarding the future performance or cost optimisation of the portfolio when compared to the Directors’ Valuation of 30 June 2019. </w:t>
      </w:r>
    </w:p>
    <w:p w14:paraId="7C51C565" w14:textId="77777777" w:rsidR="007B66C1" w:rsidRPr="00475D47" w:rsidRDefault="007B66C1" w:rsidP="007B66C1">
      <w:pPr>
        <w:pStyle w:val="ListParagraph"/>
        <w:jc w:val="both"/>
        <w:rPr>
          <w:rFonts w:ascii="Georgia" w:hAnsi="Georgia"/>
          <w:color w:val="404040" w:themeColor="text1" w:themeTint="BF"/>
          <w:sz w:val="20"/>
          <w:szCs w:val="20"/>
        </w:rPr>
      </w:pPr>
    </w:p>
    <w:p w14:paraId="680EAECC" w14:textId="472CF793"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On the basis of these key assumptions, the Board believes there remains further potential for NAV enhancement from the potential extensions of asset life for further projects in the portfolio</w:t>
      </w:r>
      <w:r w:rsidR="00B20BC7" w:rsidRPr="00475D47">
        <w:rPr>
          <w:rFonts w:ascii="Georgia" w:hAnsi="Georgia"/>
          <w:color w:val="404040" w:themeColor="text1" w:themeTint="BF"/>
          <w:sz w:val="20"/>
          <w:szCs w:val="20"/>
        </w:rPr>
        <w:t xml:space="preserve"> as well as cost optimisation on long term O&amp;M </w:t>
      </w:r>
      <w:r w:rsidR="008B1DAC" w:rsidRPr="00475D47">
        <w:rPr>
          <w:rFonts w:ascii="Georgia" w:hAnsi="Georgia"/>
          <w:color w:val="404040" w:themeColor="text1" w:themeTint="BF"/>
          <w:sz w:val="20"/>
          <w:szCs w:val="20"/>
        </w:rPr>
        <w:t xml:space="preserve">fees. </w:t>
      </w:r>
    </w:p>
    <w:p w14:paraId="1654B2BC" w14:textId="77777777" w:rsidR="007B66C1" w:rsidRPr="00475D47" w:rsidRDefault="007B66C1" w:rsidP="007B66C1">
      <w:pPr>
        <w:pStyle w:val="ListParagraph"/>
        <w:ind w:left="0"/>
        <w:jc w:val="both"/>
        <w:rPr>
          <w:rFonts w:ascii="Georgia" w:hAnsi="Georgia"/>
          <w:color w:val="404040" w:themeColor="text1" w:themeTint="BF"/>
          <w:sz w:val="20"/>
          <w:szCs w:val="20"/>
        </w:rPr>
      </w:pPr>
    </w:p>
    <w:p w14:paraId="4A599BFB" w14:textId="77777777"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The assumptions set out in this section will remain subject to continuous review by the Investment Adviser and the Board.</w:t>
      </w:r>
    </w:p>
    <w:p w14:paraId="6AC1C32C" w14:textId="77777777" w:rsidR="007B66C1" w:rsidRPr="00475D47" w:rsidRDefault="007B66C1" w:rsidP="007B66C1">
      <w:pPr>
        <w:jc w:val="both"/>
        <w:rPr>
          <w:rFonts w:ascii="Georgia" w:hAnsi="Georgia" w:cs="Calibri"/>
          <w:color w:val="404040" w:themeColor="text1" w:themeTint="BF"/>
          <w:sz w:val="20"/>
        </w:rPr>
      </w:pPr>
    </w:p>
    <w:p w14:paraId="26696AC5" w14:textId="77777777" w:rsidR="007B66C1" w:rsidRPr="00475D47" w:rsidRDefault="007B66C1" w:rsidP="007B66C1">
      <w:pPr>
        <w:pStyle w:val="ListParagraph"/>
        <w:ind w:left="0"/>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Reconciliation of Directors’ Valuation to Balance sheet</w:t>
      </w:r>
    </w:p>
    <w:p w14:paraId="3531BDBE" w14:textId="77777777" w:rsidR="007B66C1" w:rsidRPr="00904E51" w:rsidRDefault="007B66C1" w:rsidP="007B66C1">
      <w:pPr>
        <w:pStyle w:val="ListParagraph"/>
        <w:jc w:val="both"/>
        <w:rPr>
          <w:rFonts w:ascii="Georgia" w:hAnsi="Georgia"/>
          <w:i/>
          <w:color w:val="404040" w:themeColor="text1" w:themeTint="BF"/>
          <w:sz w:val="20"/>
          <w:szCs w:val="20"/>
          <w:highlight w:val="yellow"/>
        </w:rPr>
      </w:pPr>
    </w:p>
    <w:tbl>
      <w:tblPr>
        <w:tblStyle w:val="TableGrid"/>
        <w:tblW w:w="5000" w:type="pct"/>
        <w:jc w:val="center"/>
        <w:tblLook w:val="04A0" w:firstRow="1" w:lastRow="0" w:firstColumn="1" w:lastColumn="0" w:noHBand="0" w:noVBand="1"/>
      </w:tblPr>
      <w:tblGrid>
        <w:gridCol w:w="4336"/>
        <w:gridCol w:w="1584"/>
        <w:gridCol w:w="1644"/>
        <w:gridCol w:w="1786"/>
      </w:tblGrid>
      <w:tr w:rsidR="007B66C1" w:rsidRPr="00904E51" w14:paraId="5F12C21D" w14:textId="77777777" w:rsidTr="006F0858">
        <w:trPr>
          <w:jc w:val="center"/>
        </w:trPr>
        <w:tc>
          <w:tcPr>
            <w:tcW w:w="2319" w:type="pct"/>
            <w:shd w:val="clear" w:color="auto" w:fill="auto"/>
          </w:tcPr>
          <w:p w14:paraId="5048E203" w14:textId="77777777" w:rsidR="007B66C1" w:rsidRPr="00904E51" w:rsidRDefault="007B66C1" w:rsidP="006F0858">
            <w:pPr>
              <w:pStyle w:val="ListParagraph"/>
              <w:ind w:left="0"/>
              <w:jc w:val="both"/>
              <w:rPr>
                <w:rFonts w:ascii="Georgia" w:hAnsi="Georgia"/>
                <w:color w:val="404040" w:themeColor="text1" w:themeTint="BF"/>
                <w:sz w:val="20"/>
                <w:szCs w:val="20"/>
                <w:highlight w:val="yellow"/>
              </w:rPr>
            </w:pPr>
          </w:p>
        </w:tc>
        <w:tc>
          <w:tcPr>
            <w:tcW w:w="2681" w:type="pct"/>
            <w:gridSpan w:val="3"/>
            <w:shd w:val="clear" w:color="auto" w:fill="auto"/>
          </w:tcPr>
          <w:p w14:paraId="17136B94" w14:textId="77777777" w:rsidR="007B66C1" w:rsidRPr="00904E51" w:rsidRDefault="007B66C1" w:rsidP="006F0858">
            <w:pPr>
              <w:pStyle w:val="ListParagraph"/>
              <w:ind w:left="0"/>
              <w:jc w:val="center"/>
              <w:rPr>
                <w:rFonts w:ascii="Georgia" w:hAnsi="Georgia"/>
                <w:color w:val="404040" w:themeColor="text1" w:themeTint="BF"/>
                <w:sz w:val="20"/>
                <w:szCs w:val="20"/>
                <w:highlight w:val="yellow"/>
              </w:rPr>
            </w:pPr>
            <w:r w:rsidRPr="00DA64B9">
              <w:rPr>
                <w:rFonts w:ascii="Georgia" w:hAnsi="Georgia"/>
                <w:color w:val="404040" w:themeColor="text1" w:themeTint="BF"/>
                <w:sz w:val="20"/>
                <w:szCs w:val="20"/>
              </w:rPr>
              <w:t>Balance at Year End</w:t>
            </w:r>
          </w:p>
        </w:tc>
      </w:tr>
      <w:tr w:rsidR="007B66C1" w:rsidRPr="00904E51" w14:paraId="7D92D2D8" w14:textId="77777777" w:rsidTr="006F0858">
        <w:trPr>
          <w:jc w:val="center"/>
        </w:trPr>
        <w:tc>
          <w:tcPr>
            <w:tcW w:w="2319" w:type="pct"/>
            <w:shd w:val="clear" w:color="auto" w:fill="auto"/>
          </w:tcPr>
          <w:p w14:paraId="6DADB8F6" w14:textId="77777777" w:rsidR="007B66C1" w:rsidRPr="00475D47" w:rsidRDefault="007B66C1" w:rsidP="006F0858">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Category</w:t>
            </w:r>
          </w:p>
        </w:tc>
        <w:tc>
          <w:tcPr>
            <w:tcW w:w="847" w:type="pct"/>
            <w:shd w:val="clear" w:color="auto" w:fill="auto"/>
          </w:tcPr>
          <w:p w14:paraId="3C9D9AD2" w14:textId="77777777" w:rsidR="007B66C1" w:rsidRPr="00475D47" w:rsidRDefault="007B66C1" w:rsidP="006F0858">
            <w:pPr>
              <w:pStyle w:val="ListParagraph"/>
              <w:ind w:left="0"/>
              <w:jc w:val="right"/>
              <w:rPr>
                <w:rFonts w:ascii="Georgia" w:hAnsi="Georgia"/>
                <w:color w:val="404040" w:themeColor="text1" w:themeTint="BF"/>
                <w:sz w:val="20"/>
                <w:szCs w:val="20"/>
              </w:rPr>
            </w:pPr>
            <w:r w:rsidRPr="00475D47">
              <w:rPr>
                <w:rFonts w:ascii="Georgia" w:hAnsi="Georgia"/>
                <w:color w:val="404040" w:themeColor="text1" w:themeTint="BF"/>
                <w:sz w:val="20"/>
                <w:szCs w:val="20"/>
              </w:rPr>
              <w:t>30 June 2020 (£m)</w:t>
            </w:r>
          </w:p>
        </w:tc>
        <w:tc>
          <w:tcPr>
            <w:tcW w:w="879" w:type="pct"/>
            <w:shd w:val="clear" w:color="auto" w:fill="auto"/>
          </w:tcPr>
          <w:p w14:paraId="05494209" w14:textId="77777777" w:rsidR="007B66C1" w:rsidRPr="00DA64B9" w:rsidRDefault="007B66C1" w:rsidP="006F0858">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30 June 2019 (£m)</w:t>
            </w:r>
          </w:p>
        </w:tc>
        <w:tc>
          <w:tcPr>
            <w:tcW w:w="955" w:type="pct"/>
            <w:shd w:val="clear" w:color="auto" w:fill="auto"/>
          </w:tcPr>
          <w:p w14:paraId="6676FB47" w14:textId="23229A72" w:rsidR="007B66C1" w:rsidRPr="00DA64B9" w:rsidRDefault="007B66C1" w:rsidP="006F0858">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30 June 201</w:t>
            </w:r>
            <w:r w:rsidR="00373358">
              <w:rPr>
                <w:rFonts w:ascii="Georgia" w:hAnsi="Georgia"/>
                <w:color w:val="404040" w:themeColor="text1" w:themeTint="BF"/>
                <w:sz w:val="20"/>
                <w:szCs w:val="20"/>
              </w:rPr>
              <w:t>8</w:t>
            </w:r>
            <w:r w:rsidRPr="00DA64B9">
              <w:rPr>
                <w:rFonts w:ascii="Georgia" w:hAnsi="Georgia"/>
                <w:color w:val="404040" w:themeColor="text1" w:themeTint="BF"/>
                <w:sz w:val="20"/>
                <w:szCs w:val="20"/>
              </w:rPr>
              <w:t xml:space="preserve"> (£m)</w:t>
            </w:r>
          </w:p>
        </w:tc>
      </w:tr>
      <w:tr w:rsidR="004D6EEA" w:rsidRPr="00904E51" w14:paraId="08C20945" w14:textId="77777777" w:rsidTr="00475D47">
        <w:trPr>
          <w:jc w:val="center"/>
        </w:trPr>
        <w:tc>
          <w:tcPr>
            <w:tcW w:w="2319" w:type="pct"/>
            <w:shd w:val="clear" w:color="auto" w:fill="auto"/>
          </w:tcPr>
          <w:p w14:paraId="04AF9292" w14:textId="77777777" w:rsidR="004D6EEA" w:rsidRPr="00475D47" w:rsidRDefault="004D6EEA" w:rsidP="004D6EEA">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Directors’ Valuation</w:t>
            </w:r>
          </w:p>
        </w:tc>
        <w:tc>
          <w:tcPr>
            <w:tcW w:w="847" w:type="pct"/>
            <w:shd w:val="clear" w:color="auto" w:fill="auto"/>
          </w:tcPr>
          <w:p w14:paraId="5E96A64E" w14:textId="11EFCED9" w:rsidR="004D6EEA" w:rsidRPr="00475D47" w:rsidRDefault="004D6EEA" w:rsidP="004D6EEA">
            <w:pPr>
              <w:pStyle w:val="ListParagraph"/>
              <w:ind w:left="0"/>
              <w:jc w:val="right"/>
              <w:rPr>
                <w:rFonts w:ascii="Georgia" w:hAnsi="Georgia"/>
                <w:color w:val="404040" w:themeColor="text1" w:themeTint="BF"/>
                <w:sz w:val="20"/>
                <w:szCs w:val="20"/>
              </w:rPr>
            </w:pPr>
            <w:r w:rsidRPr="00475D47">
              <w:rPr>
                <w:rFonts w:ascii="Georgia" w:hAnsi="Georgia"/>
                <w:color w:val="404040" w:themeColor="text1" w:themeTint="BF"/>
                <w:sz w:val="20"/>
                <w:szCs w:val="20"/>
              </w:rPr>
              <w:t>624.3</w:t>
            </w:r>
          </w:p>
        </w:tc>
        <w:tc>
          <w:tcPr>
            <w:tcW w:w="879" w:type="pct"/>
            <w:shd w:val="clear" w:color="auto" w:fill="auto"/>
          </w:tcPr>
          <w:p w14:paraId="5476F22D" w14:textId="77777777" w:rsidR="004D6EEA" w:rsidRPr="00DA64B9" w:rsidRDefault="004D6EEA" w:rsidP="004D6EEA">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622.1</w:t>
            </w:r>
          </w:p>
        </w:tc>
        <w:tc>
          <w:tcPr>
            <w:tcW w:w="955" w:type="pct"/>
            <w:shd w:val="clear" w:color="auto" w:fill="auto"/>
          </w:tcPr>
          <w:p w14:paraId="72357B24" w14:textId="77777777" w:rsidR="004D6EEA" w:rsidRPr="00DA64B9" w:rsidRDefault="004D6EEA" w:rsidP="004D6EEA">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604.2</w:t>
            </w:r>
          </w:p>
        </w:tc>
      </w:tr>
      <w:tr w:rsidR="004D6EEA" w:rsidRPr="00904E51" w14:paraId="7E253069" w14:textId="77777777" w:rsidTr="006F0858">
        <w:trPr>
          <w:jc w:val="center"/>
        </w:trPr>
        <w:tc>
          <w:tcPr>
            <w:tcW w:w="2319" w:type="pct"/>
          </w:tcPr>
          <w:p w14:paraId="16EA52D8" w14:textId="77777777" w:rsidR="004D6EEA" w:rsidRPr="00475D47" w:rsidRDefault="004D6EEA" w:rsidP="004D6EEA">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BSIFIL Working Capital</w:t>
            </w:r>
          </w:p>
        </w:tc>
        <w:tc>
          <w:tcPr>
            <w:tcW w:w="847" w:type="pct"/>
          </w:tcPr>
          <w:p w14:paraId="3678D37A" w14:textId="05DB1FDB" w:rsidR="004D6EEA" w:rsidRPr="00475D47" w:rsidRDefault="004D6EEA" w:rsidP="004D6EEA">
            <w:pPr>
              <w:pStyle w:val="ListParagraph"/>
              <w:ind w:left="0"/>
              <w:jc w:val="right"/>
              <w:rPr>
                <w:rFonts w:ascii="Georgia" w:hAnsi="Georgia"/>
                <w:color w:val="404040" w:themeColor="text1" w:themeTint="BF"/>
                <w:sz w:val="20"/>
                <w:szCs w:val="20"/>
              </w:rPr>
            </w:pPr>
            <w:r>
              <w:rPr>
                <w:rFonts w:ascii="Georgia" w:hAnsi="Georgia"/>
                <w:color w:val="404040" w:themeColor="text1" w:themeTint="BF"/>
                <w:sz w:val="20"/>
                <w:szCs w:val="20"/>
              </w:rPr>
              <w:t>20.9</w:t>
            </w:r>
          </w:p>
        </w:tc>
        <w:tc>
          <w:tcPr>
            <w:tcW w:w="879" w:type="pct"/>
            <w:shd w:val="clear" w:color="auto" w:fill="auto"/>
          </w:tcPr>
          <w:p w14:paraId="5455D333" w14:textId="77777777" w:rsidR="004D6EEA" w:rsidRPr="00DA64B9" w:rsidRDefault="004D6EEA" w:rsidP="004D6EEA">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19.5</w:t>
            </w:r>
          </w:p>
        </w:tc>
        <w:tc>
          <w:tcPr>
            <w:tcW w:w="955" w:type="pct"/>
            <w:shd w:val="clear" w:color="auto" w:fill="auto"/>
          </w:tcPr>
          <w:p w14:paraId="7B942A3C" w14:textId="77777777" w:rsidR="004D6EEA" w:rsidRPr="00DA64B9" w:rsidRDefault="004D6EEA" w:rsidP="004D6EEA">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18.8</w:t>
            </w:r>
          </w:p>
        </w:tc>
      </w:tr>
      <w:tr w:rsidR="004D6EEA" w:rsidRPr="00904E51" w14:paraId="25F569EE" w14:textId="77777777" w:rsidTr="006F0858">
        <w:trPr>
          <w:jc w:val="center"/>
        </w:trPr>
        <w:tc>
          <w:tcPr>
            <w:tcW w:w="2319" w:type="pct"/>
          </w:tcPr>
          <w:p w14:paraId="73BF2CA5" w14:textId="0EC42663" w:rsidR="004D6EEA" w:rsidRPr="00475D47" w:rsidRDefault="004D6EEA" w:rsidP="004D6EEA">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BSIFIL Debt</w:t>
            </w:r>
          </w:p>
        </w:tc>
        <w:tc>
          <w:tcPr>
            <w:tcW w:w="847" w:type="pct"/>
          </w:tcPr>
          <w:p w14:paraId="0820A391" w14:textId="3A2D2AFF" w:rsidR="004D6EEA" w:rsidRPr="00475D47" w:rsidRDefault="004D6EEA" w:rsidP="004D6EEA">
            <w:pPr>
              <w:pStyle w:val="ListParagraph"/>
              <w:ind w:left="0"/>
              <w:jc w:val="right"/>
              <w:rPr>
                <w:rFonts w:ascii="Georgia" w:hAnsi="Georgia"/>
                <w:color w:val="404040" w:themeColor="text1" w:themeTint="BF"/>
                <w:sz w:val="20"/>
                <w:szCs w:val="20"/>
              </w:rPr>
            </w:pPr>
            <w:r w:rsidRPr="00475D47">
              <w:rPr>
                <w:rFonts w:ascii="Georgia" w:hAnsi="Georgia"/>
                <w:color w:val="404040" w:themeColor="text1" w:themeTint="BF"/>
                <w:sz w:val="20"/>
                <w:szCs w:val="20"/>
              </w:rPr>
              <w:t>(2</w:t>
            </w:r>
            <w:r>
              <w:rPr>
                <w:rFonts w:ascii="Georgia" w:hAnsi="Georgia"/>
                <w:color w:val="404040" w:themeColor="text1" w:themeTint="BF"/>
                <w:sz w:val="20"/>
                <w:szCs w:val="20"/>
              </w:rPr>
              <w:t>12.8</w:t>
            </w:r>
            <w:r w:rsidRPr="00475D47">
              <w:rPr>
                <w:rFonts w:ascii="Georgia" w:hAnsi="Georgia"/>
                <w:color w:val="404040" w:themeColor="text1" w:themeTint="BF"/>
                <w:sz w:val="20"/>
                <w:szCs w:val="20"/>
              </w:rPr>
              <w:t>)</w:t>
            </w:r>
          </w:p>
        </w:tc>
        <w:tc>
          <w:tcPr>
            <w:tcW w:w="879" w:type="pct"/>
            <w:shd w:val="clear" w:color="auto" w:fill="auto"/>
          </w:tcPr>
          <w:p w14:paraId="672F9B42" w14:textId="77777777" w:rsidR="004D6EEA" w:rsidRPr="00DA64B9" w:rsidRDefault="004D6EEA" w:rsidP="004D6EEA">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(205.9)</w:t>
            </w:r>
          </w:p>
        </w:tc>
        <w:tc>
          <w:tcPr>
            <w:tcW w:w="955" w:type="pct"/>
            <w:shd w:val="clear" w:color="auto" w:fill="auto"/>
          </w:tcPr>
          <w:p w14:paraId="28642BEA" w14:textId="77777777" w:rsidR="004D6EEA" w:rsidRPr="00DA64B9" w:rsidRDefault="004D6EEA" w:rsidP="004D6EEA">
            <w:pPr>
              <w:pStyle w:val="ListParagraph"/>
              <w:ind w:left="0"/>
              <w:jc w:val="right"/>
              <w:rPr>
                <w:rFonts w:ascii="Georgia" w:hAnsi="Georgia"/>
                <w:color w:val="404040" w:themeColor="text1" w:themeTint="BF"/>
                <w:sz w:val="20"/>
                <w:szCs w:val="20"/>
              </w:rPr>
            </w:pPr>
            <w:r w:rsidRPr="00DA64B9">
              <w:rPr>
                <w:rFonts w:ascii="Georgia" w:hAnsi="Georgia"/>
                <w:color w:val="404040" w:themeColor="text1" w:themeTint="BF"/>
                <w:sz w:val="20"/>
                <w:szCs w:val="20"/>
              </w:rPr>
              <w:t>(204.9)</w:t>
            </w:r>
          </w:p>
        </w:tc>
      </w:tr>
      <w:tr w:rsidR="004D6EEA" w:rsidRPr="00904E51" w14:paraId="23405880" w14:textId="77777777" w:rsidTr="006F0858">
        <w:trPr>
          <w:jc w:val="center"/>
        </w:trPr>
        <w:tc>
          <w:tcPr>
            <w:tcW w:w="2319" w:type="pct"/>
          </w:tcPr>
          <w:p w14:paraId="52ED9299" w14:textId="77777777" w:rsidR="004D6EEA" w:rsidRPr="00475D47" w:rsidRDefault="004D6EEA" w:rsidP="004D6EEA">
            <w:pPr>
              <w:pStyle w:val="ListParagraph"/>
              <w:ind w:left="0"/>
              <w:jc w:val="both"/>
              <w:rPr>
                <w:rFonts w:ascii="Georgia" w:hAnsi="Georgia"/>
                <w:b/>
                <w:color w:val="404040" w:themeColor="text1" w:themeTint="BF"/>
                <w:sz w:val="20"/>
                <w:szCs w:val="20"/>
              </w:rPr>
            </w:pPr>
            <w:r w:rsidRPr="00475D47">
              <w:rPr>
                <w:rFonts w:ascii="Georgia" w:hAnsi="Georgia"/>
                <w:b/>
                <w:color w:val="404040" w:themeColor="text1" w:themeTint="BF"/>
                <w:sz w:val="20"/>
                <w:szCs w:val="20"/>
              </w:rPr>
              <w:t xml:space="preserve">Financial Assets at Fair Value per Balance sheet </w:t>
            </w:r>
          </w:p>
        </w:tc>
        <w:tc>
          <w:tcPr>
            <w:tcW w:w="847" w:type="pct"/>
            <w:vAlign w:val="center"/>
          </w:tcPr>
          <w:p w14:paraId="7F1DC7D4" w14:textId="6C55E60F" w:rsidR="004D6EEA" w:rsidRPr="00475D47" w:rsidRDefault="004D6EEA" w:rsidP="004D6EEA">
            <w:pPr>
              <w:pStyle w:val="ListParagraph"/>
              <w:ind w:left="0"/>
              <w:jc w:val="right"/>
              <w:rPr>
                <w:rFonts w:ascii="Georgia" w:hAnsi="Georgia"/>
                <w:b/>
                <w:color w:val="404040" w:themeColor="text1" w:themeTint="BF"/>
                <w:sz w:val="20"/>
                <w:szCs w:val="20"/>
              </w:rPr>
            </w:pPr>
            <w:r>
              <w:rPr>
                <w:rFonts w:ascii="Georgia" w:hAnsi="Georgia"/>
                <w:b/>
                <w:color w:val="404040" w:themeColor="text1" w:themeTint="BF"/>
                <w:sz w:val="20"/>
                <w:szCs w:val="20"/>
              </w:rPr>
              <w:t>432.4</w:t>
            </w:r>
          </w:p>
        </w:tc>
        <w:tc>
          <w:tcPr>
            <w:tcW w:w="879" w:type="pct"/>
            <w:shd w:val="clear" w:color="auto" w:fill="auto"/>
            <w:vAlign w:val="center"/>
          </w:tcPr>
          <w:p w14:paraId="3487FE76" w14:textId="77777777" w:rsidR="004D6EEA" w:rsidRPr="00DA64B9" w:rsidRDefault="004D6EEA" w:rsidP="004D6EEA">
            <w:pPr>
              <w:pStyle w:val="ListParagraph"/>
              <w:ind w:left="0"/>
              <w:jc w:val="right"/>
              <w:rPr>
                <w:rFonts w:ascii="Georgia" w:hAnsi="Georgia"/>
                <w:b/>
                <w:color w:val="404040" w:themeColor="text1" w:themeTint="BF"/>
                <w:sz w:val="20"/>
                <w:szCs w:val="20"/>
              </w:rPr>
            </w:pPr>
            <w:r w:rsidRPr="00DA64B9">
              <w:rPr>
                <w:rFonts w:ascii="Georgia" w:hAnsi="Georgia"/>
                <w:b/>
                <w:color w:val="404040" w:themeColor="text1" w:themeTint="BF"/>
                <w:sz w:val="20"/>
                <w:szCs w:val="20"/>
              </w:rPr>
              <w:t>435.7</w:t>
            </w:r>
          </w:p>
        </w:tc>
        <w:tc>
          <w:tcPr>
            <w:tcW w:w="955" w:type="pct"/>
            <w:shd w:val="clear" w:color="auto" w:fill="auto"/>
            <w:vAlign w:val="center"/>
          </w:tcPr>
          <w:p w14:paraId="6039C4D0" w14:textId="77777777" w:rsidR="004D6EEA" w:rsidRPr="00DA64B9" w:rsidRDefault="004D6EEA" w:rsidP="004D6EEA">
            <w:pPr>
              <w:pStyle w:val="ListParagraph"/>
              <w:ind w:left="0"/>
              <w:jc w:val="right"/>
              <w:rPr>
                <w:rFonts w:ascii="Georgia" w:hAnsi="Georgia"/>
                <w:b/>
                <w:color w:val="404040" w:themeColor="text1" w:themeTint="BF"/>
                <w:sz w:val="20"/>
                <w:szCs w:val="20"/>
              </w:rPr>
            </w:pPr>
            <w:r w:rsidRPr="00DA64B9">
              <w:rPr>
                <w:rFonts w:ascii="Georgia" w:hAnsi="Georgia"/>
                <w:b/>
                <w:color w:val="404040" w:themeColor="text1" w:themeTint="BF"/>
                <w:sz w:val="20"/>
                <w:szCs w:val="20"/>
              </w:rPr>
              <w:t>418.1</w:t>
            </w:r>
          </w:p>
        </w:tc>
      </w:tr>
    </w:tbl>
    <w:p w14:paraId="768FE06B"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2FE1D6C3" w14:textId="77777777" w:rsidR="007B66C1" w:rsidRPr="00475D47" w:rsidRDefault="007B66C1" w:rsidP="007B66C1">
      <w:pPr>
        <w:pStyle w:val="Heading2"/>
        <w:spacing w:before="0"/>
      </w:pPr>
      <w:r w:rsidRPr="00475D47">
        <w:lastRenderedPageBreak/>
        <w:t>Report of the Investment Adviser (continued)</w:t>
      </w:r>
    </w:p>
    <w:p w14:paraId="05F8BEED" w14:textId="77777777" w:rsidR="007B66C1" w:rsidRPr="00475D47" w:rsidRDefault="007B66C1" w:rsidP="007B66C1">
      <w:pPr>
        <w:rPr>
          <w:rFonts w:ascii="Georgia" w:hAnsi="Georgia" w:cs="Calibri"/>
          <w:b/>
          <w:color w:val="404040" w:themeColor="text1" w:themeTint="BF"/>
          <w:sz w:val="20"/>
          <w:szCs w:val="20"/>
        </w:rPr>
      </w:pPr>
    </w:p>
    <w:p w14:paraId="32C13389" w14:textId="77777777" w:rsidR="007B66C1" w:rsidRPr="00475D47" w:rsidRDefault="007B66C1" w:rsidP="007B66C1">
      <w:pPr>
        <w:spacing w:after="160" w:line="259" w:lineRule="auto"/>
        <w:jc w:val="both"/>
        <w:rPr>
          <w:rFonts w:ascii="Georgia" w:hAnsi="Georgia"/>
          <w:b/>
          <w:color w:val="404040" w:themeColor="text1" w:themeTint="BF"/>
          <w:sz w:val="20"/>
          <w:szCs w:val="20"/>
        </w:rPr>
      </w:pPr>
      <w:r w:rsidRPr="00475D47">
        <w:rPr>
          <w:rFonts w:ascii="Georgia" w:hAnsi="Georgia"/>
          <w:b/>
          <w:color w:val="404040" w:themeColor="text1" w:themeTint="BF"/>
          <w:sz w:val="20"/>
          <w:szCs w:val="20"/>
        </w:rPr>
        <w:t>4. NAV and Valuation of the Portfolio (continued)</w:t>
      </w:r>
    </w:p>
    <w:p w14:paraId="38E2D368" w14:textId="77777777" w:rsidR="007B66C1" w:rsidRPr="00475D47" w:rsidRDefault="007B66C1" w:rsidP="007B66C1">
      <w:pPr>
        <w:pStyle w:val="ListParagraph"/>
        <w:ind w:left="0"/>
        <w:jc w:val="both"/>
        <w:rPr>
          <w:rFonts w:ascii="Georgia" w:hAnsi="Georgia"/>
          <w:b/>
          <w:color w:val="404040" w:themeColor="text1" w:themeTint="BF"/>
          <w:sz w:val="20"/>
          <w:szCs w:val="20"/>
        </w:rPr>
      </w:pPr>
      <w:r w:rsidRPr="00475D47">
        <w:rPr>
          <w:rFonts w:ascii="Georgia" w:hAnsi="Georgia"/>
          <w:b/>
          <w:color w:val="404040" w:themeColor="text1" w:themeTint="BF"/>
          <w:sz w:val="20"/>
          <w:szCs w:val="20"/>
        </w:rPr>
        <w:t>NAV movement (continued)</w:t>
      </w:r>
    </w:p>
    <w:p w14:paraId="70D4FEF1" w14:textId="77777777" w:rsidR="007B66C1" w:rsidRPr="00475D47" w:rsidRDefault="007B66C1" w:rsidP="007B66C1">
      <w:pPr>
        <w:jc w:val="both"/>
        <w:rPr>
          <w:rFonts w:ascii="Georgia" w:hAnsi="Georgia" w:cs="Calibri"/>
          <w:b/>
          <w:color w:val="404040" w:themeColor="text1" w:themeTint="BF"/>
          <w:sz w:val="20"/>
        </w:rPr>
      </w:pPr>
    </w:p>
    <w:p w14:paraId="36454C4D" w14:textId="77777777" w:rsidR="007B66C1" w:rsidRPr="00475D47" w:rsidRDefault="007B66C1" w:rsidP="007B66C1">
      <w:pPr>
        <w:spacing w:line="300" w:lineRule="auto"/>
        <w:jc w:val="both"/>
        <w:rPr>
          <w:rFonts w:ascii="Georgia" w:hAnsi="Georgia" w:cs="Calibri"/>
          <w:b/>
          <w:color w:val="404040" w:themeColor="text1" w:themeTint="BF"/>
          <w:sz w:val="20"/>
        </w:rPr>
      </w:pPr>
      <w:r w:rsidRPr="00475D47">
        <w:rPr>
          <w:rFonts w:ascii="Georgia" w:hAnsi="Georgia" w:cs="Calibri"/>
          <w:b/>
          <w:color w:val="404040" w:themeColor="text1" w:themeTint="BF"/>
          <w:sz w:val="20"/>
        </w:rPr>
        <w:t>Directors’ Valuation movement (continued)</w:t>
      </w:r>
    </w:p>
    <w:p w14:paraId="1B8CFD6B" w14:textId="77777777" w:rsidR="007B66C1" w:rsidRPr="00904E51" w:rsidRDefault="007B66C1" w:rsidP="007B66C1">
      <w:pPr>
        <w:spacing w:line="300" w:lineRule="auto"/>
        <w:jc w:val="both"/>
        <w:rPr>
          <w:rFonts w:ascii="Georgia" w:hAnsi="Georgia" w:cs="Calibri"/>
          <w:b/>
          <w:color w:val="404040" w:themeColor="text1" w:themeTint="BF"/>
          <w:sz w:val="20"/>
          <w:highlight w:val="yellow"/>
        </w:rPr>
      </w:pPr>
    </w:p>
    <w:p w14:paraId="36AEB42D" w14:textId="77777777" w:rsidR="007B66C1" w:rsidRPr="00475D47" w:rsidRDefault="007B66C1" w:rsidP="007B66C1">
      <w:pPr>
        <w:pStyle w:val="ListParagraph"/>
        <w:ind w:left="0"/>
        <w:jc w:val="both"/>
        <w:rPr>
          <w:rFonts w:ascii="Georgia" w:hAnsi="Georgia"/>
          <w:i/>
          <w:color w:val="404040" w:themeColor="text1" w:themeTint="BF"/>
          <w:sz w:val="20"/>
          <w:szCs w:val="20"/>
        </w:rPr>
      </w:pPr>
      <w:r w:rsidRPr="00475D47">
        <w:rPr>
          <w:rFonts w:ascii="Georgia" w:hAnsi="Georgia"/>
          <w:i/>
          <w:color w:val="404040" w:themeColor="text1" w:themeTint="BF"/>
          <w:sz w:val="20"/>
          <w:szCs w:val="20"/>
        </w:rPr>
        <w:t>Directors’ Valuation sensitivities</w:t>
      </w:r>
    </w:p>
    <w:p w14:paraId="6742EBB3" w14:textId="77777777" w:rsidR="007B66C1" w:rsidRPr="00475D47" w:rsidRDefault="007B66C1" w:rsidP="007B66C1">
      <w:pPr>
        <w:pStyle w:val="ListParagraph"/>
        <w:jc w:val="both"/>
        <w:rPr>
          <w:rFonts w:ascii="Georgia" w:hAnsi="Georgia"/>
          <w:sz w:val="20"/>
          <w:szCs w:val="20"/>
        </w:rPr>
      </w:pPr>
    </w:p>
    <w:p w14:paraId="0D592B90" w14:textId="77777777" w:rsidR="007B66C1" w:rsidRPr="00475D47" w:rsidRDefault="007B66C1" w:rsidP="007B66C1">
      <w:pPr>
        <w:pStyle w:val="ListParagraph"/>
        <w:ind w:left="0"/>
        <w:jc w:val="both"/>
        <w:rPr>
          <w:rFonts w:ascii="Georgia" w:hAnsi="Georgia"/>
          <w:color w:val="404040" w:themeColor="text1" w:themeTint="BF"/>
          <w:sz w:val="20"/>
          <w:szCs w:val="20"/>
        </w:rPr>
      </w:pPr>
      <w:r w:rsidRPr="00475D47">
        <w:rPr>
          <w:rFonts w:ascii="Georgia" w:hAnsi="Georgia"/>
          <w:color w:val="404040" w:themeColor="text1" w:themeTint="BF"/>
          <w:sz w:val="20"/>
          <w:szCs w:val="20"/>
        </w:rPr>
        <w:t>Valuation sensitivities are set out in tabular form in Note 8 of the financial statements. The following diagram reviews the sensitivity of the EV of the portfolio to the key underlying assumptions within the discounted cash flow valuation.</w:t>
      </w:r>
    </w:p>
    <w:p w14:paraId="30E8FE9E" w14:textId="77777777" w:rsidR="007B66C1" w:rsidRPr="00475D47" w:rsidRDefault="007B66C1" w:rsidP="007B66C1">
      <w:pPr>
        <w:jc w:val="both"/>
        <w:rPr>
          <w:rFonts w:ascii="Georgia" w:hAnsi="Georgia" w:cs="Calibri"/>
          <w:color w:val="404040" w:themeColor="text1" w:themeTint="BF"/>
          <w:sz w:val="20"/>
        </w:rPr>
      </w:pPr>
    </w:p>
    <w:p w14:paraId="757CBBED" w14:textId="37692DFE" w:rsidR="007B66C1" w:rsidRPr="00475D47" w:rsidRDefault="00C42CD7" w:rsidP="007B66C1">
      <w:pPr>
        <w:pStyle w:val="ListParagraph"/>
        <w:ind w:left="0"/>
        <w:jc w:val="both"/>
        <w:rPr>
          <w:rFonts w:ascii="Georgia" w:hAnsi="Georgia"/>
          <w:i/>
          <w:color w:val="404040" w:themeColor="text1" w:themeTint="BF"/>
          <w:sz w:val="20"/>
          <w:szCs w:val="20"/>
        </w:rPr>
      </w:pPr>
      <w:r w:rsidRPr="00475D47">
        <w:rPr>
          <w:noProof/>
          <w:lang w:eastAsia="zh-CN"/>
        </w:rPr>
        <w:drawing>
          <wp:inline distT="0" distB="0" distL="0" distR="0" wp14:anchorId="6BB5B773" wp14:editId="3203E6CA">
            <wp:extent cx="5895975" cy="2066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5975" cy="2066925"/>
                    </a:xfrm>
                    <a:prstGeom prst="rect">
                      <a:avLst/>
                    </a:prstGeom>
                    <a:noFill/>
                  </pic:spPr>
                </pic:pic>
              </a:graphicData>
            </a:graphic>
          </wp:inline>
        </w:drawing>
      </w:r>
      <w:r w:rsidR="007B66C1" w:rsidRPr="00475D47" w:rsidDel="00E82560">
        <w:rPr>
          <w:lang w:eastAsia="zh-CN"/>
        </w:rPr>
        <w:t xml:space="preserve"> </w:t>
      </w:r>
    </w:p>
    <w:p w14:paraId="4D426CB5" w14:textId="77777777" w:rsidR="007B66C1" w:rsidRPr="00475D47" w:rsidRDefault="007B66C1" w:rsidP="007B66C1">
      <w:pPr>
        <w:pStyle w:val="ListParagraph"/>
        <w:ind w:left="0"/>
        <w:jc w:val="both"/>
        <w:rPr>
          <w:rFonts w:ascii="Georgia" w:hAnsi="Georgia"/>
          <w:i/>
          <w:color w:val="404040" w:themeColor="text1" w:themeTint="BF"/>
          <w:sz w:val="20"/>
          <w:szCs w:val="20"/>
        </w:rPr>
      </w:pPr>
    </w:p>
    <w:p w14:paraId="39660F4C" w14:textId="77777777" w:rsidR="007B66C1" w:rsidRPr="00344227" w:rsidRDefault="007B66C1" w:rsidP="007B66C1">
      <w:pPr>
        <w:spacing w:after="160" w:line="259" w:lineRule="auto"/>
        <w:jc w:val="both"/>
        <w:rPr>
          <w:rFonts w:ascii="Georgia" w:hAnsi="Georgia"/>
          <w:b/>
          <w:color w:val="404040" w:themeColor="text1" w:themeTint="BF"/>
          <w:sz w:val="20"/>
          <w:szCs w:val="20"/>
        </w:rPr>
      </w:pPr>
      <w:r w:rsidRPr="00344227">
        <w:rPr>
          <w:rFonts w:ascii="Georgia" w:hAnsi="Georgia"/>
          <w:b/>
          <w:color w:val="404040" w:themeColor="text1" w:themeTint="BF"/>
          <w:sz w:val="20"/>
          <w:szCs w:val="20"/>
        </w:rPr>
        <w:t xml:space="preserve">5. Financing </w:t>
      </w:r>
    </w:p>
    <w:p w14:paraId="1B65BB64" w14:textId="77777777" w:rsidR="007B66C1" w:rsidRPr="00344227" w:rsidRDefault="007B66C1" w:rsidP="007B66C1">
      <w:pPr>
        <w:pStyle w:val="ListParagraph"/>
        <w:ind w:left="0"/>
        <w:jc w:val="both"/>
        <w:rPr>
          <w:rFonts w:ascii="Georgia" w:hAnsi="Georgia"/>
          <w:i/>
          <w:color w:val="404040" w:themeColor="text1" w:themeTint="BF"/>
          <w:sz w:val="20"/>
          <w:szCs w:val="20"/>
        </w:rPr>
      </w:pPr>
      <w:r w:rsidRPr="00344227">
        <w:rPr>
          <w:rFonts w:ascii="Georgia" w:hAnsi="Georgia"/>
          <w:i/>
          <w:color w:val="404040" w:themeColor="text1" w:themeTint="BF"/>
          <w:sz w:val="20"/>
          <w:szCs w:val="20"/>
        </w:rPr>
        <w:t>Aviva Investors Long Term Facility</w:t>
      </w:r>
    </w:p>
    <w:p w14:paraId="28D2B8F5" w14:textId="77777777" w:rsidR="007B66C1" w:rsidRPr="00344227" w:rsidRDefault="007B66C1" w:rsidP="007B66C1">
      <w:pPr>
        <w:pStyle w:val="ListParagraph"/>
        <w:jc w:val="both"/>
        <w:rPr>
          <w:rFonts w:ascii="Georgia" w:hAnsi="Georgia"/>
          <w:color w:val="404040" w:themeColor="text1" w:themeTint="BF"/>
          <w:sz w:val="20"/>
          <w:szCs w:val="20"/>
        </w:rPr>
      </w:pPr>
    </w:p>
    <w:p w14:paraId="3A21AE75" w14:textId="69A3E589" w:rsidR="007B66C1" w:rsidRPr="00344227" w:rsidRDefault="007B66C1" w:rsidP="00EA359C">
      <w:pPr>
        <w:pStyle w:val="ListParagraph"/>
        <w:ind w:left="0"/>
        <w:jc w:val="both"/>
        <w:rPr>
          <w:rFonts w:ascii="Georgia" w:hAnsi="Georgia"/>
          <w:color w:val="404040" w:themeColor="text1" w:themeTint="BF"/>
          <w:sz w:val="20"/>
          <w:szCs w:val="20"/>
        </w:rPr>
      </w:pPr>
      <w:r w:rsidRPr="00344227">
        <w:rPr>
          <w:rFonts w:ascii="Georgia" w:hAnsi="Georgia"/>
          <w:color w:val="404040" w:themeColor="text1" w:themeTint="BF"/>
          <w:sz w:val="20"/>
          <w:szCs w:val="20"/>
        </w:rPr>
        <w:t xml:space="preserve">The LTF is provided by Aviva Investors in two tranches. The first is a £121.5m fixed rate long term facility and the second is a £65.5m index-linked long term facility. </w:t>
      </w:r>
    </w:p>
    <w:tbl>
      <w:tblPr>
        <w:tblStyle w:val="TableGrid"/>
        <w:tblpPr w:leftFromText="180" w:rightFromText="180" w:vertAnchor="text" w:horzAnchor="margin" w:tblpXSpec="right" w:tblpY="248"/>
        <w:tblW w:w="4803" w:type="pct"/>
        <w:tblLayout w:type="fixed"/>
        <w:tblLook w:val="04A0" w:firstRow="1" w:lastRow="0" w:firstColumn="1" w:lastColumn="0" w:noHBand="0" w:noVBand="1"/>
      </w:tblPr>
      <w:tblGrid>
        <w:gridCol w:w="1610"/>
        <w:gridCol w:w="1319"/>
        <w:gridCol w:w="1356"/>
        <w:gridCol w:w="1595"/>
        <w:gridCol w:w="1394"/>
        <w:gridCol w:w="1708"/>
      </w:tblGrid>
      <w:tr w:rsidR="007B66C1" w:rsidRPr="00904E51" w14:paraId="593FF12E" w14:textId="77777777" w:rsidTr="00471151">
        <w:trPr>
          <w:trHeight w:val="922"/>
        </w:trPr>
        <w:tc>
          <w:tcPr>
            <w:tcW w:w="896" w:type="pct"/>
            <w:shd w:val="clear" w:color="auto" w:fill="auto"/>
          </w:tcPr>
          <w:p w14:paraId="392E9C64" w14:textId="77777777" w:rsidR="007B66C1" w:rsidRPr="00574CEF" w:rsidRDefault="007B66C1" w:rsidP="006F0858">
            <w:pPr>
              <w:spacing w:after="120" w:line="288" w:lineRule="auto"/>
              <w:jc w:val="both"/>
              <w:textAlignment w:val="center"/>
              <w:rPr>
                <w:rFonts w:ascii="Georgia" w:hAnsi="Georgia" w:cs="Calibri"/>
                <w:b/>
                <w:color w:val="404040" w:themeColor="text1" w:themeTint="BF"/>
                <w:sz w:val="18"/>
                <w:szCs w:val="18"/>
              </w:rPr>
            </w:pPr>
            <w:r w:rsidRPr="00574CEF">
              <w:rPr>
                <w:rFonts w:ascii="Georgia" w:hAnsi="Georgia" w:cs="Calibri"/>
                <w:b/>
                <w:color w:val="404040" w:themeColor="text1" w:themeTint="BF"/>
                <w:sz w:val="18"/>
                <w:szCs w:val="18"/>
              </w:rPr>
              <w:t>Loan</w:t>
            </w:r>
          </w:p>
        </w:tc>
        <w:tc>
          <w:tcPr>
            <w:tcW w:w="734" w:type="pct"/>
            <w:shd w:val="clear" w:color="auto" w:fill="auto"/>
          </w:tcPr>
          <w:p w14:paraId="4C3272A8" w14:textId="77777777" w:rsidR="007B66C1" w:rsidRPr="00574CEF" w:rsidRDefault="007B66C1" w:rsidP="006F0858">
            <w:pPr>
              <w:spacing w:after="120" w:line="288" w:lineRule="auto"/>
              <w:jc w:val="both"/>
              <w:textAlignment w:val="center"/>
              <w:rPr>
                <w:rFonts w:ascii="Georgia" w:hAnsi="Georgia" w:cs="Calibri"/>
                <w:b/>
                <w:color w:val="404040" w:themeColor="text1" w:themeTint="BF"/>
                <w:sz w:val="18"/>
                <w:szCs w:val="18"/>
              </w:rPr>
            </w:pPr>
            <w:r w:rsidRPr="00574CEF">
              <w:rPr>
                <w:rFonts w:ascii="Georgia" w:hAnsi="Georgia" w:cs="Calibri"/>
                <w:b/>
                <w:color w:val="404040" w:themeColor="text1" w:themeTint="BF"/>
                <w:sz w:val="18"/>
                <w:szCs w:val="18"/>
              </w:rPr>
              <w:t>Original Amount (Sept 16)</w:t>
            </w:r>
          </w:p>
        </w:tc>
        <w:tc>
          <w:tcPr>
            <w:tcW w:w="755" w:type="pct"/>
            <w:shd w:val="clear" w:color="auto" w:fill="auto"/>
          </w:tcPr>
          <w:p w14:paraId="46657810" w14:textId="36F3A223" w:rsidR="007B66C1" w:rsidRPr="00574CEF" w:rsidRDefault="007B66C1" w:rsidP="006F0858">
            <w:pPr>
              <w:spacing w:after="120" w:line="288" w:lineRule="auto"/>
              <w:jc w:val="both"/>
              <w:textAlignment w:val="center"/>
              <w:rPr>
                <w:rFonts w:ascii="Georgia" w:hAnsi="Georgia" w:cs="Calibri"/>
                <w:b/>
                <w:color w:val="404040" w:themeColor="text1" w:themeTint="BF"/>
                <w:sz w:val="18"/>
                <w:szCs w:val="18"/>
              </w:rPr>
            </w:pPr>
            <w:r w:rsidRPr="00574CEF">
              <w:rPr>
                <w:rFonts w:ascii="Georgia" w:hAnsi="Georgia" w:cs="Calibri"/>
                <w:b/>
                <w:color w:val="404040" w:themeColor="text1" w:themeTint="BF"/>
                <w:sz w:val="18"/>
                <w:szCs w:val="18"/>
              </w:rPr>
              <w:t xml:space="preserve">Current Amount (Jun </w:t>
            </w:r>
            <w:r w:rsidR="00980240" w:rsidRPr="00475D47">
              <w:rPr>
                <w:rFonts w:ascii="Georgia" w:hAnsi="Georgia" w:cs="Calibri"/>
                <w:b/>
                <w:color w:val="404040" w:themeColor="text1" w:themeTint="BF"/>
                <w:sz w:val="18"/>
                <w:szCs w:val="18"/>
              </w:rPr>
              <w:t>20</w:t>
            </w:r>
            <w:r w:rsidRPr="00574CEF">
              <w:rPr>
                <w:rFonts w:ascii="Georgia" w:hAnsi="Georgia" w:cs="Calibri"/>
                <w:b/>
                <w:color w:val="404040" w:themeColor="text1" w:themeTint="BF"/>
                <w:sz w:val="18"/>
                <w:szCs w:val="18"/>
              </w:rPr>
              <w:t>)</w:t>
            </w:r>
          </w:p>
        </w:tc>
        <w:tc>
          <w:tcPr>
            <w:tcW w:w="888" w:type="pct"/>
            <w:shd w:val="clear" w:color="auto" w:fill="auto"/>
          </w:tcPr>
          <w:p w14:paraId="3DBBE045" w14:textId="77777777" w:rsidR="007B66C1" w:rsidRPr="00574CEF" w:rsidRDefault="007B66C1" w:rsidP="006F0858">
            <w:pPr>
              <w:spacing w:after="120" w:line="288" w:lineRule="auto"/>
              <w:jc w:val="both"/>
              <w:textAlignment w:val="center"/>
              <w:rPr>
                <w:rFonts w:ascii="Georgia" w:hAnsi="Georgia" w:cs="Calibri"/>
                <w:b/>
                <w:color w:val="404040" w:themeColor="text1" w:themeTint="BF"/>
                <w:sz w:val="18"/>
                <w:szCs w:val="18"/>
              </w:rPr>
            </w:pPr>
            <w:r w:rsidRPr="00574CEF">
              <w:rPr>
                <w:rFonts w:ascii="Georgia" w:hAnsi="Georgia" w:cs="Calibri"/>
                <w:b/>
                <w:color w:val="404040" w:themeColor="text1" w:themeTint="BF"/>
                <w:sz w:val="18"/>
                <w:szCs w:val="18"/>
              </w:rPr>
              <w:t>Tenor</w:t>
            </w:r>
          </w:p>
        </w:tc>
        <w:tc>
          <w:tcPr>
            <w:tcW w:w="776" w:type="pct"/>
            <w:shd w:val="clear" w:color="auto" w:fill="auto"/>
          </w:tcPr>
          <w:p w14:paraId="6B978477" w14:textId="77777777" w:rsidR="007B66C1" w:rsidRPr="00574CEF" w:rsidRDefault="007B66C1" w:rsidP="006F0858">
            <w:pPr>
              <w:spacing w:after="120" w:line="288" w:lineRule="auto"/>
              <w:jc w:val="both"/>
              <w:textAlignment w:val="center"/>
              <w:rPr>
                <w:rFonts w:ascii="Georgia" w:hAnsi="Georgia" w:cs="Calibri"/>
                <w:b/>
                <w:color w:val="404040" w:themeColor="text1" w:themeTint="BF"/>
                <w:sz w:val="18"/>
                <w:szCs w:val="18"/>
              </w:rPr>
            </w:pPr>
            <w:r w:rsidRPr="00574CEF">
              <w:rPr>
                <w:rFonts w:ascii="Georgia" w:hAnsi="Georgia" w:cs="Calibri"/>
                <w:b/>
                <w:color w:val="404040" w:themeColor="text1" w:themeTint="BF"/>
                <w:sz w:val="18"/>
                <w:szCs w:val="18"/>
              </w:rPr>
              <w:t>Cost</w:t>
            </w:r>
          </w:p>
        </w:tc>
        <w:tc>
          <w:tcPr>
            <w:tcW w:w="951" w:type="pct"/>
            <w:shd w:val="clear" w:color="auto" w:fill="auto"/>
          </w:tcPr>
          <w:p w14:paraId="2EC1BB6C" w14:textId="77777777" w:rsidR="007B66C1" w:rsidRPr="00574CEF" w:rsidRDefault="007B66C1" w:rsidP="006F0858">
            <w:pPr>
              <w:spacing w:after="120" w:line="288" w:lineRule="auto"/>
              <w:textAlignment w:val="center"/>
              <w:rPr>
                <w:rFonts w:ascii="Georgia" w:hAnsi="Georgia" w:cs="Calibri"/>
                <w:b/>
                <w:color w:val="404040" w:themeColor="text1" w:themeTint="BF"/>
                <w:sz w:val="18"/>
                <w:szCs w:val="18"/>
              </w:rPr>
            </w:pPr>
            <w:r w:rsidRPr="00574CEF">
              <w:rPr>
                <w:rFonts w:ascii="Georgia" w:hAnsi="Georgia" w:cs="Calibri"/>
                <w:b/>
                <w:color w:val="404040" w:themeColor="text1" w:themeTint="BF"/>
                <w:sz w:val="18"/>
                <w:szCs w:val="18"/>
              </w:rPr>
              <w:t>Average Loan Life at drawdown</w:t>
            </w:r>
          </w:p>
        </w:tc>
      </w:tr>
      <w:tr w:rsidR="007B66C1" w:rsidRPr="00904E51" w14:paraId="049B3F0B" w14:textId="77777777" w:rsidTr="00471151">
        <w:trPr>
          <w:trHeight w:val="941"/>
        </w:trPr>
        <w:tc>
          <w:tcPr>
            <w:tcW w:w="896" w:type="pct"/>
          </w:tcPr>
          <w:p w14:paraId="05144E7A" w14:textId="77777777" w:rsidR="007B66C1" w:rsidRPr="00574CEF" w:rsidRDefault="007B66C1" w:rsidP="006F0858">
            <w:pPr>
              <w:spacing w:after="120" w:line="288" w:lineRule="auto"/>
              <w:jc w:val="both"/>
              <w:textAlignment w:val="center"/>
              <w:rPr>
                <w:rFonts w:ascii="Georgia" w:hAnsi="Georgia" w:cs="Calibri"/>
                <w:color w:val="404040" w:themeColor="text1" w:themeTint="BF"/>
                <w:sz w:val="18"/>
                <w:szCs w:val="18"/>
              </w:rPr>
            </w:pPr>
            <w:r w:rsidRPr="00574CEF">
              <w:rPr>
                <w:rFonts w:ascii="Georgia" w:hAnsi="Georgia" w:cs="Calibri"/>
                <w:color w:val="404040" w:themeColor="text1" w:themeTint="BF"/>
                <w:sz w:val="18"/>
                <w:szCs w:val="18"/>
              </w:rPr>
              <w:t>Fixed</w:t>
            </w:r>
          </w:p>
        </w:tc>
        <w:tc>
          <w:tcPr>
            <w:tcW w:w="734" w:type="pct"/>
          </w:tcPr>
          <w:p w14:paraId="77134CD9" w14:textId="77777777" w:rsidR="007B66C1" w:rsidRPr="00574CEF" w:rsidRDefault="007B66C1" w:rsidP="006F0858">
            <w:pPr>
              <w:spacing w:after="120" w:line="288" w:lineRule="auto"/>
              <w:jc w:val="both"/>
              <w:textAlignment w:val="center"/>
              <w:rPr>
                <w:rFonts w:ascii="Georgia" w:hAnsi="Georgia" w:cs="Calibri"/>
                <w:color w:val="404040" w:themeColor="text1" w:themeTint="BF"/>
                <w:sz w:val="18"/>
                <w:szCs w:val="18"/>
              </w:rPr>
            </w:pPr>
            <w:r w:rsidRPr="00574CEF">
              <w:rPr>
                <w:rFonts w:ascii="Georgia" w:hAnsi="Georgia" w:cs="Calibri"/>
                <w:color w:val="404040" w:themeColor="text1" w:themeTint="BF"/>
                <w:sz w:val="18"/>
                <w:szCs w:val="18"/>
              </w:rPr>
              <w:t>£121.5m</w:t>
            </w:r>
          </w:p>
        </w:tc>
        <w:tc>
          <w:tcPr>
            <w:tcW w:w="755" w:type="pct"/>
          </w:tcPr>
          <w:p w14:paraId="3A781951" w14:textId="77777777" w:rsidR="007B66C1" w:rsidRPr="000C1084" w:rsidRDefault="007B66C1" w:rsidP="006F0858">
            <w:pPr>
              <w:spacing w:after="120" w:line="288" w:lineRule="auto"/>
              <w:textAlignment w:val="center"/>
              <w:rPr>
                <w:rFonts w:ascii="Georgia" w:hAnsi="Georgia" w:cs="Calibri"/>
                <w:color w:val="404040" w:themeColor="text1" w:themeTint="BF"/>
                <w:sz w:val="18"/>
                <w:szCs w:val="18"/>
              </w:rPr>
            </w:pPr>
            <w:r w:rsidRPr="000C1084">
              <w:rPr>
                <w:rFonts w:ascii="Georgia" w:hAnsi="Georgia" w:cs="Calibri"/>
                <w:color w:val="404040" w:themeColor="text1" w:themeTint="BF"/>
                <w:sz w:val="18"/>
                <w:szCs w:val="18"/>
              </w:rPr>
              <w:t>£104.6</w:t>
            </w:r>
          </w:p>
        </w:tc>
        <w:tc>
          <w:tcPr>
            <w:tcW w:w="888" w:type="pct"/>
          </w:tcPr>
          <w:p w14:paraId="2C701543" w14:textId="77777777" w:rsidR="007B66C1" w:rsidRPr="000C1084" w:rsidRDefault="007B66C1" w:rsidP="006F0858">
            <w:pPr>
              <w:spacing w:after="120" w:line="288" w:lineRule="auto"/>
              <w:textAlignment w:val="center"/>
              <w:rPr>
                <w:rFonts w:ascii="Georgia" w:hAnsi="Georgia" w:cs="Calibri"/>
                <w:color w:val="404040" w:themeColor="text1" w:themeTint="BF"/>
                <w:sz w:val="18"/>
                <w:szCs w:val="18"/>
              </w:rPr>
            </w:pPr>
            <w:r w:rsidRPr="000C1084">
              <w:rPr>
                <w:rFonts w:ascii="Georgia" w:hAnsi="Georgia" w:cs="Calibri"/>
                <w:color w:val="404040" w:themeColor="text1" w:themeTint="BF"/>
                <w:sz w:val="18"/>
                <w:szCs w:val="18"/>
              </w:rPr>
              <w:t xml:space="preserve">Fully amortising over 18 years to 2034, sculpted to cash flows </w:t>
            </w:r>
          </w:p>
        </w:tc>
        <w:tc>
          <w:tcPr>
            <w:tcW w:w="776" w:type="pct"/>
            <w:shd w:val="clear" w:color="auto" w:fill="auto"/>
          </w:tcPr>
          <w:p w14:paraId="62EC8733" w14:textId="77777777" w:rsidR="007B66C1" w:rsidRPr="000D6221" w:rsidRDefault="007B66C1" w:rsidP="006F0858">
            <w:pPr>
              <w:spacing w:after="120" w:line="288" w:lineRule="auto"/>
              <w:textAlignment w:val="center"/>
              <w:rPr>
                <w:rFonts w:ascii="Georgia" w:hAnsi="Georgia" w:cs="Calibri"/>
                <w:color w:val="404040" w:themeColor="text1" w:themeTint="BF"/>
                <w:sz w:val="18"/>
                <w:szCs w:val="18"/>
              </w:rPr>
            </w:pPr>
            <w:r w:rsidRPr="000D6221">
              <w:rPr>
                <w:rFonts w:ascii="Georgia" w:hAnsi="Georgia" w:cs="Calibri"/>
                <w:color w:val="404040" w:themeColor="text1" w:themeTint="BF"/>
                <w:sz w:val="18"/>
                <w:szCs w:val="18"/>
              </w:rPr>
              <w:t>All in cost of 287.5bps</w:t>
            </w:r>
          </w:p>
        </w:tc>
        <w:tc>
          <w:tcPr>
            <w:tcW w:w="951" w:type="pct"/>
            <w:shd w:val="clear" w:color="auto" w:fill="auto"/>
          </w:tcPr>
          <w:p w14:paraId="270BA3E5" w14:textId="77777777" w:rsidR="007B66C1" w:rsidRPr="000D6221" w:rsidRDefault="007B66C1" w:rsidP="006F0858">
            <w:pPr>
              <w:spacing w:after="120" w:line="288" w:lineRule="auto"/>
              <w:jc w:val="both"/>
              <w:textAlignment w:val="center"/>
              <w:rPr>
                <w:rFonts w:ascii="Georgia" w:hAnsi="Georgia" w:cs="Calibri"/>
                <w:color w:val="404040" w:themeColor="text1" w:themeTint="BF"/>
                <w:sz w:val="18"/>
                <w:szCs w:val="18"/>
              </w:rPr>
            </w:pPr>
            <w:r w:rsidRPr="000D6221">
              <w:rPr>
                <w:rFonts w:ascii="Georgia" w:hAnsi="Georgia" w:cs="Calibri"/>
                <w:color w:val="404040" w:themeColor="text1" w:themeTint="BF"/>
                <w:sz w:val="18"/>
                <w:szCs w:val="18"/>
              </w:rPr>
              <w:t>10.6</w:t>
            </w:r>
          </w:p>
        </w:tc>
      </w:tr>
      <w:tr w:rsidR="007B66C1" w:rsidRPr="00904E51" w14:paraId="0C573CFA" w14:textId="77777777" w:rsidTr="00471151">
        <w:trPr>
          <w:trHeight w:val="719"/>
        </w:trPr>
        <w:tc>
          <w:tcPr>
            <w:tcW w:w="896" w:type="pct"/>
          </w:tcPr>
          <w:p w14:paraId="52CE3AF9" w14:textId="77777777" w:rsidR="007B66C1" w:rsidRPr="00574CEF" w:rsidRDefault="007B66C1" w:rsidP="006F0858">
            <w:pPr>
              <w:spacing w:after="120" w:line="288" w:lineRule="auto"/>
              <w:jc w:val="both"/>
              <w:textAlignment w:val="center"/>
              <w:rPr>
                <w:rFonts w:ascii="Georgia" w:hAnsi="Georgia" w:cs="Calibri"/>
                <w:color w:val="404040" w:themeColor="text1" w:themeTint="BF"/>
                <w:sz w:val="18"/>
                <w:szCs w:val="18"/>
              </w:rPr>
            </w:pPr>
            <w:r w:rsidRPr="00574CEF">
              <w:rPr>
                <w:rFonts w:ascii="Georgia" w:hAnsi="Georgia" w:cs="Calibri"/>
                <w:color w:val="404040" w:themeColor="text1" w:themeTint="BF"/>
                <w:sz w:val="18"/>
                <w:szCs w:val="18"/>
              </w:rPr>
              <w:t>Index-Linked</w:t>
            </w:r>
          </w:p>
        </w:tc>
        <w:tc>
          <w:tcPr>
            <w:tcW w:w="734" w:type="pct"/>
          </w:tcPr>
          <w:p w14:paraId="4CB94237" w14:textId="77777777" w:rsidR="007B66C1" w:rsidRPr="00574CEF" w:rsidRDefault="007B66C1" w:rsidP="006F0858">
            <w:pPr>
              <w:spacing w:after="120" w:line="288" w:lineRule="auto"/>
              <w:jc w:val="both"/>
              <w:textAlignment w:val="center"/>
              <w:rPr>
                <w:rFonts w:ascii="Georgia" w:hAnsi="Georgia" w:cs="Calibri"/>
                <w:color w:val="404040" w:themeColor="text1" w:themeTint="BF"/>
                <w:sz w:val="18"/>
                <w:szCs w:val="18"/>
              </w:rPr>
            </w:pPr>
            <w:r w:rsidRPr="00574CEF">
              <w:rPr>
                <w:rFonts w:ascii="Georgia" w:hAnsi="Georgia" w:cs="Calibri"/>
                <w:color w:val="404040" w:themeColor="text1" w:themeTint="BF"/>
                <w:sz w:val="18"/>
                <w:szCs w:val="18"/>
              </w:rPr>
              <w:t>£65.5m</w:t>
            </w:r>
          </w:p>
        </w:tc>
        <w:tc>
          <w:tcPr>
            <w:tcW w:w="755" w:type="pct"/>
          </w:tcPr>
          <w:p w14:paraId="7A2E1710" w14:textId="77777777" w:rsidR="007B66C1" w:rsidRPr="00904E51" w:rsidDel="00D401BC" w:rsidRDefault="007B66C1" w:rsidP="006F0858">
            <w:pPr>
              <w:spacing w:after="120" w:line="288" w:lineRule="auto"/>
              <w:textAlignment w:val="center"/>
              <w:rPr>
                <w:rFonts w:ascii="Georgia" w:hAnsi="Georgia" w:cs="Calibri"/>
                <w:color w:val="404040" w:themeColor="text1" w:themeTint="BF"/>
                <w:sz w:val="18"/>
                <w:szCs w:val="18"/>
                <w:highlight w:val="yellow"/>
              </w:rPr>
            </w:pPr>
            <w:r w:rsidRPr="00851B1A">
              <w:rPr>
                <w:rFonts w:ascii="Georgia" w:hAnsi="Georgia" w:cs="Calibri"/>
                <w:color w:val="404040" w:themeColor="text1" w:themeTint="BF"/>
                <w:sz w:val="18"/>
                <w:szCs w:val="18"/>
              </w:rPr>
              <w:t>£62.6m</w:t>
            </w:r>
          </w:p>
        </w:tc>
        <w:tc>
          <w:tcPr>
            <w:tcW w:w="888" w:type="pct"/>
            <w:shd w:val="clear" w:color="auto" w:fill="auto"/>
          </w:tcPr>
          <w:p w14:paraId="5537ADE8" w14:textId="0334911C" w:rsidR="007B66C1" w:rsidRPr="00851B1A" w:rsidRDefault="001A3B8E" w:rsidP="006F0858">
            <w:pPr>
              <w:spacing w:after="120" w:line="288" w:lineRule="auto"/>
              <w:textAlignment w:val="center"/>
              <w:rPr>
                <w:rFonts w:ascii="Georgia" w:hAnsi="Georgia" w:cs="Calibri"/>
                <w:color w:val="404040" w:themeColor="text1" w:themeTint="BF"/>
                <w:sz w:val="18"/>
                <w:szCs w:val="18"/>
              </w:rPr>
            </w:pPr>
            <w:r w:rsidRPr="00851B1A">
              <w:rPr>
                <w:rFonts w:ascii="Georgia" w:hAnsi="Georgia" w:cs="Calibri"/>
                <w:color w:val="404040" w:themeColor="text1" w:themeTint="BF"/>
                <w:sz w:val="18"/>
                <w:szCs w:val="18"/>
              </w:rPr>
              <w:t>Fully amortising over 18 years to 2034, sculpted to cash flows</w:t>
            </w:r>
          </w:p>
        </w:tc>
        <w:tc>
          <w:tcPr>
            <w:tcW w:w="776" w:type="pct"/>
            <w:shd w:val="clear" w:color="auto" w:fill="auto"/>
          </w:tcPr>
          <w:p w14:paraId="5417891A" w14:textId="77777777" w:rsidR="007B66C1" w:rsidRPr="000F6070" w:rsidRDefault="007B66C1" w:rsidP="006F0858">
            <w:pPr>
              <w:spacing w:after="120" w:line="288" w:lineRule="auto"/>
              <w:textAlignment w:val="center"/>
              <w:rPr>
                <w:rFonts w:ascii="Georgia" w:hAnsi="Georgia" w:cs="Calibri"/>
                <w:color w:val="404040" w:themeColor="text1" w:themeTint="BF"/>
                <w:sz w:val="18"/>
                <w:szCs w:val="18"/>
              </w:rPr>
            </w:pPr>
            <w:r w:rsidRPr="000F6070">
              <w:rPr>
                <w:rFonts w:ascii="Georgia" w:hAnsi="Georgia" w:cs="Calibri"/>
                <w:color w:val="404040" w:themeColor="text1" w:themeTint="BF"/>
                <w:sz w:val="18"/>
                <w:szCs w:val="18"/>
              </w:rPr>
              <w:t>RPI plus 70bps</w:t>
            </w:r>
          </w:p>
        </w:tc>
        <w:tc>
          <w:tcPr>
            <w:tcW w:w="951" w:type="pct"/>
            <w:shd w:val="clear" w:color="auto" w:fill="auto"/>
          </w:tcPr>
          <w:p w14:paraId="25F392E6" w14:textId="77777777" w:rsidR="007B66C1" w:rsidRPr="000F6070" w:rsidRDefault="007B66C1" w:rsidP="006F0858">
            <w:pPr>
              <w:spacing w:after="120" w:line="288" w:lineRule="auto"/>
              <w:jc w:val="both"/>
              <w:textAlignment w:val="center"/>
              <w:rPr>
                <w:rFonts w:ascii="Georgia" w:hAnsi="Georgia" w:cs="Calibri"/>
                <w:color w:val="404040" w:themeColor="text1" w:themeTint="BF"/>
                <w:sz w:val="18"/>
                <w:szCs w:val="18"/>
              </w:rPr>
            </w:pPr>
            <w:r w:rsidRPr="000F6070">
              <w:rPr>
                <w:rFonts w:ascii="Georgia" w:hAnsi="Georgia" w:cs="Calibri"/>
                <w:color w:val="404040" w:themeColor="text1" w:themeTint="BF"/>
                <w:sz w:val="18"/>
                <w:szCs w:val="18"/>
              </w:rPr>
              <w:t>11.3</w:t>
            </w:r>
          </w:p>
        </w:tc>
      </w:tr>
    </w:tbl>
    <w:p w14:paraId="09CAF7E0" w14:textId="77777777" w:rsidR="007B66C1" w:rsidRPr="00904E51" w:rsidRDefault="007B66C1" w:rsidP="007B66C1">
      <w:pPr>
        <w:pStyle w:val="ListParagraph"/>
        <w:jc w:val="both"/>
        <w:rPr>
          <w:rFonts w:ascii="Georgia" w:hAnsi="Georgia"/>
          <w:color w:val="404040" w:themeColor="text1" w:themeTint="BF"/>
          <w:sz w:val="20"/>
          <w:szCs w:val="20"/>
          <w:highlight w:val="yellow"/>
        </w:rPr>
      </w:pPr>
    </w:p>
    <w:p w14:paraId="27DA8A65" w14:textId="77777777" w:rsidR="00ED46E4" w:rsidRDefault="00ED46E4" w:rsidP="00ED46E4">
      <w:pPr>
        <w:pStyle w:val="ListParagraph"/>
        <w:ind w:left="0"/>
        <w:jc w:val="both"/>
        <w:rPr>
          <w:rFonts w:ascii="Georgia" w:hAnsi="Georgia"/>
          <w:color w:val="404040" w:themeColor="text1" w:themeTint="BF"/>
          <w:sz w:val="20"/>
          <w:szCs w:val="20"/>
        </w:rPr>
      </w:pPr>
    </w:p>
    <w:p w14:paraId="48E865CC" w14:textId="1A28BCAA" w:rsidR="00ED46E4" w:rsidRPr="00904E51" w:rsidRDefault="00ED46E4" w:rsidP="00ED46E4">
      <w:pPr>
        <w:pStyle w:val="ListParagraph"/>
        <w:ind w:left="0"/>
        <w:jc w:val="both"/>
        <w:rPr>
          <w:rFonts w:ascii="Georgia" w:hAnsi="Georgia" w:cs="Calibri"/>
          <w:color w:val="404040" w:themeColor="text1" w:themeTint="BF"/>
          <w:sz w:val="20"/>
          <w:highlight w:val="yellow"/>
        </w:rPr>
      </w:pPr>
      <w:r w:rsidRPr="001E1563">
        <w:rPr>
          <w:rFonts w:ascii="Georgia" w:hAnsi="Georgia"/>
          <w:color w:val="404040" w:themeColor="text1" w:themeTint="BF"/>
          <w:sz w:val="20"/>
          <w:szCs w:val="20"/>
        </w:rPr>
        <w:t xml:space="preserve">Both tranches are fully amortising over 18 years, providing natural alignment with the average remaining life of the Company’s regulated revenues, eliminating refinancing risk as well as insulating the Company’s </w:t>
      </w:r>
    </w:p>
    <w:p w14:paraId="4A93F091" w14:textId="4D2C8EF3" w:rsidR="007B66C1" w:rsidRDefault="007B66C1" w:rsidP="007B66C1">
      <w:pPr>
        <w:jc w:val="both"/>
        <w:rPr>
          <w:rFonts w:ascii="Georgia" w:hAnsi="Georgia"/>
          <w:color w:val="404040" w:themeColor="text1" w:themeTint="BF"/>
          <w:sz w:val="20"/>
          <w:szCs w:val="20"/>
          <w:highlight w:val="yellow"/>
        </w:rPr>
      </w:pPr>
    </w:p>
    <w:p w14:paraId="4174EDD3" w14:textId="4AE50BBC" w:rsidR="00471151" w:rsidRDefault="00471151">
      <w:pPr>
        <w:rPr>
          <w:rFonts w:ascii="Georgia" w:hAnsi="Georgia"/>
          <w:color w:val="404040" w:themeColor="text1" w:themeTint="BF"/>
          <w:sz w:val="20"/>
          <w:szCs w:val="20"/>
          <w:highlight w:val="yellow"/>
        </w:rPr>
      </w:pPr>
      <w:r>
        <w:rPr>
          <w:rFonts w:ascii="Georgia" w:hAnsi="Georgia"/>
          <w:color w:val="404040" w:themeColor="text1" w:themeTint="BF"/>
          <w:sz w:val="20"/>
          <w:szCs w:val="20"/>
          <w:highlight w:val="yellow"/>
        </w:rPr>
        <w:br w:type="page"/>
      </w:r>
    </w:p>
    <w:p w14:paraId="50000FC7" w14:textId="77777777" w:rsidR="00ED4287" w:rsidRDefault="00ED4287" w:rsidP="007B66C1">
      <w:pPr>
        <w:jc w:val="both"/>
        <w:rPr>
          <w:rFonts w:ascii="Georgia" w:hAnsi="Georgia"/>
          <w:color w:val="404040" w:themeColor="text1" w:themeTint="BF"/>
          <w:sz w:val="20"/>
          <w:szCs w:val="20"/>
          <w:highlight w:val="yellow"/>
        </w:rPr>
      </w:pPr>
    </w:p>
    <w:p w14:paraId="1C54BDAD" w14:textId="77777777" w:rsidR="00ED4287" w:rsidRPr="00904E51" w:rsidRDefault="00ED4287" w:rsidP="007B66C1">
      <w:pPr>
        <w:jc w:val="both"/>
        <w:rPr>
          <w:rFonts w:ascii="Georgia" w:hAnsi="Georgia"/>
          <w:color w:val="404040" w:themeColor="text1" w:themeTint="BF"/>
          <w:sz w:val="20"/>
          <w:szCs w:val="20"/>
          <w:highlight w:val="yellow"/>
        </w:rPr>
      </w:pPr>
    </w:p>
    <w:p w14:paraId="57FD7A09" w14:textId="77777777" w:rsidR="00ED4287" w:rsidRPr="0088100D" w:rsidRDefault="00ED4287" w:rsidP="00ED4287">
      <w:pPr>
        <w:pStyle w:val="Heading2"/>
        <w:spacing w:before="0"/>
      </w:pPr>
      <w:r w:rsidRPr="0088100D">
        <w:t>Report of the Investment Adviser (continued)</w:t>
      </w:r>
    </w:p>
    <w:p w14:paraId="323F9B10" w14:textId="77777777" w:rsidR="00ED4287" w:rsidRPr="00904E51" w:rsidRDefault="00ED4287" w:rsidP="00ED4287">
      <w:pPr>
        <w:jc w:val="both"/>
        <w:rPr>
          <w:rFonts w:ascii="Georgia" w:hAnsi="Georgia" w:cs="Calibri"/>
          <w:color w:val="404040" w:themeColor="text1" w:themeTint="BF"/>
          <w:sz w:val="20"/>
          <w:highlight w:val="yellow"/>
        </w:rPr>
      </w:pPr>
    </w:p>
    <w:p w14:paraId="52985519" w14:textId="77777777" w:rsidR="00EA359C" w:rsidRPr="00EB6840" w:rsidRDefault="00EA359C" w:rsidP="00EA359C">
      <w:pPr>
        <w:pStyle w:val="ListParagraph"/>
        <w:ind w:left="0"/>
        <w:jc w:val="both"/>
        <w:rPr>
          <w:rFonts w:ascii="Georgia" w:hAnsi="Georgia"/>
          <w:color w:val="404040" w:themeColor="text1" w:themeTint="BF"/>
          <w:sz w:val="20"/>
          <w:szCs w:val="20"/>
        </w:rPr>
      </w:pPr>
      <w:r w:rsidRPr="00EB6840">
        <w:rPr>
          <w:rFonts w:ascii="Georgia" w:hAnsi="Georgia"/>
          <w:b/>
          <w:color w:val="404040" w:themeColor="text1" w:themeTint="BF"/>
          <w:sz w:val="20"/>
          <w:szCs w:val="20"/>
        </w:rPr>
        <w:t>5. Financing (continued)</w:t>
      </w:r>
    </w:p>
    <w:p w14:paraId="390588FB" w14:textId="77777777" w:rsidR="00EA359C" w:rsidRPr="00EB6840" w:rsidRDefault="00EA359C" w:rsidP="00EA359C">
      <w:pPr>
        <w:pStyle w:val="ListParagraph"/>
        <w:ind w:left="0"/>
        <w:jc w:val="both"/>
        <w:rPr>
          <w:rFonts w:ascii="Georgia" w:hAnsi="Georgia"/>
          <w:color w:val="404040" w:themeColor="text1" w:themeTint="BF"/>
          <w:sz w:val="20"/>
          <w:szCs w:val="20"/>
        </w:rPr>
      </w:pPr>
    </w:p>
    <w:p w14:paraId="2880BA40" w14:textId="2464EA6A" w:rsidR="007B66C1" w:rsidRPr="001E1563" w:rsidRDefault="007B66C1" w:rsidP="007B66C1">
      <w:pPr>
        <w:pStyle w:val="ListParagraph"/>
        <w:ind w:left="0"/>
        <w:jc w:val="both"/>
        <w:rPr>
          <w:rFonts w:ascii="Georgia" w:hAnsi="Georgia"/>
          <w:color w:val="404040" w:themeColor="text1" w:themeTint="BF"/>
          <w:sz w:val="20"/>
          <w:szCs w:val="20"/>
        </w:rPr>
      </w:pPr>
      <w:r w:rsidRPr="001E1563">
        <w:rPr>
          <w:rFonts w:ascii="Georgia" w:hAnsi="Georgia"/>
          <w:color w:val="404040" w:themeColor="text1" w:themeTint="BF"/>
          <w:sz w:val="20"/>
          <w:szCs w:val="20"/>
        </w:rPr>
        <w:t xml:space="preserve">equity cash flows from significant principal repayments in the final years of the facility when the contribution of revenue from power is increased. </w:t>
      </w:r>
    </w:p>
    <w:p w14:paraId="6D75FF57"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62D1A17E"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r w:rsidRPr="00502FEE">
        <w:rPr>
          <w:rFonts w:ascii="Georgia" w:hAnsi="Georgia"/>
          <w:color w:val="404040" w:themeColor="text1" w:themeTint="BF"/>
          <w:sz w:val="20"/>
          <w:szCs w:val="20"/>
        </w:rPr>
        <w:t>During the period principal repayments of £8.0m</w:t>
      </w:r>
      <w:r w:rsidRPr="00B24EC4">
        <w:rPr>
          <w:rFonts w:ascii="Georgia" w:hAnsi="Georgia"/>
          <w:color w:val="404040" w:themeColor="text1" w:themeTint="BF"/>
          <w:sz w:val="20"/>
          <w:szCs w:val="20"/>
        </w:rPr>
        <w:t>, combined with indexation increases of £1.0m, resulted in a total outstand</w:t>
      </w:r>
      <w:r w:rsidRPr="008D10DD">
        <w:rPr>
          <w:rFonts w:ascii="Georgia" w:hAnsi="Georgia"/>
          <w:color w:val="404040" w:themeColor="text1" w:themeTint="BF"/>
          <w:sz w:val="20"/>
          <w:szCs w:val="20"/>
        </w:rPr>
        <w:t>ing balance to Aviva Investors as at 30 June 2020 of £167.2m (Fixed £104.6m, Index linked £62.6m).</w:t>
      </w:r>
    </w:p>
    <w:p w14:paraId="1F2D4667"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26F298EA" w14:textId="3E568451" w:rsidR="007B66C1" w:rsidRPr="00904E51" w:rsidRDefault="007B66C1" w:rsidP="007B66C1">
      <w:pPr>
        <w:pStyle w:val="ListParagraph"/>
        <w:ind w:left="0"/>
        <w:jc w:val="both"/>
        <w:rPr>
          <w:rFonts w:ascii="Georgia" w:hAnsi="Georgia"/>
          <w:color w:val="404040" w:themeColor="text1" w:themeTint="BF"/>
          <w:sz w:val="20"/>
          <w:szCs w:val="20"/>
          <w:highlight w:val="yellow"/>
        </w:rPr>
      </w:pPr>
      <w:r w:rsidRPr="008D10DD">
        <w:rPr>
          <w:rFonts w:ascii="Georgia" w:hAnsi="Georgia"/>
          <w:color w:val="404040" w:themeColor="text1" w:themeTint="BF"/>
          <w:sz w:val="20"/>
          <w:szCs w:val="20"/>
        </w:rPr>
        <w:t xml:space="preserve">The LTF is held by the Company’s wholly-owned subsidiary, BSIFIL, and is the result of a deliberate structuring approach to maximise both transparency and portfolio management flexibility, whilst also delivering one of the lowest costs of capital in our </w:t>
      </w:r>
      <w:r w:rsidRPr="003C448A">
        <w:rPr>
          <w:rFonts w:ascii="Georgia" w:hAnsi="Georgia"/>
          <w:color w:val="404040" w:themeColor="text1" w:themeTint="BF"/>
          <w:sz w:val="20"/>
          <w:szCs w:val="20"/>
        </w:rPr>
        <w:t>se</w:t>
      </w:r>
      <w:r w:rsidRPr="000D6221">
        <w:rPr>
          <w:rFonts w:ascii="Georgia" w:hAnsi="Georgia"/>
          <w:color w:val="404040" w:themeColor="text1" w:themeTint="BF"/>
          <w:sz w:val="20"/>
          <w:szCs w:val="20"/>
        </w:rPr>
        <w:t xml:space="preserve">ctor </w:t>
      </w:r>
      <w:r w:rsidRPr="000F6070">
        <w:rPr>
          <w:rFonts w:ascii="Georgia" w:hAnsi="Georgia"/>
          <w:color w:val="404040" w:themeColor="text1" w:themeTint="BF"/>
          <w:sz w:val="20"/>
          <w:szCs w:val="20"/>
        </w:rPr>
        <w:t xml:space="preserve">(as at 3o June 2020, the blended all in debt cost of the facilities was </w:t>
      </w:r>
      <w:r w:rsidR="004D6EEA" w:rsidRPr="005A17F1">
        <w:rPr>
          <w:rFonts w:ascii="Georgia" w:hAnsi="Georgia"/>
          <w:color w:val="404040" w:themeColor="text1" w:themeTint="BF"/>
          <w:sz w:val="20"/>
          <w:szCs w:val="20"/>
        </w:rPr>
        <w:t>2.6%).</w:t>
      </w:r>
    </w:p>
    <w:p w14:paraId="43E10507"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2A8AA3FA" w14:textId="4FC2AA5A" w:rsidR="007B66C1" w:rsidRPr="00904E51" w:rsidRDefault="007B66C1" w:rsidP="007B66C1">
      <w:pPr>
        <w:pStyle w:val="ListParagraph"/>
        <w:ind w:left="0"/>
        <w:jc w:val="both"/>
        <w:rPr>
          <w:rFonts w:ascii="Georgia" w:hAnsi="Georgia"/>
          <w:color w:val="404040" w:themeColor="text1" w:themeTint="BF"/>
          <w:sz w:val="20"/>
          <w:szCs w:val="20"/>
          <w:highlight w:val="yellow"/>
        </w:rPr>
      </w:pPr>
      <w:r w:rsidRPr="000B76F9">
        <w:rPr>
          <w:rFonts w:ascii="Georgia" w:hAnsi="Georgia"/>
          <w:color w:val="404040" w:themeColor="text1" w:themeTint="BF"/>
          <w:sz w:val="20"/>
          <w:szCs w:val="20"/>
        </w:rPr>
        <w:t xml:space="preserve">Thanks to the prudent </w:t>
      </w:r>
      <w:r w:rsidRPr="004D6EEA">
        <w:rPr>
          <w:rFonts w:ascii="Georgia" w:hAnsi="Georgia"/>
          <w:color w:val="404040" w:themeColor="text1" w:themeTint="BF"/>
          <w:sz w:val="20"/>
          <w:szCs w:val="20"/>
        </w:rPr>
        <w:t>leverage (33</w:t>
      </w:r>
      <w:r w:rsidR="00E17053" w:rsidRPr="004D6EEA">
        <w:rPr>
          <w:rFonts w:ascii="Georgia" w:hAnsi="Georgia"/>
          <w:color w:val="404040" w:themeColor="text1" w:themeTint="BF"/>
          <w:sz w:val="20"/>
          <w:szCs w:val="20"/>
        </w:rPr>
        <w:t>.8</w:t>
      </w:r>
      <w:r w:rsidRPr="004D6EEA">
        <w:rPr>
          <w:rFonts w:ascii="Georgia" w:hAnsi="Georgia"/>
          <w:color w:val="404040" w:themeColor="text1" w:themeTint="BF"/>
          <w:sz w:val="20"/>
          <w:szCs w:val="20"/>
        </w:rPr>
        <w:t>% of GAV* as at 30 June 2020), on the Company’s base case projections the average DSCR remains close to 3 times, with the lowest point of coverage over the entire tenor projected to be in excess of 2.5 times.</w:t>
      </w:r>
    </w:p>
    <w:p w14:paraId="23C17DC5"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5102C123" w14:textId="77777777" w:rsidR="007B66C1" w:rsidRPr="00BD7CDF" w:rsidRDefault="007B66C1" w:rsidP="007B66C1">
      <w:pPr>
        <w:pStyle w:val="ListParagraph"/>
        <w:ind w:left="0"/>
        <w:jc w:val="both"/>
        <w:rPr>
          <w:rFonts w:ascii="Georgia" w:hAnsi="Georgia"/>
          <w:i/>
          <w:color w:val="404040" w:themeColor="text1" w:themeTint="BF"/>
          <w:sz w:val="20"/>
          <w:szCs w:val="20"/>
        </w:rPr>
      </w:pPr>
      <w:r w:rsidRPr="00BD7CDF">
        <w:rPr>
          <w:rFonts w:ascii="Georgia" w:hAnsi="Georgia"/>
          <w:i/>
          <w:color w:val="404040" w:themeColor="text1" w:themeTint="BF"/>
          <w:sz w:val="20"/>
          <w:szCs w:val="20"/>
        </w:rPr>
        <w:t>RBSI Revolving Credit Facility</w:t>
      </w:r>
    </w:p>
    <w:p w14:paraId="71B83BFF"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43E28F23" w14:textId="6BB2A8DF" w:rsidR="007B66C1" w:rsidRPr="00ED0640" w:rsidRDefault="007B66C1" w:rsidP="007B66C1">
      <w:pPr>
        <w:jc w:val="both"/>
        <w:rPr>
          <w:rFonts w:ascii="Georgia" w:hAnsi="Georgia"/>
          <w:color w:val="404040" w:themeColor="text1" w:themeTint="BF"/>
          <w:sz w:val="20"/>
          <w:szCs w:val="20"/>
        </w:rPr>
      </w:pPr>
      <w:r w:rsidRPr="00ED0640">
        <w:rPr>
          <w:rFonts w:ascii="Georgia" w:hAnsi="Georgia"/>
          <w:color w:val="404040" w:themeColor="text1" w:themeTint="BF"/>
          <w:sz w:val="20"/>
          <w:szCs w:val="20"/>
        </w:rPr>
        <w:t>On 23 October 201</w:t>
      </w:r>
      <w:r w:rsidR="0045375A">
        <w:rPr>
          <w:rFonts w:ascii="Georgia" w:hAnsi="Georgia"/>
          <w:color w:val="404040" w:themeColor="text1" w:themeTint="BF"/>
          <w:sz w:val="20"/>
          <w:szCs w:val="20"/>
        </w:rPr>
        <w:t>8</w:t>
      </w:r>
      <w:r w:rsidRPr="00ED0640">
        <w:rPr>
          <w:rFonts w:ascii="Georgia" w:hAnsi="Georgia"/>
          <w:color w:val="404040" w:themeColor="text1" w:themeTint="BF"/>
          <w:sz w:val="20"/>
          <w:szCs w:val="20"/>
        </w:rPr>
        <w:t xml:space="preserve"> the Company’s</w:t>
      </w:r>
      <w:r w:rsidR="00634E8C">
        <w:rPr>
          <w:rFonts w:ascii="Georgia" w:hAnsi="Georgia"/>
          <w:color w:val="404040" w:themeColor="text1" w:themeTint="BF"/>
          <w:sz w:val="20"/>
          <w:szCs w:val="20"/>
        </w:rPr>
        <w:t xml:space="preserve"> subsidiary</w:t>
      </w:r>
      <w:r w:rsidRPr="00ED0640">
        <w:rPr>
          <w:rFonts w:ascii="Georgia" w:hAnsi="Georgia"/>
          <w:color w:val="404040" w:themeColor="text1" w:themeTint="BF"/>
          <w:sz w:val="20"/>
          <w:szCs w:val="20"/>
        </w:rPr>
        <w:t xml:space="preserve"> RCF, provided by RBSI to BSIFIL, was increased from £30m to £50m and extended by a further two years to 30 September 2021. The re-stated and amended facility also includes the option for BSIFIL to request a further one year extension to 30 September 2022</w:t>
      </w:r>
      <w:r w:rsidR="00CE3FFA">
        <w:rPr>
          <w:rFonts w:ascii="Georgia" w:hAnsi="Georgia"/>
          <w:color w:val="404040" w:themeColor="text1" w:themeTint="BF"/>
          <w:sz w:val="20"/>
          <w:szCs w:val="20"/>
        </w:rPr>
        <w:t>.</w:t>
      </w:r>
      <w:r w:rsidRPr="00ED0640">
        <w:rPr>
          <w:rFonts w:ascii="Georgia" w:hAnsi="Georgia"/>
          <w:color w:val="404040" w:themeColor="text1" w:themeTint="BF"/>
          <w:sz w:val="20"/>
          <w:szCs w:val="20"/>
        </w:rPr>
        <w:t xml:space="preserve"> </w:t>
      </w:r>
    </w:p>
    <w:p w14:paraId="659A01F6" w14:textId="77777777" w:rsidR="007B66C1" w:rsidRPr="00904E51" w:rsidRDefault="007B66C1" w:rsidP="007B66C1">
      <w:pPr>
        <w:pStyle w:val="ListParagraph"/>
        <w:jc w:val="both"/>
        <w:rPr>
          <w:rFonts w:ascii="Georgia" w:hAnsi="Georgia"/>
          <w:color w:val="404040" w:themeColor="text1" w:themeTint="BF"/>
          <w:sz w:val="20"/>
          <w:szCs w:val="20"/>
          <w:highlight w:val="yellow"/>
        </w:rPr>
      </w:pPr>
    </w:p>
    <w:p w14:paraId="604A28CF" w14:textId="77777777" w:rsidR="007B66C1" w:rsidRPr="00904E51" w:rsidRDefault="007B66C1" w:rsidP="007B66C1">
      <w:pPr>
        <w:jc w:val="both"/>
        <w:rPr>
          <w:rFonts w:ascii="Georgia" w:hAnsi="Georgia"/>
          <w:color w:val="404040" w:themeColor="text1" w:themeTint="BF"/>
          <w:sz w:val="20"/>
          <w:szCs w:val="20"/>
          <w:highlight w:val="yellow"/>
        </w:rPr>
      </w:pPr>
      <w:r w:rsidRPr="00E17053">
        <w:rPr>
          <w:rFonts w:ascii="Georgia" w:hAnsi="Georgia"/>
          <w:color w:val="404040" w:themeColor="text1" w:themeTint="BF"/>
          <w:sz w:val="20"/>
          <w:szCs w:val="20"/>
        </w:rPr>
        <w:t xml:space="preserve">The terms of the facility have not changed, with a constant margin of 2.0% over LIBOR.  </w:t>
      </w:r>
    </w:p>
    <w:p w14:paraId="180C835D" w14:textId="77777777" w:rsidR="007B66C1" w:rsidRPr="00904E51" w:rsidRDefault="007B66C1" w:rsidP="007B66C1">
      <w:pPr>
        <w:pStyle w:val="ListParagraph"/>
        <w:jc w:val="both"/>
        <w:rPr>
          <w:rFonts w:ascii="Georgia" w:hAnsi="Georgia"/>
          <w:color w:val="404040" w:themeColor="text1" w:themeTint="BF"/>
          <w:sz w:val="20"/>
          <w:szCs w:val="20"/>
          <w:highlight w:val="yellow"/>
        </w:rPr>
      </w:pPr>
    </w:p>
    <w:p w14:paraId="33184B6C" w14:textId="5458174C" w:rsidR="007B66C1" w:rsidRPr="00904E51" w:rsidRDefault="007B66C1" w:rsidP="007B66C1">
      <w:pPr>
        <w:jc w:val="both"/>
        <w:rPr>
          <w:rFonts w:ascii="Georgia" w:hAnsi="Georgia"/>
          <w:color w:val="404040" w:themeColor="text1" w:themeTint="BF"/>
          <w:sz w:val="20"/>
          <w:szCs w:val="20"/>
          <w:highlight w:val="yellow"/>
        </w:rPr>
      </w:pPr>
      <w:r w:rsidRPr="00CA1521">
        <w:rPr>
          <w:rFonts w:ascii="Georgia" w:hAnsi="Georgia"/>
          <w:color w:val="404040" w:themeColor="text1" w:themeTint="BF"/>
          <w:sz w:val="20"/>
          <w:szCs w:val="20"/>
        </w:rPr>
        <w:t>As at 30 June 2020 the Company</w:t>
      </w:r>
      <w:r w:rsidR="00634E8C">
        <w:rPr>
          <w:rFonts w:ascii="Georgia" w:hAnsi="Georgia"/>
          <w:color w:val="404040" w:themeColor="text1" w:themeTint="BF"/>
          <w:sz w:val="20"/>
          <w:szCs w:val="20"/>
        </w:rPr>
        <w:t>’s subsidiary</w:t>
      </w:r>
      <w:r w:rsidRPr="00CA1521">
        <w:rPr>
          <w:rFonts w:ascii="Georgia" w:hAnsi="Georgia"/>
          <w:color w:val="404040" w:themeColor="text1" w:themeTint="BF"/>
          <w:sz w:val="20"/>
          <w:szCs w:val="20"/>
        </w:rPr>
        <w:t xml:space="preserve"> had drawn £44.1m, out of £50m, from its RCF.</w:t>
      </w:r>
    </w:p>
    <w:p w14:paraId="46123065" w14:textId="77777777" w:rsidR="007B66C1" w:rsidRPr="00904E51" w:rsidRDefault="007B66C1" w:rsidP="007B66C1">
      <w:pPr>
        <w:pStyle w:val="ListParagraph"/>
        <w:jc w:val="both"/>
        <w:rPr>
          <w:rFonts w:ascii="Georgia" w:hAnsi="Georgia"/>
          <w:color w:val="404040" w:themeColor="text1" w:themeTint="BF"/>
          <w:sz w:val="20"/>
          <w:szCs w:val="20"/>
          <w:highlight w:val="yellow"/>
        </w:rPr>
      </w:pPr>
    </w:p>
    <w:p w14:paraId="42D77B71" w14:textId="77777777" w:rsidR="007B66C1" w:rsidRPr="00EB6840" w:rsidRDefault="007B66C1" w:rsidP="007B66C1">
      <w:pPr>
        <w:pStyle w:val="ListParagraph"/>
        <w:ind w:left="0"/>
        <w:jc w:val="both"/>
        <w:rPr>
          <w:rFonts w:ascii="Georgia" w:hAnsi="Georgia"/>
          <w:color w:val="404040" w:themeColor="text1" w:themeTint="BF"/>
          <w:sz w:val="20"/>
          <w:szCs w:val="20"/>
        </w:rPr>
      </w:pPr>
      <w:r w:rsidRPr="00EB6840">
        <w:rPr>
          <w:rFonts w:ascii="Georgia" w:hAnsi="Georgia"/>
          <w:color w:val="404040" w:themeColor="text1" w:themeTint="BF"/>
          <w:sz w:val="20"/>
          <w:szCs w:val="20"/>
        </w:rPr>
        <w:t xml:space="preserve">Both the RCF and the LTF are secured upon a selection of the Company’s investment portfolio and offer the ability to substitute reference assets.  </w:t>
      </w:r>
    </w:p>
    <w:p w14:paraId="5FA77557" w14:textId="77777777" w:rsidR="007B66C1" w:rsidRPr="00904E51" w:rsidRDefault="007B66C1" w:rsidP="007B66C1">
      <w:pPr>
        <w:spacing w:after="160" w:line="259" w:lineRule="auto"/>
        <w:jc w:val="both"/>
        <w:rPr>
          <w:rFonts w:ascii="Georgia" w:hAnsi="Georgia"/>
          <w:b/>
          <w:color w:val="404040" w:themeColor="text1" w:themeTint="BF"/>
          <w:sz w:val="20"/>
          <w:szCs w:val="20"/>
          <w:highlight w:val="yellow"/>
        </w:rPr>
      </w:pPr>
    </w:p>
    <w:p w14:paraId="5E9767B9" w14:textId="77777777" w:rsidR="007B66C1" w:rsidRPr="00EB6840" w:rsidRDefault="007B66C1" w:rsidP="007B66C1">
      <w:pPr>
        <w:pStyle w:val="ListParagraph"/>
        <w:ind w:left="0"/>
        <w:jc w:val="both"/>
        <w:rPr>
          <w:rFonts w:ascii="Georgia" w:hAnsi="Georgia"/>
          <w:i/>
          <w:color w:val="404040" w:themeColor="text1" w:themeTint="BF"/>
          <w:sz w:val="20"/>
          <w:szCs w:val="20"/>
        </w:rPr>
      </w:pPr>
      <w:r w:rsidRPr="00EB6840">
        <w:rPr>
          <w:rFonts w:ascii="Georgia" w:hAnsi="Georgia"/>
          <w:i/>
          <w:color w:val="404040" w:themeColor="text1" w:themeTint="BF"/>
          <w:sz w:val="20"/>
          <w:szCs w:val="20"/>
        </w:rPr>
        <w:t>Project level debt</w:t>
      </w:r>
    </w:p>
    <w:p w14:paraId="717305B0" w14:textId="77777777" w:rsidR="007B66C1" w:rsidRPr="00EB6840" w:rsidRDefault="007B66C1" w:rsidP="007B66C1">
      <w:pPr>
        <w:pStyle w:val="ListParagraph"/>
        <w:ind w:left="0"/>
        <w:jc w:val="both"/>
        <w:rPr>
          <w:rFonts w:ascii="Georgia" w:hAnsi="Georgia"/>
          <w:color w:val="404040" w:themeColor="text1" w:themeTint="BF"/>
          <w:sz w:val="20"/>
          <w:szCs w:val="20"/>
        </w:rPr>
      </w:pPr>
    </w:p>
    <w:p w14:paraId="64AE16D7" w14:textId="174A5920" w:rsidR="007B66C1" w:rsidRPr="00904E51" w:rsidRDefault="00A856B6" w:rsidP="007B66C1">
      <w:pPr>
        <w:pStyle w:val="ListParagraph"/>
        <w:ind w:left="0"/>
        <w:jc w:val="both"/>
        <w:rPr>
          <w:rFonts w:ascii="Georgia" w:hAnsi="Georgia"/>
          <w:color w:val="404040" w:themeColor="text1" w:themeTint="BF"/>
          <w:sz w:val="20"/>
          <w:szCs w:val="20"/>
          <w:highlight w:val="yellow"/>
        </w:rPr>
      </w:pPr>
      <w:r w:rsidRPr="00EB6840">
        <w:rPr>
          <w:rFonts w:ascii="Georgia" w:hAnsi="Georgia"/>
          <w:color w:val="404040" w:themeColor="text1" w:themeTint="BF"/>
          <w:sz w:val="20"/>
          <w:szCs w:val="20"/>
        </w:rPr>
        <w:t>In addition to the LTF and the three year RCF, the</w:t>
      </w:r>
      <w:r>
        <w:rPr>
          <w:rFonts w:ascii="Georgia" w:hAnsi="Georgia"/>
          <w:color w:val="404040" w:themeColor="text1" w:themeTint="BF"/>
          <w:sz w:val="20"/>
          <w:szCs w:val="20"/>
        </w:rPr>
        <w:t xml:space="preserve">re is </w:t>
      </w:r>
      <w:r w:rsidRPr="00EB6840">
        <w:rPr>
          <w:rFonts w:ascii="Georgia" w:hAnsi="Georgia"/>
          <w:color w:val="404040" w:themeColor="text1" w:themeTint="BF"/>
          <w:sz w:val="20"/>
          <w:szCs w:val="20"/>
        </w:rPr>
        <w:t xml:space="preserve">a </w:t>
      </w:r>
      <w:r w:rsidRPr="004A1955">
        <w:rPr>
          <w:rFonts w:ascii="Georgia" w:hAnsi="Georgia"/>
          <w:color w:val="404040" w:themeColor="text1" w:themeTint="BF"/>
          <w:sz w:val="20"/>
          <w:szCs w:val="20"/>
        </w:rPr>
        <w:t xml:space="preserve">small project finance loan of £10.8m secured against </w:t>
      </w:r>
      <w:proofErr w:type="spellStart"/>
      <w:r w:rsidRPr="004A1955">
        <w:rPr>
          <w:rFonts w:ascii="Georgia" w:hAnsi="Georgia"/>
          <w:color w:val="404040" w:themeColor="text1" w:themeTint="BF"/>
          <w:sz w:val="20"/>
          <w:szCs w:val="20"/>
        </w:rPr>
        <w:t>Durrants</w:t>
      </w:r>
      <w:proofErr w:type="spellEnd"/>
      <w:r w:rsidRPr="004A1955">
        <w:rPr>
          <w:rFonts w:ascii="Georgia" w:hAnsi="Georgia"/>
          <w:color w:val="404040" w:themeColor="text1" w:themeTint="BF"/>
          <w:sz w:val="20"/>
          <w:szCs w:val="20"/>
        </w:rPr>
        <w:t xml:space="preserve">, a 5 </w:t>
      </w:r>
      <w:proofErr w:type="spellStart"/>
      <w:r w:rsidRPr="004A1955">
        <w:rPr>
          <w:rFonts w:ascii="Georgia" w:hAnsi="Georgia"/>
          <w:color w:val="404040" w:themeColor="text1" w:themeTint="BF"/>
          <w:sz w:val="20"/>
          <w:szCs w:val="20"/>
        </w:rPr>
        <w:t>MWp</w:t>
      </w:r>
      <w:proofErr w:type="spellEnd"/>
      <w:r w:rsidRPr="004A1955">
        <w:rPr>
          <w:rFonts w:ascii="Georgia" w:hAnsi="Georgia"/>
          <w:color w:val="404040" w:themeColor="text1" w:themeTint="BF"/>
          <w:sz w:val="20"/>
          <w:szCs w:val="20"/>
        </w:rPr>
        <w:t xml:space="preserve"> </w:t>
      </w:r>
      <w:proofErr w:type="spellStart"/>
      <w:r w:rsidRPr="004A1955">
        <w:rPr>
          <w:rFonts w:ascii="Georgia" w:hAnsi="Georgia"/>
          <w:color w:val="404040" w:themeColor="text1" w:themeTint="BF"/>
          <w:sz w:val="20"/>
          <w:szCs w:val="20"/>
        </w:rPr>
        <w:t>FiT</w:t>
      </w:r>
      <w:proofErr w:type="spellEnd"/>
      <w:r w:rsidRPr="004A1955">
        <w:rPr>
          <w:rFonts w:ascii="Georgia" w:hAnsi="Georgia"/>
          <w:color w:val="404040" w:themeColor="text1" w:themeTint="BF"/>
          <w:sz w:val="20"/>
          <w:szCs w:val="20"/>
        </w:rPr>
        <w:t xml:space="preserve"> plant located on the Isle of Wight</w:t>
      </w:r>
      <w:r w:rsidR="007B66C1" w:rsidRPr="004A1955">
        <w:rPr>
          <w:rFonts w:ascii="Georgia" w:hAnsi="Georgia"/>
          <w:color w:val="404040" w:themeColor="text1" w:themeTint="BF"/>
          <w:sz w:val="20"/>
          <w:szCs w:val="20"/>
        </w:rPr>
        <w:t xml:space="preserve">. </w:t>
      </w:r>
    </w:p>
    <w:p w14:paraId="05AF1126"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p>
    <w:p w14:paraId="28318685" w14:textId="72F43805" w:rsidR="007B66C1" w:rsidRPr="004A1955" w:rsidRDefault="007B66C1" w:rsidP="007B66C1">
      <w:pPr>
        <w:pStyle w:val="ListParagraph"/>
        <w:ind w:left="0"/>
        <w:jc w:val="both"/>
        <w:rPr>
          <w:rFonts w:ascii="Georgia" w:hAnsi="Georgia"/>
          <w:color w:val="404040" w:themeColor="text1" w:themeTint="BF"/>
          <w:sz w:val="20"/>
          <w:szCs w:val="20"/>
        </w:rPr>
      </w:pPr>
      <w:r w:rsidRPr="004A1955">
        <w:rPr>
          <w:rFonts w:ascii="Georgia" w:hAnsi="Georgia"/>
          <w:color w:val="404040" w:themeColor="text1" w:themeTint="BF"/>
          <w:sz w:val="20"/>
          <w:szCs w:val="20"/>
        </w:rPr>
        <w:t>This facility is provided by Bayern</w:t>
      </w:r>
      <w:r w:rsidR="00634E8C">
        <w:rPr>
          <w:rFonts w:ascii="Georgia" w:hAnsi="Georgia"/>
          <w:color w:val="404040" w:themeColor="text1" w:themeTint="BF"/>
          <w:sz w:val="20"/>
          <w:szCs w:val="20"/>
        </w:rPr>
        <w:t xml:space="preserve"> </w:t>
      </w:r>
      <w:r w:rsidRPr="004A1955">
        <w:rPr>
          <w:rFonts w:ascii="Georgia" w:hAnsi="Georgia"/>
          <w:color w:val="404040" w:themeColor="text1" w:themeTint="BF"/>
          <w:sz w:val="20"/>
          <w:szCs w:val="20"/>
        </w:rPr>
        <w:t>LB and is fully amortising with a final maturity of 2029.</w:t>
      </w:r>
    </w:p>
    <w:p w14:paraId="0F025A23" w14:textId="77777777" w:rsidR="007B66C1" w:rsidRDefault="007B66C1" w:rsidP="007B66C1">
      <w:pPr>
        <w:pStyle w:val="ListParagraph"/>
        <w:ind w:left="0"/>
        <w:jc w:val="both"/>
        <w:rPr>
          <w:rFonts w:ascii="Georgia" w:hAnsi="Georgia"/>
          <w:color w:val="404040" w:themeColor="text1" w:themeTint="BF"/>
          <w:sz w:val="20"/>
          <w:szCs w:val="20"/>
          <w:highlight w:val="yellow"/>
        </w:rPr>
      </w:pPr>
    </w:p>
    <w:p w14:paraId="68489E92" w14:textId="77777777" w:rsidR="007B66C1" w:rsidRPr="00D015C0" w:rsidRDefault="007B66C1" w:rsidP="007B66C1">
      <w:pPr>
        <w:spacing w:after="160" w:line="259" w:lineRule="auto"/>
        <w:jc w:val="both"/>
        <w:rPr>
          <w:rFonts w:ascii="Georgia" w:hAnsi="Georgia"/>
          <w:b/>
          <w:color w:val="404040" w:themeColor="text1" w:themeTint="BF"/>
          <w:sz w:val="20"/>
          <w:szCs w:val="20"/>
        </w:rPr>
      </w:pPr>
      <w:r w:rsidRPr="00D015C0">
        <w:rPr>
          <w:rFonts w:ascii="Georgia" w:hAnsi="Georgia"/>
          <w:b/>
          <w:color w:val="404040" w:themeColor="text1" w:themeTint="BF"/>
          <w:sz w:val="20"/>
          <w:szCs w:val="20"/>
        </w:rPr>
        <w:t xml:space="preserve">6. Market Developments </w:t>
      </w:r>
    </w:p>
    <w:p w14:paraId="44F8272C" w14:textId="2A497DBA" w:rsidR="007B66C1" w:rsidRPr="00151133" w:rsidRDefault="007B66C1" w:rsidP="006F4092">
      <w:pPr>
        <w:pStyle w:val="paragraph"/>
        <w:jc w:val="both"/>
        <w:textAlignment w:val="baseline"/>
        <w:rPr>
          <w:rFonts w:ascii="Georgia" w:eastAsia="Times New Roman" w:hAnsi="Georgia" w:cs="Times New Roman"/>
          <w:color w:val="404040" w:themeColor="text1" w:themeTint="BF"/>
          <w:sz w:val="20"/>
          <w:szCs w:val="20"/>
          <w:lang w:eastAsia="en-US"/>
        </w:rPr>
      </w:pPr>
      <w:r w:rsidRPr="00151133">
        <w:rPr>
          <w:rFonts w:ascii="Georgia" w:eastAsia="Times New Roman" w:hAnsi="Georgia" w:cs="Times New Roman"/>
          <w:color w:val="404040" w:themeColor="text1" w:themeTint="BF"/>
          <w:sz w:val="20"/>
          <w:szCs w:val="20"/>
          <w:lang w:eastAsia="en-US"/>
        </w:rPr>
        <w:t xml:space="preserve">The first six months of the year have been characterised by </w:t>
      </w:r>
      <w:r>
        <w:rPr>
          <w:rFonts w:ascii="Georgia" w:eastAsia="Times New Roman" w:hAnsi="Georgia" w:cs="Times New Roman"/>
          <w:color w:val="404040" w:themeColor="text1" w:themeTint="BF"/>
          <w:sz w:val="20"/>
          <w:szCs w:val="20"/>
          <w:lang w:eastAsia="en-US"/>
        </w:rPr>
        <w:t>the</w:t>
      </w:r>
      <w:r w:rsidRPr="00151133">
        <w:rPr>
          <w:rFonts w:ascii="Georgia" w:eastAsia="Times New Roman" w:hAnsi="Georgia" w:cs="Times New Roman"/>
          <w:color w:val="404040" w:themeColor="text1" w:themeTint="BF"/>
          <w:sz w:val="20"/>
          <w:szCs w:val="20"/>
          <w:lang w:eastAsia="en-US"/>
        </w:rPr>
        <w:t xml:space="preserve"> nationwide lockdown due to the Covid-19 pandemic and a change to life as we know it. Linked to </w:t>
      </w:r>
      <w:r>
        <w:rPr>
          <w:rFonts w:ascii="Georgia" w:eastAsia="Times New Roman" w:hAnsi="Georgia" w:cs="Times New Roman"/>
          <w:color w:val="404040" w:themeColor="text1" w:themeTint="BF"/>
          <w:sz w:val="20"/>
          <w:szCs w:val="20"/>
          <w:lang w:eastAsia="en-US"/>
        </w:rPr>
        <w:t>fears concerning the</w:t>
      </w:r>
      <w:r w:rsidRPr="00151133">
        <w:rPr>
          <w:rFonts w:ascii="Georgia" w:eastAsia="Times New Roman" w:hAnsi="Georgia" w:cs="Times New Roman"/>
          <w:color w:val="404040" w:themeColor="text1" w:themeTint="BF"/>
          <w:sz w:val="20"/>
          <w:szCs w:val="20"/>
          <w:lang w:eastAsia="en-US"/>
        </w:rPr>
        <w:t xml:space="preserve"> pandemic, equity markets tumbled in March, after which a </w:t>
      </w:r>
      <w:r w:rsidR="006F4092">
        <w:rPr>
          <w:rFonts w:ascii="Georgia" w:eastAsia="Times New Roman" w:hAnsi="Georgia" w:cs="Times New Roman"/>
          <w:color w:val="404040" w:themeColor="text1" w:themeTint="BF"/>
          <w:sz w:val="20"/>
          <w:szCs w:val="20"/>
          <w:lang w:eastAsia="en-US"/>
        </w:rPr>
        <w:t xml:space="preserve">partial </w:t>
      </w:r>
      <w:r w:rsidRPr="00151133">
        <w:rPr>
          <w:rFonts w:ascii="Georgia" w:eastAsia="Times New Roman" w:hAnsi="Georgia" w:cs="Times New Roman"/>
          <w:color w:val="404040" w:themeColor="text1" w:themeTint="BF"/>
          <w:sz w:val="20"/>
          <w:szCs w:val="20"/>
          <w:lang w:eastAsia="en-US"/>
        </w:rPr>
        <w:t>recovery was seen running into June.</w:t>
      </w:r>
    </w:p>
    <w:p w14:paraId="2E1E756B" w14:textId="77777777" w:rsidR="00CE3FFA" w:rsidRDefault="00CE3FFA" w:rsidP="007B66C1">
      <w:pPr>
        <w:pStyle w:val="paragraph"/>
        <w:jc w:val="both"/>
        <w:textAlignment w:val="baseline"/>
        <w:rPr>
          <w:rFonts w:ascii="Georgia" w:hAnsi="Georgia"/>
          <w:color w:val="404040"/>
          <w:sz w:val="20"/>
          <w:szCs w:val="20"/>
        </w:rPr>
      </w:pPr>
      <w:r>
        <w:rPr>
          <w:rFonts w:ascii="Georgia" w:hAnsi="Georgia"/>
          <w:color w:val="404040"/>
          <w:sz w:val="20"/>
          <w:szCs w:val="20"/>
        </w:rPr>
        <w:t xml:space="preserve">After this period of volatility in the financial markets, UK equities recovered over half of 2019’s losses in the </w:t>
      </w:r>
      <w:r w:rsidRPr="0087302A">
        <w:rPr>
          <w:rFonts w:ascii="Georgia" w:hAnsi="Georgia"/>
          <w:color w:val="404040"/>
          <w:sz w:val="20"/>
          <w:szCs w:val="20"/>
        </w:rPr>
        <w:t>first half of 2020. Between 1 July 2019 and 30 June 2020, the Company generated a total return to Shareholders of</w:t>
      </w:r>
      <w:r>
        <w:rPr>
          <w:rFonts w:ascii="Georgia" w:hAnsi="Georgia"/>
          <w:color w:val="404040"/>
          <w:sz w:val="20"/>
          <w:szCs w:val="20"/>
        </w:rPr>
        <w:t xml:space="preserve"> 4.7%</w:t>
      </w:r>
      <w:r w:rsidRPr="0087302A">
        <w:rPr>
          <w:rFonts w:ascii="Georgia" w:hAnsi="Georgia"/>
          <w:color w:val="404040"/>
          <w:sz w:val="20"/>
          <w:szCs w:val="20"/>
        </w:rPr>
        <w:t xml:space="preserve"> compared to </w:t>
      </w:r>
      <w:r>
        <w:rPr>
          <w:rFonts w:ascii="Georgia" w:hAnsi="Georgia"/>
          <w:color w:val="404040"/>
          <w:sz w:val="20"/>
          <w:szCs w:val="20"/>
        </w:rPr>
        <w:t xml:space="preserve">negative 15.36% </w:t>
      </w:r>
      <w:r w:rsidRPr="0087302A">
        <w:rPr>
          <w:rFonts w:ascii="Georgia" w:hAnsi="Georgia"/>
          <w:color w:val="404040"/>
          <w:sz w:val="20"/>
          <w:szCs w:val="20"/>
        </w:rPr>
        <w:t xml:space="preserve">for </w:t>
      </w:r>
      <w:r>
        <w:rPr>
          <w:rFonts w:ascii="Georgia" w:hAnsi="Georgia"/>
          <w:color w:val="404040"/>
          <w:sz w:val="20"/>
          <w:szCs w:val="20"/>
        </w:rPr>
        <w:t xml:space="preserve">the FTSE 100 index. </w:t>
      </w:r>
      <w:r w:rsidRPr="0087302A">
        <w:rPr>
          <w:rFonts w:ascii="Georgia" w:hAnsi="Georgia"/>
          <w:color w:val="404040"/>
          <w:sz w:val="20"/>
          <w:szCs w:val="20"/>
        </w:rPr>
        <w:t>This compares to the previous twelve month period, when the Company yielded</w:t>
      </w:r>
      <w:r>
        <w:rPr>
          <w:rFonts w:ascii="Georgia" w:hAnsi="Georgia"/>
          <w:color w:val="404040"/>
          <w:sz w:val="20"/>
          <w:szCs w:val="20"/>
        </w:rPr>
        <w:t xml:space="preserve"> 19.12% compared to 2.71% for the FTSE 100 index. </w:t>
      </w:r>
    </w:p>
    <w:p w14:paraId="48E63959" w14:textId="3093B89F" w:rsidR="007B66C1" w:rsidRDefault="007B66C1" w:rsidP="007B66C1">
      <w:pPr>
        <w:pStyle w:val="paragraph"/>
        <w:jc w:val="both"/>
        <w:textAlignment w:val="baseline"/>
        <w:rPr>
          <w:rFonts w:ascii="Georgia" w:eastAsia="Times New Roman" w:hAnsi="Georgia" w:cs="Times New Roman"/>
          <w:color w:val="404040" w:themeColor="text1" w:themeTint="BF"/>
          <w:sz w:val="20"/>
          <w:szCs w:val="20"/>
          <w:lang w:eastAsia="en-US"/>
        </w:rPr>
      </w:pPr>
      <w:r>
        <w:rPr>
          <w:rFonts w:ascii="Georgia" w:eastAsia="Times New Roman" w:hAnsi="Georgia" w:cs="Times New Roman"/>
          <w:color w:val="404040" w:themeColor="text1" w:themeTint="BF"/>
          <w:sz w:val="20"/>
          <w:szCs w:val="20"/>
          <w:lang w:eastAsia="en-US"/>
        </w:rPr>
        <w:t xml:space="preserve">In terms of the UK solar PV market, evidence suggests that there has been only a relatively small increase in the amount of capacity installed but that the momentum in project development activity has continued. </w:t>
      </w:r>
    </w:p>
    <w:p w14:paraId="7D889A39" w14:textId="472CB558" w:rsidR="00AF278F" w:rsidRPr="00904E51" w:rsidRDefault="00AF278F" w:rsidP="00AF278F">
      <w:pPr>
        <w:pStyle w:val="ListParagraph"/>
        <w:ind w:left="0"/>
        <w:jc w:val="both"/>
        <w:rPr>
          <w:rFonts w:ascii="Georgia" w:hAnsi="Georgia"/>
          <w:color w:val="404040" w:themeColor="text1" w:themeTint="BF"/>
          <w:sz w:val="16"/>
          <w:szCs w:val="20"/>
          <w:highlight w:val="yellow"/>
        </w:rPr>
      </w:pPr>
      <w:r w:rsidRPr="00EB6840">
        <w:rPr>
          <w:rFonts w:ascii="Georgia" w:hAnsi="Georgia"/>
          <w:color w:val="404040" w:themeColor="text1" w:themeTint="BF"/>
          <w:sz w:val="16"/>
          <w:szCs w:val="20"/>
        </w:rPr>
        <w:t xml:space="preserve">*GAV is the aggregation to the portfolio’s DCF value, </w:t>
      </w:r>
      <w:proofErr w:type="spellStart"/>
      <w:r w:rsidRPr="00EB6840">
        <w:rPr>
          <w:rFonts w:ascii="Georgia" w:hAnsi="Georgia"/>
          <w:color w:val="404040" w:themeColor="text1" w:themeTint="BF"/>
          <w:sz w:val="16"/>
          <w:szCs w:val="20"/>
        </w:rPr>
        <w:t>Durrants</w:t>
      </w:r>
      <w:proofErr w:type="spellEnd"/>
      <w:r w:rsidRPr="00EB6840">
        <w:rPr>
          <w:rFonts w:ascii="Georgia" w:hAnsi="Georgia"/>
          <w:color w:val="404040" w:themeColor="text1" w:themeTint="BF"/>
          <w:sz w:val="16"/>
          <w:szCs w:val="20"/>
        </w:rPr>
        <w:t xml:space="preserve">’ outstanding debt and the working capital balances from the portfolio and BSIFIL. </w:t>
      </w:r>
      <w:r w:rsidRPr="000F6070">
        <w:rPr>
          <w:rFonts w:ascii="Georgia" w:hAnsi="Georgia"/>
          <w:color w:val="404040" w:themeColor="text1" w:themeTint="BF"/>
          <w:sz w:val="16"/>
          <w:szCs w:val="20"/>
        </w:rPr>
        <w:t xml:space="preserve">As at 30 June 2020 the Company’s </w:t>
      </w:r>
      <w:r w:rsidRPr="00E17053">
        <w:rPr>
          <w:rFonts w:ascii="Georgia" w:hAnsi="Georgia"/>
          <w:color w:val="404040" w:themeColor="text1" w:themeTint="BF"/>
          <w:sz w:val="16"/>
          <w:szCs w:val="20"/>
        </w:rPr>
        <w:t xml:space="preserve">GAV is </w:t>
      </w:r>
      <w:r w:rsidRPr="001A3B8E">
        <w:rPr>
          <w:rFonts w:ascii="Georgia" w:hAnsi="Georgia"/>
          <w:color w:val="404040" w:themeColor="text1" w:themeTint="BF"/>
          <w:sz w:val="16"/>
          <w:szCs w:val="20"/>
        </w:rPr>
        <w:t>£656.</w:t>
      </w:r>
      <w:r w:rsidR="001A3B8E" w:rsidRPr="001A3B8E">
        <w:rPr>
          <w:rFonts w:ascii="Georgia" w:hAnsi="Georgia"/>
          <w:color w:val="404040" w:themeColor="text1" w:themeTint="BF"/>
          <w:sz w:val="16"/>
          <w:szCs w:val="20"/>
        </w:rPr>
        <w:t>1</w:t>
      </w:r>
      <w:r w:rsidRPr="001A3B8E">
        <w:rPr>
          <w:rFonts w:ascii="Georgia" w:hAnsi="Georgia"/>
          <w:color w:val="404040" w:themeColor="text1" w:themeTint="BF"/>
          <w:sz w:val="16"/>
          <w:szCs w:val="20"/>
        </w:rPr>
        <w:t>m.</w:t>
      </w:r>
    </w:p>
    <w:p w14:paraId="369CE2EE" w14:textId="77777777" w:rsidR="007052BC" w:rsidRPr="00E17053" w:rsidRDefault="007052BC" w:rsidP="007052BC">
      <w:pPr>
        <w:pStyle w:val="Heading2"/>
        <w:spacing w:before="0"/>
      </w:pPr>
      <w:r w:rsidRPr="00E17053">
        <w:lastRenderedPageBreak/>
        <w:t>Report of the Investment Adviser (continued)</w:t>
      </w:r>
    </w:p>
    <w:p w14:paraId="233ED24E" w14:textId="77777777" w:rsidR="00E251E2" w:rsidRPr="00904E51" w:rsidRDefault="00E251E2" w:rsidP="00E251E2">
      <w:pPr>
        <w:jc w:val="both"/>
        <w:rPr>
          <w:rFonts w:ascii="Georgia" w:hAnsi="Georgia" w:cs="Calibri"/>
          <w:color w:val="404040" w:themeColor="text1" w:themeTint="BF"/>
          <w:sz w:val="20"/>
          <w:highlight w:val="yellow"/>
        </w:rPr>
      </w:pPr>
    </w:p>
    <w:p w14:paraId="55CA24E7" w14:textId="54688B1C" w:rsidR="00E251E2" w:rsidRPr="00E251E2" w:rsidRDefault="00E251E2" w:rsidP="00E251E2">
      <w:pPr>
        <w:spacing w:after="160" w:line="259" w:lineRule="auto"/>
        <w:jc w:val="both"/>
        <w:rPr>
          <w:rFonts w:ascii="Georgia" w:hAnsi="Georgia"/>
          <w:b/>
          <w:color w:val="404040" w:themeColor="text1" w:themeTint="BF"/>
          <w:sz w:val="20"/>
          <w:szCs w:val="20"/>
          <w:highlight w:val="yellow"/>
        </w:rPr>
      </w:pPr>
      <w:r w:rsidRPr="00E251E2">
        <w:rPr>
          <w:rFonts w:ascii="Georgia" w:hAnsi="Georgia"/>
          <w:b/>
          <w:color w:val="404040" w:themeColor="text1" w:themeTint="BF"/>
          <w:sz w:val="20"/>
          <w:szCs w:val="20"/>
        </w:rPr>
        <w:t xml:space="preserve">6. Market Developments </w:t>
      </w:r>
      <w:r w:rsidRPr="00EB6840">
        <w:rPr>
          <w:rFonts w:ascii="Georgia" w:hAnsi="Georgia"/>
          <w:b/>
          <w:color w:val="404040" w:themeColor="text1" w:themeTint="BF"/>
          <w:sz w:val="20"/>
          <w:szCs w:val="20"/>
        </w:rPr>
        <w:t>(continued)</w:t>
      </w:r>
    </w:p>
    <w:p w14:paraId="4332F91A" w14:textId="09923D48" w:rsidR="007B66C1" w:rsidRDefault="007B66C1" w:rsidP="00E17053">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A</w:t>
      </w:r>
      <w:r w:rsidRPr="003848CF">
        <w:rPr>
          <w:rFonts w:ascii="Georgia" w:hAnsi="Georgia"/>
          <w:color w:val="404040" w:themeColor="text1" w:themeTint="BF"/>
          <w:sz w:val="20"/>
          <w:szCs w:val="20"/>
        </w:rPr>
        <w:t xml:space="preserve">ccording to statistics published by the Department of Business, Energy &amp; Industrial Strategy (BEIS), the cumulative capacity of solar PV installed in the UK was 13.45 GW as </w:t>
      </w:r>
      <w:r>
        <w:rPr>
          <w:rFonts w:ascii="Georgia" w:hAnsi="Georgia"/>
          <w:color w:val="404040" w:themeColor="text1" w:themeTint="BF"/>
          <w:sz w:val="20"/>
          <w:szCs w:val="20"/>
        </w:rPr>
        <w:t xml:space="preserve">at </w:t>
      </w:r>
      <w:r w:rsidRPr="003848CF">
        <w:rPr>
          <w:rFonts w:ascii="Georgia" w:hAnsi="Georgia"/>
          <w:color w:val="404040" w:themeColor="text1" w:themeTint="BF"/>
          <w:sz w:val="20"/>
          <w:szCs w:val="20"/>
        </w:rPr>
        <w:t>the end of June 2020 (the latest available statistics). This represents a 1.4% uplift compared to June 2019 (figures are provisional). In terms of the size of new projects, most of the new capacity installed (55%) was in the 0 – 50 kW range but there was also 82 MW of capacity installed in the 5 – 50 MW range</w:t>
      </w:r>
      <w:r>
        <w:rPr>
          <w:rFonts w:ascii="Georgia" w:hAnsi="Georgia"/>
          <w:color w:val="404040" w:themeColor="text1" w:themeTint="BF"/>
          <w:sz w:val="20"/>
          <w:szCs w:val="20"/>
        </w:rPr>
        <w:t xml:space="preserve"> (40% of new capacity)</w:t>
      </w:r>
      <w:r w:rsidRPr="003848CF">
        <w:rPr>
          <w:rFonts w:ascii="Georgia" w:hAnsi="Georgia"/>
          <w:color w:val="404040" w:themeColor="text1" w:themeTint="BF"/>
          <w:sz w:val="20"/>
          <w:szCs w:val="20"/>
        </w:rPr>
        <w:t xml:space="preserve">.  </w:t>
      </w:r>
    </w:p>
    <w:p w14:paraId="424CB43C" w14:textId="50B9C3E7" w:rsidR="007B66C1" w:rsidRDefault="007B66C1" w:rsidP="00BF40ED">
      <w:pPr>
        <w:pStyle w:val="paragraph"/>
        <w:jc w:val="both"/>
        <w:textAlignment w:val="baseline"/>
        <w:rPr>
          <w:rFonts w:ascii="Georgia" w:eastAsia="Times New Roman" w:hAnsi="Georgia" w:cs="Times New Roman"/>
          <w:color w:val="404040" w:themeColor="text1" w:themeTint="BF"/>
          <w:sz w:val="20"/>
          <w:szCs w:val="20"/>
          <w:lang w:eastAsia="en-US"/>
        </w:rPr>
      </w:pPr>
      <w:r w:rsidRPr="003848CF">
        <w:rPr>
          <w:rFonts w:ascii="Georgia" w:eastAsia="Times New Roman" w:hAnsi="Georgia" w:cs="Times New Roman"/>
          <w:color w:val="404040" w:themeColor="text1" w:themeTint="BF"/>
          <w:sz w:val="20"/>
          <w:szCs w:val="20"/>
          <w:lang w:eastAsia="en-US"/>
        </w:rPr>
        <w:t xml:space="preserve">Operational capacity accredited under the RO scheme remains broadly unchanged at c.7.3 GW, representing 54% of the total solar capacity in the UK but only 2.2% of the number of installations. This indicates a high concentration of generation in utility scale sites. Capacity accredited under the </w:t>
      </w:r>
      <w:proofErr w:type="spellStart"/>
      <w:r w:rsidRPr="003848CF">
        <w:rPr>
          <w:rFonts w:ascii="Georgia" w:eastAsia="Times New Roman" w:hAnsi="Georgia" w:cs="Times New Roman"/>
          <w:color w:val="404040" w:themeColor="text1" w:themeTint="BF"/>
          <w:sz w:val="20"/>
          <w:szCs w:val="20"/>
          <w:lang w:eastAsia="en-US"/>
        </w:rPr>
        <w:t>FiT</w:t>
      </w:r>
      <w:proofErr w:type="spellEnd"/>
      <w:r w:rsidRPr="003848CF">
        <w:rPr>
          <w:rFonts w:ascii="Georgia" w:eastAsia="Times New Roman" w:hAnsi="Georgia" w:cs="Times New Roman"/>
          <w:color w:val="404040" w:themeColor="text1" w:themeTint="BF"/>
          <w:sz w:val="20"/>
          <w:szCs w:val="20"/>
          <w:lang w:eastAsia="en-US"/>
        </w:rPr>
        <w:t xml:space="preserve"> was 5.1 GW, which equates to about 38% of total solar capacity and 83% of all installations. Unaccredited capacity is reported to be 1.1 GW (8% of total installed capacity) and accounts for 15% of all installations.</w:t>
      </w:r>
    </w:p>
    <w:p w14:paraId="13AB47C7" w14:textId="77777777" w:rsidR="007B66C1" w:rsidRPr="00904E51" w:rsidRDefault="007B66C1" w:rsidP="007B66C1">
      <w:pPr>
        <w:pStyle w:val="paragraph"/>
        <w:spacing w:before="0" w:beforeAutospacing="0" w:after="0" w:afterAutospacing="0"/>
        <w:jc w:val="both"/>
        <w:textAlignment w:val="baseline"/>
        <w:rPr>
          <w:rFonts w:ascii="Georgia" w:eastAsia="Times New Roman" w:hAnsi="Georgia" w:cs="Times New Roman"/>
          <w:color w:val="404040" w:themeColor="text1" w:themeTint="BF"/>
          <w:sz w:val="20"/>
          <w:szCs w:val="20"/>
          <w:highlight w:val="yellow"/>
          <w:lang w:eastAsia="en-US"/>
        </w:rPr>
      </w:pPr>
    </w:p>
    <w:p w14:paraId="2CED58F0" w14:textId="77777777" w:rsidR="007B66C1" w:rsidRPr="00904E51" w:rsidRDefault="007B66C1" w:rsidP="007B66C1">
      <w:pPr>
        <w:pStyle w:val="paragraph"/>
        <w:spacing w:before="0" w:beforeAutospacing="0" w:after="0" w:afterAutospacing="0"/>
        <w:jc w:val="both"/>
        <w:textAlignment w:val="baseline"/>
        <w:rPr>
          <w:rStyle w:val="eop"/>
          <w:rFonts w:ascii="Georgia" w:hAnsi="Georgia"/>
          <w:sz w:val="20"/>
          <w:szCs w:val="20"/>
          <w:highlight w:val="yellow"/>
        </w:rPr>
      </w:pPr>
      <w:r w:rsidRPr="00FB76D2">
        <w:rPr>
          <w:noProof/>
          <w:lang w:eastAsia="zh-CN"/>
        </w:rPr>
        <w:drawing>
          <wp:inline distT="0" distB="0" distL="0" distR="0" wp14:anchorId="7366F6BC" wp14:editId="50147CB6">
            <wp:extent cx="5732145" cy="2606675"/>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2606675"/>
                    </a:xfrm>
                    <a:prstGeom prst="rect">
                      <a:avLst/>
                    </a:prstGeom>
                  </pic:spPr>
                </pic:pic>
              </a:graphicData>
            </a:graphic>
          </wp:inline>
        </w:drawing>
      </w:r>
    </w:p>
    <w:p w14:paraId="2879B925" w14:textId="77777777" w:rsidR="007B66C1" w:rsidRPr="00E97FF7" w:rsidRDefault="007B66C1" w:rsidP="007B66C1">
      <w:pPr>
        <w:pStyle w:val="paragraph"/>
        <w:spacing w:before="0" w:beforeAutospacing="0" w:after="0" w:afterAutospacing="0"/>
        <w:jc w:val="both"/>
        <w:textAlignment w:val="baseline"/>
        <w:rPr>
          <w:rStyle w:val="eop"/>
          <w:rFonts w:ascii="Georgia" w:hAnsi="Georgia"/>
          <w:color w:val="404040" w:themeColor="text1" w:themeTint="BF"/>
          <w:sz w:val="16"/>
          <w:szCs w:val="20"/>
        </w:rPr>
      </w:pPr>
      <w:r w:rsidRPr="00E97FF7">
        <w:rPr>
          <w:rStyle w:val="eop"/>
          <w:rFonts w:ascii="Georgia" w:hAnsi="Georgia"/>
          <w:color w:val="404040" w:themeColor="text1" w:themeTint="BF"/>
          <w:sz w:val="16"/>
          <w:szCs w:val="20"/>
        </w:rPr>
        <w:t>*Source: BEIS</w:t>
      </w:r>
    </w:p>
    <w:p w14:paraId="60C07EA1" w14:textId="77777777" w:rsidR="007B66C1" w:rsidRPr="00E97FF7" w:rsidRDefault="007B66C1" w:rsidP="007B66C1">
      <w:pPr>
        <w:pStyle w:val="ListParagraph"/>
        <w:ind w:left="0"/>
        <w:jc w:val="both"/>
        <w:rPr>
          <w:rFonts w:ascii="Georgia" w:hAnsi="Georgia"/>
          <w:color w:val="404040" w:themeColor="text1" w:themeTint="BF"/>
          <w:sz w:val="20"/>
          <w:szCs w:val="20"/>
        </w:rPr>
      </w:pPr>
    </w:p>
    <w:p w14:paraId="53C6DD8C" w14:textId="77777777" w:rsidR="007B66C1" w:rsidRPr="00E97FF7" w:rsidRDefault="007B66C1" w:rsidP="007B66C1">
      <w:pPr>
        <w:pStyle w:val="ListParagraph"/>
        <w:ind w:left="0"/>
        <w:jc w:val="both"/>
        <w:rPr>
          <w:rFonts w:ascii="Georgia" w:hAnsi="Georgia"/>
          <w:color w:val="404040" w:themeColor="text1" w:themeTint="BF"/>
          <w:sz w:val="20"/>
          <w:szCs w:val="20"/>
        </w:rPr>
      </w:pPr>
    </w:p>
    <w:p w14:paraId="0F2E35C1" w14:textId="77777777" w:rsidR="007B66C1" w:rsidRPr="00151133" w:rsidRDefault="007B66C1" w:rsidP="007B66C1">
      <w:pPr>
        <w:pStyle w:val="ListParagraph"/>
        <w:ind w:left="0"/>
        <w:jc w:val="both"/>
        <w:rPr>
          <w:rFonts w:ascii="Georgia" w:hAnsi="Georgia"/>
          <w:color w:val="404040" w:themeColor="text1" w:themeTint="BF"/>
          <w:sz w:val="20"/>
          <w:szCs w:val="20"/>
        </w:rPr>
      </w:pPr>
      <w:r w:rsidRPr="00E97FF7">
        <w:rPr>
          <w:rFonts w:ascii="Georgia" w:hAnsi="Georgia"/>
          <w:color w:val="404040" w:themeColor="text1" w:themeTint="BF"/>
          <w:sz w:val="20"/>
          <w:szCs w:val="20"/>
        </w:rPr>
        <w:t>The activity in the UK secondary solar PV market has picked up since the start of 2020, with signs that activity may</w:t>
      </w:r>
      <w:r>
        <w:rPr>
          <w:rFonts w:ascii="Georgia" w:hAnsi="Georgia"/>
          <w:color w:val="404040" w:themeColor="text1" w:themeTint="BF"/>
          <w:sz w:val="20"/>
          <w:szCs w:val="20"/>
        </w:rPr>
        <w:t xml:space="preserve"> be</w:t>
      </w:r>
      <w:r w:rsidRPr="00E97FF7">
        <w:rPr>
          <w:rFonts w:ascii="Georgia" w:hAnsi="Georgia"/>
          <w:color w:val="404040" w:themeColor="text1" w:themeTint="BF"/>
          <w:sz w:val="20"/>
          <w:szCs w:val="20"/>
        </w:rPr>
        <w:t xml:space="preserve"> return</w:t>
      </w:r>
      <w:r>
        <w:rPr>
          <w:rFonts w:ascii="Georgia" w:hAnsi="Georgia"/>
          <w:color w:val="404040" w:themeColor="text1" w:themeTint="BF"/>
          <w:sz w:val="20"/>
          <w:szCs w:val="20"/>
        </w:rPr>
        <w:t>ing</w:t>
      </w:r>
      <w:r w:rsidRPr="00E97FF7">
        <w:rPr>
          <w:rFonts w:ascii="Georgia" w:hAnsi="Georgia"/>
          <w:color w:val="404040" w:themeColor="text1" w:themeTint="BF"/>
          <w:sz w:val="20"/>
          <w:szCs w:val="20"/>
        </w:rPr>
        <w:t xml:space="preserve"> to the levels seen in 2018 and earlier. According to the most recent figures from</w:t>
      </w:r>
      <w:r w:rsidRPr="00B97D69">
        <w:rPr>
          <w:rFonts w:ascii="Georgia" w:hAnsi="Georgia"/>
          <w:color w:val="404040" w:themeColor="text1" w:themeTint="BF"/>
          <w:sz w:val="20"/>
          <w:szCs w:val="20"/>
        </w:rPr>
        <w:t xml:space="preserve"> </w:t>
      </w:r>
      <w:r w:rsidRPr="00151133">
        <w:rPr>
          <w:rFonts w:ascii="Georgia" w:hAnsi="Georgia"/>
          <w:color w:val="404040" w:themeColor="text1" w:themeTint="BF"/>
          <w:sz w:val="20"/>
          <w:szCs w:val="20"/>
        </w:rPr>
        <w:t xml:space="preserve">Bloomberg New Energy Finance (BNEF), 350MWp changed hands between January and June 2020, which is the same level of capacity that was subject to M&amp;A activity in the whole of 2019. For reference, around 800MWp of solar PV capacity changed hands in 2018. </w:t>
      </w:r>
    </w:p>
    <w:p w14:paraId="7AD0E42F" w14:textId="7C4C2B08" w:rsidR="007B66C1" w:rsidRDefault="007B66C1" w:rsidP="007B66C1">
      <w:pPr>
        <w:pStyle w:val="ListParagraph"/>
        <w:ind w:left="0"/>
        <w:jc w:val="both"/>
        <w:rPr>
          <w:rFonts w:ascii="Georgia" w:hAnsi="Georgia"/>
          <w:color w:val="404040" w:themeColor="text1" w:themeTint="BF"/>
          <w:sz w:val="20"/>
          <w:szCs w:val="20"/>
        </w:rPr>
      </w:pPr>
    </w:p>
    <w:p w14:paraId="111BCD2B" w14:textId="3AF837FA" w:rsidR="002C1DBC" w:rsidRDefault="002C1DBC" w:rsidP="007B66C1">
      <w:pPr>
        <w:pStyle w:val="ListParagraph"/>
        <w:ind w:left="0"/>
        <w:jc w:val="both"/>
        <w:rPr>
          <w:rFonts w:ascii="Georgia" w:hAnsi="Georgia"/>
          <w:color w:val="404040" w:themeColor="text1" w:themeTint="BF"/>
          <w:sz w:val="20"/>
          <w:szCs w:val="20"/>
        </w:rPr>
      </w:pPr>
    </w:p>
    <w:p w14:paraId="5F8842D1" w14:textId="12BBA9A0" w:rsidR="002C1DBC" w:rsidRDefault="002C1DBC" w:rsidP="007B66C1">
      <w:pPr>
        <w:pStyle w:val="ListParagraph"/>
        <w:ind w:left="0"/>
        <w:jc w:val="both"/>
        <w:rPr>
          <w:rFonts w:ascii="Georgia" w:hAnsi="Georgia"/>
          <w:color w:val="404040" w:themeColor="text1" w:themeTint="BF"/>
          <w:sz w:val="20"/>
          <w:szCs w:val="20"/>
        </w:rPr>
      </w:pPr>
    </w:p>
    <w:p w14:paraId="44670F87" w14:textId="14087EAC" w:rsidR="002C1DBC" w:rsidRDefault="002C1DBC" w:rsidP="007B66C1">
      <w:pPr>
        <w:pStyle w:val="ListParagraph"/>
        <w:ind w:left="0"/>
        <w:jc w:val="both"/>
        <w:rPr>
          <w:rFonts w:ascii="Georgia" w:hAnsi="Georgia"/>
          <w:color w:val="404040" w:themeColor="text1" w:themeTint="BF"/>
          <w:sz w:val="20"/>
          <w:szCs w:val="20"/>
        </w:rPr>
      </w:pPr>
    </w:p>
    <w:p w14:paraId="24F05ADD" w14:textId="295DD5FB" w:rsidR="002C1DBC" w:rsidRDefault="002C1DBC" w:rsidP="007B66C1">
      <w:pPr>
        <w:pStyle w:val="ListParagraph"/>
        <w:ind w:left="0"/>
        <w:jc w:val="both"/>
        <w:rPr>
          <w:rFonts w:ascii="Georgia" w:hAnsi="Georgia"/>
          <w:color w:val="404040" w:themeColor="text1" w:themeTint="BF"/>
          <w:sz w:val="20"/>
          <w:szCs w:val="20"/>
        </w:rPr>
      </w:pPr>
    </w:p>
    <w:p w14:paraId="0FE6CF8F" w14:textId="3B9E6B97" w:rsidR="002C1DBC" w:rsidRDefault="002C1DBC" w:rsidP="007B66C1">
      <w:pPr>
        <w:pStyle w:val="ListParagraph"/>
        <w:ind w:left="0"/>
        <w:jc w:val="both"/>
        <w:rPr>
          <w:rFonts w:ascii="Georgia" w:hAnsi="Georgia"/>
          <w:color w:val="404040" w:themeColor="text1" w:themeTint="BF"/>
          <w:sz w:val="20"/>
          <w:szCs w:val="20"/>
        </w:rPr>
      </w:pPr>
    </w:p>
    <w:p w14:paraId="47924CA8" w14:textId="58A52344" w:rsidR="002C1DBC" w:rsidRDefault="002C1DBC" w:rsidP="007B66C1">
      <w:pPr>
        <w:pStyle w:val="ListParagraph"/>
        <w:ind w:left="0"/>
        <w:jc w:val="both"/>
        <w:rPr>
          <w:rFonts w:ascii="Georgia" w:hAnsi="Georgia"/>
          <w:color w:val="404040" w:themeColor="text1" w:themeTint="BF"/>
          <w:sz w:val="20"/>
          <w:szCs w:val="20"/>
        </w:rPr>
      </w:pPr>
    </w:p>
    <w:p w14:paraId="5246CFED" w14:textId="3370AC37" w:rsidR="002C1DBC" w:rsidRDefault="002C1DBC" w:rsidP="007B66C1">
      <w:pPr>
        <w:pStyle w:val="ListParagraph"/>
        <w:ind w:left="0"/>
        <w:jc w:val="both"/>
        <w:rPr>
          <w:rFonts w:ascii="Georgia" w:hAnsi="Georgia"/>
          <w:color w:val="404040" w:themeColor="text1" w:themeTint="BF"/>
          <w:sz w:val="20"/>
          <w:szCs w:val="20"/>
        </w:rPr>
      </w:pPr>
    </w:p>
    <w:p w14:paraId="048B9519" w14:textId="604D5D0E" w:rsidR="002C1DBC" w:rsidRDefault="002C1DBC" w:rsidP="007B66C1">
      <w:pPr>
        <w:pStyle w:val="ListParagraph"/>
        <w:ind w:left="0"/>
        <w:jc w:val="both"/>
        <w:rPr>
          <w:rFonts w:ascii="Georgia" w:hAnsi="Georgia"/>
          <w:color w:val="404040" w:themeColor="text1" w:themeTint="BF"/>
          <w:sz w:val="20"/>
          <w:szCs w:val="20"/>
        </w:rPr>
      </w:pPr>
    </w:p>
    <w:p w14:paraId="12F7D029" w14:textId="244BDCF5" w:rsidR="002C1DBC" w:rsidRDefault="002C1DBC" w:rsidP="007B66C1">
      <w:pPr>
        <w:pStyle w:val="ListParagraph"/>
        <w:ind w:left="0"/>
        <w:jc w:val="both"/>
        <w:rPr>
          <w:rFonts w:ascii="Georgia" w:hAnsi="Georgia"/>
          <w:color w:val="404040" w:themeColor="text1" w:themeTint="BF"/>
          <w:sz w:val="20"/>
          <w:szCs w:val="20"/>
        </w:rPr>
      </w:pPr>
    </w:p>
    <w:p w14:paraId="0D6865EB" w14:textId="31BBDC71" w:rsidR="002C1DBC" w:rsidRDefault="002C1DBC" w:rsidP="007B66C1">
      <w:pPr>
        <w:pStyle w:val="ListParagraph"/>
        <w:ind w:left="0"/>
        <w:jc w:val="both"/>
        <w:rPr>
          <w:rFonts w:ascii="Georgia" w:hAnsi="Georgia"/>
          <w:color w:val="404040" w:themeColor="text1" w:themeTint="BF"/>
          <w:sz w:val="20"/>
          <w:szCs w:val="20"/>
        </w:rPr>
      </w:pPr>
    </w:p>
    <w:p w14:paraId="0F04B51E" w14:textId="605466E0" w:rsidR="002C1DBC" w:rsidRDefault="002C1DBC" w:rsidP="007B66C1">
      <w:pPr>
        <w:pStyle w:val="ListParagraph"/>
        <w:ind w:left="0"/>
        <w:jc w:val="both"/>
        <w:rPr>
          <w:rFonts w:ascii="Georgia" w:hAnsi="Georgia"/>
          <w:color w:val="404040" w:themeColor="text1" w:themeTint="BF"/>
          <w:sz w:val="20"/>
          <w:szCs w:val="20"/>
        </w:rPr>
      </w:pPr>
    </w:p>
    <w:p w14:paraId="20FB9936" w14:textId="115F4584" w:rsidR="002C1DBC" w:rsidRDefault="002C1DBC" w:rsidP="007B66C1">
      <w:pPr>
        <w:pStyle w:val="ListParagraph"/>
        <w:ind w:left="0"/>
        <w:jc w:val="both"/>
        <w:rPr>
          <w:rFonts w:ascii="Georgia" w:hAnsi="Georgia"/>
          <w:color w:val="404040" w:themeColor="text1" w:themeTint="BF"/>
          <w:sz w:val="20"/>
          <w:szCs w:val="20"/>
        </w:rPr>
      </w:pPr>
    </w:p>
    <w:p w14:paraId="0EFAA289" w14:textId="77777777" w:rsidR="002C1DBC" w:rsidRPr="00151133" w:rsidRDefault="002C1DBC" w:rsidP="007B66C1">
      <w:pPr>
        <w:pStyle w:val="ListParagraph"/>
        <w:ind w:left="0"/>
        <w:jc w:val="both"/>
        <w:rPr>
          <w:rFonts w:ascii="Georgia" w:hAnsi="Georgia"/>
          <w:color w:val="404040" w:themeColor="text1" w:themeTint="BF"/>
          <w:sz w:val="20"/>
          <w:szCs w:val="20"/>
        </w:rPr>
      </w:pPr>
    </w:p>
    <w:p w14:paraId="26E88774" w14:textId="77777777" w:rsidR="00DD61A3" w:rsidRPr="00475D47" w:rsidRDefault="00DD61A3" w:rsidP="00DD61A3">
      <w:pPr>
        <w:pStyle w:val="Heading2"/>
        <w:spacing w:before="0"/>
      </w:pPr>
      <w:r w:rsidRPr="00475D47">
        <w:lastRenderedPageBreak/>
        <w:t>Report of the Investment Adviser (continued)</w:t>
      </w:r>
    </w:p>
    <w:p w14:paraId="41A140FC" w14:textId="77777777" w:rsidR="00DD61A3" w:rsidRPr="00904E51" w:rsidRDefault="00DD61A3" w:rsidP="00DD61A3">
      <w:pPr>
        <w:jc w:val="both"/>
        <w:rPr>
          <w:rFonts w:ascii="Georgia" w:hAnsi="Georgia" w:cs="Calibri"/>
          <w:color w:val="404040" w:themeColor="text1" w:themeTint="BF"/>
          <w:sz w:val="20"/>
          <w:highlight w:val="yellow"/>
        </w:rPr>
      </w:pPr>
    </w:p>
    <w:p w14:paraId="6246E733" w14:textId="77777777" w:rsidR="00DD61A3" w:rsidRPr="00E251E2" w:rsidRDefault="00DD61A3" w:rsidP="00DD61A3">
      <w:pPr>
        <w:spacing w:after="160" w:line="259" w:lineRule="auto"/>
        <w:jc w:val="both"/>
        <w:rPr>
          <w:rFonts w:ascii="Georgia" w:hAnsi="Georgia"/>
          <w:b/>
          <w:color w:val="404040" w:themeColor="text1" w:themeTint="BF"/>
          <w:sz w:val="20"/>
          <w:szCs w:val="20"/>
          <w:highlight w:val="yellow"/>
        </w:rPr>
      </w:pPr>
      <w:r w:rsidRPr="00E251E2">
        <w:rPr>
          <w:rFonts w:ascii="Georgia" w:hAnsi="Georgia"/>
          <w:b/>
          <w:color w:val="404040" w:themeColor="text1" w:themeTint="BF"/>
          <w:sz w:val="20"/>
          <w:szCs w:val="20"/>
        </w:rPr>
        <w:t xml:space="preserve">6. Market Developments </w:t>
      </w:r>
      <w:r w:rsidRPr="00EB6840">
        <w:rPr>
          <w:rFonts w:ascii="Georgia" w:hAnsi="Georgia"/>
          <w:b/>
          <w:color w:val="404040" w:themeColor="text1" w:themeTint="BF"/>
          <w:sz w:val="20"/>
          <w:szCs w:val="20"/>
        </w:rPr>
        <w:t>(continued)</w:t>
      </w:r>
    </w:p>
    <w:p w14:paraId="3ACECC52" w14:textId="57701B6D" w:rsidR="007B66C1" w:rsidRPr="00151133" w:rsidRDefault="00B06BC0" w:rsidP="007B66C1">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Activity in the subsidy-</w:t>
      </w:r>
      <w:r w:rsidR="007B66C1" w:rsidRPr="00151133">
        <w:rPr>
          <w:rFonts w:ascii="Georgia" w:hAnsi="Georgia"/>
          <w:color w:val="404040" w:themeColor="text1" w:themeTint="BF"/>
          <w:sz w:val="20"/>
          <w:szCs w:val="20"/>
        </w:rPr>
        <w:t>free market has also continued to gather pace, despite interruptions during the period related to Covid-19. Significant development activity is now being carried out within the UK and estimates from Solar Power Media indicate that that there is now a c. 10 GW pipeline of large-scale solar projects in the development phase (as at the end of July 2020), which is more than triple the capacity compared to the beginning of 2019 (3.3 GW).</w:t>
      </w:r>
    </w:p>
    <w:p w14:paraId="2A813956" w14:textId="77777777" w:rsidR="007B66C1" w:rsidRPr="00151133" w:rsidRDefault="007B66C1" w:rsidP="007B66C1">
      <w:pPr>
        <w:pStyle w:val="ListParagraph"/>
        <w:ind w:left="0"/>
        <w:jc w:val="both"/>
        <w:rPr>
          <w:rFonts w:ascii="Georgia" w:hAnsi="Georgia"/>
          <w:color w:val="404040" w:themeColor="text1" w:themeTint="BF"/>
          <w:sz w:val="20"/>
          <w:szCs w:val="20"/>
        </w:rPr>
      </w:pPr>
    </w:p>
    <w:p w14:paraId="3A816006" w14:textId="77777777" w:rsidR="007B66C1" w:rsidRPr="00151133" w:rsidRDefault="007B66C1" w:rsidP="007B66C1">
      <w:pPr>
        <w:pStyle w:val="ListParagraph"/>
        <w:ind w:left="0"/>
        <w:jc w:val="both"/>
        <w:rPr>
          <w:rFonts w:ascii="Georgia" w:hAnsi="Georgia"/>
          <w:color w:val="404040" w:themeColor="text1" w:themeTint="BF"/>
          <w:sz w:val="20"/>
          <w:szCs w:val="20"/>
        </w:rPr>
      </w:pPr>
      <w:r w:rsidRPr="00151133">
        <w:rPr>
          <w:rFonts w:ascii="Georgia" w:hAnsi="Georgia"/>
          <w:color w:val="404040" w:themeColor="text1" w:themeTint="BF"/>
          <w:sz w:val="20"/>
          <w:szCs w:val="20"/>
        </w:rPr>
        <w:t>However, whilst development activity remains high the level of construction remains limited to a small number of community funded projects and a few larger projects. The Solar Power Portal database suggests 187 MW is currently under construction (9 projects), with a further 2.5 GW awaiting construction.</w:t>
      </w:r>
    </w:p>
    <w:p w14:paraId="104DA079" w14:textId="77777777" w:rsidR="007B66C1" w:rsidRPr="00151133" w:rsidRDefault="007B66C1" w:rsidP="007B66C1">
      <w:pPr>
        <w:pStyle w:val="ListParagraph"/>
        <w:ind w:left="0"/>
        <w:jc w:val="both"/>
        <w:rPr>
          <w:rFonts w:ascii="Georgia" w:hAnsi="Georgia"/>
          <w:color w:val="404040" w:themeColor="text1" w:themeTint="BF"/>
          <w:sz w:val="20"/>
          <w:szCs w:val="20"/>
        </w:rPr>
      </w:pPr>
    </w:p>
    <w:p w14:paraId="0D11F0B7" w14:textId="597651B4" w:rsidR="007B66C1" w:rsidRPr="00151133" w:rsidRDefault="00CE199F" w:rsidP="007B66C1">
      <w:pPr>
        <w:pStyle w:val="ListParagraph"/>
        <w:ind w:left="0"/>
        <w:jc w:val="both"/>
        <w:rPr>
          <w:rFonts w:ascii="Georgia" w:hAnsi="Georgia"/>
          <w:color w:val="404040" w:themeColor="text1" w:themeTint="BF"/>
          <w:sz w:val="20"/>
          <w:szCs w:val="20"/>
        </w:rPr>
      </w:pPr>
      <w:r>
        <w:rPr>
          <w:rFonts w:ascii="Georgia" w:hAnsi="Georgia"/>
          <w:color w:val="404040" w:themeColor="text1" w:themeTint="BF"/>
          <w:sz w:val="20"/>
          <w:szCs w:val="20"/>
        </w:rPr>
        <w:t>W</w:t>
      </w:r>
      <w:r w:rsidR="007B66C1" w:rsidRPr="00151133">
        <w:rPr>
          <w:rFonts w:ascii="Georgia" w:hAnsi="Georgia"/>
          <w:color w:val="404040" w:themeColor="text1" w:themeTint="BF"/>
          <w:sz w:val="20"/>
          <w:szCs w:val="20"/>
        </w:rPr>
        <w:t xml:space="preserve">ith </w:t>
      </w:r>
      <w:r w:rsidR="00B06BC0">
        <w:rPr>
          <w:rFonts w:ascii="Georgia" w:hAnsi="Georgia"/>
          <w:color w:val="404040" w:themeColor="text1" w:themeTint="BF"/>
          <w:sz w:val="20"/>
          <w:szCs w:val="20"/>
        </w:rPr>
        <w:t xml:space="preserve">a </w:t>
      </w:r>
      <w:r>
        <w:rPr>
          <w:rFonts w:ascii="Georgia" w:hAnsi="Georgia"/>
          <w:color w:val="404040" w:themeColor="text1" w:themeTint="BF"/>
          <w:sz w:val="20"/>
          <w:szCs w:val="20"/>
        </w:rPr>
        <w:t xml:space="preserve">portfolio of </w:t>
      </w:r>
      <w:r w:rsidR="007B66C1" w:rsidRPr="00151133">
        <w:rPr>
          <w:rFonts w:ascii="Georgia" w:hAnsi="Georgia"/>
          <w:color w:val="404040" w:themeColor="text1" w:themeTint="BF"/>
          <w:sz w:val="20"/>
          <w:szCs w:val="20"/>
        </w:rPr>
        <w:t>543MWp</w:t>
      </w:r>
      <w:r>
        <w:rPr>
          <w:rFonts w:ascii="Georgia" w:hAnsi="Georgia"/>
          <w:color w:val="404040" w:themeColor="text1" w:themeTint="BF"/>
          <w:sz w:val="20"/>
          <w:szCs w:val="20"/>
        </w:rPr>
        <w:t>, following the acquisition of 64.2MWp in August 2020</w:t>
      </w:r>
      <w:r w:rsidR="007B66C1" w:rsidRPr="00151133">
        <w:rPr>
          <w:rFonts w:ascii="Georgia" w:hAnsi="Georgia"/>
          <w:color w:val="404040" w:themeColor="text1" w:themeTint="BF"/>
          <w:sz w:val="20"/>
          <w:szCs w:val="20"/>
        </w:rPr>
        <w:t>, the Company continues to maintain a strong position within the UK solar market, as it operates about 6% of the country’s utility-scale solar PV capacity. As an established and experienced market participant, this will be a strong foundation as the Company</w:t>
      </w:r>
      <w:r w:rsidR="00651D42">
        <w:rPr>
          <w:rFonts w:ascii="Georgia" w:hAnsi="Georgia"/>
          <w:color w:val="404040" w:themeColor="text1" w:themeTint="BF"/>
          <w:sz w:val="20"/>
          <w:szCs w:val="20"/>
        </w:rPr>
        <w:t xml:space="preserve"> continues to</w:t>
      </w:r>
      <w:r w:rsidR="007B66C1" w:rsidRPr="00151133">
        <w:rPr>
          <w:rFonts w:ascii="Georgia" w:hAnsi="Georgia"/>
          <w:color w:val="404040" w:themeColor="text1" w:themeTint="BF"/>
          <w:sz w:val="20"/>
          <w:szCs w:val="20"/>
        </w:rPr>
        <w:t xml:space="preserve"> assess unsubsidised opportunities. </w:t>
      </w:r>
    </w:p>
    <w:p w14:paraId="044C5D26" w14:textId="77777777" w:rsidR="007B66C1" w:rsidRPr="00904E51" w:rsidRDefault="007B66C1" w:rsidP="007B66C1">
      <w:pPr>
        <w:pStyle w:val="ListParagraph"/>
        <w:ind w:left="0"/>
        <w:jc w:val="both"/>
        <w:rPr>
          <w:rFonts w:ascii="Georgia" w:hAnsi="Georgia"/>
          <w:color w:val="404040" w:themeColor="text1" w:themeTint="BF"/>
          <w:sz w:val="20"/>
          <w:szCs w:val="20"/>
          <w:highlight w:val="yellow"/>
        </w:rPr>
      </w:pPr>
      <w:r w:rsidRPr="00904E51">
        <w:rPr>
          <w:rFonts w:ascii="Georgia" w:hAnsi="Georgia"/>
          <w:color w:val="404040" w:themeColor="text1" w:themeTint="BF"/>
          <w:sz w:val="20"/>
          <w:szCs w:val="20"/>
          <w:highlight w:val="yellow"/>
        </w:rPr>
        <w:t xml:space="preserve">  </w:t>
      </w:r>
    </w:p>
    <w:p w14:paraId="009E24EB" w14:textId="77777777" w:rsidR="007B66C1" w:rsidRPr="00904E51" w:rsidRDefault="007B66C1" w:rsidP="007B66C1">
      <w:pPr>
        <w:ind w:left="426" w:hanging="426"/>
        <w:jc w:val="both"/>
        <w:rPr>
          <w:rFonts w:ascii="Georgia" w:hAnsi="Georgia"/>
          <w:b/>
          <w:color w:val="404040" w:themeColor="text1" w:themeTint="BF"/>
          <w:sz w:val="20"/>
          <w:szCs w:val="20"/>
          <w:highlight w:val="yellow"/>
        </w:rPr>
      </w:pPr>
    </w:p>
    <w:p w14:paraId="4DFB01FE" w14:textId="77777777" w:rsidR="007B66C1" w:rsidRPr="00E51869" w:rsidRDefault="007B66C1" w:rsidP="007B66C1">
      <w:pPr>
        <w:ind w:left="426" w:hanging="426"/>
        <w:jc w:val="both"/>
        <w:rPr>
          <w:rFonts w:ascii="Georgia" w:hAnsi="Georgia"/>
          <w:b/>
          <w:color w:val="404040" w:themeColor="text1" w:themeTint="BF"/>
          <w:sz w:val="20"/>
          <w:szCs w:val="20"/>
        </w:rPr>
      </w:pPr>
      <w:r w:rsidRPr="00E51869">
        <w:rPr>
          <w:rFonts w:ascii="Georgia" w:hAnsi="Georgia"/>
          <w:b/>
          <w:color w:val="404040" w:themeColor="text1" w:themeTint="BF"/>
          <w:sz w:val="20"/>
          <w:szCs w:val="20"/>
        </w:rPr>
        <w:t>7. Regulatory Environment</w:t>
      </w:r>
    </w:p>
    <w:p w14:paraId="31885713" w14:textId="77777777" w:rsidR="007B66C1" w:rsidRDefault="007B66C1" w:rsidP="007B66C1">
      <w:pPr>
        <w:spacing w:after="160" w:line="259" w:lineRule="auto"/>
        <w:jc w:val="both"/>
        <w:rPr>
          <w:rFonts w:ascii="Georgia" w:eastAsia="Calibri" w:hAnsi="Georgia"/>
          <w:i/>
          <w:color w:val="404040" w:themeColor="text1" w:themeTint="BF"/>
          <w:sz w:val="20"/>
          <w:szCs w:val="20"/>
          <w:highlight w:val="yellow"/>
        </w:rPr>
      </w:pPr>
    </w:p>
    <w:p w14:paraId="56814520" w14:textId="77777777" w:rsidR="007B66C1" w:rsidRPr="00612B55" w:rsidRDefault="007B66C1" w:rsidP="007B66C1">
      <w:pPr>
        <w:spacing w:after="160" w:line="259" w:lineRule="auto"/>
        <w:jc w:val="both"/>
        <w:rPr>
          <w:rFonts w:ascii="Georgia" w:eastAsia="Calibri" w:hAnsi="Georgia"/>
          <w:i/>
          <w:color w:val="404040" w:themeColor="text1" w:themeTint="BF"/>
          <w:sz w:val="20"/>
          <w:szCs w:val="20"/>
        </w:rPr>
      </w:pPr>
      <w:r w:rsidRPr="00612B55">
        <w:rPr>
          <w:rFonts w:ascii="Georgia" w:eastAsia="Calibri" w:hAnsi="Georgia"/>
          <w:i/>
          <w:color w:val="404040" w:themeColor="text1" w:themeTint="BF"/>
          <w:sz w:val="20"/>
          <w:szCs w:val="20"/>
        </w:rPr>
        <w:t>Net zero target</w:t>
      </w:r>
    </w:p>
    <w:p w14:paraId="3845B292" w14:textId="77777777" w:rsidR="007B66C1" w:rsidRDefault="007B66C1"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rPr>
      </w:pPr>
      <w:r w:rsidRPr="00612B55">
        <w:rPr>
          <w:rStyle w:val="normaltextrun"/>
          <w:rFonts w:ascii="Georgia" w:hAnsi="Georgia"/>
          <w:color w:val="404040" w:themeColor="text1" w:themeTint="BF"/>
          <w:sz w:val="20"/>
          <w:szCs w:val="20"/>
        </w:rPr>
        <w:t>In June 2019, Parliament passed legislation requiring the government to reduce the UK’s emissions of greenhouse gases so that it is a ‘net zero’ emitter by 2050. Since the target was introduced, the Government has announced a HM Treasury Net Zero Review. The review is expected to be published in autumn 2020 and will set out principles to guide decision-making in the transition to net zero. In particular, it will focus on how the UK can maximise economic growth opportunities from its transition to a green economy, while also ensuring that emissions are not exported elsewhere.</w:t>
      </w:r>
    </w:p>
    <w:p w14:paraId="64E04BA0" w14:textId="77777777" w:rsidR="007B66C1" w:rsidRPr="00E51869" w:rsidRDefault="007B66C1" w:rsidP="007B66C1">
      <w:pPr>
        <w:spacing w:after="160" w:line="259" w:lineRule="auto"/>
        <w:jc w:val="both"/>
        <w:rPr>
          <w:rFonts w:ascii="Georgia" w:eastAsia="Calibri" w:hAnsi="Georgia"/>
          <w:i/>
          <w:color w:val="404040" w:themeColor="text1" w:themeTint="BF"/>
          <w:sz w:val="20"/>
          <w:szCs w:val="20"/>
        </w:rPr>
      </w:pPr>
    </w:p>
    <w:p w14:paraId="0BC228FF" w14:textId="77777777" w:rsidR="007B66C1" w:rsidRPr="00E51869" w:rsidRDefault="007B66C1" w:rsidP="007B66C1">
      <w:pPr>
        <w:spacing w:after="160" w:line="259" w:lineRule="auto"/>
        <w:jc w:val="both"/>
        <w:rPr>
          <w:rFonts w:ascii="Georgia" w:eastAsia="Calibri" w:hAnsi="Georgia"/>
          <w:i/>
          <w:color w:val="404040" w:themeColor="text1" w:themeTint="BF"/>
          <w:sz w:val="20"/>
          <w:szCs w:val="20"/>
        </w:rPr>
      </w:pPr>
      <w:r w:rsidRPr="00E51869">
        <w:rPr>
          <w:rFonts w:ascii="Georgia" w:eastAsia="Calibri" w:hAnsi="Georgia"/>
          <w:i/>
          <w:color w:val="404040" w:themeColor="text1" w:themeTint="BF"/>
          <w:sz w:val="20"/>
          <w:szCs w:val="20"/>
        </w:rPr>
        <w:t>UK Carbon Budgets</w:t>
      </w:r>
    </w:p>
    <w:p w14:paraId="32AB7962" w14:textId="77777777" w:rsidR="007B66C1" w:rsidRPr="00E51869" w:rsidRDefault="007B66C1" w:rsidP="007B66C1">
      <w:pPr>
        <w:pStyle w:val="paragraph"/>
        <w:spacing w:before="0" w:beforeAutospacing="0" w:after="0" w:afterAutospacing="0"/>
        <w:jc w:val="both"/>
        <w:textAlignment w:val="baseline"/>
        <w:rPr>
          <w:rStyle w:val="eop"/>
          <w:rFonts w:ascii="Georgia" w:hAnsi="Georgia"/>
          <w:color w:val="404040" w:themeColor="text1" w:themeTint="BF"/>
          <w:sz w:val="20"/>
          <w:szCs w:val="20"/>
        </w:rPr>
      </w:pPr>
      <w:r w:rsidRPr="00E51869">
        <w:rPr>
          <w:rStyle w:val="normaltextrun"/>
          <w:rFonts w:ascii="Georgia" w:hAnsi="Georgia"/>
          <w:color w:val="404040" w:themeColor="text1" w:themeTint="BF"/>
          <w:sz w:val="20"/>
          <w:szCs w:val="20"/>
        </w:rPr>
        <w:t>Carbon budgets were introduced under the 2008 Climate Change Act. They are legally binding greenhouse-gas reduction targets that are set for five-year periods, with the </w:t>
      </w:r>
      <w:r w:rsidRPr="00E51869">
        <w:rPr>
          <w:rStyle w:val="advancedproofingissue"/>
          <w:rFonts w:ascii="Georgia" w:hAnsi="Georgia"/>
          <w:color w:val="404040" w:themeColor="text1" w:themeTint="BF"/>
          <w:sz w:val="20"/>
          <w:szCs w:val="20"/>
        </w:rPr>
        <w:t>ultimate goal</w:t>
      </w:r>
      <w:r w:rsidRPr="00E51869">
        <w:rPr>
          <w:rStyle w:val="normaltextrun"/>
          <w:rFonts w:ascii="Georgia" w:hAnsi="Georgia"/>
          <w:color w:val="404040" w:themeColor="text1" w:themeTint="BF"/>
          <w:sz w:val="20"/>
          <w:szCs w:val="20"/>
        </w:rPr>
        <w:t xml:space="preserve"> of reducing emissions </w:t>
      </w:r>
      <w:r>
        <w:rPr>
          <w:rStyle w:val="normaltextrun"/>
          <w:rFonts w:ascii="Georgia" w:hAnsi="Georgia"/>
          <w:color w:val="404040" w:themeColor="text1" w:themeTint="BF"/>
          <w:sz w:val="20"/>
          <w:szCs w:val="20"/>
        </w:rPr>
        <w:t xml:space="preserve">from </w:t>
      </w:r>
      <w:r w:rsidRPr="00E51869">
        <w:rPr>
          <w:rStyle w:val="normaltextrun"/>
          <w:rFonts w:ascii="Georgia" w:hAnsi="Georgia"/>
          <w:color w:val="404040" w:themeColor="text1" w:themeTint="BF"/>
          <w:sz w:val="20"/>
          <w:szCs w:val="20"/>
        </w:rPr>
        <w:t>in-line with the UK’s emissions targets.</w:t>
      </w:r>
      <w:r w:rsidRPr="00E51869">
        <w:rPr>
          <w:rStyle w:val="eop"/>
          <w:rFonts w:ascii="Georgia" w:hAnsi="Georgia"/>
          <w:color w:val="404040" w:themeColor="text1" w:themeTint="BF"/>
          <w:sz w:val="20"/>
          <w:szCs w:val="20"/>
        </w:rPr>
        <w:t xml:space="preserve"> The budgets are developed considering the advice of the Committee on Climate Change</w:t>
      </w:r>
      <w:r w:rsidRPr="00E51869">
        <w:rPr>
          <w:rStyle w:val="normaltextrun"/>
          <w:rFonts w:ascii="Georgia" w:hAnsi="Georgia"/>
          <w:color w:val="404040" w:themeColor="text1" w:themeTint="BF"/>
          <w:sz w:val="20"/>
          <w:szCs w:val="20"/>
        </w:rPr>
        <w:t xml:space="preserve"> (the CCC) and are </w:t>
      </w:r>
      <w:r w:rsidRPr="00E51869">
        <w:rPr>
          <w:rStyle w:val="eop"/>
          <w:rFonts w:ascii="Georgia" w:hAnsi="Georgia"/>
          <w:color w:val="404040" w:themeColor="text1" w:themeTint="BF"/>
          <w:sz w:val="20"/>
          <w:szCs w:val="20"/>
        </w:rPr>
        <w:t>set by Parliament 12 years in advance to provide sufficient long-term guidance to investors.</w:t>
      </w:r>
    </w:p>
    <w:p w14:paraId="775C67A9" w14:textId="77777777" w:rsidR="007B66C1" w:rsidRPr="00E51869" w:rsidRDefault="007B66C1" w:rsidP="007B66C1">
      <w:pPr>
        <w:pStyle w:val="paragraph"/>
        <w:spacing w:before="0" w:beforeAutospacing="0" w:after="0" w:afterAutospacing="0"/>
        <w:jc w:val="both"/>
        <w:textAlignment w:val="baseline"/>
        <w:rPr>
          <w:rStyle w:val="eop"/>
          <w:rFonts w:ascii="Georgia" w:hAnsi="Georgia"/>
          <w:color w:val="404040" w:themeColor="text1" w:themeTint="BF"/>
          <w:sz w:val="20"/>
          <w:szCs w:val="20"/>
        </w:rPr>
      </w:pPr>
    </w:p>
    <w:p w14:paraId="2F01AE0A" w14:textId="77777777" w:rsidR="007B66C1" w:rsidRPr="00E51869" w:rsidRDefault="007B66C1" w:rsidP="007B66C1">
      <w:pPr>
        <w:pStyle w:val="paragraph"/>
        <w:spacing w:before="0" w:beforeAutospacing="0" w:after="0" w:afterAutospacing="0"/>
        <w:jc w:val="both"/>
        <w:textAlignment w:val="baseline"/>
        <w:rPr>
          <w:rStyle w:val="eop"/>
          <w:rFonts w:ascii="Georgia" w:hAnsi="Georgia"/>
          <w:color w:val="404040" w:themeColor="text1" w:themeTint="BF"/>
          <w:sz w:val="20"/>
          <w:szCs w:val="20"/>
        </w:rPr>
      </w:pPr>
      <w:r w:rsidRPr="00E51869">
        <w:rPr>
          <w:rStyle w:val="normaltextrun"/>
          <w:rFonts w:ascii="Georgia" w:hAnsi="Georgia"/>
          <w:color w:val="404040" w:themeColor="text1" w:themeTint="BF"/>
          <w:sz w:val="20"/>
          <w:szCs w:val="20"/>
        </w:rPr>
        <w:t xml:space="preserve">So far, five carbon budgets have been </w:t>
      </w:r>
      <w:r>
        <w:rPr>
          <w:rStyle w:val="normaltextrun"/>
          <w:rFonts w:ascii="Georgia" w:hAnsi="Georgia"/>
          <w:color w:val="404040" w:themeColor="text1" w:themeTint="BF"/>
          <w:sz w:val="20"/>
          <w:szCs w:val="20"/>
        </w:rPr>
        <w:t>set</w:t>
      </w:r>
      <w:r w:rsidRPr="00E51869">
        <w:rPr>
          <w:rStyle w:val="normaltextrun"/>
          <w:rFonts w:ascii="Georgia" w:hAnsi="Georgia"/>
          <w:color w:val="404040" w:themeColor="text1" w:themeTint="BF"/>
          <w:sz w:val="20"/>
          <w:szCs w:val="20"/>
        </w:rPr>
        <w:t xml:space="preserve">. </w:t>
      </w:r>
      <w:r w:rsidRPr="00E51869">
        <w:rPr>
          <w:rStyle w:val="eop"/>
          <w:rFonts w:ascii="Georgia" w:hAnsi="Georgia"/>
          <w:color w:val="404040" w:themeColor="text1" w:themeTint="BF"/>
          <w:sz w:val="20"/>
          <w:szCs w:val="20"/>
        </w:rPr>
        <w:t>T</w:t>
      </w:r>
      <w:r w:rsidRPr="00E51869">
        <w:rPr>
          <w:rStyle w:val="normaltextrun"/>
          <w:rFonts w:ascii="Georgia" w:hAnsi="Georgia"/>
          <w:color w:val="404040" w:themeColor="text1" w:themeTint="BF"/>
          <w:sz w:val="20"/>
          <w:szCs w:val="20"/>
        </w:rPr>
        <w:t xml:space="preserve">he fifth budget (which was set in 2016 for the period 2028-2032) </w:t>
      </w:r>
      <w:r>
        <w:rPr>
          <w:rStyle w:val="normaltextrun"/>
          <w:rFonts w:ascii="Georgia" w:hAnsi="Georgia"/>
          <w:color w:val="404040" w:themeColor="text1" w:themeTint="BF"/>
          <w:sz w:val="20"/>
          <w:szCs w:val="20"/>
        </w:rPr>
        <w:t>limits UK greenhouse gas emissions to</w:t>
      </w:r>
      <w:r w:rsidRPr="00E51869">
        <w:rPr>
          <w:rStyle w:val="normaltextrun"/>
          <w:rFonts w:ascii="Georgia" w:hAnsi="Georgia"/>
          <w:color w:val="404040" w:themeColor="text1" w:themeTint="BF"/>
          <w:sz w:val="20"/>
          <w:szCs w:val="20"/>
        </w:rPr>
        <w:t xml:space="preserve"> 1,725Mt carbon dioxide equivalent</w:t>
      </w:r>
      <w:r>
        <w:rPr>
          <w:rStyle w:val="normaltextrun"/>
          <w:rFonts w:ascii="Georgia" w:hAnsi="Georgia"/>
          <w:color w:val="404040" w:themeColor="text1" w:themeTint="BF"/>
          <w:sz w:val="20"/>
          <w:szCs w:val="20"/>
        </w:rPr>
        <w:t xml:space="preserve"> (CO</w:t>
      </w:r>
      <w:r>
        <w:rPr>
          <w:rStyle w:val="normaltextrun"/>
          <w:rFonts w:ascii="Georgia" w:hAnsi="Georgia"/>
          <w:color w:val="404040" w:themeColor="text1" w:themeTint="BF"/>
          <w:sz w:val="20"/>
          <w:szCs w:val="20"/>
          <w:vertAlign w:val="subscript"/>
        </w:rPr>
        <w:t>2</w:t>
      </w:r>
      <w:r>
        <w:rPr>
          <w:rStyle w:val="normaltextrun"/>
          <w:rFonts w:ascii="Georgia" w:hAnsi="Georgia"/>
          <w:color w:val="404040" w:themeColor="text1" w:themeTint="BF"/>
          <w:sz w:val="20"/>
          <w:szCs w:val="20"/>
        </w:rPr>
        <w:t>e)</w:t>
      </w:r>
      <w:r w:rsidRPr="00E51869">
        <w:rPr>
          <w:rStyle w:val="normaltextrun"/>
          <w:rFonts w:ascii="Georgia" w:hAnsi="Georgia"/>
          <w:color w:val="404040" w:themeColor="text1" w:themeTint="BF"/>
          <w:sz w:val="20"/>
          <w:szCs w:val="20"/>
        </w:rPr>
        <w:t xml:space="preserve">, excluding international shipping and aviation. The CCC recommended that the target should be met without the use of international carbon credits (apart from the EU ETS). </w:t>
      </w:r>
      <w:r>
        <w:rPr>
          <w:rStyle w:val="normaltextrun"/>
          <w:rFonts w:ascii="Georgia" w:hAnsi="Georgia"/>
          <w:color w:val="404040" w:themeColor="text1" w:themeTint="BF"/>
          <w:sz w:val="20"/>
          <w:szCs w:val="20"/>
        </w:rPr>
        <w:t xml:space="preserve">Most relevant to the Company, </w:t>
      </w:r>
      <w:r w:rsidRPr="00E51869">
        <w:rPr>
          <w:rStyle w:val="normaltextrun"/>
          <w:rFonts w:ascii="Georgia" w:hAnsi="Georgia"/>
          <w:color w:val="404040" w:themeColor="text1" w:themeTint="BF"/>
          <w:sz w:val="20"/>
          <w:szCs w:val="20"/>
        </w:rPr>
        <w:t xml:space="preserve">the CCC recommended that the government </w:t>
      </w:r>
      <w:r>
        <w:rPr>
          <w:rStyle w:val="normaltextrun"/>
          <w:rFonts w:ascii="Georgia" w:hAnsi="Georgia"/>
          <w:color w:val="404040" w:themeColor="text1" w:themeTint="BF"/>
          <w:sz w:val="20"/>
          <w:szCs w:val="20"/>
        </w:rPr>
        <w:t xml:space="preserve">should </w:t>
      </w:r>
      <w:r w:rsidRPr="00E51869">
        <w:rPr>
          <w:rStyle w:val="normaltextrun"/>
          <w:rFonts w:ascii="Georgia" w:hAnsi="Georgia"/>
          <w:color w:val="404040" w:themeColor="text1" w:themeTint="BF"/>
          <w:sz w:val="20"/>
          <w:szCs w:val="20"/>
        </w:rPr>
        <w:t xml:space="preserve">implement policies to reduce the </w:t>
      </w:r>
      <w:r>
        <w:rPr>
          <w:rStyle w:val="normaltextrun"/>
          <w:rFonts w:ascii="Georgia" w:hAnsi="Georgia"/>
          <w:color w:val="404040" w:themeColor="text1" w:themeTint="BF"/>
          <w:sz w:val="20"/>
          <w:szCs w:val="20"/>
        </w:rPr>
        <w:t xml:space="preserve">power </w:t>
      </w:r>
      <w:r w:rsidRPr="00E51869">
        <w:rPr>
          <w:rStyle w:val="normaltextrun"/>
          <w:rFonts w:ascii="Georgia" w:hAnsi="Georgia"/>
          <w:color w:val="404040" w:themeColor="text1" w:themeTint="BF"/>
          <w:sz w:val="20"/>
          <w:szCs w:val="20"/>
        </w:rPr>
        <w:t>sector's carbon intensity to below 100gCO</w:t>
      </w:r>
      <w:r w:rsidRPr="00B56A2C">
        <w:rPr>
          <w:rStyle w:val="normaltextrun"/>
          <w:rFonts w:ascii="Georgia" w:hAnsi="Georgia"/>
          <w:color w:val="404040" w:themeColor="text1" w:themeTint="BF"/>
          <w:sz w:val="20"/>
          <w:szCs w:val="20"/>
          <w:vertAlign w:val="subscript"/>
        </w:rPr>
        <w:t>2</w:t>
      </w:r>
      <w:r w:rsidRPr="00E51869">
        <w:rPr>
          <w:rStyle w:val="normaltextrun"/>
          <w:rFonts w:ascii="Georgia" w:hAnsi="Georgia"/>
          <w:color w:val="404040" w:themeColor="text1" w:themeTint="BF"/>
          <w:sz w:val="20"/>
          <w:szCs w:val="20"/>
        </w:rPr>
        <w:t>/kWh in 2030 compared with 450gCO</w:t>
      </w:r>
      <w:r w:rsidRPr="00E51869">
        <w:rPr>
          <w:rStyle w:val="normaltextrun"/>
          <w:rFonts w:ascii="Georgia" w:hAnsi="Georgia"/>
          <w:color w:val="404040" w:themeColor="text1" w:themeTint="BF"/>
          <w:sz w:val="20"/>
          <w:szCs w:val="20"/>
          <w:vertAlign w:val="subscript"/>
        </w:rPr>
        <w:t>2</w:t>
      </w:r>
      <w:r w:rsidRPr="00E51869">
        <w:rPr>
          <w:rStyle w:val="normaltextrun"/>
          <w:rFonts w:ascii="Georgia" w:hAnsi="Georgia"/>
          <w:color w:val="404040" w:themeColor="text1" w:themeTint="BF"/>
          <w:sz w:val="20"/>
          <w:szCs w:val="20"/>
        </w:rPr>
        <w:t>/kWh in 2014. This represents a target reduction of 78% with respect to 2014 levels</w:t>
      </w:r>
      <w:r>
        <w:rPr>
          <w:rStyle w:val="normaltextrun"/>
          <w:rFonts w:ascii="Georgia" w:hAnsi="Georgia"/>
          <w:color w:val="404040" w:themeColor="text1" w:themeTint="BF"/>
          <w:sz w:val="20"/>
          <w:szCs w:val="20"/>
        </w:rPr>
        <w:t xml:space="preserve"> and would be a positive step for renewables deployment.</w:t>
      </w:r>
    </w:p>
    <w:p w14:paraId="6E7E81FB" w14:textId="77777777" w:rsidR="007B66C1" w:rsidRPr="00E51869" w:rsidRDefault="007B66C1"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rPr>
      </w:pPr>
    </w:p>
    <w:p w14:paraId="064D7DE9" w14:textId="77777777" w:rsidR="007B66C1" w:rsidRPr="00E51869" w:rsidRDefault="007B66C1"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rPr>
      </w:pPr>
      <w:r w:rsidRPr="00E51869">
        <w:rPr>
          <w:rStyle w:val="normaltextrun"/>
          <w:rFonts w:ascii="Georgia" w:hAnsi="Georgia"/>
          <w:color w:val="404040" w:themeColor="text1" w:themeTint="BF"/>
          <w:sz w:val="20"/>
          <w:szCs w:val="20"/>
        </w:rPr>
        <w:t>The CCC has reported that the targets for the first and second carbon budgets were achieved</w:t>
      </w:r>
      <w:r>
        <w:rPr>
          <w:rStyle w:val="normaltextrun"/>
          <w:rFonts w:ascii="Georgia" w:hAnsi="Georgia"/>
          <w:color w:val="404040" w:themeColor="text1" w:themeTint="BF"/>
          <w:sz w:val="20"/>
          <w:szCs w:val="20"/>
        </w:rPr>
        <w:t xml:space="preserve"> and that the </w:t>
      </w:r>
      <w:r w:rsidRPr="00E51869">
        <w:rPr>
          <w:rStyle w:val="normaltextrun"/>
          <w:rFonts w:ascii="Georgia" w:hAnsi="Georgia"/>
          <w:color w:val="404040" w:themeColor="text1" w:themeTint="BF"/>
          <w:sz w:val="20"/>
          <w:szCs w:val="20"/>
        </w:rPr>
        <w:t>UK is on course to meet the third target</w:t>
      </w:r>
      <w:r>
        <w:rPr>
          <w:rStyle w:val="normaltextrun"/>
          <w:rFonts w:ascii="Georgia" w:hAnsi="Georgia"/>
          <w:color w:val="404040" w:themeColor="text1" w:themeTint="BF"/>
          <w:sz w:val="20"/>
          <w:szCs w:val="20"/>
        </w:rPr>
        <w:t>; however, it</w:t>
      </w:r>
      <w:r w:rsidRPr="00E51869">
        <w:rPr>
          <w:rStyle w:val="normaltextrun"/>
          <w:rFonts w:ascii="Georgia" w:hAnsi="Georgia"/>
          <w:color w:val="404040" w:themeColor="text1" w:themeTint="BF"/>
          <w:sz w:val="20"/>
          <w:szCs w:val="20"/>
        </w:rPr>
        <w:t xml:space="preserve"> is not on track to meet the fourth or fifth budgets. </w:t>
      </w:r>
      <w:r w:rsidRPr="00E51869">
        <w:rPr>
          <w:rStyle w:val="eop"/>
          <w:rFonts w:ascii="Georgia" w:hAnsi="Georgia"/>
          <w:color w:val="404040" w:themeColor="text1" w:themeTint="BF"/>
          <w:sz w:val="20"/>
          <w:szCs w:val="20"/>
        </w:rPr>
        <w:t>The</w:t>
      </w:r>
      <w:r w:rsidRPr="00E51869">
        <w:rPr>
          <w:rStyle w:val="normaltextrun"/>
          <w:rFonts w:ascii="Georgia" w:hAnsi="Georgia"/>
          <w:color w:val="404040" w:themeColor="text1" w:themeTint="BF"/>
          <w:sz w:val="20"/>
          <w:szCs w:val="20"/>
        </w:rPr>
        <w:t xml:space="preserve"> CCC is due to issue its recommendations for the sixth Carbon Budget in December 2020</w:t>
      </w:r>
      <w:r>
        <w:rPr>
          <w:rStyle w:val="normaltextrun"/>
          <w:rFonts w:ascii="Georgia" w:hAnsi="Georgia"/>
          <w:color w:val="404040" w:themeColor="text1" w:themeTint="BF"/>
          <w:sz w:val="20"/>
          <w:szCs w:val="20"/>
        </w:rPr>
        <w:t>.</w:t>
      </w:r>
      <w:r w:rsidRPr="00E51869">
        <w:rPr>
          <w:rStyle w:val="normaltextrun"/>
          <w:rFonts w:ascii="Georgia" w:hAnsi="Georgia"/>
          <w:color w:val="404040" w:themeColor="text1" w:themeTint="BF"/>
          <w:sz w:val="20"/>
          <w:szCs w:val="20"/>
        </w:rPr>
        <w:t xml:space="preserve"> </w:t>
      </w:r>
      <w:r>
        <w:rPr>
          <w:rStyle w:val="normaltextrun"/>
          <w:rFonts w:ascii="Georgia" w:hAnsi="Georgia"/>
          <w:color w:val="404040" w:themeColor="text1" w:themeTint="BF"/>
          <w:sz w:val="20"/>
          <w:szCs w:val="20"/>
        </w:rPr>
        <w:t xml:space="preserve">This </w:t>
      </w:r>
      <w:r w:rsidRPr="00E51869">
        <w:rPr>
          <w:rStyle w:val="normaltextrun"/>
          <w:rFonts w:ascii="Georgia" w:hAnsi="Georgia"/>
          <w:color w:val="404040" w:themeColor="text1" w:themeTint="BF"/>
          <w:sz w:val="20"/>
          <w:szCs w:val="20"/>
        </w:rPr>
        <w:t>will be the first budget to reflect the Government’s net zero by 2050 target. </w:t>
      </w:r>
    </w:p>
    <w:p w14:paraId="65E413B5" w14:textId="08C2C239" w:rsidR="00DE1F8D" w:rsidRDefault="00DE1F8D">
      <w:pPr>
        <w:rPr>
          <w:rStyle w:val="normaltextrun"/>
          <w:rFonts w:ascii="Georgia" w:eastAsiaTheme="minorHAnsi" w:hAnsi="Georgia" w:cs="Calibri"/>
          <w:color w:val="404040" w:themeColor="text1" w:themeTint="BF"/>
          <w:sz w:val="20"/>
          <w:szCs w:val="20"/>
          <w:highlight w:val="yellow"/>
          <w:lang w:eastAsia="en-GB"/>
        </w:rPr>
      </w:pPr>
      <w:r>
        <w:rPr>
          <w:rStyle w:val="normaltextrun"/>
          <w:rFonts w:ascii="Georgia" w:hAnsi="Georgia"/>
          <w:color w:val="404040" w:themeColor="text1" w:themeTint="BF"/>
          <w:sz w:val="20"/>
          <w:szCs w:val="20"/>
          <w:highlight w:val="yellow"/>
        </w:rPr>
        <w:br w:type="page"/>
      </w:r>
    </w:p>
    <w:p w14:paraId="32A1B63C" w14:textId="77777777" w:rsidR="007B66C1" w:rsidRDefault="007B66C1"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66E11272" w14:textId="77777777" w:rsidR="00426A5B" w:rsidRPr="00475D47" w:rsidRDefault="00426A5B" w:rsidP="00426A5B">
      <w:pPr>
        <w:pStyle w:val="Heading2"/>
        <w:spacing w:before="0"/>
      </w:pPr>
      <w:r w:rsidRPr="00475D47">
        <w:t>Report of the Investment Adviser (continued)</w:t>
      </w:r>
    </w:p>
    <w:p w14:paraId="638D8A09" w14:textId="77777777" w:rsidR="00426A5B" w:rsidRPr="00904E51" w:rsidRDefault="00426A5B" w:rsidP="00426A5B">
      <w:pPr>
        <w:jc w:val="both"/>
        <w:rPr>
          <w:rFonts w:ascii="Georgia" w:hAnsi="Georgia" w:cs="Calibri"/>
          <w:color w:val="404040" w:themeColor="text1" w:themeTint="BF"/>
          <w:sz w:val="20"/>
          <w:highlight w:val="yellow"/>
        </w:rPr>
      </w:pPr>
    </w:p>
    <w:p w14:paraId="47F56751" w14:textId="43658120" w:rsidR="00426A5B" w:rsidRPr="00426A5B" w:rsidRDefault="00426A5B" w:rsidP="00426A5B">
      <w:pPr>
        <w:spacing w:after="160" w:line="259" w:lineRule="auto"/>
        <w:jc w:val="both"/>
        <w:rPr>
          <w:rFonts w:ascii="Georgia" w:hAnsi="Georgia"/>
          <w:b/>
          <w:color w:val="404040" w:themeColor="text1" w:themeTint="BF"/>
          <w:sz w:val="20"/>
          <w:szCs w:val="20"/>
        </w:rPr>
      </w:pPr>
      <w:r w:rsidRPr="00426A5B">
        <w:rPr>
          <w:rFonts w:ascii="Georgia" w:hAnsi="Georgia"/>
          <w:b/>
          <w:color w:val="404040" w:themeColor="text1" w:themeTint="BF"/>
          <w:sz w:val="20"/>
          <w:szCs w:val="20"/>
        </w:rPr>
        <w:t>7.</w:t>
      </w:r>
      <w:r>
        <w:rPr>
          <w:rFonts w:ascii="Georgia" w:hAnsi="Georgia"/>
          <w:b/>
          <w:color w:val="404040" w:themeColor="text1" w:themeTint="BF"/>
          <w:sz w:val="20"/>
          <w:szCs w:val="20"/>
        </w:rPr>
        <w:t xml:space="preserve"> </w:t>
      </w:r>
      <w:r w:rsidRPr="00426A5B">
        <w:rPr>
          <w:rFonts w:ascii="Georgia" w:hAnsi="Georgia"/>
          <w:b/>
          <w:color w:val="404040" w:themeColor="text1" w:themeTint="BF"/>
          <w:sz w:val="20"/>
          <w:szCs w:val="20"/>
        </w:rPr>
        <w:t>Regulatory Environment (continued)</w:t>
      </w:r>
    </w:p>
    <w:p w14:paraId="24A7CA16" w14:textId="77777777" w:rsidR="00DE1F8D" w:rsidRPr="006E4626" w:rsidRDefault="00DE1F8D" w:rsidP="00DE1F8D">
      <w:pPr>
        <w:pStyle w:val="paragraph"/>
        <w:jc w:val="both"/>
        <w:textAlignment w:val="baseline"/>
        <w:rPr>
          <w:rStyle w:val="normaltextrun"/>
          <w:rFonts w:ascii="Georgia" w:hAnsi="Georgia"/>
          <w:i/>
          <w:iCs/>
          <w:color w:val="404040" w:themeColor="text1" w:themeTint="BF"/>
          <w:sz w:val="20"/>
          <w:szCs w:val="20"/>
        </w:rPr>
      </w:pPr>
      <w:r w:rsidRPr="006E4626">
        <w:rPr>
          <w:rStyle w:val="normaltextrun"/>
          <w:rFonts w:ascii="Georgia" w:hAnsi="Georgia"/>
          <w:i/>
          <w:iCs/>
          <w:color w:val="404040" w:themeColor="text1" w:themeTint="BF"/>
          <w:sz w:val="20"/>
          <w:szCs w:val="20"/>
        </w:rPr>
        <w:t xml:space="preserve">Update on </w:t>
      </w:r>
      <w:r>
        <w:rPr>
          <w:rStyle w:val="normaltextrun"/>
          <w:rFonts w:ascii="Georgia" w:hAnsi="Georgia"/>
          <w:i/>
          <w:iCs/>
          <w:color w:val="404040" w:themeColor="text1" w:themeTint="BF"/>
          <w:sz w:val="20"/>
          <w:szCs w:val="20"/>
        </w:rPr>
        <w:t xml:space="preserve">the </w:t>
      </w:r>
      <w:r w:rsidRPr="006E4626">
        <w:rPr>
          <w:rStyle w:val="normaltextrun"/>
          <w:rFonts w:ascii="Georgia" w:hAnsi="Georgia"/>
          <w:i/>
          <w:iCs/>
          <w:color w:val="404040" w:themeColor="text1" w:themeTint="BF"/>
          <w:sz w:val="20"/>
          <w:szCs w:val="20"/>
        </w:rPr>
        <w:t>Contracts for Difference (</w:t>
      </w:r>
      <w:proofErr w:type="spellStart"/>
      <w:r w:rsidRPr="006E4626">
        <w:rPr>
          <w:rStyle w:val="normaltextrun"/>
          <w:rFonts w:ascii="Georgia" w:hAnsi="Georgia"/>
          <w:i/>
          <w:iCs/>
          <w:color w:val="404040" w:themeColor="text1" w:themeTint="BF"/>
          <w:sz w:val="20"/>
          <w:szCs w:val="20"/>
        </w:rPr>
        <w:t>CfD</w:t>
      </w:r>
      <w:proofErr w:type="spellEnd"/>
      <w:r w:rsidRPr="006E4626">
        <w:rPr>
          <w:rStyle w:val="normaltextrun"/>
          <w:rFonts w:ascii="Georgia" w:hAnsi="Georgia"/>
          <w:i/>
          <w:iCs/>
          <w:color w:val="404040" w:themeColor="text1" w:themeTint="BF"/>
          <w:sz w:val="20"/>
          <w:szCs w:val="20"/>
        </w:rPr>
        <w:t>)</w:t>
      </w:r>
      <w:r>
        <w:rPr>
          <w:rStyle w:val="normaltextrun"/>
          <w:rFonts w:ascii="Georgia" w:hAnsi="Georgia"/>
          <w:i/>
          <w:iCs/>
          <w:color w:val="404040" w:themeColor="text1" w:themeTint="BF"/>
          <w:sz w:val="20"/>
          <w:szCs w:val="20"/>
        </w:rPr>
        <w:t xml:space="preserve"> scheme</w:t>
      </w:r>
    </w:p>
    <w:p w14:paraId="434BCDF2" w14:textId="32D6D9C3" w:rsidR="007B66C1" w:rsidRPr="00DE1F8D" w:rsidRDefault="00DE1F8D" w:rsidP="00DE1F8D">
      <w:pPr>
        <w:pStyle w:val="paragraph"/>
        <w:jc w:val="both"/>
        <w:textAlignment w:val="baseline"/>
        <w:rPr>
          <w:rFonts w:ascii="Georgia" w:hAnsi="Georgia"/>
          <w:color w:val="404040" w:themeColor="text1" w:themeTint="BF"/>
          <w:sz w:val="20"/>
          <w:szCs w:val="20"/>
        </w:rPr>
      </w:pPr>
      <w:r w:rsidRPr="00B55CB4">
        <w:rPr>
          <w:rStyle w:val="normaltextrun"/>
          <w:rFonts w:ascii="Georgia" w:hAnsi="Georgia"/>
          <w:color w:val="404040" w:themeColor="text1" w:themeTint="BF"/>
          <w:sz w:val="20"/>
          <w:szCs w:val="20"/>
        </w:rPr>
        <w:t>On 2 March</w:t>
      </w:r>
      <w:r>
        <w:rPr>
          <w:rStyle w:val="normaltextrun"/>
          <w:rFonts w:ascii="Georgia" w:hAnsi="Georgia"/>
          <w:color w:val="404040" w:themeColor="text1" w:themeTint="BF"/>
          <w:sz w:val="20"/>
          <w:szCs w:val="20"/>
        </w:rPr>
        <w:t xml:space="preserve"> 2020</w:t>
      </w:r>
      <w:r w:rsidRPr="00B55CB4">
        <w:rPr>
          <w:rStyle w:val="normaltextrun"/>
          <w:rFonts w:ascii="Georgia" w:hAnsi="Georgia"/>
          <w:color w:val="404040" w:themeColor="text1" w:themeTint="BF"/>
          <w:sz w:val="20"/>
          <w:szCs w:val="20"/>
        </w:rPr>
        <w:t xml:space="preserve">, the Department for </w:t>
      </w:r>
      <w:r>
        <w:rPr>
          <w:rStyle w:val="normaltextrun"/>
          <w:rFonts w:ascii="Georgia" w:hAnsi="Georgia"/>
          <w:color w:val="404040" w:themeColor="text1" w:themeTint="BF"/>
          <w:sz w:val="20"/>
          <w:szCs w:val="20"/>
        </w:rPr>
        <w:t>B</w:t>
      </w:r>
      <w:r w:rsidRPr="00B55CB4">
        <w:rPr>
          <w:rStyle w:val="normaltextrun"/>
          <w:rFonts w:ascii="Georgia" w:hAnsi="Georgia"/>
          <w:color w:val="404040" w:themeColor="text1" w:themeTint="BF"/>
          <w:sz w:val="20"/>
          <w:szCs w:val="20"/>
        </w:rPr>
        <w:t xml:space="preserve">usiness, </w:t>
      </w:r>
      <w:r>
        <w:rPr>
          <w:rStyle w:val="normaltextrun"/>
          <w:rFonts w:ascii="Georgia" w:hAnsi="Georgia"/>
          <w:color w:val="404040" w:themeColor="text1" w:themeTint="BF"/>
          <w:sz w:val="20"/>
          <w:szCs w:val="20"/>
        </w:rPr>
        <w:t>E</w:t>
      </w:r>
      <w:r w:rsidRPr="00B55CB4">
        <w:rPr>
          <w:rStyle w:val="normaltextrun"/>
          <w:rFonts w:ascii="Georgia" w:hAnsi="Georgia"/>
          <w:color w:val="404040" w:themeColor="text1" w:themeTint="BF"/>
          <w:sz w:val="20"/>
          <w:szCs w:val="20"/>
        </w:rPr>
        <w:t xml:space="preserve">nergy and </w:t>
      </w:r>
      <w:r>
        <w:rPr>
          <w:rStyle w:val="normaltextrun"/>
          <w:rFonts w:ascii="Georgia" w:hAnsi="Georgia"/>
          <w:color w:val="404040" w:themeColor="text1" w:themeTint="BF"/>
          <w:sz w:val="20"/>
          <w:szCs w:val="20"/>
        </w:rPr>
        <w:t>I</w:t>
      </w:r>
      <w:r w:rsidRPr="00B55CB4">
        <w:rPr>
          <w:rStyle w:val="normaltextrun"/>
          <w:rFonts w:ascii="Georgia" w:hAnsi="Georgia"/>
          <w:color w:val="404040" w:themeColor="text1" w:themeTint="BF"/>
          <w:sz w:val="20"/>
          <w:szCs w:val="20"/>
        </w:rPr>
        <w:t xml:space="preserve">ndustrial </w:t>
      </w:r>
      <w:r>
        <w:rPr>
          <w:rStyle w:val="normaltextrun"/>
          <w:rFonts w:ascii="Georgia" w:hAnsi="Georgia"/>
          <w:color w:val="404040" w:themeColor="text1" w:themeTint="BF"/>
          <w:sz w:val="20"/>
          <w:szCs w:val="20"/>
        </w:rPr>
        <w:t>S</w:t>
      </w:r>
      <w:r w:rsidRPr="00B55CB4">
        <w:rPr>
          <w:rStyle w:val="normaltextrun"/>
          <w:rFonts w:ascii="Georgia" w:hAnsi="Georgia"/>
          <w:color w:val="404040" w:themeColor="text1" w:themeTint="BF"/>
          <w:sz w:val="20"/>
          <w:szCs w:val="20"/>
        </w:rPr>
        <w:t xml:space="preserve">trategy (“BEIS”) </w:t>
      </w:r>
      <w:r>
        <w:rPr>
          <w:rStyle w:val="normaltextrun"/>
          <w:rFonts w:ascii="Georgia" w:hAnsi="Georgia"/>
          <w:color w:val="404040" w:themeColor="text1" w:themeTint="BF"/>
          <w:sz w:val="20"/>
          <w:szCs w:val="20"/>
        </w:rPr>
        <w:t xml:space="preserve">launched </w:t>
      </w:r>
      <w:r w:rsidRPr="00B55CB4">
        <w:rPr>
          <w:rStyle w:val="normaltextrun"/>
          <w:rFonts w:ascii="Georgia" w:hAnsi="Georgia"/>
          <w:color w:val="404040" w:themeColor="text1" w:themeTint="BF"/>
          <w:sz w:val="20"/>
          <w:szCs w:val="20"/>
        </w:rPr>
        <w:t xml:space="preserve">a consultation </w:t>
      </w:r>
      <w:r>
        <w:rPr>
          <w:rStyle w:val="normaltextrun"/>
          <w:rFonts w:ascii="Georgia" w:hAnsi="Georgia"/>
          <w:color w:val="404040" w:themeColor="text1" w:themeTint="BF"/>
          <w:sz w:val="20"/>
          <w:szCs w:val="20"/>
        </w:rPr>
        <w:t>to seek</w:t>
      </w:r>
      <w:r w:rsidRPr="00B55CB4">
        <w:rPr>
          <w:rStyle w:val="normaltextrun"/>
          <w:rFonts w:ascii="Georgia" w:hAnsi="Georgia"/>
          <w:color w:val="404040" w:themeColor="text1" w:themeTint="BF"/>
          <w:sz w:val="20"/>
          <w:szCs w:val="20"/>
        </w:rPr>
        <w:t xml:space="preserve"> views on proposed changes to the </w:t>
      </w:r>
      <w:proofErr w:type="spellStart"/>
      <w:r>
        <w:rPr>
          <w:rStyle w:val="normaltextrun"/>
          <w:rFonts w:ascii="Georgia" w:hAnsi="Georgia"/>
          <w:color w:val="404040" w:themeColor="text1" w:themeTint="BF"/>
          <w:sz w:val="20"/>
          <w:szCs w:val="20"/>
        </w:rPr>
        <w:t>CfD</w:t>
      </w:r>
      <w:proofErr w:type="spellEnd"/>
      <w:r w:rsidRPr="00B55CB4">
        <w:rPr>
          <w:rStyle w:val="normaltextrun"/>
          <w:rFonts w:ascii="Georgia" w:hAnsi="Georgia"/>
          <w:color w:val="404040" w:themeColor="text1" w:themeTint="BF"/>
          <w:sz w:val="20"/>
          <w:szCs w:val="20"/>
        </w:rPr>
        <w:t xml:space="preserve"> scheme</w:t>
      </w:r>
      <w:r>
        <w:rPr>
          <w:rStyle w:val="normaltextrun"/>
          <w:rFonts w:ascii="Georgia" w:hAnsi="Georgia"/>
          <w:color w:val="404040" w:themeColor="text1" w:themeTint="BF"/>
          <w:sz w:val="20"/>
          <w:szCs w:val="20"/>
        </w:rPr>
        <w:t xml:space="preserve"> for t</w:t>
      </w:r>
      <w:r w:rsidRPr="00B55CB4">
        <w:rPr>
          <w:rStyle w:val="normaltextrun"/>
          <w:rFonts w:ascii="Georgia" w:hAnsi="Georgia"/>
          <w:color w:val="404040" w:themeColor="text1" w:themeTint="BF"/>
          <w:sz w:val="20"/>
          <w:szCs w:val="20"/>
        </w:rPr>
        <w:t>he next auction</w:t>
      </w:r>
      <w:r>
        <w:rPr>
          <w:rStyle w:val="normaltextrun"/>
          <w:rFonts w:ascii="Georgia" w:hAnsi="Georgia"/>
          <w:color w:val="404040" w:themeColor="text1" w:themeTint="BF"/>
          <w:sz w:val="20"/>
          <w:szCs w:val="20"/>
        </w:rPr>
        <w:t xml:space="preserve">, Allocation Round 4 (AR4). AR4 is </w:t>
      </w:r>
      <w:r w:rsidRPr="00B55CB4">
        <w:rPr>
          <w:rStyle w:val="normaltextrun"/>
          <w:rFonts w:ascii="Georgia" w:hAnsi="Georgia"/>
          <w:color w:val="404040" w:themeColor="text1" w:themeTint="BF"/>
          <w:sz w:val="20"/>
          <w:szCs w:val="20"/>
        </w:rPr>
        <w:t>due to take place in 2021</w:t>
      </w:r>
      <w:r>
        <w:rPr>
          <w:rStyle w:val="normaltextrun"/>
          <w:rFonts w:ascii="Georgia" w:hAnsi="Georgia"/>
          <w:color w:val="404040" w:themeColor="text1" w:themeTint="BF"/>
          <w:sz w:val="20"/>
          <w:szCs w:val="20"/>
        </w:rPr>
        <w:t xml:space="preserve"> and </w:t>
      </w:r>
      <w:r w:rsidRPr="00B55CB4">
        <w:rPr>
          <w:rStyle w:val="normaltextrun"/>
          <w:rFonts w:ascii="Georgia" w:hAnsi="Georgia"/>
          <w:color w:val="404040" w:themeColor="text1" w:themeTint="BF"/>
          <w:sz w:val="20"/>
          <w:szCs w:val="20"/>
        </w:rPr>
        <w:t xml:space="preserve">will </w:t>
      </w:r>
      <w:r>
        <w:rPr>
          <w:rStyle w:val="normaltextrun"/>
          <w:rFonts w:ascii="Georgia" w:hAnsi="Georgia"/>
          <w:color w:val="404040" w:themeColor="text1" w:themeTint="BF"/>
          <w:sz w:val="20"/>
          <w:szCs w:val="20"/>
        </w:rPr>
        <w:t>bring back the inclusion of</w:t>
      </w:r>
      <w:r w:rsidRPr="00B55CB4">
        <w:rPr>
          <w:rStyle w:val="normaltextrun"/>
          <w:rFonts w:ascii="Georgia" w:hAnsi="Georgia"/>
          <w:color w:val="404040" w:themeColor="text1" w:themeTint="BF"/>
          <w:sz w:val="20"/>
          <w:szCs w:val="20"/>
        </w:rPr>
        <w:t xml:space="preserve"> “established” technologies such as onshore wind and solar PV</w:t>
      </w:r>
      <w:r>
        <w:rPr>
          <w:rStyle w:val="normaltextrun"/>
          <w:rFonts w:ascii="Georgia" w:hAnsi="Georgia"/>
          <w:color w:val="404040" w:themeColor="text1" w:themeTint="BF"/>
          <w:sz w:val="20"/>
          <w:szCs w:val="20"/>
        </w:rPr>
        <w:t>, which have not been included since</w:t>
      </w:r>
      <w:r w:rsidRPr="00B55CB4">
        <w:rPr>
          <w:rStyle w:val="normaltextrun"/>
          <w:rFonts w:ascii="Georgia" w:hAnsi="Georgia"/>
          <w:color w:val="404040" w:themeColor="text1" w:themeTint="BF"/>
          <w:sz w:val="20"/>
          <w:szCs w:val="20"/>
        </w:rPr>
        <w:t xml:space="preserve"> the first </w:t>
      </w:r>
      <w:r>
        <w:rPr>
          <w:rStyle w:val="normaltextrun"/>
          <w:rFonts w:ascii="Georgia" w:hAnsi="Georgia"/>
          <w:color w:val="404040" w:themeColor="text1" w:themeTint="BF"/>
          <w:sz w:val="20"/>
          <w:szCs w:val="20"/>
        </w:rPr>
        <w:t xml:space="preserve">allocation round </w:t>
      </w:r>
      <w:r w:rsidRPr="00B55CB4">
        <w:rPr>
          <w:rStyle w:val="normaltextrun"/>
          <w:rFonts w:ascii="Georgia" w:hAnsi="Georgia"/>
          <w:color w:val="404040" w:themeColor="text1" w:themeTint="BF"/>
          <w:sz w:val="20"/>
          <w:szCs w:val="20"/>
        </w:rPr>
        <w:t xml:space="preserve">in 2015. </w:t>
      </w:r>
      <w:r>
        <w:rPr>
          <w:rStyle w:val="normaltextrun"/>
          <w:rFonts w:ascii="Georgia" w:hAnsi="Georgia"/>
          <w:color w:val="404040" w:themeColor="text1" w:themeTint="BF"/>
          <w:sz w:val="20"/>
          <w:szCs w:val="20"/>
        </w:rPr>
        <w:t>Although</w:t>
      </w:r>
      <w:r w:rsidRPr="00B55CB4">
        <w:rPr>
          <w:rStyle w:val="normaltextrun"/>
          <w:rFonts w:ascii="Georgia" w:hAnsi="Georgia"/>
          <w:color w:val="404040" w:themeColor="text1" w:themeTint="BF"/>
          <w:sz w:val="20"/>
          <w:szCs w:val="20"/>
        </w:rPr>
        <w:t xml:space="preserve"> certain design principles </w:t>
      </w:r>
      <w:r>
        <w:rPr>
          <w:rStyle w:val="normaltextrun"/>
          <w:rFonts w:ascii="Georgia" w:hAnsi="Georgia"/>
          <w:color w:val="404040" w:themeColor="text1" w:themeTint="BF"/>
          <w:sz w:val="20"/>
          <w:szCs w:val="20"/>
        </w:rPr>
        <w:t>for</w:t>
      </w:r>
      <w:r w:rsidRPr="00B55CB4">
        <w:rPr>
          <w:rStyle w:val="normaltextrun"/>
          <w:rFonts w:ascii="Georgia" w:hAnsi="Georgia"/>
          <w:color w:val="404040" w:themeColor="text1" w:themeTint="BF"/>
          <w:sz w:val="20"/>
          <w:szCs w:val="20"/>
        </w:rPr>
        <w:t xml:space="preserve"> </w:t>
      </w:r>
      <w:r>
        <w:rPr>
          <w:rStyle w:val="normaltextrun"/>
          <w:rFonts w:ascii="Georgia" w:hAnsi="Georgia"/>
          <w:color w:val="404040" w:themeColor="text1" w:themeTint="BF"/>
          <w:sz w:val="20"/>
          <w:szCs w:val="20"/>
        </w:rPr>
        <w:t>AR4</w:t>
      </w:r>
      <w:r w:rsidRPr="00B55CB4">
        <w:rPr>
          <w:rStyle w:val="normaltextrun"/>
          <w:rFonts w:ascii="Georgia" w:hAnsi="Georgia"/>
          <w:color w:val="404040" w:themeColor="text1" w:themeTint="BF"/>
          <w:sz w:val="20"/>
          <w:szCs w:val="20"/>
        </w:rPr>
        <w:t xml:space="preserve"> </w:t>
      </w:r>
      <w:r>
        <w:rPr>
          <w:rStyle w:val="normaltextrun"/>
          <w:rFonts w:ascii="Georgia" w:hAnsi="Georgia"/>
          <w:color w:val="404040" w:themeColor="text1" w:themeTint="BF"/>
          <w:sz w:val="20"/>
          <w:szCs w:val="20"/>
        </w:rPr>
        <w:t xml:space="preserve">are known </w:t>
      </w:r>
      <w:r w:rsidRPr="00B55CB4">
        <w:rPr>
          <w:rStyle w:val="normaltextrun"/>
          <w:rFonts w:ascii="Georgia" w:hAnsi="Georgia"/>
          <w:color w:val="404040" w:themeColor="text1" w:themeTint="BF"/>
          <w:sz w:val="20"/>
          <w:szCs w:val="20"/>
        </w:rPr>
        <w:t>based on previous auctions (</w:t>
      </w:r>
      <w:r>
        <w:rPr>
          <w:rStyle w:val="normaltextrun"/>
          <w:rFonts w:ascii="Georgia" w:hAnsi="Georgia"/>
          <w:color w:val="404040" w:themeColor="text1" w:themeTint="BF"/>
          <w:sz w:val="20"/>
          <w:szCs w:val="20"/>
        </w:rPr>
        <w:t xml:space="preserve">for example, </w:t>
      </w:r>
      <w:r w:rsidRPr="00B55CB4">
        <w:rPr>
          <w:rStyle w:val="normaltextrun"/>
          <w:rFonts w:ascii="Georgia" w:hAnsi="Georgia"/>
          <w:color w:val="404040" w:themeColor="text1" w:themeTint="BF"/>
          <w:sz w:val="20"/>
          <w:szCs w:val="20"/>
        </w:rPr>
        <w:t xml:space="preserve">a </w:t>
      </w:r>
      <w:proofErr w:type="spellStart"/>
      <w:r>
        <w:rPr>
          <w:rStyle w:val="normaltextrun"/>
          <w:rFonts w:ascii="Georgia" w:hAnsi="Georgia"/>
          <w:color w:val="404040" w:themeColor="text1" w:themeTint="BF"/>
          <w:sz w:val="20"/>
          <w:szCs w:val="20"/>
        </w:rPr>
        <w:t>CfD</w:t>
      </w:r>
      <w:proofErr w:type="spellEnd"/>
      <w:r>
        <w:rPr>
          <w:rStyle w:val="normaltextrun"/>
          <w:rFonts w:ascii="Georgia" w:hAnsi="Georgia"/>
          <w:color w:val="404040" w:themeColor="text1" w:themeTint="BF"/>
          <w:sz w:val="20"/>
          <w:szCs w:val="20"/>
        </w:rPr>
        <w:t xml:space="preserve"> with a </w:t>
      </w:r>
      <w:r w:rsidRPr="00B55CB4">
        <w:rPr>
          <w:rStyle w:val="normaltextrun"/>
          <w:rFonts w:ascii="Georgia" w:hAnsi="Georgia"/>
          <w:color w:val="404040" w:themeColor="text1" w:themeTint="BF"/>
          <w:sz w:val="20"/>
          <w:szCs w:val="20"/>
        </w:rPr>
        <w:t>15-year strike price inflated in line with CPI inflation), there are still a number of unknown</w:t>
      </w:r>
      <w:r>
        <w:rPr>
          <w:rStyle w:val="normaltextrun"/>
          <w:rFonts w:ascii="Georgia" w:hAnsi="Georgia"/>
          <w:color w:val="404040" w:themeColor="text1" w:themeTint="BF"/>
          <w:sz w:val="20"/>
          <w:szCs w:val="20"/>
        </w:rPr>
        <w:t xml:space="preserve"> parameters, such as</w:t>
      </w:r>
      <w:r w:rsidRPr="00B55CB4">
        <w:rPr>
          <w:rStyle w:val="normaltextrun"/>
          <w:rFonts w:ascii="Georgia" w:hAnsi="Georgia"/>
          <w:color w:val="404040" w:themeColor="text1" w:themeTint="BF"/>
          <w:sz w:val="20"/>
          <w:szCs w:val="20"/>
        </w:rPr>
        <w:t xml:space="preserve"> the budget</w:t>
      </w:r>
      <w:r>
        <w:rPr>
          <w:rStyle w:val="normaltextrun"/>
          <w:rFonts w:ascii="Georgia" w:hAnsi="Georgia"/>
          <w:color w:val="404040" w:themeColor="text1" w:themeTint="BF"/>
          <w:sz w:val="20"/>
          <w:szCs w:val="20"/>
        </w:rPr>
        <w:t xml:space="preserve">, </w:t>
      </w:r>
      <w:r w:rsidRPr="00B55CB4">
        <w:rPr>
          <w:rStyle w:val="normaltextrun"/>
          <w:rFonts w:ascii="Georgia" w:hAnsi="Georgia"/>
          <w:color w:val="404040" w:themeColor="text1" w:themeTint="BF"/>
          <w:sz w:val="20"/>
          <w:szCs w:val="20"/>
        </w:rPr>
        <w:t>allocation for onshore wind and solar</w:t>
      </w:r>
      <w:r>
        <w:rPr>
          <w:rStyle w:val="normaltextrun"/>
          <w:rFonts w:ascii="Georgia" w:hAnsi="Georgia"/>
          <w:color w:val="404040" w:themeColor="text1" w:themeTint="BF"/>
          <w:sz w:val="20"/>
          <w:szCs w:val="20"/>
        </w:rPr>
        <w:t xml:space="preserve"> and rules related to negative power price periods</w:t>
      </w:r>
      <w:r w:rsidRPr="00B55CB4">
        <w:rPr>
          <w:rStyle w:val="normaltextrun"/>
          <w:rFonts w:ascii="Georgia" w:hAnsi="Georgia"/>
          <w:color w:val="404040" w:themeColor="text1" w:themeTint="BF"/>
          <w:sz w:val="20"/>
          <w:szCs w:val="20"/>
        </w:rPr>
        <w:t xml:space="preserve">. </w:t>
      </w:r>
      <w:r>
        <w:rPr>
          <w:rStyle w:val="normaltextrun"/>
          <w:rFonts w:ascii="Georgia" w:hAnsi="Georgia"/>
          <w:color w:val="404040" w:themeColor="text1" w:themeTint="BF"/>
          <w:sz w:val="20"/>
          <w:szCs w:val="20"/>
        </w:rPr>
        <w:t>The consultation closed on 29 May 2020 and BEIS is currently analysing the feedback.</w:t>
      </w:r>
    </w:p>
    <w:p w14:paraId="57F08813" w14:textId="38104F82" w:rsidR="007B66C1" w:rsidRDefault="007B66C1"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64C6FF72" w14:textId="77777777" w:rsidR="00A11354" w:rsidRPr="00741296" w:rsidRDefault="00A11354"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1AFEBD8C" w14:textId="77777777" w:rsidR="00180BE8" w:rsidRDefault="00180BE8" w:rsidP="007B66C1">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7619CC59" w14:textId="7A0847C7" w:rsidR="00760E26" w:rsidRDefault="00760E26" w:rsidP="007B66C1">
      <w:pPr>
        <w:autoSpaceDE w:val="0"/>
        <w:autoSpaceDN w:val="0"/>
        <w:jc w:val="both"/>
        <w:rPr>
          <w:rFonts w:ascii="Georgia" w:hAnsi="Georgia"/>
          <w:color w:val="404040" w:themeColor="text1" w:themeTint="BF"/>
          <w:sz w:val="20"/>
          <w:szCs w:val="20"/>
          <w:highlight w:val="yellow"/>
          <w:lang w:val="en-US"/>
        </w:rPr>
      </w:pPr>
    </w:p>
    <w:p w14:paraId="2AB68692" w14:textId="4017F35E" w:rsidR="00760E26" w:rsidRDefault="00760E26" w:rsidP="007B66C1">
      <w:pPr>
        <w:autoSpaceDE w:val="0"/>
        <w:autoSpaceDN w:val="0"/>
        <w:jc w:val="both"/>
        <w:rPr>
          <w:rFonts w:ascii="Georgia" w:hAnsi="Georgia"/>
          <w:color w:val="404040" w:themeColor="text1" w:themeTint="BF"/>
          <w:sz w:val="20"/>
          <w:szCs w:val="20"/>
          <w:highlight w:val="yellow"/>
          <w:lang w:val="en-US"/>
        </w:rPr>
      </w:pPr>
    </w:p>
    <w:p w14:paraId="71E02D65" w14:textId="0CDAC0A9"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F1DD375" w14:textId="7D580897"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54E829D" w14:textId="45A3BEAE"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5D6E3EA" w14:textId="7867A186"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AAC9781" w14:textId="1203EE9C"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BE5983C" w14:textId="638D2333"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88C3C69" w14:textId="2A592BE8"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9F637CD" w14:textId="5BB86309"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BBC314D" w14:textId="51519E43"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3315079" w14:textId="341CC925"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F5D71C6" w14:textId="1C8C398F"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A88F3B9" w14:textId="0B65892B"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514C00CB" w14:textId="47D2ECF7"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01D98AE3" w14:textId="7FA8BAAE"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070E9F7F" w14:textId="4931E550"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1A370FEC" w14:textId="4906F028"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2A380932" w14:textId="515198EB"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26444F0" w14:textId="0EBBCB08"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5568A5D5" w14:textId="0BA9A6F1"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067624E0" w14:textId="21181E47"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354E4091" w14:textId="6CB04579"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16627C5" w14:textId="2287C766"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DF95AC9" w14:textId="3F21C8C5"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0E1FF2E1" w14:textId="635407E5"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29BFDA4C" w14:textId="5EA6189F"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250B65FA" w14:textId="1C04118D"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6321FCC0" w14:textId="24B5F92B"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74249F57" w14:textId="680408BF"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7DD07F45" w14:textId="77777777"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125E1A5E" w14:textId="1E4F889F"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6C390351" w14:textId="7AAB7CBF"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1FDD9E2E" w14:textId="6BF34FCF"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7049B913" w14:textId="56582067"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0DE00043" w14:textId="4D18ED15"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504C24C1" w14:textId="054F2D7E"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4990E987" w14:textId="77777777" w:rsidR="00A11354" w:rsidRDefault="00A11354" w:rsidP="007B66C1">
      <w:pPr>
        <w:autoSpaceDE w:val="0"/>
        <w:autoSpaceDN w:val="0"/>
        <w:jc w:val="both"/>
        <w:rPr>
          <w:rFonts w:ascii="Georgia" w:hAnsi="Georgia"/>
          <w:color w:val="404040" w:themeColor="text1" w:themeTint="BF"/>
          <w:sz w:val="20"/>
          <w:szCs w:val="20"/>
          <w:highlight w:val="yellow"/>
          <w:lang w:val="en-US"/>
        </w:rPr>
      </w:pPr>
    </w:p>
    <w:p w14:paraId="62F77436" w14:textId="77777777" w:rsidR="00DC6F0F" w:rsidRPr="00475D47" w:rsidRDefault="00DC6F0F" w:rsidP="00DC6F0F">
      <w:pPr>
        <w:pStyle w:val="Heading2"/>
        <w:spacing w:before="0"/>
      </w:pPr>
      <w:r w:rsidRPr="00475D47">
        <w:lastRenderedPageBreak/>
        <w:t>Report of the Investment Adviser (continued)</w:t>
      </w:r>
    </w:p>
    <w:p w14:paraId="4A321994" w14:textId="77777777" w:rsidR="00DC6F0F" w:rsidRDefault="00DC6F0F" w:rsidP="00DC6F0F">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7F0C140F" w14:textId="04FCC62B" w:rsidR="00DC6F0F" w:rsidRPr="00180BE8" w:rsidRDefault="00DC6F0F" w:rsidP="00DC6F0F">
      <w:pPr>
        <w:spacing w:after="160" w:line="259" w:lineRule="auto"/>
        <w:jc w:val="both"/>
        <w:rPr>
          <w:rStyle w:val="normaltextrun"/>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p>
    <w:p w14:paraId="1510B98B" w14:textId="77777777" w:rsidR="00DC6F0F" w:rsidRPr="00090986" w:rsidRDefault="00DC6F0F" w:rsidP="00DC6F0F">
      <w:pPr>
        <w:autoSpaceDE w:val="0"/>
        <w:autoSpaceDN w:val="0"/>
        <w:jc w:val="both"/>
        <w:rPr>
          <w:rFonts w:ascii="Georgia" w:hAnsi="Georgia"/>
          <w:b/>
          <w:color w:val="404040" w:themeColor="text1" w:themeTint="BF"/>
          <w:sz w:val="20"/>
          <w:szCs w:val="20"/>
        </w:rPr>
      </w:pPr>
      <w:r w:rsidRPr="00090986">
        <w:rPr>
          <w:rFonts w:ascii="Georgia" w:hAnsi="Georgia"/>
          <w:b/>
          <w:color w:val="404040" w:themeColor="text1" w:themeTint="BF"/>
          <w:sz w:val="20"/>
          <w:szCs w:val="20"/>
        </w:rPr>
        <w:t xml:space="preserve">ESG Report from Bluefield </w:t>
      </w:r>
      <w:proofErr w:type="spellStart"/>
      <w:r w:rsidRPr="00090986">
        <w:rPr>
          <w:rFonts w:ascii="Georgia" w:hAnsi="Georgia"/>
          <w:b/>
          <w:color w:val="404040" w:themeColor="text1" w:themeTint="BF"/>
          <w:sz w:val="20"/>
          <w:szCs w:val="20"/>
        </w:rPr>
        <w:t>Solar’s</w:t>
      </w:r>
      <w:proofErr w:type="spellEnd"/>
      <w:r w:rsidRPr="00090986">
        <w:rPr>
          <w:rFonts w:ascii="Georgia" w:hAnsi="Georgia"/>
          <w:b/>
          <w:color w:val="404040" w:themeColor="text1" w:themeTint="BF"/>
          <w:sz w:val="20"/>
          <w:szCs w:val="20"/>
        </w:rPr>
        <w:t xml:space="preserve"> Investment Adviser &amp; Key Service Providers</w:t>
      </w:r>
    </w:p>
    <w:p w14:paraId="2080B334" w14:textId="4DDBE2B8" w:rsidR="00DC6F0F" w:rsidRPr="00DC6F0F" w:rsidRDefault="00DC6F0F" w:rsidP="007B66C1">
      <w:pPr>
        <w:autoSpaceDE w:val="0"/>
        <w:autoSpaceDN w:val="0"/>
        <w:jc w:val="both"/>
        <w:rPr>
          <w:rFonts w:ascii="Georgia" w:hAnsi="Georgia"/>
          <w:color w:val="404040" w:themeColor="text1" w:themeTint="BF"/>
          <w:sz w:val="20"/>
          <w:szCs w:val="20"/>
          <w:highlight w:val="yellow"/>
        </w:rPr>
      </w:pPr>
    </w:p>
    <w:p w14:paraId="15D79173" w14:textId="77777777" w:rsidR="00DC6F0F" w:rsidRPr="00096B63" w:rsidRDefault="00DC6F0F" w:rsidP="00DC6F0F">
      <w:pPr>
        <w:autoSpaceDE w:val="0"/>
        <w:autoSpaceDN w:val="0"/>
        <w:jc w:val="both"/>
        <w:rPr>
          <w:rFonts w:ascii="Georgia" w:hAnsi="Georgia"/>
          <w:b/>
          <w:i/>
          <w:color w:val="404040" w:themeColor="text1" w:themeTint="BF"/>
          <w:sz w:val="20"/>
          <w:szCs w:val="20"/>
        </w:rPr>
      </w:pPr>
      <w:bookmarkStart w:id="8" w:name="_Toc50044034"/>
      <w:r w:rsidRPr="00096B63">
        <w:rPr>
          <w:rFonts w:ascii="Georgia" w:hAnsi="Georgia"/>
          <w:b/>
          <w:i/>
          <w:color w:val="404040" w:themeColor="text1" w:themeTint="BF"/>
          <w:sz w:val="20"/>
          <w:szCs w:val="20"/>
        </w:rPr>
        <w:t>Evolution of ESG within the Investment Adviser</w:t>
      </w:r>
      <w:bookmarkEnd w:id="8"/>
    </w:p>
    <w:p w14:paraId="60C0D72A" w14:textId="77777777" w:rsidR="00DC6F0F" w:rsidRPr="00DC6F0F" w:rsidRDefault="00DC6F0F" w:rsidP="00DC6F0F">
      <w:pPr>
        <w:autoSpaceDE w:val="0"/>
        <w:autoSpaceDN w:val="0"/>
        <w:jc w:val="both"/>
        <w:rPr>
          <w:rFonts w:ascii="Georgia" w:hAnsi="Georgia"/>
          <w:color w:val="404040" w:themeColor="text1" w:themeTint="BF"/>
          <w:sz w:val="20"/>
          <w:szCs w:val="20"/>
        </w:rPr>
      </w:pPr>
    </w:p>
    <w:p w14:paraId="09F3A2C7" w14:textId="2C7D5F61" w:rsidR="00DC6F0F" w:rsidRPr="00DC6F0F" w:rsidRDefault="00DC6F0F" w:rsidP="00DC6F0F">
      <w:pPr>
        <w:autoSpaceDE w:val="0"/>
        <w:autoSpaceDN w:val="0"/>
        <w:jc w:val="both"/>
        <w:rPr>
          <w:rFonts w:ascii="Georgia" w:hAnsi="Georgia"/>
          <w:color w:val="404040" w:themeColor="text1" w:themeTint="BF"/>
          <w:sz w:val="20"/>
          <w:szCs w:val="20"/>
        </w:rPr>
      </w:pPr>
      <w:r w:rsidRPr="00DC6F0F">
        <w:rPr>
          <w:rFonts w:ascii="Georgia" w:hAnsi="Georgia"/>
          <w:color w:val="404040" w:themeColor="text1" w:themeTint="BF"/>
          <w:sz w:val="20"/>
          <w:szCs w:val="20"/>
        </w:rPr>
        <w:t xml:space="preserve">Bluefield Partners LLP, appointed Investment Adviser to the Company in July 2013, was established in 2009 as a solar investor before renewable energy was mainstream and a commitment to ESG considerations was an elective choice. </w:t>
      </w:r>
    </w:p>
    <w:p w14:paraId="7CA2D22D" w14:textId="77777777" w:rsidR="00DC6F0F" w:rsidRPr="00DC6F0F" w:rsidRDefault="00DC6F0F" w:rsidP="00DC6F0F">
      <w:pPr>
        <w:autoSpaceDE w:val="0"/>
        <w:autoSpaceDN w:val="0"/>
        <w:jc w:val="both"/>
        <w:rPr>
          <w:rFonts w:ascii="Georgia" w:hAnsi="Georgia"/>
          <w:color w:val="404040" w:themeColor="text1" w:themeTint="BF"/>
          <w:sz w:val="20"/>
          <w:szCs w:val="20"/>
        </w:rPr>
      </w:pPr>
    </w:p>
    <w:p w14:paraId="24D130F1" w14:textId="25F3A0AB" w:rsidR="00DC6F0F" w:rsidRPr="00DC6F0F" w:rsidRDefault="00435876" w:rsidP="00DC6F0F">
      <w:pPr>
        <w:autoSpaceDE w:val="0"/>
        <w:autoSpaceDN w:val="0"/>
        <w:jc w:val="both"/>
        <w:rPr>
          <w:rFonts w:ascii="Georgia" w:hAnsi="Georgia"/>
          <w:color w:val="404040" w:themeColor="text1" w:themeTint="BF"/>
          <w:sz w:val="20"/>
          <w:szCs w:val="20"/>
        </w:rPr>
      </w:pPr>
      <w:r w:rsidRPr="00DC6F0F">
        <w:rPr>
          <w:rFonts w:ascii="Georgia" w:hAnsi="Georgia"/>
          <w:color w:val="404040" w:themeColor="text1" w:themeTint="BF"/>
          <w:sz w:val="20"/>
          <w:szCs w:val="20"/>
        </w:rPr>
        <w:t xml:space="preserve">Since the establishment of the Investment Adviser we have built one of the largest solar energy portfolios in the UK. In 2013, when establishing the Company, we elected to have a high level of oversight and governance via a fully independent board. The </w:t>
      </w:r>
      <w:r>
        <w:rPr>
          <w:rFonts w:ascii="Georgia" w:hAnsi="Georgia"/>
          <w:color w:val="404040" w:themeColor="text1" w:themeTint="BF"/>
          <w:sz w:val="20"/>
          <w:szCs w:val="20"/>
        </w:rPr>
        <w:t>B</w:t>
      </w:r>
      <w:r w:rsidRPr="00DC6F0F">
        <w:rPr>
          <w:rFonts w:ascii="Georgia" w:hAnsi="Georgia"/>
          <w:color w:val="404040" w:themeColor="text1" w:themeTint="BF"/>
          <w:sz w:val="20"/>
          <w:szCs w:val="20"/>
        </w:rPr>
        <w:t>oard ultimately approve</w:t>
      </w:r>
      <w:r>
        <w:rPr>
          <w:rFonts w:ascii="Georgia" w:hAnsi="Georgia"/>
          <w:color w:val="404040" w:themeColor="text1" w:themeTint="BF"/>
          <w:sz w:val="20"/>
          <w:szCs w:val="20"/>
        </w:rPr>
        <w:t>s</w:t>
      </w:r>
      <w:r w:rsidRPr="00DC6F0F">
        <w:rPr>
          <w:rFonts w:ascii="Georgia" w:hAnsi="Georgia"/>
          <w:color w:val="404040" w:themeColor="text1" w:themeTint="BF"/>
          <w:sz w:val="20"/>
          <w:szCs w:val="20"/>
        </w:rPr>
        <w:t xml:space="preserve"> any investment and we have sought to deliver sector leading transparency in our reporting. But there is much more to do, and we look forward to highlighting where we are today and to a path of constant evaluation and improvement.</w:t>
      </w:r>
    </w:p>
    <w:p w14:paraId="19E6C618" w14:textId="1B4058BC" w:rsidR="00DC6F0F" w:rsidRPr="00DC6F0F" w:rsidRDefault="00DC6F0F" w:rsidP="007B66C1">
      <w:pPr>
        <w:autoSpaceDE w:val="0"/>
        <w:autoSpaceDN w:val="0"/>
        <w:jc w:val="both"/>
        <w:rPr>
          <w:rFonts w:ascii="Georgia" w:hAnsi="Georgia"/>
          <w:color w:val="404040" w:themeColor="text1" w:themeTint="BF"/>
          <w:sz w:val="20"/>
          <w:szCs w:val="20"/>
          <w:lang w:val="en-US"/>
        </w:rPr>
      </w:pPr>
    </w:p>
    <w:p w14:paraId="6DDA1615" w14:textId="77777777" w:rsidR="00DC6F0F" w:rsidRPr="00096B63" w:rsidRDefault="00DC6F0F" w:rsidP="00DC6F0F">
      <w:pPr>
        <w:autoSpaceDE w:val="0"/>
        <w:autoSpaceDN w:val="0"/>
        <w:jc w:val="both"/>
        <w:rPr>
          <w:rFonts w:ascii="Georgia" w:hAnsi="Georgia"/>
          <w:b/>
          <w:i/>
          <w:color w:val="404040" w:themeColor="text1" w:themeTint="BF"/>
          <w:sz w:val="20"/>
          <w:szCs w:val="20"/>
        </w:rPr>
      </w:pPr>
      <w:bookmarkStart w:id="9" w:name="_Toc50044035"/>
      <w:r w:rsidRPr="00096B63">
        <w:rPr>
          <w:rFonts w:ascii="Georgia" w:hAnsi="Georgia"/>
          <w:b/>
          <w:i/>
          <w:color w:val="404040" w:themeColor="text1" w:themeTint="BF"/>
          <w:sz w:val="20"/>
          <w:szCs w:val="20"/>
        </w:rPr>
        <w:t>Purpose of this Report</w:t>
      </w:r>
      <w:bookmarkEnd w:id="9"/>
      <w:r w:rsidRPr="00096B63">
        <w:rPr>
          <w:rFonts w:ascii="Georgia" w:hAnsi="Georgia"/>
          <w:b/>
          <w:i/>
          <w:color w:val="404040" w:themeColor="text1" w:themeTint="BF"/>
          <w:sz w:val="20"/>
          <w:szCs w:val="20"/>
        </w:rPr>
        <w:t xml:space="preserve"> </w:t>
      </w:r>
    </w:p>
    <w:p w14:paraId="10D819A4" w14:textId="77777777" w:rsidR="00DC6F0F" w:rsidRPr="00DC6F0F" w:rsidRDefault="00DC6F0F" w:rsidP="00DC6F0F">
      <w:pPr>
        <w:autoSpaceDE w:val="0"/>
        <w:autoSpaceDN w:val="0"/>
        <w:jc w:val="both"/>
        <w:rPr>
          <w:rFonts w:ascii="Georgia" w:hAnsi="Georgia"/>
          <w:color w:val="404040" w:themeColor="text1" w:themeTint="BF"/>
          <w:sz w:val="20"/>
          <w:szCs w:val="20"/>
        </w:rPr>
      </w:pPr>
    </w:p>
    <w:p w14:paraId="65186749" w14:textId="77777777" w:rsidR="00F1729C" w:rsidRPr="00DC6F0F" w:rsidRDefault="00F1729C" w:rsidP="00F1729C">
      <w:pPr>
        <w:autoSpaceDE w:val="0"/>
        <w:autoSpaceDN w:val="0"/>
        <w:jc w:val="both"/>
        <w:rPr>
          <w:rFonts w:ascii="Georgia" w:hAnsi="Georgia"/>
          <w:color w:val="404040" w:themeColor="text1" w:themeTint="BF"/>
          <w:sz w:val="20"/>
          <w:szCs w:val="20"/>
        </w:rPr>
      </w:pPr>
      <w:r w:rsidRPr="00DC6F0F">
        <w:rPr>
          <w:rFonts w:ascii="Georgia" w:hAnsi="Georgia"/>
          <w:color w:val="404040" w:themeColor="text1" w:themeTint="BF"/>
          <w:sz w:val="20"/>
          <w:szCs w:val="20"/>
        </w:rPr>
        <w:t xml:space="preserve">This report is the first full ESG report generated by the Investment Adviser and Bluefield Group’s subsidiaries. It will act as a benchmark, highlighting current ESG activities and providing a platform on which an informed ESG strategy can be </w:t>
      </w:r>
      <w:r>
        <w:rPr>
          <w:rFonts w:ascii="Georgia" w:hAnsi="Georgia"/>
          <w:color w:val="404040" w:themeColor="text1" w:themeTint="BF"/>
          <w:sz w:val="20"/>
          <w:szCs w:val="20"/>
        </w:rPr>
        <w:t>delivered</w:t>
      </w:r>
      <w:r w:rsidRPr="00DC6F0F">
        <w:rPr>
          <w:rFonts w:ascii="Georgia" w:hAnsi="Georgia"/>
          <w:color w:val="404040" w:themeColor="text1" w:themeTint="BF"/>
          <w:sz w:val="20"/>
          <w:szCs w:val="20"/>
        </w:rPr>
        <w:t xml:space="preserve">. The report will be </w:t>
      </w:r>
      <w:r>
        <w:rPr>
          <w:rFonts w:ascii="Georgia" w:hAnsi="Georgia"/>
          <w:color w:val="404040" w:themeColor="text1" w:themeTint="BF"/>
          <w:sz w:val="20"/>
          <w:szCs w:val="20"/>
        </w:rPr>
        <w:t>produc</w:t>
      </w:r>
      <w:r w:rsidRPr="00DC6F0F">
        <w:rPr>
          <w:rFonts w:ascii="Georgia" w:hAnsi="Georgia"/>
          <w:color w:val="404040" w:themeColor="text1" w:themeTint="BF"/>
          <w:sz w:val="20"/>
          <w:szCs w:val="20"/>
        </w:rPr>
        <w:t xml:space="preserve">ed annually, creating transparency for Shareholders and highlighting the Bluefield Group’s ongoing commitment to ESG activities.  </w:t>
      </w:r>
    </w:p>
    <w:p w14:paraId="2C7ED79D" w14:textId="77777777" w:rsidR="00DC6F0F" w:rsidRPr="00DC6F0F" w:rsidRDefault="00DC6F0F" w:rsidP="00DC6F0F">
      <w:pPr>
        <w:autoSpaceDE w:val="0"/>
        <w:autoSpaceDN w:val="0"/>
        <w:jc w:val="both"/>
        <w:rPr>
          <w:rFonts w:ascii="Georgia" w:hAnsi="Georgia"/>
          <w:color w:val="404040" w:themeColor="text1" w:themeTint="BF"/>
          <w:sz w:val="20"/>
          <w:szCs w:val="20"/>
        </w:rPr>
      </w:pPr>
    </w:p>
    <w:p w14:paraId="7D0DCD3B" w14:textId="2A2D7218" w:rsidR="00DC6F0F" w:rsidRPr="00DC6F0F" w:rsidRDefault="00DC6F0F" w:rsidP="00DC6F0F">
      <w:pPr>
        <w:autoSpaceDE w:val="0"/>
        <w:autoSpaceDN w:val="0"/>
        <w:jc w:val="both"/>
        <w:rPr>
          <w:rFonts w:ascii="Georgia" w:hAnsi="Georgia"/>
          <w:color w:val="404040" w:themeColor="text1" w:themeTint="BF"/>
          <w:sz w:val="20"/>
          <w:szCs w:val="20"/>
        </w:rPr>
      </w:pPr>
      <w:r w:rsidRPr="00DC6F0F">
        <w:rPr>
          <w:rFonts w:ascii="Georgia" w:hAnsi="Georgia"/>
          <w:color w:val="404040" w:themeColor="text1" w:themeTint="BF"/>
          <w:sz w:val="20"/>
          <w:szCs w:val="20"/>
        </w:rPr>
        <w:t>The Bluefield Group is made up of three separate, complementary businesses: Bluefield Partners LLP, Bluefield Services Ltd and Bluefield Operations Ltd. This business model provides a unique opportunity to integrate and report on ESG factors across all portfolio related tasks.</w:t>
      </w:r>
      <w:r w:rsidRPr="00DC6F0F" w:rsidDel="00774313">
        <w:rPr>
          <w:rFonts w:ascii="Georgia" w:hAnsi="Georgia"/>
          <w:color w:val="404040" w:themeColor="text1" w:themeTint="BF"/>
          <w:sz w:val="20"/>
          <w:szCs w:val="20"/>
        </w:rPr>
        <w:t xml:space="preserve"> </w:t>
      </w:r>
    </w:p>
    <w:p w14:paraId="60570AF5" w14:textId="297A230B" w:rsidR="00DC6F0F" w:rsidRPr="00DC6F0F" w:rsidRDefault="00DC6F0F" w:rsidP="007B66C1">
      <w:pPr>
        <w:autoSpaceDE w:val="0"/>
        <w:autoSpaceDN w:val="0"/>
        <w:jc w:val="both"/>
        <w:rPr>
          <w:rFonts w:ascii="Georgia" w:hAnsi="Georgia"/>
          <w:color w:val="404040" w:themeColor="text1" w:themeTint="BF"/>
          <w:sz w:val="20"/>
          <w:szCs w:val="20"/>
          <w:highlight w:val="yellow"/>
        </w:rPr>
      </w:pPr>
    </w:p>
    <w:p w14:paraId="01274258" w14:textId="4D947C88" w:rsidR="00DC6F0F" w:rsidRPr="00096B63" w:rsidRDefault="00DC6F0F" w:rsidP="00DC6F0F">
      <w:pPr>
        <w:autoSpaceDE w:val="0"/>
        <w:autoSpaceDN w:val="0"/>
        <w:jc w:val="both"/>
        <w:rPr>
          <w:rFonts w:ascii="Georgia" w:hAnsi="Georgia"/>
          <w:b/>
          <w:i/>
          <w:color w:val="404040" w:themeColor="text1" w:themeTint="BF"/>
          <w:sz w:val="20"/>
          <w:szCs w:val="20"/>
        </w:rPr>
      </w:pPr>
      <w:bookmarkStart w:id="10" w:name="_Toc50044036"/>
      <w:r w:rsidRPr="00096B63">
        <w:rPr>
          <w:rFonts w:ascii="Georgia" w:hAnsi="Georgia"/>
          <w:b/>
          <w:i/>
          <w:color w:val="404040" w:themeColor="text1" w:themeTint="BF"/>
          <w:sz w:val="20"/>
          <w:szCs w:val="20"/>
        </w:rPr>
        <w:t>Environmental Considerations</w:t>
      </w:r>
      <w:bookmarkEnd w:id="10"/>
      <w:r w:rsidRPr="00096B63">
        <w:rPr>
          <w:rFonts w:ascii="Georgia" w:hAnsi="Georgia"/>
          <w:b/>
          <w:i/>
          <w:color w:val="404040" w:themeColor="text1" w:themeTint="BF"/>
          <w:sz w:val="20"/>
          <w:szCs w:val="20"/>
        </w:rPr>
        <w:t xml:space="preserve"> </w:t>
      </w:r>
    </w:p>
    <w:p w14:paraId="547A4CF0" w14:textId="77777777" w:rsidR="00DC6F0F" w:rsidRPr="00096B63" w:rsidRDefault="00DC6F0F" w:rsidP="00DC6F0F">
      <w:pPr>
        <w:autoSpaceDE w:val="0"/>
        <w:autoSpaceDN w:val="0"/>
        <w:jc w:val="both"/>
        <w:rPr>
          <w:rFonts w:ascii="Georgia" w:hAnsi="Georgia"/>
          <w:b/>
          <w:i/>
          <w:color w:val="404040" w:themeColor="text1" w:themeTint="BF"/>
          <w:sz w:val="20"/>
          <w:szCs w:val="20"/>
        </w:rPr>
      </w:pPr>
    </w:p>
    <w:p w14:paraId="5A28D5BA" w14:textId="6EE58EEE" w:rsidR="00DC6F0F" w:rsidRPr="00096B63" w:rsidRDefault="00DC6F0F" w:rsidP="00DC6F0F">
      <w:pPr>
        <w:autoSpaceDE w:val="0"/>
        <w:autoSpaceDN w:val="0"/>
        <w:jc w:val="both"/>
        <w:rPr>
          <w:rFonts w:ascii="Georgia" w:hAnsi="Georgia"/>
          <w:b/>
          <w:i/>
          <w:color w:val="404040" w:themeColor="text1" w:themeTint="BF"/>
          <w:sz w:val="20"/>
          <w:szCs w:val="20"/>
        </w:rPr>
      </w:pPr>
      <w:bookmarkStart w:id="11" w:name="_Toc50044037"/>
      <w:r w:rsidRPr="00096B63">
        <w:rPr>
          <w:rFonts w:ascii="Georgia" w:hAnsi="Georgia"/>
          <w:b/>
          <w:i/>
          <w:color w:val="404040" w:themeColor="text1" w:themeTint="BF"/>
          <w:sz w:val="20"/>
          <w:szCs w:val="20"/>
        </w:rPr>
        <w:t>Introduction</w:t>
      </w:r>
      <w:bookmarkEnd w:id="11"/>
    </w:p>
    <w:p w14:paraId="77A926A9" w14:textId="77777777" w:rsidR="00DC6F0F" w:rsidRPr="006A565F" w:rsidRDefault="00DC6F0F" w:rsidP="00DC6F0F">
      <w:pPr>
        <w:autoSpaceDE w:val="0"/>
        <w:autoSpaceDN w:val="0"/>
        <w:jc w:val="both"/>
        <w:rPr>
          <w:rFonts w:ascii="Georgia" w:hAnsi="Georgia"/>
          <w:color w:val="404040" w:themeColor="text1" w:themeTint="BF"/>
          <w:sz w:val="20"/>
          <w:szCs w:val="20"/>
        </w:rPr>
      </w:pPr>
    </w:p>
    <w:p w14:paraId="6B9C1D68" w14:textId="63BEAB42" w:rsidR="00DC6F0F" w:rsidRPr="006A565F" w:rsidRDefault="00DC6F0F" w:rsidP="00DC6F0F">
      <w:pPr>
        <w:autoSpaceDE w:val="0"/>
        <w:autoSpaceDN w:val="0"/>
        <w:jc w:val="both"/>
        <w:rPr>
          <w:rFonts w:ascii="Georgia" w:hAnsi="Georgia"/>
          <w:color w:val="404040" w:themeColor="text1" w:themeTint="BF"/>
          <w:sz w:val="20"/>
          <w:szCs w:val="20"/>
        </w:rPr>
      </w:pPr>
      <w:r w:rsidRPr="006A565F">
        <w:rPr>
          <w:rFonts w:ascii="Georgia" w:hAnsi="Georgia"/>
          <w:color w:val="404040" w:themeColor="text1" w:themeTint="BF"/>
          <w:sz w:val="20"/>
          <w:szCs w:val="20"/>
        </w:rPr>
        <w:t xml:space="preserve">The threat posed by climate change has resulted in regional and global initiatives to slow the acceleration of global warming. Environmental change (and its unpredictability) will create both risks and opportunities, with the potential to significantly impact the profitability of investments. To generate sustainable, long-term returns, these risks must be acknowledged and incorporated into investment strategies.  </w:t>
      </w:r>
    </w:p>
    <w:p w14:paraId="24BCE223" w14:textId="77777777" w:rsidR="00DC6F0F" w:rsidRPr="006A565F" w:rsidRDefault="00DC6F0F" w:rsidP="00DC6F0F">
      <w:pPr>
        <w:autoSpaceDE w:val="0"/>
        <w:autoSpaceDN w:val="0"/>
        <w:jc w:val="both"/>
        <w:rPr>
          <w:rFonts w:ascii="Georgia" w:hAnsi="Georgia"/>
          <w:color w:val="404040" w:themeColor="text1" w:themeTint="BF"/>
          <w:sz w:val="20"/>
          <w:szCs w:val="20"/>
        </w:rPr>
      </w:pPr>
    </w:p>
    <w:p w14:paraId="5F21061B" w14:textId="55BA7C03" w:rsidR="00DC6F0F" w:rsidRPr="00096B63" w:rsidRDefault="00DC6F0F" w:rsidP="00DC6F0F">
      <w:pPr>
        <w:autoSpaceDE w:val="0"/>
        <w:autoSpaceDN w:val="0"/>
        <w:jc w:val="both"/>
        <w:rPr>
          <w:rFonts w:ascii="Georgia" w:hAnsi="Georgia"/>
          <w:b/>
          <w:i/>
          <w:color w:val="404040" w:themeColor="text1" w:themeTint="BF"/>
          <w:sz w:val="20"/>
          <w:szCs w:val="20"/>
        </w:rPr>
      </w:pPr>
      <w:bookmarkStart w:id="12" w:name="_Toc50044038"/>
      <w:r w:rsidRPr="00096B63">
        <w:rPr>
          <w:rFonts w:ascii="Georgia" w:hAnsi="Georgia"/>
          <w:b/>
          <w:i/>
          <w:color w:val="404040" w:themeColor="text1" w:themeTint="BF"/>
          <w:sz w:val="20"/>
          <w:szCs w:val="20"/>
        </w:rPr>
        <w:t>Renewable Energy Generation</w:t>
      </w:r>
      <w:bookmarkEnd w:id="12"/>
    </w:p>
    <w:p w14:paraId="6E34540E" w14:textId="77777777" w:rsidR="00DC6F0F" w:rsidRPr="006A565F" w:rsidRDefault="00DC6F0F" w:rsidP="00DC6F0F">
      <w:pPr>
        <w:autoSpaceDE w:val="0"/>
        <w:autoSpaceDN w:val="0"/>
        <w:jc w:val="both"/>
        <w:rPr>
          <w:rFonts w:ascii="Georgia" w:hAnsi="Georgia"/>
          <w:color w:val="404040" w:themeColor="text1" w:themeTint="BF"/>
          <w:sz w:val="20"/>
          <w:szCs w:val="20"/>
        </w:rPr>
      </w:pPr>
    </w:p>
    <w:p w14:paraId="10F4263C" w14:textId="6228DF90" w:rsidR="00DC6F0F" w:rsidRPr="006A565F" w:rsidRDefault="00DC6F0F" w:rsidP="00DC6F0F">
      <w:pPr>
        <w:autoSpaceDE w:val="0"/>
        <w:autoSpaceDN w:val="0"/>
        <w:jc w:val="both"/>
        <w:rPr>
          <w:rFonts w:ascii="Georgia" w:hAnsi="Georgia"/>
          <w:color w:val="404040" w:themeColor="text1" w:themeTint="BF"/>
          <w:sz w:val="20"/>
          <w:szCs w:val="20"/>
        </w:rPr>
      </w:pPr>
      <w:r w:rsidRPr="006A565F">
        <w:rPr>
          <w:rFonts w:ascii="Georgia" w:hAnsi="Georgia"/>
          <w:color w:val="404040" w:themeColor="text1" w:themeTint="BF"/>
          <w:sz w:val="20"/>
          <w:szCs w:val="20"/>
        </w:rPr>
        <w:t xml:space="preserve">The Bluefield Group is committed to having a positive environmental impact, most notably through the production of clean, renewable energy. The Investment Adviser was founded to attract capital into renewable energy assets and, through the funds it acts as Investment Adviser to, produces thousands of megawatts of clean energy each year. As a result, thousands of tonnes of CO2 are </w:t>
      </w:r>
      <w:r w:rsidR="00F1729C">
        <w:rPr>
          <w:rFonts w:ascii="Georgia" w:hAnsi="Georgia"/>
          <w:color w:val="404040" w:themeColor="text1" w:themeTint="BF"/>
          <w:sz w:val="20"/>
          <w:szCs w:val="20"/>
        </w:rPr>
        <w:t>saved</w:t>
      </w:r>
      <w:r w:rsidRPr="006A565F">
        <w:rPr>
          <w:rFonts w:ascii="Georgia" w:hAnsi="Georgia"/>
          <w:color w:val="404040" w:themeColor="text1" w:themeTint="BF"/>
          <w:sz w:val="20"/>
          <w:szCs w:val="20"/>
        </w:rPr>
        <w:t xml:space="preserve"> from being released into the atmosphere annually, supporting climate initiatives and the UK’s commitment to end its contribution to global warming by 2050.  </w:t>
      </w:r>
    </w:p>
    <w:p w14:paraId="4D9F1784" w14:textId="1FD400A8" w:rsidR="00DC6F0F" w:rsidRPr="00096B63" w:rsidRDefault="00DC6F0F" w:rsidP="007B66C1">
      <w:pPr>
        <w:autoSpaceDE w:val="0"/>
        <w:autoSpaceDN w:val="0"/>
        <w:jc w:val="both"/>
        <w:rPr>
          <w:rFonts w:ascii="Georgia" w:hAnsi="Georgia"/>
          <w:b/>
          <w:color w:val="404040" w:themeColor="text1" w:themeTint="BF"/>
          <w:sz w:val="20"/>
          <w:szCs w:val="20"/>
        </w:rPr>
      </w:pPr>
    </w:p>
    <w:p w14:paraId="29591E21" w14:textId="701AD277" w:rsidR="00DC6F0F" w:rsidRPr="00096B63" w:rsidRDefault="00DC6F0F" w:rsidP="00DC6F0F">
      <w:pPr>
        <w:autoSpaceDE w:val="0"/>
        <w:autoSpaceDN w:val="0"/>
        <w:jc w:val="both"/>
        <w:rPr>
          <w:rFonts w:ascii="Georgia" w:hAnsi="Georgia"/>
          <w:b/>
          <w:i/>
          <w:color w:val="404040" w:themeColor="text1" w:themeTint="BF"/>
          <w:sz w:val="20"/>
          <w:szCs w:val="20"/>
        </w:rPr>
      </w:pPr>
      <w:bookmarkStart w:id="13" w:name="_Toc50044039"/>
      <w:r w:rsidRPr="00096B63">
        <w:rPr>
          <w:rFonts w:ascii="Georgia" w:hAnsi="Georgia"/>
          <w:b/>
          <w:i/>
          <w:color w:val="404040" w:themeColor="text1" w:themeTint="BF"/>
          <w:sz w:val="20"/>
          <w:szCs w:val="20"/>
        </w:rPr>
        <w:t>Carbon Balancing</w:t>
      </w:r>
      <w:bookmarkEnd w:id="13"/>
      <w:r w:rsidRPr="00096B63">
        <w:rPr>
          <w:rFonts w:ascii="Georgia" w:hAnsi="Georgia"/>
          <w:b/>
          <w:i/>
          <w:color w:val="404040" w:themeColor="text1" w:themeTint="BF"/>
          <w:sz w:val="20"/>
          <w:szCs w:val="20"/>
        </w:rPr>
        <w:t xml:space="preserve"> </w:t>
      </w:r>
    </w:p>
    <w:p w14:paraId="50090E0C" w14:textId="77777777" w:rsidR="00DC6F0F" w:rsidRPr="006A565F" w:rsidRDefault="00DC6F0F" w:rsidP="00DC6F0F">
      <w:pPr>
        <w:autoSpaceDE w:val="0"/>
        <w:autoSpaceDN w:val="0"/>
        <w:jc w:val="both"/>
        <w:rPr>
          <w:rFonts w:ascii="Georgia" w:hAnsi="Georgia"/>
          <w:color w:val="404040" w:themeColor="text1" w:themeTint="BF"/>
          <w:sz w:val="20"/>
          <w:szCs w:val="20"/>
        </w:rPr>
      </w:pPr>
    </w:p>
    <w:p w14:paraId="5AE59787" w14:textId="77777777" w:rsidR="00DC6F0F" w:rsidRPr="006A565F" w:rsidRDefault="00DC6F0F" w:rsidP="00DC6F0F">
      <w:pPr>
        <w:autoSpaceDE w:val="0"/>
        <w:autoSpaceDN w:val="0"/>
        <w:jc w:val="both"/>
        <w:rPr>
          <w:rFonts w:ascii="Georgia" w:hAnsi="Georgia"/>
          <w:color w:val="404040" w:themeColor="text1" w:themeTint="BF"/>
          <w:sz w:val="20"/>
          <w:szCs w:val="20"/>
        </w:rPr>
      </w:pPr>
      <w:r w:rsidRPr="006A565F">
        <w:rPr>
          <w:rFonts w:ascii="Georgia" w:hAnsi="Georgia"/>
          <w:color w:val="404040" w:themeColor="text1" w:themeTint="BF"/>
          <w:sz w:val="20"/>
          <w:szCs w:val="20"/>
        </w:rPr>
        <w:t xml:space="preserve">The Bluefield Group is focused on minimising its negative environmental impact, but some impact from its activities is unavoidable. Given this reality, the group seeks to mitigate its impact, and where this is not possible, chooses to offset. Through partnership with C-Level, offsetting has been completed in 2018 and 2019 and the Bluefield Group is certified Carbon Balanced through investment in two C-Level projects. </w:t>
      </w:r>
    </w:p>
    <w:p w14:paraId="3B9AA7F4" w14:textId="77777777" w:rsidR="006A565F" w:rsidRPr="006A565F" w:rsidRDefault="006A565F" w:rsidP="00DC6F0F">
      <w:pPr>
        <w:autoSpaceDE w:val="0"/>
        <w:autoSpaceDN w:val="0"/>
        <w:jc w:val="both"/>
        <w:rPr>
          <w:rFonts w:ascii="Georgia" w:hAnsi="Georgia"/>
          <w:color w:val="404040" w:themeColor="text1" w:themeTint="BF"/>
          <w:sz w:val="20"/>
          <w:szCs w:val="20"/>
        </w:rPr>
      </w:pPr>
    </w:p>
    <w:p w14:paraId="34F2F115" w14:textId="0C6BA497" w:rsidR="00DC6F0F" w:rsidRDefault="00DC6F0F" w:rsidP="00DC6F0F">
      <w:pPr>
        <w:autoSpaceDE w:val="0"/>
        <w:autoSpaceDN w:val="0"/>
        <w:jc w:val="both"/>
        <w:rPr>
          <w:rFonts w:ascii="Georgia" w:hAnsi="Georgia"/>
          <w:color w:val="404040" w:themeColor="text1" w:themeTint="BF"/>
          <w:sz w:val="20"/>
          <w:szCs w:val="20"/>
        </w:rPr>
      </w:pPr>
      <w:r w:rsidRPr="006A565F">
        <w:rPr>
          <w:rFonts w:ascii="Georgia" w:hAnsi="Georgia"/>
          <w:color w:val="404040" w:themeColor="text1" w:themeTint="BF"/>
          <w:sz w:val="20"/>
          <w:szCs w:val="20"/>
        </w:rPr>
        <w:t>Bluefield continually seeks solutions to further reduce its impact. This includes the potential use of electronic vehicles in the future, as suitable options become available.</w:t>
      </w:r>
    </w:p>
    <w:p w14:paraId="1895EBDB" w14:textId="77777777" w:rsidR="00FE6611" w:rsidRPr="006A565F" w:rsidRDefault="00FE6611" w:rsidP="00DC6F0F">
      <w:pPr>
        <w:autoSpaceDE w:val="0"/>
        <w:autoSpaceDN w:val="0"/>
        <w:jc w:val="both"/>
        <w:rPr>
          <w:rFonts w:ascii="Georgia" w:hAnsi="Georgia"/>
          <w:color w:val="404040" w:themeColor="text1" w:themeTint="BF"/>
          <w:sz w:val="20"/>
          <w:szCs w:val="20"/>
        </w:rPr>
      </w:pPr>
    </w:p>
    <w:p w14:paraId="0AB40855" w14:textId="77777777" w:rsidR="00DC6F0F" w:rsidRPr="00475D47" w:rsidRDefault="00DC6F0F" w:rsidP="00DC6F0F">
      <w:pPr>
        <w:pStyle w:val="Heading2"/>
        <w:spacing w:before="0"/>
      </w:pPr>
      <w:r w:rsidRPr="00475D47">
        <w:lastRenderedPageBreak/>
        <w:t>Report of the Investment Adviser (continued)</w:t>
      </w:r>
    </w:p>
    <w:p w14:paraId="37B0652B" w14:textId="77777777" w:rsidR="00DC6F0F" w:rsidRDefault="00DC6F0F" w:rsidP="00DC6F0F">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18A52BF5" w14:textId="00E16C54" w:rsidR="00DC6F0F" w:rsidRPr="006A565F" w:rsidRDefault="00DC6F0F" w:rsidP="006A565F">
      <w:pPr>
        <w:spacing w:after="160" w:line="259" w:lineRule="auto"/>
        <w:jc w:val="both"/>
        <w:rPr>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3AA0A6BF" w14:textId="412CA986" w:rsidR="00DC6F0F" w:rsidRPr="00FC1EDB" w:rsidRDefault="006A565F" w:rsidP="00DC6F0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r>
        <w:rPr>
          <w:rStyle w:val="normaltextrun"/>
          <w:rFonts w:ascii="Georgia" w:hAnsi="Georgia"/>
          <w:i/>
          <w:color w:val="404040" w:themeColor="text1" w:themeTint="BF"/>
          <w:sz w:val="20"/>
          <w:szCs w:val="20"/>
        </w:rPr>
        <w:t>Cas</w:t>
      </w:r>
      <w:r w:rsidR="0006761F">
        <w:rPr>
          <w:rStyle w:val="normaltextrun"/>
          <w:rFonts w:ascii="Georgia" w:hAnsi="Georgia"/>
          <w:i/>
          <w:color w:val="404040" w:themeColor="text1" w:themeTint="BF"/>
          <w:sz w:val="20"/>
          <w:szCs w:val="20"/>
        </w:rPr>
        <w:t xml:space="preserve">e Study: </w:t>
      </w:r>
      <w:proofErr w:type="spellStart"/>
      <w:r w:rsidR="0006761F">
        <w:rPr>
          <w:rStyle w:val="normaltextrun"/>
          <w:rFonts w:ascii="Georgia" w:hAnsi="Georgia"/>
          <w:i/>
          <w:color w:val="404040" w:themeColor="text1" w:themeTint="BF"/>
          <w:sz w:val="20"/>
          <w:szCs w:val="20"/>
        </w:rPr>
        <w:t>Hadza</w:t>
      </w:r>
      <w:proofErr w:type="spellEnd"/>
      <w:r w:rsidR="0006761F">
        <w:rPr>
          <w:rStyle w:val="normaltextrun"/>
          <w:rFonts w:ascii="Georgia" w:hAnsi="Georgia"/>
          <w:i/>
          <w:color w:val="404040" w:themeColor="text1" w:themeTint="BF"/>
          <w:sz w:val="20"/>
          <w:szCs w:val="20"/>
        </w:rPr>
        <w:t xml:space="preserve"> Hunter Gatherers</w:t>
      </w:r>
    </w:p>
    <w:p w14:paraId="17454E69" w14:textId="0A038F6B"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45A1B770" w14:textId="4395748B" w:rsidR="00DC6F0F" w:rsidRDefault="00DC6F0F" w:rsidP="007B66C1">
      <w:pPr>
        <w:autoSpaceDE w:val="0"/>
        <w:autoSpaceDN w:val="0"/>
        <w:jc w:val="both"/>
        <w:rPr>
          <w:rFonts w:ascii="Georgia" w:hAnsi="Georgia"/>
          <w:color w:val="404040" w:themeColor="text1" w:themeTint="BF"/>
          <w:sz w:val="20"/>
          <w:szCs w:val="20"/>
          <w:highlight w:val="yellow"/>
          <w:lang w:val="en-US"/>
        </w:rPr>
      </w:pPr>
      <w:r w:rsidRPr="00741296">
        <w:rPr>
          <w:noProof/>
          <w:highlight w:val="yellow"/>
          <w:lang w:eastAsia="zh-CN"/>
        </w:rPr>
        <w:drawing>
          <wp:inline distT="0" distB="0" distL="0" distR="0" wp14:anchorId="57A4E1EB" wp14:editId="66F67D87">
            <wp:extent cx="5943600" cy="4633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633595"/>
                    </a:xfrm>
                    <a:prstGeom prst="rect">
                      <a:avLst/>
                    </a:prstGeom>
                    <a:noFill/>
                    <a:ln>
                      <a:noFill/>
                    </a:ln>
                  </pic:spPr>
                </pic:pic>
              </a:graphicData>
            </a:graphic>
          </wp:inline>
        </w:drawing>
      </w:r>
    </w:p>
    <w:p w14:paraId="06E12D8A" w14:textId="0F89D96A"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0A9F11F6" w14:textId="7A91A2D5" w:rsidR="00DC6F0F" w:rsidRPr="00FC1EDB" w:rsidRDefault="00DC6F0F" w:rsidP="00DC6F0F">
      <w:pPr>
        <w:pStyle w:val="paragraph"/>
        <w:spacing w:before="0" w:beforeAutospacing="0" w:after="0" w:afterAutospacing="0"/>
        <w:jc w:val="both"/>
        <w:textAlignment w:val="baseline"/>
        <w:rPr>
          <w:rStyle w:val="normaltextrun"/>
          <w:rFonts w:ascii="Georgia" w:hAnsi="Georgia"/>
          <w:color w:val="404040" w:themeColor="text1" w:themeTint="BF"/>
          <w:sz w:val="20"/>
          <w:szCs w:val="20"/>
        </w:rPr>
      </w:pPr>
      <w:r w:rsidRPr="00FC1EDB">
        <w:rPr>
          <w:rStyle w:val="normaltextrun"/>
          <w:rFonts w:ascii="Georgia" w:hAnsi="Georgia"/>
          <w:color w:val="404040" w:themeColor="text1" w:themeTint="BF"/>
          <w:sz w:val="20"/>
          <w:szCs w:val="20"/>
        </w:rPr>
        <w:t xml:space="preserve">Based in the </w:t>
      </w:r>
      <w:proofErr w:type="spellStart"/>
      <w:r w:rsidRPr="00FC1EDB">
        <w:rPr>
          <w:rStyle w:val="normaltextrun"/>
          <w:rFonts w:ascii="Georgia" w:hAnsi="Georgia"/>
          <w:color w:val="404040" w:themeColor="text1" w:themeTint="BF"/>
          <w:sz w:val="20"/>
          <w:szCs w:val="20"/>
        </w:rPr>
        <w:t>Yaeda</w:t>
      </w:r>
      <w:proofErr w:type="spellEnd"/>
      <w:r w:rsidRPr="00FC1EDB">
        <w:rPr>
          <w:rStyle w:val="normaltextrun"/>
          <w:rFonts w:ascii="Georgia" w:hAnsi="Georgia"/>
          <w:color w:val="404040" w:themeColor="text1" w:themeTint="BF"/>
          <w:sz w:val="20"/>
          <w:szCs w:val="20"/>
        </w:rPr>
        <w:t xml:space="preserve"> Valley</w:t>
      </w:r>
      <w:r w:rsidR="00F1729C">
        <w:rPr>
          <w:rStyle w:val="normaltextrun"/>
          <w:rFonts w:ascii="Georgia" w:hAnsi="Georgia"/>
          <w:color w:val="404040" w:themeColor="text1" w:themeTint="BF"/>
          <w:sz w:val="20"/>
          <w:szCs w:val="20"/>
        </w:rPr>
        <w:t>, Tanzania</w:t>
      </w:r>
      <w:r w:rsidRPr="00FC1EDB">
        <w:rPr>
          <w:rStyle w:val="normaltextrun"/>
          <w:rFonts w:ascii="Georgia" w:hAnsi="Georgia"/>
          <w:color w:val="404040" w:themeColor="text1" w:themeTint="BF"/>
          <w:sz w:val="20"/>
          <w:szCs w:val="20"/>
        </w:rPr>
        <w:t xml:space="preserve">, this project empowers </w:t>
      </w:r>
      <w:r w:rsidR="00BC5A1E">
        <w:rPr>
          <w:rStyle w:val="normaltextrun"/>
          <w:rFonts w:ascii="Georgia" w:hAnsi="Georgia"/>
          <w:color w:val="404040" w:themeColor="text1" w:themeTint="BF"/>
          <w:sz w:val="20"/>
          <w:szCs w:val="20"/>
        </w:rPr>
        <w:t>this</w:t>
      </w:r>
      <w:r w:rsidRPr="00FC1EDB">
        <w:rPr>
          <w:rStyle w:val="normaltextrun"/>
          <w:rFonts w:ascii="Georgia" w:hAnsi="Georgia"/>
          <w:color w:val="404040" w:themeColor="text1" w:themeTint="BF"/>
          <w:sz w:val="20"/>
          <w:szCs w:val="20"/>
        </w:rPr>
        <w:t xml:space="preserve"> community to conserve their land and safeguard it against deforestation. This scheme was the winner of the 2019 UN Equator Award for nature based sustainable development.</w:t>
      </w:r>
    </w:p>
    <w:p w14:paraId="366683AC" w14:textId="41949BAB" w:rsidR="00DC6F0F" w:rsidRPr="00DC6F0F" w:rsidRDefault="00DC6F0F" w:rsidP="007B66C1">
      <w:pPr>
        <w:autoSpaceDE w:val="0"/>
        <w:autoSpaceDN w:val="0"/>
        <w:jc w:val="both"/>
        <w:rPr>
          <w:rFonts w:ascii="Georgia" w:hAnsi="Georgia"/>
          <w:color w:val="404040" w:themeColor="text1" w:themeTint="BF"/>
          <w:sz w:val="20"/>
          <w:szCs w:val="20"/>
          <w:highlight w:val="yellow"/>
        </w:rPr>
      </w:pPr>
    </w:p>
    <w:p w14:paraId="05EAA655"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2CEF9BB2"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6E3D9746"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745CE19B"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353485BA"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14595304"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2346C894"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51DD7C27"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6DB0E19C"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30D33A75"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31CD6EFC"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0962D3F8"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2279E8B0"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51B05E0A"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24F61AD3"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5709C512"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124E7187" w14:textId="77777777" w:rsidR="006A565F"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p>
    <w:p w14:paraId="139B7826" w14:textId="77777777" w:rsidR="006A565F" w:rsidRPr="00475D47" w:rsidRDefault="006A565F" w:rsidP="006A565F">
      <w:pPr>
        <w:pStyle w:val="Heading2"/>
        <w:spacing w:before="0"/>
      </w:pPr>
      <w:r w:rsidRPr="00475D47">
        <w:lastRenderedPageBreak/>
        <w:t>Report of the Investment Adviser (continued)</w:t>
      </w:r>
    </w:p>
    <w:p w14:paraId="4E5D048C" w14:textId="77777777" w:rsidR="006A565F" w:rsidRDefault="006A565F" w:rsidP="006A565F">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296DE109" w14:textId="6EA32E62" w:rsidR="006A565F" w:rsidRPr="006A565F" w:rsidRDefault="006A565F" w:rsidP="006A565F">
      <w:pPr>
        <w:spacing w:after="160" w:line="259" w:lineRule="auto"/>
        <w:jc w:val="both"/>
        <w:rPr>
          <w:rStyle w:val="normaltextrun"/>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722D90E0" w14:textId="47A46DD5" w:rsidR="006A565F" w:rsidRPr="00FC1EDB" w:rsidRDefault="006A565F" w:rsidP="006A565F">
      <w:pPr>
        <w:pStyle w:val="paragraph"/>
        <w:spacing w:before="0" w:beforeAutospacing="0" w:after="0" w:afterAutospacing="0"/>
        <w:jc w:val="both"/>
        <w:textAlignment w:val="baseline"/>
        <w:rPr>
          <w:rStyle w:val="normaltextrun"/>
          <w:rFonts w:ascii="Georgia" w:hAnsi="Georgia"/>
          <w:i/>
          <w:color w:val="404040" w:themeColor="text1" w:themeTint="BF"/>
          <w:sz w:val="20"/>
          <w:szCs w:val="20"/>
        </w:rPr>
      </w:pPr>
      <w:r>
        <w:rPr>
          <w:rStyle w:val="normaltextrun"/>
          <w:rFonts w:ascii="Georgia" w:hAnsi="Georgia"/>
          <w:i/>
          <w:color w:val="404040" w:themeColor="text1" w:themeTint="BF"/>
          <w:sz w:val="20"/>
          <w:szCs w:val="20"/>
        </w:rPr>
        <w:t xml:space="preserve">Case </w:t>
      </w:r>
      <w:r w:rsidR="00B54EC0">
        <w:rPr>
          <w:rStyle w:val="normaltextrun"/>
          <w:rFonts w:ascii="Georgia" w:hAnsi="Georgia"/>
          <w:i/>
          <w:color w:val="404040" w:themeColor="text1" w:themeTint="BF"/>
          <w:sz w:val="20"/>
          <w:szCs w:val="20"/>
        </w:rPr>
        <w:t xml:space="preserve">Study: </w:t>
      </w:r>
      <w:proofErr w:type="spellStart"/>
      <w:r w:rsidR="00B54EC0">
        <w:rPr>
          <w:rStyle w:val="normaltextrun"/>
          <w:rFonts w:ascii="Georgia" w:hAnsi="Georgia"/>
          <w:i/>
          <w:color w:val="404040" w:themeColor="text1" w:themeTint="BF"/>
          <w:sz w:val="20"/>
          <w:szCs w:val="20"/>
        </w:rPr>
        <w:t>Communitree</w:t>
      </w:r>
      <w:proofErr w:type="spellEnd"/>
      <w:r w:rsidR="00B54EC0">
        <w:rPr>
          <w:rStyle w:val="normaltextrun"/>
          <w:rFonts w:ascii="Georgia" w:hAnsi="Georgia"/>
          <w:i/>
          <w:color w:val="404040" w:themeColor="text1" w:themeTint="BF"/>
          <w:sz w:val="20"/>
          <w:szCs w:val="20"/>
        </w:rPr>
        <w:t xml:space="preserve"> in Nicaragua</w:t>
      </w:r>
    </w:p>
    <w:p w14:paraId="7D24D6BE" w14:textId="4A2ACC3C"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66E9EBB1" w14:textId="3EB48953" w:rsidR="00DC6F0F" w:rsidRDefault="006A565F" w:rsidP="007B66C1">
      <w:pPr>
        <w:autoSpaceDE w:val="0"/>
        <w:autoSpaceDN w:val="0"/>
        <w:jc w:val="both"/>
        <w:rPr>
          <w:rFonts w:ascii="Georgia" w:hAnsi="Georgia"/>
          <w:color w:val="404040" w:themeColor="text1" w:themeTint="BF"/>
          <w:sz w:val="20"/>
          <w:szCs w:val="20"/>
          <w:highlight w:val="yellow"/>
          <w:lang w:val="en-US"/>
        </w:rPr>
      </w:pPr>
      <w:r w:rsidRPr="00741296">
        <w:rPr>
          <w:noProof/>
          <w:highlight w:val="yellow"/>
          <w:lang w:eastAsia="zh-CN"/>
        </w:rPr>
        <w:drawing>
          <wp:inline distT="0" distB="0" distL="0" distR="0" wp14:anchorId="2F051B35" wp14:editId="73A6DF35">
            <wp:extent cx="5943600" cy="443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0DF91A14" w14:textId="1BA56D50"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345F48B7" w14:textId="02B4992F"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414FB30A" w14:textId="7A824F7C" w:rsidR="006A565F" w:rsidRPr="00FC1EDB" w:rsidRDefault="006A565F" w:rsidP="006A565F">
      <w:pPr>
        <w:pStyle w:val="paragraph"/>
        <w:spacing w:before="0" w:beforeAutospacing="0" w:after="0" w:afterAutospacing="0"/>
        <w:jc w:val="both"/>
        <w:textAlignment w:val="baseline"/>
        <w:rPr>
          <w:rStyle w:val="normaltextrun"/>
          <w:rFonts w:ascii="Georgia" w:hAnsi="Georgia"/>
          <w:color w:val="404040" w:themeColor="text1" w:themeTint="BF"/>
          <w:sz w:val="20"/>
          <w:szCs w:val="20"/>
        </w:rPr>
      </w:pPr>
      <w:r w:rsidRPr="00FC1EDB">
        <w:rPr>
          <w:rStyle w:val="normaltextrun"/>
          <w:rFonts w:ascii="Georgia" w:hAnsi="Georgia"/>
          <w:color w:val="404040" w:themeColor="text1" w:themeTint="BF"/>
          <w:sz w:val="20"/>
          <w:szCs w:val="20"/>
        </w:rPr>
        <w:t xml:space="preserve">This scheme goes further than conventional tree planting initiatives, providing long-term support for local communities. To date, this project has invested </w:t>
      </w:r>
      <w:r w:rsidR="00BC5A1E">
        <w:rPr>
          <w:rStyle w:val="normaltextrun"/>
          <w:rFonts w:ascii="Georgia" w:hAnsi="Georgia"/>
          <w:color w:val="404040" w:themeColor="text1" w:themeTint="BF"/>
          <w:sz w:val="20"/>
          <w:szCs w:val="20"/>
        </w:rPr>
        <w:t>U</w:t>
      </w:r>
      <w:r w:rsidR="00AE0854">
        <w:rPr>
          <w:rStyle w:val="normaltextrun"/>
          <w:rFonts w:ascii="Georgia" w:hAnsi="Georgia"/>
          <w:color w:val="404040" w:themeColor="text1" w:themeTint="BF"/>
          <w:sz w:val="20"/>
          <w:szCs w:val="20"/>
        </w:rPr>
        <w:t>S</w:t>
      </w:r>
      <w:r w:rsidRPr="00FC1EDB">
        <w:rPr>
          <w:rStyle w:val="normaltextrun"/>
          <w:rFonts w:ascii="Georgia" w:hAnsi="Georgia"/>
          <w:color w:val="404040" w:themeColor="text1" w:themeTint="BF"/>
          <w:sz w:val="20"/>
          <w:szCs w:val="20"/>
        </w:rPr>
        <w:t xml:space="preserve">$4 million in communities and has </w:t>
      </w:r>
      <w:r w:rsidR="00B56A3C">
        <w:rPr>
          <w:rStyle w:val="normaltextrun"/>
          <w:rFonts w:ascii="Georgia" w:hAnsi="Georgia"/>
          <w:color w:val="404040" w:themeColor="text1" w:themeTint="BF"/>
          <w:sz w:val="20"/>
          <w:szCs w:val="20"/>
        </w:rPr>
        <w:t>captured</w:t>
      </w:r>
      <w:r w:rsidRPr="00FC1EDB">
        <w:rPr>
          <w:rStyle w:val="normaltextrun"/>
          <w:rFonts w:ascii="Georgia" w:hAnsi="Georgia"/>
          <w:color w:val="404040" w:themeColor="text1" w:themeTint="BF"/>
          <w:sz w:val="20"/>
          <w:szCs w:val="20"/>
        </w:rPr>
        <w:t xml:space="preserve"> over 700,000 tonnes of CO2.</w:t>
      </w:r>
    </w:p>
    <w:p w14:paraId="65655D24" w14:textId="57931937" w:rsidR="00DC6F0F" w:rsidRPr="006A565F" w:rsidRDefault="00DC6F0F" w:rsidP="007B66C1">
      <w:pPr>
        <w:autoSpaceDE w:val="0"/>
        <w:autoSpaceDN w:val="0"/>
        <w:jc w:val="both"/>
        <w:rPr>
          <w:rFonts w:ascii="Georgia" w:hAnsi="Georgia"/>
          <w:color w:val="404040" w:themeColor="text1" w:themeTint="BF"/>
          <w:sz w:val="20"/>
          <w:szCs w:val="20"/>
          <w:highlight w:val="yellow"/>
        </w:rPr>
      </w:pPr>
    </w:p>
    <w:p w14:paraId="5C482C9A" w14:textId="28646973" w:rsidR="006A565F" w:rsidRPr="00096B63" w:rsidRDefault="006A565F" w:rsidP="006A565F">
      <w:pPr>
        <w:autoSpaceDE w:val="0"/>
        <w:autoSpaceDN w:val="0"/>
        <w:jc w:val="both"/>
        <w:rPr>
          <w:rFonts w:ascii="Georgia" w:hAnsi="Georgia"/>
          <w:b/>
          <w:i/>
          <w:color w:val="404040" w:themeColor="text1" w:themeTint="BF"/>
          <w:sz w:val="20"/>
          <w:szCs w:val="20"/>
        </w:rPr>
      </w:pPr>
      <w:bookmarkStart w:id="14" w:name="_Toc50044040"/>
      <w:r w:rsidRPr="00096B63">
        <w:rPr>
          <w:rFonts w:ascii="Georgia" w:hAnsi="Georgia"/>
          <w:b/>
          <w:i/>
          <w:color w:val="404040" w:themeColor="text1" w:themeTint="BF"/>
          <w:sz w:val="20"/>
          <w:szCs w:val="20"/>
        </w:rPr>
        <w:t>Land Management</w:t>
      </w:r>
      <w:bookmarkEnd w:id="14"/>
      <w:r w:rsidRPr="00096B63">
        <w:rPr>
          <w:rFonts w:ascii="Georgia" w:hAnsi="Georgia"/>
          <w:b/>
          <w:i/>
          <w:color w:val="404040" w:themeColor="text1" w:themeTint="BF"/>
          <w:sz w:val="20"/>
          <w:szCs w:val="20"/>
        </w:rPr>
        <w:t xml:space="preserve"> </w:t>
      </w:r>
    </w:p>
    <w:p w14:paraId="2F2E3260" w14:textId="77777777" w:rsidR="006A565F" w:rsidRPr="0087181F" w:rsidRDefault="006A565F" w:rsidP="006A565F">
      <w:pPr>
        <w:autoSpaceDE w:val="0"/>
        <w:autoSpaceDN w:val="0"/>
        <w:jc w:val="both"/>
        <w:rPr>
          <w:rFonts w:ascii="Georgia" w:hAnsi="Georgia"/>
          <w:color w:val="404040" w:themeColor="text1" w:themeTint="BF"/>
          <w:sz w:val="20"/>
          <w:szCs w:val="20"/>
        </w:rPr>
      </w:pPr>
    </w:p>
    <w:p w14:paraId="57E3EF54" w14:textId="7DD095BD" w:rsidR="006A565F" w:rsidRPr="0087181F" w:rsidRDefault="006A565F" w:rsidP="006A565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 xml:space="preserve">Bluefield Operations Ltd is responsible for ensuring each asset under management is fully compliant with its Land Environmental Management Plan (LEMP). </w:t>
      </w:r>
      <w:r w:rsidR="0014120A">
        <w:rPr>
          <w:rFonts w:ascii="Georgia" w:hAnsi="Georgia"/>
          <w:color w:val="404040" w:themeColor="text1" w:themeTint="BF"/>
          <w:sz w:val="20"/>
          <w:szCs w:val="20"/>
        </w:rPr>
        <w:t>This</w:t>
      </w:r>
      <w:r w:rsidRPr="0087181F">
        <w:rPr>
          <w:rFonts w:ascii="Georgia" w:hAnsi="Georgia"/>
          <w:color w:val="404040" w:themeColor="text1" w:themeTint="BF"/>
          <w:sz w:val="20"/>
          <w:szCs w:val="20"/>
        </w:rPr>
        <w:t xml:space="preserve"> ensures the asset has no net negative impact on the surrounding environment, and in some cases can enhance the diversity of the fauna and flora present. Under correct management, a solar farm can return intensively farmed land back into natural meadows, increasing diversity and returning nitrates to soils. </w:t>
      </w:r>
    </w:p>
    <w:p w14:paraId="5823EB38" w14:textId="77777777" w:rsidR="006A565F" w:rsidRPr="0087181F" w:rsidRDefault="006A565F" w:rsidP="006A565F">
      <w:pPr>
        <w:autoSpaceDE w:val="0"/>
        <w:autoSpaceDN w:val="0"/>
        <w:jc w:val="both"/>
        <w:rPr>
          <w:rFonts w:ascii="Georgia" w:hAnsi="Georgia"/>
          <w:color w:val="404040" w:themeColor="text1" w:themeTint="BF"/>
          <w:sz w:val="20"/>
          <w:szCs w:val="20"/>
        </w:rPr>
      </w:pPr>
    </w:p>
    <w:p w14:paraId="5E614C1F" w14:textId="51021AB3" w:rsidR="006A565F" w:rsidRPr="0087181F" w:rsidRDefault="006A565F" w:rsidP="006A565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 xml:space="preserve">Working with environmental specialist TWIG, </w:t>
      </w:r>
      <w:r w:rsidR="00F1729C">
        <w:rPr>
          <w:rFonts w:ascii="Georgia" w:hAnsi="Georgia"/>
          <w:color w:val="404040" w:themeColor="text1" w:themeTint="BF"/>
          <w:sz w:val="20"/>
          <w:szCs w:val="20"/>
        </w:rPr>
        <w:t xml:space="preserve">the </w:t>
      </w:r>
      <w:r w:rsidRPr="0087181F">
        <w:rPr>
          <w:rFonts w:ascii="Georgia" w:hAnsi="Georgia"/>
          <w:color w:val="404040" w:themeColor="text1" w:themeTint="BF"/>
          <w:sz w:val="20"/>
          <w:szCs w:val="20"/>
        </w:rPr>
        <w:t xml:space="preserve">focus in 2019 was given to evaluating the success of land measures previously implemented. Where initial landscape or planting schemes did not succeed as hoped, due to factors such as poor weather, measures were either repeated or revisions to the LEMP were proposed. </w:t>
      </w:r>
    </w:p>
    <w:p w14:paraId="413B2507" w14:textId="3E0512E0" w:rsidR="00DC6F0F" w:rsidRPr="006A565F" w:rsidRDefault="00DC6F0F" w:rsidP="007B66C1">
      <w:pPr>
        <w:autoSpaceDE w:val="0"/>
        <w:autoSpaceDN w:val="0"/>
        <w:jc w:val="both"/>
        <w:rPr>
          <w:rFonts w:ascii="Georgia" w:hAnsi="Georgia"/>
          <w:color w:val="404040" w:themeColor="text1" w:themeTint="BF"/>
          <w:sz w:val="20"/>
          <w:szCs w:val="20"/>
          <w:highlight w:val="yellow"/>
        </w:rPr>
      </w:pPr>
    </w:p>
    <w:p w14:paraId="63B1EB06" w14:textId="0FFA1738"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08598A47" w14:textId="4A3E14CE"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4AB10C7C" w14:textId="5D2150F7"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622C06F8" w14:textId="5A38D24C"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50E8959C" w14:textId="7A371FEF" w:rsidR="00DC6F0F" w:rsidRDefault="00DC6F0F" w:rsidP="007B66C1">
      <w:pPr>
        <w:autoSpaceDE w:val="0"/>
        <w:autoSpaceDN w:val="0"/>
        <w:jc w:val="both"/>
        <w:rPr>
          <w:rFonts w:ascii="Georgia" w:hAnsi="Georgia"/>
          <w:color w:val="404040" w:themeColor="text1" w:themeTint="BF"/>
          <w:sz w:val="20"/>
          <w:szCs w:val="20"/>
          <w:highlight w:val="yellow"/>
          <w:lang w:val="en-US"/>
        </w:rPr>
      </w:pPr>
    </w:p>
    <w:p w14:paraId="71EBF8FA" w14:textId="77777777" w:rsidR="006A565F" w:rsidRPr="00475D47" w:rsidRDefault="006A565F" w:rsidP="006A565F">
      <w:pPr>
        <w:pStyle w:val="Heading2"/>
        <w:spacing w:before="0"/>
      </w:pPr>
      <w:r w:rsidRPr="00475D47">
        <w:lastRenderedPageBreak/>
        <w:t>Report of the Investment Adviser (continued)</w:t>
      </w:r>
    </w:p>
    <w:p w14:paraId="04BB88E2" w14:textId="77777777" w:rsidR="006A565F" w:rsidRDefault="006A565F" w:rsidP="006A565F">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297F0112" w14:textId="77777777" w:rsidR="006A565F" w:rsidRPr="006A565F" w:rsidRDefault="006A565F" w:rsidP="006A565F">
      <w:pPr>
        <w:spacing w:after="160" w:line="259" w:lineRule="auto"/>
        <w:jc w:val="both"/>
        <w:rPr>
          <w:rStyle w:val="normaltextrun"/>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19B038E6" w14:textId="1275EC51" w:rsidR="006A565F" w:rsidRPr="0087181F" w:rsidRDefault="006A565F" w:rsidP="006A565F">
      <w:pPr>
        <w:autoSpaceDE w:val="0"/>
        <w:autoSpaceDN w:val="0"/>
        <w:jc w:val="both"/>
        <w:rPr>
          <w:rFonts w:ascii="Georgia" w:hAnsi="Georgia"/>
          <w:color w:val="404040" w:themeColor="text1" w:themeTint="BF"/>
          <w:sz w:val="20"/>
          <w:szCs w:val="20"/>
        </w:rPr>
      </w:pPr>
      <w:r w:rsidRPr="00B54EC0">
        <w:rPr>
          <w:rFonts w:ascii="Georgia" w:hAnsi="Georgia"/>
          <w:color w:val="404040" w:themeColor="text1" w:themeTint="BF"/>
          <w:sz w:val="20"/>
          <w:szCs w:val="20"/>
        </w:rPr>
        <w:t>Molehill case study</w:t>
      </w:r>
    </w:p>
    <w:p w14:paraId="5BE70723" w14:textId="77777777" w:rsidR="006A565F" w:rsidRPr="0087181F" w:rsidRDefault="006A565F" w:rsidP="006A565F">
      <w:pPr>
        <w:autoSpaceDE w:val="0"/>
        <w:autoSpaceDN w:val="0"/>
        <w:jc w:val="both"/>
        <w:rPr>
          <w:rFonts w:ascii="Georgia" w:hAnsi="Georgia"/>
          <w:color w:val="404040" w:themeColor="text1" w:themeTint="BF"/>
          <w:sz w:val="20"/>
          <w:szCs w:val="20"/>
        </w:rPr>
      </w:pPr>
    </w:p>
    <w:p w14:paraId="18838701" w14:textId="77777777" w:rsidR="006A565F" w:rsidRPr="00E83B3F" w:rsidRDefault="006A565F" w:rsidP="006A565F">
      <w:pPr>
        <w:autoSpaceDE w:val="0"/>
        <w:autoSpaceDN w:val="0"/>
        <w:jc w:val="both"/>
        <w:rPr>
          <w:rFonts w:ascii="Georgia" w:hAnsi="Georgia"/>
          <w:iCs/>
          <w:color w:val="404040" w:themeColor="text1" w:themeTint="BF"/>
          <w:sz w:val="20"/>
          <w:szCs w:val="20"/>
        </w:rPr>
      </w:pPr>
      <w:bookmarkStart w:id="15" w:name="_Hlk47681530"/>
      <w:r w:rsidRPr="00E83B3F">
        <w:rPr>
          <w:rFonts w:ascii="Georgia" w:hAnsi="Georgia"/>
          <w:iCs/>
          <w:color w:val="404040" w:themeColor="text1" w:themeTint="BF"/>
          <w:sz w:val="20"/>
          <w:szCs w:val="20"/>
        </w:rPr>
        <w:t xml:space="preserve">Following previous unsuccessful attempts to control a broadleaf weed species at Molehill solar park, a new strategy was developed in 2019 in collaboration with the landowner. Spot treating heavily infested areas, alongside wildflower seeding, effectively reduced the broadleaf succession whilst also enhancing biodiversity. </w:t>
      </w:r>
    </w:p>
    <w:bookmarkEnd w:id="15"/>
    <w:p w14:paraId="2FD11D9E" w14:textId="47473E10" w:rsidR="00DC6F0F" w:rsidRPr="0087181F" w:rsidRDefault="00DC6F0F" w:rsidP="007B66C1">
      <w:pPr>
        <w:autoSpaceDE w:val="0"/>
        <w:autoSpaceDN w:val="0"/>
        <w:jc w:val="both"/>
        <w:rPr>
          <w:rFonts w:ascii="Georgia" w:hAnsi="Georgia"/>
          <w:color w:val="404040" w:themeColor="text1" w:themeTint="BF"/>
          <w:sz w:val="20"/>
          <w:szCs w:val="20"/>
        </w:rPr>
      </w:pPr>
    </w:p>
    <w:p w14:paraId="17E3C413" w14:textId="5C9572A8" w:rsidR="0087181F" w:rsidRPr="00096B63" w:rsidRDefault="0087181F" w:rsidP="0087181F">
      <w:pPr>
        <w:autoSpaceDE w:val="0"/>
        <w:autoSpaceDN w:val="0"/>
        <w:jc w:val="both"/>
        <w:rPr>
          <w:rFonts w:ascii="Georgia" w:hAnsi="Georgia"/>
          <w:b/>
          <w:i/>
          <w:color w:val="404040" w:themeColor="text1" w:themeTint="BF"/>
          <w:sz w:val="20"/>
          <w:szCs w:val="20"/>
        </w:rPr>
      </w:pPr>
      <w:bookmarkStart w:id="16" w:name="_Toc50044041"/>
      <w:r w:rsidRPr="00096B63">
        <w:rPr>
          <w:rFonts w:ascii="Georgia" w:hAnsi="Georgia"/>
          <w:b/>
          <w:i/>
          <w:color w:val="404040" w:themeColor="text1" w:themeTint="BF"/>
          <w:sz w:val="20"/>
          <w:szCs w:val="20"/>
        </w:rPr>
        <w:t>Biodiversity</w:t>
      </w:r>
      <w:bookmarkEnd w:id="16"/>
      <w:r w:rsidRPr="00096B63">
        <w:rPr>
          <w:rFonts w:ascii="Georgia" w:hAnsi="Georgia"/>
          <w:b/>
          <w:i/>
          <w:color w:val="404040" w:themeColor="text1" w:themeTint="BF"/>
          <w:sz w:val="20"/>
          <w:szCs w:val="20"/>
        </w:rPr>
        <w:t xml:space="preserve"> </w:t>
      </w:r>
    </w:p>
    <w:p w14:paraId="6C5C7896" w14:textId="77777777" w:rsidR="0087181F" w:rsidRPr="0087181F" w:rsidRDefault="0087181F" w:rsidP="0087181F">
      <w:pPr>
        <w:autoSpaceDE w:val="0"/>
        <w:autoSpaceDN w:val="0"/>
        <w:jc w:val="both"/>
        <w:rPr>
          <w:rFonts w:ascii="Georgia" w:hAnsi="Georgia"/>
          <w:color w:val="404040" w:themeColor="text1" w:themeTint="BF"/>
          <w:sz w:val="20"/>
          <w:szCs w:val="20"/>
        </w:rPr>
      </w:pPr>
    </w:p>
    <w:p w14:paraId="1324C6A1" w14:textId="53DC6CFB" w:rsidR="00DC6F0F" w:rsidRDefault="00B54EC0" w:rsidP="0087181F">
      <w:pPr>
        <w:autoSpaceDE w:val="0"/>
        <w:autoSpaceDN w:val="0"/>
        <w:jc w:val="both"/>
        <w:rPr>
          <w:rFonts w:ascii="Georgia" w:hAnsi="Georgia"/>
          <w:color w:val="404040" w:themeColor="text1" w:themeTint="BF"/>
          <w:sz w:val="20"/>
          <w:szCs w:val="20"/>
        </w:rPr>
      </w:pPr>
      <w:r>
        <w:rPr>
          <w:rFonts w:ascii="Georgia" w:hAnsi="Georgia"/>
          <w:color w:val="404040" w:themeColor="text1" w:themeTint="BF"/>
          <w:sz w:val="20"/>
          <w:szCs w:val="20"/>
        </w:rPr>
        <w:t>Bluefield</w:t>
      </w:r>
      <w:r w:rsidR="0087181F" w:rsidRPr="0087181F">
        <w:rPr>
          <w:rFonts w:ascii="Georgia" w:hAnsi="Georgia"/>
          <w:color w:val="404040" w:themeColor="text1" w:themeTint="BF"/>
          <w:sz w:val="20"/>
          <w:szCs w:val="20"/>
        </w:rPr>
        <w:t xml:space="preserve"> is committed to supporting biodiversity and intends to take a considered and informed approach to increasing biodiversity across the portfolio. Benchmarking constitutes the first step in this process and as reported in the 2018/19 Annual Report, the Bluefield Group has already undertaken a desktop biodiversity benchmarking study. Distinctive biodiversity enhancement measures were identified across the portfolio, including w</w:t>
      </w:r>
      <w:r>
        <w:rPr>
          <w:rFonts w:ascii="Georgia" w:hAnsi="Georgia"/>
          <w:color w:val="404040" w:themeColor="text1" w:themeTint="BF"/>
          <w:sz w:val="20"/>
          <w:szCs w:val="20"/>
        </w:rPr>
        <w:t>ildflower seeding, bird/bat box installations</w:t>
      </w:r>
      <w:r w:rsidR="0087181F" w:rsidRPr="0087181F">
        <w:rPr>
          <w:rFonts w:ascii="Georgia" w:hAnsi="Georgia"/>
          <w:color w:val="404040" w:themeColor="text1" w:themeTint="BF"/>
          <w:sz w:val="20"/>
          <w:szCs w:val="20"/>
        </w:rPr>
        <w:t xml:space="preserve"> and</w:t>
      </w:r>
      <w:r>
        <w:rPr>
          <w:rFonts w:ascii="Georgia" w:hAnsi="Georgia"/>
          <w:color w:val="404040" w:themeColor="text1" w:themeTint="BF"/>
          <w:sz w:val="20"/>
          <w:szCs w:val="20"/>
        </w:rPr>
        <w:t xml:space="preserve"> the placement of</w:t>
      </w:r>
      <w:r w:rsidR="0087181F" w:rsidRPr="0087181F">
        <w:rPr>
          <w:rFonts w:ascii="Georgia" w:hAnsi="Georgia"/>
          <w:color w:val="404040" w:themeColor="text1" w:themeTint="BF"/>
          <w:sz w:val="20"/>
          <w:szCs w:val="20"/>
        </w:rPr>
        <w:t xml:space="preserve"> beehives</w:t>
      </w:r>
      <w:r w:rsidR="0087181F">
        <w:rPr>
          <w:rFonts w:ascii="Georgia" w:hAnsi="Georgia"/>
          <w:color w:val="404040" w:themeColor="text1" w:themeTint="BF"/>
          <w:sz w:val="20"/>
          <w:szCs w:val="20"/>
        </w:rPr>
        <w:t>.</w:t>
      </w:r>
    </w:p>
    <w:p w14:paraId="508EE9E2" w14:textId="2262E5F4" w:rsidR="0087181F" w:rsidRDefault="0087181F" w:rsidP="0087181F">
      <w:pPr>
        <w:autoSpaceDE w:val="0"/>
        <w:autoSpaceDN w:val="0"/>
        <w:jc w:val="both"/>
        <w:rPr>
          <w:rFonts w:ascii="Georgia" w:hAnsi="Georgia"/>
          <w:color w:val="404040" w:themeColor="text1" w:themeTint="BF"/>
          <w:sz w:val="20"/>
          <w:szCs w:val="20"/>
        </w:rPr>
      </w:pPr>
    </w:p>
    <w:tbl>
      <w:tblPr>
        <w:tblStyle w:val="TableGrid"/>
        <w:tblW w:w="0" w:type="auto"/>
        <w:tblLook w:val="04A0" w:firstRow="1" w:lastRow="0" w:firstColumn="1" w:lastColumn="0" w:noHBand="0" w:noVBand="1"/>
      </w:tblPr>
      <w:tblGrid>
        <w:gridCol w:w="2547"/>
        <w:gridCol w:w="5103"/>
      </w:tblGrid>
      <w:tr w:rsidR="0087181F" w:rsidRPr="0087181F" w14:paraId="2324446A" w14:textId="77777777" w:rsidTr="0087181F">
        <w:trPr>
          <w:trHeight w:val="408"/>
        </w:trPr>
        <w:tc>
          <w:tcPr>
            <w:tcW w:w="2547" w:type="dxa"/>
          </w:tcPr>
          <w:p w14:paraId="5248F32E"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Enhancement Measure</w:t>
            </w:r>
          </w:p>
        </w:tc>
        <w:tc>
          <w:tcPr>
            <w:tcW w:w="5103" w:type="dxa"/>
          </w:tcPr>
          <w:p w14:paraId="53A60540"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 xml:space="preserve">% BSIF portfolio (large scale sites only) with measure </w:t>
            </w:r>
          </w:p>
        </w:tc>
      </w:tr>
      <w:tr w:rsidR="0087181F" w:rsidRPr="0087181F" w14:paraId="4CB73456" w14:textId="77777777" w:rsidTr="0087181F">
        <w:trPr>
          <w:trHeight w:val="385"/>
        </w:trPr>
        <w:tc>
          <w:tcPr>
            <w:tcW w:w="2547" w:type="dxa"/>
          </w:tcPr>
          <w:p w14:paraId="41615A05"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Wildflower Seeding</w:t>
            </w:r>
          </w:p>
        </w:tc>
        <w:tc>
          <w:tcPr>
            <w:tcW w:w="5103" w:type="dxa"/>
          </w:tcPr>
          <w:p w14:paraId="4EC73E8B" w14:textId="77777777" w:rsidR="0087181F" w:rsidRPr="0087181F" w:rsidRDefault="0087181F" w:rsidP="0087181F">
            <w:pPr>
              <w:autoSpaceDE w:val="0"/>
              <w:autoSpaceDN w:val="0"/>
              <w:jc w:val="center"/>
              <w:rPr>
                <w:rFonts w:ascii="Georgia" w:hAnsi="Georgia"/>
                <w:color w:val="404040" w:themeColor="text1" w:themeTint="BF"/>
                <w:sz w:val="20"/>
                <w:szCs w:val="20"/>
              </w:rPr>
            </w:pPr>
            <w:r w:rsidRPr="0087181F">
              <w:rPr>
                <w:rFonts w:ascii="Georgia" w:hAnsi="Georgia"/>
                <w:color w:val="404040" w:themeColor="text1" w:themeTint="BF"/>
                <w:sz w:val="20"/>
                <w:szCs w:val="20"/>
              </w:rPr>
              <w:t>86%</w:t>
            </w:r>
          </w:p>
        </w:tc>
      </w:tr>
      <w:tr w:rsidR="0087181F" w:rsidRPr="0087181F" w14:paraId="21867148" w14:textId="77777777" w:rsidTr="0087181F">
        <w:trPr>
          <w:trHeight w:val="408"/>
        </w:trPr>
        <w:tc>
          <w:tcPr>
            <w:tcW w:w="2547" w:type="dxa"/>
          </w:tcPr>
          <w:p w14:paraId="2B5F98EA"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 xml:space="preserve">Bird box </w:t>
            </w:r>
          </w:p>
        </w:tc>
        <w:tc>
          <w:tcPr>
            <w:tcW w:w="5103" w:type="dxa"/>
          </w:tcPr>
          <w:p w14:paraId="0D7A2267" w14:textId="77777777" w:rsidR="0087181F" w:rsidRPr="0087181F" w:rsidRDefault="0087181F" w:rsidP="0087181F">
            <w:pPr>
              <w:autoSpaceDE w:val="0"/>
              <w:autoSpaceDN w:val="0"/>
              <w:jc w:val="center"/>
              <w:rPr>
                <w:rFonts w:ascii="Georgia" w:hAnsi="Georgia"/>
                <w:color w:val="404040" w:themeColor="text1" w:themeTint="BF"/>
                <w:sz w:val="20"/>
                <w:szCs w:val="20"/>
              </w:rPr>
            </w:pPr>
            <w:r w:rsidRPr="0087181F">
              <w:rPr>
                <w:rFonts w:ascii="Georgia" w:hAnsi="Georgia"/>
                <w:color w:val="404040" w:themeColor="text1" w:themeTint="BF"/>
                <w:sz w:val="20"/>
                <w:szCs w:val="20"/>
              </w:rPr>
              <w:t>60%</w:t>
            </w:r>
          </w:p>
        </w:tc>
      </w:tr>
      <w:tr w:rsidR="0087181F" w:rsidRPr="0087181F" w14:paraId="3CEB04A5" w14:textId="77777777" w:rsidTr="0087181F">
        <w:trPr>
          <w:trHeight w:val="385"/>
        </w:trPr>
        <w:tc>
          <w:tcPr>
            <w:tcW w:w="2547" w:type="dxa"/>
          </w:tcPr>
          <w:p w14:paraId="3DB4A2E9"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Bat box</w:t>
            </w:r>
          </w:p>
        </w:tc>
        <w:tc>
          <w:tcPr>
            <w:tcW w:w="5103" w:type="dxa"/>
          </w:tcPr>
          <w:p w14:paraId="55DA909F" w14:textId="77777777" w:rsidR="0087181F" w:rsidRPr="0087181F" w:rsidRDefault="0087181F" w:rsidP="0087181F">
            <w:pPr>
              <w:autoSpaceDE w:val="0"/>
              <w:autoSpaceDN w:val="0"/>
              <w:jc w:val="center"/>
              <w:rPr>
                <w:rFonts w:ascii="Georgia" w:hAnsi="Georgia"/>
                <w:color w:val="404040" w:themeColor="text1" w:themeTint="BF"/>
                <w:sz w:val="20"/>
                <w:szCs w:val="20"/>
              </w:rPr>
            </w:pPr>
            <w:r w:rsidRPr="0087181F">
              <w:rPr>
                <w:rFonts w:ascii="Georgia" w:hAnsi="Georgia"/>
                <w:color w:val="404040" w:themeColor="text1" w:themeTint="BF"/>
                <w:sz w:val="20"/>
                <w:szCs w:val="20"/>
              </w:rPr>
              <w:t>62%</w:t>
            </w:r>
          </w:p>
        </w:tc>
      </w:tr>
      <w:tr w:rsidR="0087181F" w:rsidRPr="0087181F" w14:paraId="10D7F2AC" w14:textId="77777777" w:rsidTr="0087181F">
        <w:trPr>
          <w:trHeight w:val="385"/>
        </w:trPr>
        <w:tc>
          <w:tcPr>
            <w:tcW w:w="2547" w:type="dxa"/>
          </w:tcPr>
          <w:p w14:paraId="1F1E0276"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Beehives</w:t>
            </w:r>
          </w:p>
        </w:tc>
        <w:tc>
          <w:tcPr>
            <w:tcW w:w="5103" w:type="dxa"/>
          </w:tcPr>
          <w:p w14:paraId="5D513E82" w14:textId="77777777" w:rsidR="0087181F" w:rsidRPr="0087181F" w:rsidRDefault="0087181F" w:rsidP="0087181F">
            <w:pPr>
              <w:autoSpaceDE w:val="0"/>
              <w:autoSpaceDN w:val="0"/>
              <w:jc w:val="center"/>
              <w:rPr>
                <w:rFonts w:ascii="Georgia" w:hAnsi="Georgia"/>
                <w:color w:val="404040" w:themeColor="text1" w:themeTint="BF"/>
                <w:sz w:val="20"/>
                <w:szCs w:val="20"/>
              </w:rPr>
            </w:pPr>
            <w:r w:rsidRPr="0087181F">
              <w:rPr>
                <w:rFonts w:ascii="Georgia" w:hAnsi="Georgia"/>
                <w:color w:val="404040" w:themeColor="text1" w:themeTint="BF"/>
                <w:sz w:val="20"/>
                <w:szCs w:val="20"/>
              </w:rPr>
              <w:t>4%</w:t>
            </w:r>
          </w:p>
        </w:tc>
      </w:tr>
      <w:tr w:rsidR="0087181F" w:rsidRPr="0087181F" w14:paraId="37737ACE" w14:textId="77777777" w:rsidTr="0087181F">
        <w:trPr>
          <w:trHeight w:val="385"/>
        </w:trPr>
        <w:tc>
          <w:tcPr>
            <w:tcW w:w="2547" w:type="dxa"/>
          </w:tcPr>
          <w:p w14:paraId="4785641C" w14:textId="77777777"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Grazing</w:t>
            </w:r>
          </w:p>
        </w:tc>
        <w:tc>
          <w:tcPr>
            <w:tcW w:w="5103" w:type="dxa"/>
          </w:tcPr>
          <w:p w14:paraId="635E65C7" w14:textId="6F845886" w:rsidR="0087181F" w:rsidRPr="0087181F" w:rsidRDefault="0087181F" w:rsidP="0087181F">
            <w:pPr>
              <w:autoSpaceDE w:val="0"/>
              <w:autoSpaceDN w:val="0"/>
              <w:jc w:val="center"/>
              <w:rPr>
                <w:rFonts w:ascii="Georgia" w:hAnsi="Georgia"/>
                <w:color w:val="404040" w:themeColor="text1" w:themeTint="BF"/>
                <w:sz w:val="20"/>
                <w:szCs w:val="20"/>
              </w:rPr>
            </w:pPr>
            <w:r w:rsidRPr="0087181F">
              <w:rPr>
                <w:rFonts w:ascii="Georgia" w:hAnsi="Georgia"/>
                <w:color w:val="404040" w:themeColor="text1" w:themeTint="BF"/>
                <w:sz w:val="20"/>
                <w:szCs w:val="20"/>
              </w:rPr>
              <w:t>32%</w:t>
            </w:r>
          </w:p>
        </w:tc>
      </w:tr>
    </w:tbl>
    <w:p w14:paraId="471C8095" w14:textId="6E381B31" w:rsidR="0087181F" w:rsidRDefault="0087181F" w:rsidP="0087181F">
      <w:pPr>
        <w:autoSpaceDE w:val="0"/>
        <w:autoSpaceDN w:val="0"/>
        <w:jc w:val="both"/>
        <w:rPr>
          <w:rFonts w:ascii="Georgia" w:hAnsi="Georgia"/>
          <w:color w:val="404040" w:themeColor="text1" w:themeTint="BF"/>
          <w:sz w:val="20"/>
          <w:szCs w:val="20"/>
          <w:lang w:val="en-US"/>
        </w:rPr>
      </w:pPr>
    </w:p>
    <w:p w14:paraId="4F05A1FD" w14:textId="701B5541" w:rsidR="0087181F" w:rsidRPr="0087181F" w:rsidRDefault="0014120A" w:rsidP="0087181F">
      <w:pPr>
        <w:autoSpaceDE w:val="0"/>
        <w:autoSpaceDN w:val="0"/>
        <w:jc w:val="both"/>
        <w:rPr>
          <w:rFonts w:ascii="Georgia" w:hAnsi="Georgia"/>
          <w:color w:val="404040" w:themeColor="text1" w:themeTint="BF"/>
          <w:sz w:val="20"/>
          <w:szCs w:val="20"/>
        </w:rPr>
      </w:pPr>
      <w:r>
        <w:rPr>
          <w:rFonts w:ascii="Georgia" w:hAnsi="Georgia"/>
          <w:color w:val="404040" w:themeColor="text1" w:themeTint="BF"/>
          <w:sz w:val="20"/>
          <w:szCs w:val="20"/>
          <w:lang w:val="en-US"/>
        </w:rPr>
        <w:t>The f</w:t>
      </w:r>
      <w:proofErr w:type="spellStart"/>
      <w:r w:rsidR="0087181F" w:rsidRPr="0087181F">
        <w:rPr>
          <w:rFonts w:ascii="Georgia" w:hAnsi="Georgia"/>
          <w:color w:val="404040" w:themeColor="text1" w:themeTint="BF"/>
          <w:sz w:val="20"/>
          <w:szCs w:val="20"/>
        </w:rPr>
        <w:t>ocus</w:t>
      </w:r>
      <w:proofErr w:type="spellEnd"/>
      <w:r w:rsidR="0087181F" w:rsidRPr="0087181F">
        <w:rPr>
          <w:rFonts w:ascii="Georgia" w:hAnsi="Georgia"/>
          <w:color w:val="404040" w:themeColor="text1" w:themeTint="BF"/>
          <w:sz w:val="20"/>
          <w:szCs w:val="20"/>
        </w:rPr>
        <w:t xml:space="preserve"> for the upcoming financial year is to benchmark biodiversity through ecological surveys. The quantitative data obtained will be used to measure the effectiveness of additional biodiversity enhancement measures implemented in the future. A small sample of sites will be surveyed initially, potentially in collaboration with a University. </w:t>
      </w:r>
    </w:p>
    <w:p w14:paraId="4027A937" w14:textId="77777777" w:rsidR="0087181F" w:rsidRDefault="0087181F" w:rsidP="0087181F">
      <w:pPr>
        <w:autoSpaceDE w:val="0"/>
        <w:autoSpaceDN w:val="0"/>
        <w:jc w:val="both"/>
        <w:rPr>
          <w:rFonts w:ascii="Georgia" w:hAnsi="Georgia"/>
          <w:color w:val="404040" w:themeColor="text1" w:themeTint="BF"/>
          <w:sz w:val="20"/>
          <w:szCs w:val="20"/>
        </w:rPr>
      </w:pPr>
      <w:bookmarkStart w:id="17" w:name="_Toc50044042"/>
    </w:p>
    <w:p w14:paraId="2624434C" w14:textId="60914597" w:rsidR="0087181F" w:rsidRPr="0087181F" w:rsidRDefault="0087181F" w:rsidP="0087181F">
      <w:pPr>
        <w:autoSpaceDE w:val="0"/>
        <w:autoSpaceDN w:val="0"/>
        <w:jc w:val="both"/>
        <w:rPr>
          <w:rFonts w:ascii="Georgia" w:hAnsi="Georgia"/>
          <w:i/>
          <w:color w:val="404040" w:themeColor="text1" w:themeTint="BF"/>
          <w:sz w:val="20"/>
          <w:szCs w:val="20"/>
        </w:rPr>
      </w:pPr>
      <w:r w:rsidRPr="0087181F">
        <w:rPr>
          <w:rFonts w:ascii="Georgia" w:hAnsi="Georgia"/>
          <w:i/>
          <w:color w:val="404040" w:themeColor="text1" w:themeTint="BF"/>
          <w:sz w:val="20"/>
          <w:szCs w:val="20"/>
        </w:rPr>
        <w:t>Sheep grazing</w:t>
      </w:r>
      <w:bookmarkEnd w:id="17"/>
    </w:p>
    <w:p w14:paraId="28095249" w14:textId="77777777" w:rsidR="0087181F" w:rsidRDefault="0087181F" w:rsidP="0087181F">
      <w:pPr>
        <w:autoSpaceDE w:val="0"/>
        <w:autoSpaceDN w:val="0"/>
        <w:jc w:val="both"/>
        <w:rPr>
          <w:rFonts w:ascii="Georgia" w:hAnsi="Georgia"/>
          <w:color w:val="404040" w:themeColor="text1" w:themeTint="BF"/>
          <w:sz w:val="20"/>
          <w:szCs w:val="20"/>
        </w:rPr>
      </w:pPr>
    </w:p>
    <w:p w14:paraId="58369306" w14:textId="027044BA" w:rsidR="0087181F" w:rsidRPr="0087181F" w:rsidRDefault="0087181F" w:rsidP="0087181F">
      <w:pPr>
        <w:autoSpaceDE w:val="0"/>
        <w:autoSpaceDN w:val="0"/>
        <w:jc w:val="both"/>
        <w:rPr>
          <w:rFonts w:ascii="Georgia" w:hAnsi="Georgia"/>
          <w:color w:val="404040" w:themeColor="text1" w:themeTint="BF"/>
          <w:sz w:val="20"/>
          <w:szCs w:val="20"/>
        </w:rPr>
      </w:pPr>
      <w:r w:rsidRPr="0087181F">
        <w:rPr>
          <w:rFonts w:ascii="Georgia" w:hAnsi="Georgia"/>
          <w:color w:val="404040" w:themeColor="text1" w:themeTint="BF"/>
          <w:sz w:val="20"/>
          <w:szCs w:val="20"/>
        </w:rPr>
        <w:t xml:space="preserve">Many sites within the portfolio allow sheep grazing, demonstrating that solar farms can support farming. Grazing also provides a cost-effective way of managing grassland in solar farms while increasing its conservation value. </w:t>
      </w:r>
    </w:p>
    <w:p w14:paraId="433F3D59" w14:textId="77777777" w:rsidR="0087181F" w:rsidRDefault="0087181F" w:rsidP="0087181F">
      <w:pPr>
        <w:autoSpaceDE w:val="0"/>
        <w:autoSpaceDN w:val="0"/>
        <w:jc w:val="both"/>
        <w:rPr>
          <w:rFonts w:ascii="Georgia" w:hAnsi="Georgia"/>
          <w:color w:val="404040" w:themeColor="text1" w:themeTint="BF"/>
          <w:sz w:val="20"/>
          <w:szCs w:val="20"/>
        </w:rPr>
      </w:pPr>
      <w:bookmarkStart w:id="18" w:name="_Toc50044043"/>
    </w:p>
    <w:p w14:paraId="40B333E8" w14:textId="599EFC3B" w:rsidR="0087181F" w:rsidRPr="0087181F" w:rsidRDefault="0087181F" w:rsidP="0087181F">
      <w:pPr>
        <w:autoSpaceDE w:val="0"/>
        <w:autoSpaceDN w:val="0"/>
        <w:jc w:val="both"/>
        <w:rPr>
          <w:rFonts w:ascii="Georgia" w:hAnsi="Georgia"/>
          <w:i/>
          <w:color w:val="404040" w:themeColor="text1" w:themeTint="BF"/>
          <w:sz w:val="20"/>
          <w:szCs w:val="20"/>
        </w:rPr>
      </w:pPr>
      <w:r w:rsidRPr="0087181F">
        <w:rPr>
          <w:rFonts w:ascii="Georgia" w:hAnsi="Georgia"/>
          <w:i/>
          <w:color w:val="404040" w:themeColor="text1" w:themeTint="BF"/>
          <w:sz w:val="20"/>
          <w:szCs w:val="20"/>
        </w:rPr>
        <w:t>Beehives</w:t>
      </w:r>
      <w:bookmarkEnd w:id="18"/>
    </w:p>
    <w:p w14:paraId="4B7F2F5F" w14:textId="77777777" w:rsidR="0087181F" w:rsidRDefault="0087181F" w:rsidP="0087181F">
      <w:pPr>
        <w:autoSpaceDE w:val="0"/>
        <w:autoSpaceDN w:val="0"/>
        <w:jc w:val="both"/>
        <w:rPr>
          <w:rFonts w:ascii="Georgia" w:hAnsi="Georgia"/>
          <w:color w:val="404040" w:themeColor="text1" w:themeTint="BF"/>
          <w:sz w:val="20"/>
          <w:szCs w:val="20"/>
        </w:rPr>
      </w:pPr>
    </w:p>
    <w:p w14:paraId="35DB263F" w14:textId="65225FCB" w:rsidR="0087181F" w:rsidRPr="0087181F" w:rsidRDefault="00137419" w:rsidP="0087181F">
      <w:pPr>
        <w:autoSpaceDE w:val="0"/>
        <w:autoSpaceDN w:val="0"/>
        <w:jc w:val="both"/>
        <w:rPr>
          <w:rFonts w:ascii="Georgia" w:hAnsi="Georgia"/>
          <w:color w:val="404040" w:themeColor="text1" w:themeTint="BF"/>
          <w:sz w:val="20"/>
          <w:szCs w:val="20"/>
        </w:rPr>
      </w:pPr>
      <w:r>
        <w:rPr>
          <w:rFonts w:ascii="Georgia" w:hAnsi="Georgia"/>
          <w:color w:val="404040" w:themeColor="text1" w:themeTint="BF"/>
          <w:sz w:val="20"/>
          <w:szCs w:val="20"/>
        </w:rPr>
        <w:t>Bluefield</w:t>
      </w:r>
      <w:r w:rsidR="0087181F" w:rsidRPr="0087181F">
        <w:rPr>
          <w:rFonts w:ascii="Georgia" w:hAnsi="Georgia"/>
          <w:color w:val="404040" w:themeColor="text1" w:themeTint="BF"/>
          <w:sz w:val="20"/>
          <w:szCs w:val="20"/>
        </w:rPr>
        <w:t xml:space="preserve"> has been trialling placement of beehives on various sites, supporting local bee farmers as well as surrounding ecosystems. There are plans for the widespread deployment of hives across the portfolio.</w:t>
      </w:r>
    </w:p>
    <w:p w14:paraId="7978152B" w14:textId="519B2E79" w:rsidR="0087181F" w:rsidRDefault="0087181F" w:rsidP="0087181F">
      <w:pPr>
        <w:autoSpaceDE w:val="0"/>
        <w:autoSpaceDN w:val="0"/>
        <w:jc w:val="both"/>
        <w:rPr>
          <w:rFonts w:ascii="Georgia" w:hAnsi="Georgia"/>
          <w:color w:val="404040" w:themeColor="text1" w:themeTint="BF"/>
          <w:sz w:val="20"/>
          <w:szCs w:val="20"/>
        </w:rPr>
      </w:pPr>
    </w:p>
    <w:p w14:paraId="370014DD" w14:textId="77777777" w:rsidR="00760E26" w:rsidRPr="00096B63" w:rsidRDefault="00760E26" w:rsidP="00760E26">
      <w:pPr>
        <w:autoSpaceDE w:val="0"/>
        <w:autoSpaceDN w:val="0"/>
        <w:jc w:val="both"/>
        <w:rPr>
          <w:rFonts w:ascii="Georgia" w:hAnsi="Georgia"/>
          <w:b/>
          <w:i/>
          <w:color w:val="404040" w:themeColor="text1" w:themeTint="BF"/>
          <w:sz w:val="20"/>
          <w:szCs w:val="20"/>
        </w:rPr>
      </w:pPr>
      <w:bookmarkStart w:id="19" w:name="_Toc50044044"/>
      <w:r w:rsidRPr="00096B63">
        <w:rPr>
          <w:rFonts w:ascii="Georgia" w:hAnsi="Georgia"/>
          <w:b/>
          <w:i/>
          <w:color w:val="404040" w:themeColor="text1" w:themeTint="BF"/>
          <w:sz w:val="20"/>
          <w:szCs w:val="20"/>
        </w:rPr>
        <w:t>Social Considerations</w:t>
      </w:r>
      <w:bookmarkEnd w:id="19"/>
      <w:r w:rsidRPr="00096B63">
        <w:rPr>
          <w:rFonts w:ascii="Georgia" w:hAnsi="Georgia"/>
          <w:b/>
          <w:i/>
          <w:color w:val="404040" w:themeColor="text1" w:themeTint="BF"/>
          <w:sz w:val="20"/>
          <w:szCs w:val="20"/>
        </w:rPr>
        <w:t xml:space="preserve"> </w:t>
      </w:r>
    </w:p>
    <w:p w14:paraId="77040B4A" w14:textId="77777777" w:rsidR="00760E26" w:rsidRPr="00096B63" w:rsidRDefault="00760E26" w:rsidP="00760E26">
      <w:pPr>
        <w:autoSpaceDE w:val="0"/>
        <w:autoSpaceDN w:val="0"/>
        <w:jc w:val="both"/>
        <w:rPr>
          <w:rFonts w:ascii="Georgia" w:hAnsi="Georgia"/>
          <w:b/>
          <w:i/>
          <w:color w:val="404040" w:themeColor="text1" w:themeTint="BF"/>
          <w:sz w:val="20"/>
          <w:szCs w:val="20"/>
        </w:rPr>
      </w:pPr>
      <w:bookmarkStart w:id="20" w:name="_Toc50044045"/>
    </w:p>
    <w:p w14:paraId="192D37A2" w14:textId="6CAAFEF6" w:rsidR="00760E26" w:rsidRPr="00096B63" w:rsidRDefault="00760E26" w:rsidP="00760E26">
      <w:pPr>
        <w:autoSpaceDE w:val="0"/>
        <w:autoSpaceDN w:val="0"/>
        <w:jc w:val="both"/>
        <w:rPr>
          <w:rFonts w:ascii="Georgia" w:hAnsi="Georgia"/>
          <w:b/>
          <w:i/>
          <w:color w:val="404040" w:themeColor="text1" w:themeTint="BF"/>
          <w:sz w:val="20"/>
          <w:szCs w:val="20"/>
        </w:rPr>
      </w:pPr>
      <w:r w:rsidRPr="00096B63">
        <w:rPr>
          <w:rFonts w:ascii="Georgia" w:hAnsi="Georgia"/>
          <w:b/>
          <w:i/>
          <w:color w:val="404040" w:themeColor="text1" w:themeTint="BF"/>
          <w:sz w:val="20"/>
          <w:szCs w:val="20"/>
        </w:rPr>
        <w:t>Introduction</w:t>
      </w:r>
      <w:bookmarkEnd w:id="20"/>
    </w:p>
    <w:p w14:paraId="0AC59EC3" w14:textId="77777777" w:rsidR="00760E26" w:rsidRDefault="00760E26" w:rsidP="00760E26">
      <w:pPr>
        <w:autoSpaceDE w:val="0"/>
        <w:autoSpaceDN w:val="0"/>
        <w:jc w:val="both"/>
        <w:rPr>
          <w:rFonts w:ascii="Georgia" w:hAnsi="Georgia"/>
          <w:color w:val="404040" w:themeColor="text1" w:themeTint="BF"/>
          <w:sz w:val="20"/>
          <w:szCs w:val="20"/>
        </w:rPr>
      </w:pPr>
    </w:p>
    <w:p w14:paraId="76BBF10E" w14:textId="7EA7E9E9" w:rsidR="00760E26" w:rsidRPr="00760E26" w:rsidRDefault="00760E26" w:rsidP="00760E26">
      <w:pPr>
        <w:autoSpaceDE w:val="0"/>
        <w:autoSpaceDN w:val="0"/>
        <w:jc w:val="both"/>
        <w:rPr>
          <w:rFonts w:ascii="Georgia" w:hAnsi="Georgia"/>
          <w:color w:val="404040" w:themeColor="text1" w:themeTint="BF"/>
          <w:sz w:val="20"/>
          <w:szCs w:val="20"/>
        </w:rPr>
      </w:pPr>
      <w:r w:rsidRPr="00760E26">
        <w:rPr>
          <w:rFonts w:ascii="Georgia" w:hAnsi="Georgia"/>
          <w:color w:val="404040" w:themeColor="text1" w:themeTint="BF"/>
          <w:sz w:val="20"/>
          <w:szCs w:val="20"/>
        </w:rPr>
        <w:t xml:space="preserve">The Bluefield Group strives to achieve the highest levels of social responsibility and aims to maximise its positive impact on local communities and provide a dynamic environment for its workforce.  </w:t>
      </w:r>
    </w:p>
    <w:p w14:paraId="4952B7F1" w14:textId="0B084A16" w:rsidR="00760E26" w:rsidRDefault="00760E26" w:rsidP="0087181F">
      <w:pPr>
        <w:autoSpaceDE w:val="0"/>
        <w:autoSpaceDN w:val="0"/>
        <w:jc w:val="both"/>
        <w:rPr>
          <w:rFonts w:ascii="Georgia" w:hAnsi="Georgia"/>
          <w:color w:val="404040" w:themeColor="text1" w:themeTint="BF"/>
          <w:sz w:val="20"/>
          <w:szCs w:val="20"/>
        </w:rPr>
      </w:pPr>
    </w:p>
    <w:p w14:paraId="580EDE52" w14:textId="54C2F5E2" w:rsidR="00760E26" w:rsidRDefault="00760E26" w:rsidP="0087181F">
      <w:pPr>
        <w:autoSpaceDE w:val="0"/>
        <w:autoSpaceDN w:val="0"/>
        <w:jc w:val="both"/>
        <w:rPr>
          <w:rFonts w:ascii="Georgia" w:hAnsi="Georgia"/>
          <w:color w:val="404040" w:themeColor="text1" w:themeTint="BF"/>
          <w:sz w:val="20"/>
          <w:szCs w:val="20"/>
        </w:rPr>
      </w:pPr>
    </w:p>
    <w:p w14:paraId="565FCC1F" w14:textId="1B0F644F" w:rsidR="00760E26" w:rsidRDefault="00760E26" w:rsidP="0087181F">
      <w:pPr>
        <w:autoSpaceDE w:val="0"/>
        <w:autoSpaceDN w:val="0"/>
        <w:jc w:val="both"/>
        <w:rPr>
          <w:rFonts w:ascii="Georgia" w:hAnsi="Georgia"/>
          <w:color w:val="404040" w:themeColor="text1" w:themeTint="BF"/>
          <w:sz w:val="20"/>
          <w:szCs w:val="20"/>
        </w:rPr>
      </w:pPr>
    </w:p>
    <w:p w14:paraId="3887EBE3" w14:textId="7D93D52D" w:rsidR="00760E26" w:rsidRDefault="00760E26" w:rsidP="0087181F">
      <w:pPr>
        <w:autoSpaceDE w:val="0"/>
        <w:autoSpaceDN w:val="0"/>
        <w:jc w:val="both"/>
        <w:rPr>
          <w:rFonts w:ascii="Georgia" w:hAnsi="Georgia"/>
          <w:color w:val="404040" w:themeColor="text1" w:themeTint="BF"/>
          <w:sz w:val="20"/>
          <w:szCs w:val="20"/>
        </w:rPr>
      </w:pPr>
    </w:p>
    <w:p w14:paraId="2B6607CD" w14:textId="4102B85C" w:rsidR="00760E26" w:rsidRDefault="00760E26" w:rsidP="0087181F">
      <w:pPr>
        <w:autoSpaceDE w:val="0"/>
        <w:autoSpaceDN w:val="0"/>
        <w:jc w:val="both"/>
        <w:rPr>
          <w:rFonts w:ascii="Georgia" w:hAnsi="Georgia"/>
          <w:color w:val="404040" w:themeColor="text1" w:themeTint="BF"/>
          <w:sz w:val="20"/>
          <w:szCs w:val="20"/>
        </w:rPr>
      </w:pPr>
    </w:p>
    <w:p w14:paraId="20677319" w14:textId="280BD0D1" w:rsidR="00760E26" w:rsidRDefault="00760E26" w:rsidP="0087181F">
      <w:pPr>
        <w:autoSpaceDE w:val="0"/>
        <w:autoSpaceDN w:val="0"/>
        <w:jc w:val="both"/>
        <w:rPr>
          <w:rFonts w:ascii="Georgia" w:hAnsi="Georgia"/>
          <w:color w:val="404040" w:themeColor="text1" w:themeTint="BF"/>
          <w:sz w:val="20"/>
          <w:szCs w:val="20"/>
        </w:rPr>
      </w:pPr>
    </w:p>
    <w:p w14:paraId="06696CE7" w14:textId="77777777" w:rsidR="00760E26" w:rsidRPr="00475D47" w:rsidRDefault="00760E26" w:rsidP="00760E26">
      <w:pPr>
        <w:pStyle w:val="Heading2"/>
        <w:spacing w:before="0"/>
      </w:pPr>
      <w:r w:rsidRPr="00475D47">
        <w:lastRenderedPageBreak/>
        <w:t>Report of the Investment Adviser (continued)</w:t>
      </w:r>
    </w:p>
    <w:p w14:paraId="15837D49" w14:textId="77777777" w:rsidR="00760E26" w:rsidRDefault="00760E26" w:rsidP="00760E26">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706A292A" w14:textId="77777777" w:rsidR="00760E26" w:rsidRPr="006A565F" w:rsidRDefault="00760E26" w:rsidP="00760E26">
      <w:pPr>
        <w:spacing w:after="160" w:line="259" w:lineRule="auto"/>
        <w:jc w:val="both"/>
        <w:rPr>
          <w:rStyle w:val="normaltextrun"/>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70D138E2" w14:textId="53A3CF58" w:rsidR="00760E26" w:rsidRPr="00096B63" w:rsidRDefault="00760E26" w:rsidP="00760E26">
      <w:pPr>
        <w:autoSpaceDE w:val="0"/>
        <w:autoSpaceDN w:val="0"/>
        <w:jc w:val="both"/>
        <w:rPr>
          <w:rFonts w:ascii="Georgia" w:hAnsi="Georgia"/>
          <w:b/>
          <w:i/>
          <w:color w:val="404040" w:themeColor="text1" w:themeTint="BF"/>
          <w:sz w:val="20"/>
          <w:szCs w:val="20"/>
        </w:rPr>
      </w:pPr>
      <w:bookmarkStart w:id="21" w:name="_Toc50044046"/>
      <w:r w:rsidRPr="00096B63">
        <w:rPr>
          <w:rFonts w:ascii="Georgia" w:hAnsi="Georgia"/>
          <w:b/>
          <w:i/>
          <w:color w:val="404040" w:themeColor="text1" w:themeTint="BF"/>
          <w:sz w:val="20"/>
          <w:szCs w:val="20"/>
        </w:rPr>
        <w:t>Covid-19 Response</w:t>
      </w:r>
      <w:bookmarkEnd w:id="21"/>
      <w:r w:rsidRPr="00096B63">
        <w:rPr>
          <w:rFonts w:ascii="Georgia" w:hAnsi="Georgia"/>
          <w:b/>
          <w:i/>
          <w:color w:val="404040" w:themeColor="text1" w:themeTint="BF"/>
          <w:sz w:val="20"/>
          <w:szCs w:val="20"/>
        </w:rPr>
        <w:t xml:space="preserve"> </w:t>
      </w:r>
    </w:p>
    <w:p w14:paraId="5703566B" w14:textId="77777777" w:rsidR="00760E26" w:rsidRPr="00760E26" w:rsidRDefault="00760E26" w:rsidP="00760E26">
      <w:pPr>
        <w:autoSpaceDE w:val="0"/>
        <w:autoSpaceDN w:val="0"/>
        <w:jc w:val="both"/>
        <w:rPr>
          <w:rFonts w:ascii="Georgia" w:hAnsi="Georgia"/>
          <w:color w:val="404040" w:themeColor="text1" w:themeTint="BF"/>
          <w:sz w:val="20"/>
          <w:szCs w:val="20"/>
        </w:rPr>
      </w:pPr>
    </w:p>
    <w:p w14:paraId="25803329" w14:textId="346DE093" w:rsidR="00760E26" w:rsidRPr="00760E26" w:rsidRDefault="00760E26" w:rsidP="00760E26">
      <w:pPr>
        <w:autoSpaceDE w:val="0"/>
        <w:autoSpaceDN w:val="0"/>
        <w:jc w:val="both"/>
        <w:rPr>
          <w:rFonts w:ascii="Georgia" w:hAnsi="Georgia"/>
          <w:color w:val="404040" w:themeColor="text1" w:themeTint="BF"/>
          <w:sz w:val="20"/>
          <w:szCs w:val="20"/>
        </w:rPr>
      </w:pPr>
      <w:r w:rsidRPr="00760E26">
        <w:rPr>
          <w:rFonts w:ascii="Georgia" w:hAnsi="Georgia"/>
          <w:color w:val="404040" w:themeColor="text1" w:themeTint="BF"/>
          <w:sz w:val="20"/>
          <w:szCs w:val="20"/>
        </w:rPr>
        <w:t>The Bluefield Group adjusted efficiently to the cir</w:t>
      </w:r>
      <w:r w:rsidR="000D3218">
        <w:rPr>
          <w:rFonts w:ascii="Georgia" w:hAnsi="Georgia"/>
          <w:color w:val="404040" w:themeColor="text1" w:themeTint="BF"/>
          <w:sz w:val="20"/>
          <w:szCs w:val="20"/>
        </w:rPr>
        <w:t>cumstances imposed by the Covid-</w:t>
      </w:r>
      <w:r w:rsidRPr="00760E26">
        <w:rPr>
          <w:rFonts w:ascii="Georgia" w:hAnsi="Georgia"/>
          <w:color w:val="404040" w:themeColor="text1" w:themeTint="BF"/>
          <w:sz w:val="20"/>
          <w:szCs w:val="20"/>
        </w:rPr>
        <w:t xml:space="preserve">19 pandemic, continuing to run as normal with only slight adjustments to service. In accordance with Government </w:t>
      </w:r>
      <w:r w:rsidR="00F1729C">
        <w:rPr>
          <w:rFonts w:ascii="Georgia" w:hAnsi="Georgia"/>
          <w:color w:val="404040" w:themeColor="text1" w:themeTint="BF"/>
          <w:sz w:val="20"/>
          <w:szCs w:val="20"/>
        </w:rPr>
        <w:t>instructions</w:t>
      </w:r>
      <w:r w:rsidRPr="00760E26">
        <w:rPr>
          <w:rFonts w:ascii="Georgia" w:hAnsi="Georgia"/>
          <w:color w:val="404040" w:themeColor="text1" w:themeTint="BF"/>
          <w:sz w:val="20"/>
          <w:szCs w:val="20"/>
        </w:rPr>
        <w:t xml:space="preserve"> on 23 March, all employees who were able to work from home were </w:t>
      </w:r>
      <w:r w:rsidR="00F1729C">
        <w:rPr>
          <w:rFonts w:ascii="Georgia" w:hAnsi="Georgia"/>
          <w:color w:val="404040" w:themeColor="text1" w:themeTint="BF"/>
          <w:sz w:val="20"/>
          <w:szCs w:val="20"/>
        </w:rPr>
        <w:t>asked</w:t>
      </w:r>
      <w:r w:rsidRPr="00760E26">
        <w:rPr>
          <w:rFonts w:ascii="Georgia" w:hAnsi="Georgia"/>
          <w:color w:val="404040" w:themeColor="text1" w:themeTint="BF"/>
          <w:sz w:val="20"/>
          <w:szCs w:val="20"/>
        </w:rPr>
        <w:t xml:space="preserve"> to do so with immediate effect. Key workers were identified and remained working as normal, with additional measures implemented to mitigate H</w:t>
      </w:r>
      <w:r w:rsidR="00F1729C">
        <w:rPr>
          <w:rFonts w:ascii="Georgia" w:hAnsi="Georgia"/>
          <w:color w:val="404040" w:themeColor="text1" w:themeTint="BF"/>
          <w:sz w:val="20"/>
          <w:szCs w:val="20"/>
        </w:rPr>
        <w:t xml:space="preserve">ealth </w:t>
      </w:r>
      <w:r w:rsidRPr="00760E26">
        <w:rPr>
          <w:rFonts w:ascii="Georgia" w:hAnsi="Georgia"/>
          <w:color w:val="404040" w:themeColor="text1" w:themeTint="BF"/>
          <w:sz w:val="20"/>
          <w:szCs w:val="20"/>
        </w:rPr>
        <w:t>&amp;</w:t>
      </w:r>
      <w:r w:rsidR="00F1729C">
        <w:rPr>
          <w:rFonts w:ascii="Georgia" w:hAnsi="Georgia"/>
          <w:color w:val="404040" w:themeColor="text1" w:themeTint="BF"/>
          <w:sz w:val="20"/>
          <w:szCs w:val="20"/>
        </w:rPr>
        <w:t xml:space="preserve"> </w:t>
      </w:r>
      <w:r w:rsidRPr="00760E26">
        <w:rPr>
          <w:rFonts w:ascii="Georgia" w:hAnsi="Georgia"/>
          <w:color w:val="404040" w:themeColor="text1" w:themeTint="BF"/>
          <w:sz w:val="20"/>
          <w:szCs w:val="20"/>
        </w:rPr>
        <w:t>S</w:t>
      </w:r>
      <w:r w:rsidR="00F1729C">
        <w:rPr>
          <w:rFonts w:ascii="Georgia" w:hAnsi="Georgia"/>
          <w:color w:val="404040" w:themeColor="text1" w:themeTint="BF"/>
          <w:sz w:val="20"/>
          <w:szCs w:val="20"/>
        </w:rPr>
        <w:t>afety</w:t>
      </w:r>
      <w:r w:rsidRPr="00760E26">
        <w:rPr>
          <w:rFonts w:ascii="Georgia" w:hAnsi="Georgia"/>
          <w:color w:val="404040" w:themeColor="text1" w:themeTint="BF"/>
          <w:sz w:val="20"/>
          <w:szCs w:val="20"/>
        </w:rPr>
        <w:t xml:space="preserve"> risk. </w:t>
      </w:r>
    </w:p>
    <w:p w14:paraId="42376584" w14:textId="77777777" w:rsidR="00760E26" w:rsidRPr="00760E26" w:rsidRDefault="00760E26" w:rsidP="00760E26">
      <w:pPr>
        <w:autoSpaceDE w:val="0"/>
        <w:autoSpaceDN w:val="0"/>
        <w:jc w:val="both"/>
        <w:rPr>
          <w:rFonts w:ascii="Georgia" w:hAnsi="Georgia"/>
          <w:color w:val="404040" w:themeColor="text1" w:themeTint="BF"/>
          <w:sz w:val="20"/>
          <w:szCs w:val="20"/>
        </w:rPr>
      </w:pPr>
    </w:p>
    <w:p w14:paraId="623E4694" w14:textId="6D324F39" w:rsidR="00760E26" w:rsidRPr="00760E26" w:rsidRDefault="00760E26" w:rsidP="00760E26">
      <w:pPr>
        <w:autoSpaceDE w:val="0"/>
        <w:autoSpaceDN w:val="0"/>
        <w:jc w:val="both"/>
        <w:rPr>
          <w:rFonts w:ascii="Georgia" w:hAnsi="Georgia"/>
          <w:color w:val="404040" w:themeColor="text1" w:themeTint="BF"/>
          <w:sz w:val="20"/>
          <w:szCs w:val="20"/>
        </w:rPr>
      </w:pPr>
      <w:r w:rsidRPr="00760E26">
        <w:rPr>
          <w:rFonts w:ascii="Georgia" w:hAnsi="Georgia"/>
          <w:color w:val="404040" w:themeColor="text1" w:themeTint="BF"/>
          <w:sz w:val="20"/>
          <w:szCs w:val="20"/>
        </w:rPr>
        <w:t>Mental health remained a priority, with managers frequently meeting with employees about their mental and physical well-being. No organisational redundancies took place and the majority of staff have been able to work effectively from home locations.</w:t>
      </w:r>
      <w:r w:rsidR="00B56A3C">
        <w:rPr>
          <w:rFonts w:ascii="Georgia" w:hAnsi="Georgia"/>
          <w:color w:val="404040" w:themeColor="text1" w:themeTint="BF"/>
          <w:sz w:val="20"/>
          <w:szCs w:val="20"/>
        </w:rPr>
        <w:t xml:space="preserve"> </w:t>
      </w:r>
    </w:p>
    <w:p w14:paraId="0A267C80" w14:textId="77777777" w:rsidR="00760E26" w:rsidRPr="00760E26" w:rsidRDefault="00760E26" w:rsidP="00760E26">
      <w:pPr>
        <w:autoSpaceDE w:val="0"/>
        <w:autoSpaceDN w:val="0"/>
        <w:jc w:val="both"/>
        <w:rPr>
          <w:rFonts w:ascii="Georgia" w:hAnsi="Georgia"/>
          <w:color w:val="404040" w:themeColor="text1" w:themeTint="BF"/>
          <w:sz w:val="20"/>
          <w:szCs w:val="20"/>
        </w:rPr>
      </w:pPr>
    </w:p>
    <w:p w14:paraId="01830116" w14:textId="77777777" w:rsidR="00760E26" w:rsidRPr="00760E26" w:rsidRDefault="00760E26" w:rsidP="00760E26">
      <w:pPr>
        <w:autoSpaceDE w:val="0"/>
        <w:autoSpaceDN w:val="0"/>
        <w:jc w:val="both"/>
        <w:rPr>
          <w:rFonts w:ascii="Georgia" w:hAnsi="Georgia"/>
          <w:color w:val="404040" w:themeColor="text1" w:themeTint="BF"/>
          <w:sz w:val="20"/>
          <w:szCs w:val="20"/>
        </w:rPr>
      </w:pPr>
      <w:r w:rsidRPr="00760E26">
        <w:rPr>
          <w:rFonts w:ascii="Georgia" w:hAnsi="Georgia"/>
          <w:color w:val="404040" w:themeColor="text1" w:themeTint="BF"/>
          <w:sz w:val="20"/>
          <w:szCs w:val="20"/>
        </w:rPr>
        <w:t>Employees were encouraged to help with local initiatives to support the pandemic relief efforts and were granted paid time off to do so if they indicated interest.  </w:t>
      </w:r>
    </w:p>
    <w:p w14:paraId="6856BACA" w14:textId="565EF521" w:rsidR="00760E26" w:rsidRDefault="00760E26" w:rsidP="0087181F">
      <w:pPr>
        <w:autoSpaceDE w:val="0"/>
        <w:autoSpaceDN w:val="0"/>
        <w:jc w:val="both"/>
        <w:rPr>
          <w:rFonts w:ascii="Georgia" w:hAnsi="Georgia"/>
          <w:color w:val="404040" w:themeColor="text1" w:themeTint="BF"/>
          <w:sz w:val="20"/>
          <w:szCs w:val="20"/>
        </w:rPr>
      </w:pPr>
    </w:p>
    <w:p w14:paraId="35E76107"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The Bluefield Group acknowledges that working practices will differ in the post-pandemic era. Work is underway to define the ‘new normal’ and how employees can be best supported to achieve a good work/life balance.</w:t>
      </w:r>
    </w:p>
    <w:p w14:paraId="13EEE2B6" w14:textId="23BEE02D" w:rsidR="00760E26" w:rsidRDefault="00760E26" w:rsidP="0087181F">
      <w:pPr>
        <w:autoSpaceDE w:val="0"/>
        <w:autoSpaceDN w:val="0"/>
        <w:jc w:val="both"/>
        <w:rPr>
          <w:rFonts w:ascii="Georgia" w:hAnsi="Georgia"/>
          <w:color w:val="404040" w:themeColor="text1" w:themeTint="BF"/>
          <w:sz w:val="20"/>
          <w:szCs w:val="20"/>
        </w:rPr>
      </w:pPr>
    </w:p>
    <w:p w14:paraId="15D184A9" w14:textId="183FF5D9" w:rsidR="00090986" w:rsidRPr="00096B63" w:rsidRDefault="00090986" w:rsidP="00090986">
      <w:pPr>
        <w:autoSpaceDE w:val="0"/>
        <w:autoSpaceDN w:val="0"/>
        <w:jc w:val="both"/>
        <w:rPr>
          <w:rFonts w:ascii="Georgia" w:hAnsi="Georgia"/>
          <w:b/>
          <w:i/>
          <w:color w:val="404040" w:themeColor="text1" w:themeTint="BF"/>
          <w:sz w:val="20"/>
          <w:szCs w:val="20"/>
        </w:rPr>
      </w:pPr>
      <w:bookmarkStart w:id="22" w:name="_Toc50044047"/>
      <w:r w:rsidRPr="00096B63">
        <w:rPr>
          <w:rFonts w:ascii="Georgia" w:hAnsi="Georgia"/>
          <w:b/>
          <w:i/>
          <w:color w:val="404040" w:themeColor="text1" w:themeTint="BF"/>
          <w:sz w:val="20"/>
          <w:szCs w:val="20"/>
        </w:rPr>
        <w:t>Bluefield Culture</w:t>
      </w:r>
      <w:bookmarkEnd w:id="22"/>
      <w:r w:rsidRPr="00096B63">
        <w:rPr>
          <w:rFonts w:ascii="Georgia" w:hAnsi="Georgia"/>
          <w:b/>
          <w:i/>
          <w:color w:val="404040" w:themeColor="text1" w:themeTint="BF"/>
          <w:sz w:val="20"/>
          <w:szCs w:val="20"/>
        </w:rPr>
        <w:t xml:space="preserve">  </w:t>
      </w:r>
    </w:p>
    <w:p w14:paraId="68C7516F"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1DB048A" w14:textId="6084A704"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Bluefi</w:t>
      </w:r>
      <w:r w:rsidR="00663AE6">
        <w:rPr>
          <w:rFonts w:ascii="Georgia" w:hAnsi="Georgia"/>
          <w:color w:val="404040" w:themeColor="text1" w:themeTint="BF"/>
          <w:sz w:val="20"/>
          <w:szCs w:val="20"/>
        </w:rPr>
        <w:t>eld</w:t>
      </w:r>
      <w:r w:rsidRPr="00090986">
        <w:rPr>
          <w:rFonts w:ascii="Georgia" w:hAnsi="Georgia"/>
          <w:color w:val="404040" w:themeColor="text1" w:themeTint="BF"/>
          <w:sz w:val="20"/>
          <w:szCs w:val="20"/>
        </w:rPr>
        <w:t xml:space="preserve"> is an equal opportunities employer and believes all employees should be treated fairly and equitably. There is zero tolerance for bullying or harassment and mental health is treated as a priority. A staff Engagement Survey will be introduced at the end of 2020 to provide insight into job satisfaction and inform strategies to further enhance employee experience. </w:t>
      </w:r>
    </w:p>
    <w:p w14:paraId="6A49DE00"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ED684DC"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A strong Health and Safety (H&amp;S) culture has been generated within the group, with further detail listed in the ‘Health and Safety’ section of this report. </w:t>
      </w:r>
    </w:p>
    <w:p w14:paraId="76B3C41C"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69775E5B" w14:textId="1A6AC0A7" w:rsidR="00090986" w:rsidRPr="00096B63" w:rsidRDefault="00090986" w:rsidP="00090986">
      <w:pPr>
        <w:autoSpaceDE w:val="0"/>
        <w:autoSpaceDN w:val="0"/>
        <w:jc w:val="both"/>
        <w:rPr>
          <w:rFonts w:ascii="Georgia" w:hAnsi="Georgia"/>
          <w:b/>
          <w:i/>
          <w:color w:val="404040" w:themeColor="text1" w:themeTint="BF"/>
          <w:sz w:val="20"/>
          <w:szCs w:val="20"/>
        </w:rPr>
      </w:pPr>
      <w:bookmarkStart w:id="23" w:name="_Toc50044048"/>
      <w:r w:rsidRPr="00096B63">
        <w:rPr>
          <w:rFonts w:ascii="Georgia" w:hAnsi="Georgia"/>
          <w:b/>
          <w:i/>
          <w:color w:val="404040" w:themeColor="text1" w:themeTint="BF"/>
          <w:sz w:val="20"/>
          <w:szCs w:val="20"/>
        </w:rPr>
        <w:t>Staff Development</w:t>
      </w:r>
      <w:bookmarkEnd w:id="23"/>
      <w:r w:rsidRPr="00096B63">
        <w:rPr>
          <w:rFonts w:ascii="Georgia" w:hAnsi="Georgia"/>
          <w:b/>
          <w:i/>
          <w:color w:val="404040" w:themeColor="text1" w:themeTint="BF"/>
          <w:sz w:val="20"/>
          <w:szCs w:val="20"/>
        </w:rPr>
        <w:t xml:space="preserve"> </w:t>
      </w:r>
    </w:p>
    <w:p w14:paraId="0C6D91F9"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36BB063"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The Bluefield Group promotes a learning culture and growth </w:t>
      </w:r>
      <w:proofErr w:type="spellStart"/>
      <w:r w:rsidRPr="00090986">
        <w:rPr>
          <w:rFonts w:ascii="Georgia" w:hAnsi="Georgia"/>
          <w:color w:val="404040" w:themeColor="text1" w:themeTint="BF"/>
          <w:sz w:val="20"/>
          <w:szCs w:val="20"/>
        </w:rPr>
        <w:t>mindset</w:t>
      </w:r>
      <w:proofErr w:type="spellEnd"/>
      <w:r w:rsidRPr="00090986">
        <w:rPr>
          <w:rFonts w:ascii="Georgia" w:hAnsi="Georgia"/>
          <w:color w:val="404040" w:themeColor="text1" w:themeTint="BF"/>
          <w:sz w:val="20"/>
          <w:szCs w:val="20"/>
        </w:rPr>
        <w:t>. An annual training budget is maintained per employee and internal talent is regularly identified and developed, with numerous progression pathways within the business. During the last 12 months there were 8 internal promotions across the group – over 10% of the total employees as at 30</w:t>
      </w:r>
      <w:r w:rsidRPr="00090986">
        <w:rPr>
          <w:rFonts w:ascii="Georgia" w:hAnsi="Georgia"/>
          <w:color w:val="404040" w:themeColor="text1" w:themeTint="BF"/>
          <w:sz w:val="20"/>
          <w:szCs w:val="20"/>
          <w:vertAlign w:val="superscript"/>
        </w:rPr>
        <w:t>th</w:t>
      </w:r>
      <w:r w:rsidRPr="00090986">
        <w:rPr>
          <w:rFonts w:ascii="Georgia" w:hAnsi="Georgia"/>
          <w:color w:val="404040" w:themeColor="text1" w:themeTint="BF"/>
          <w:sz w:val="20"/>
          <w:szCs w:val="20"/>
        </w:rPr>
        <w:t xml:space="preserve"> June 2020.</w:t>
      </w:r>
    </w:p>
    <w:p w14:paraId="2DB7B5C8" w14:textId="03527D82" w:rsidR="00090986" w:rsidRPr="00090986" w:rsidRDefault="00090986" w:rsidP="00090986">
      <w:pPr>
        <w:autoSpaceDE w:val="0"/>
        <w:autoSpaceDN w:val="0"/>
        <w:jc w:val="both"/>
        <w:rPr>
          <w:rFonts w:ascii="Georgia" w:hAnsi="Georgia"/>
          <w:color w:val="404040" w:themeColor="text1" w:themeTint="BF"/>
          <w:sz w:val="20"/>
          <w:szCs w:val="20"/>
        </w:rPr>
      </w:pPr>
    </w:p>
    <w:p w14:paraId="7BC57EA9" w14:textId="77C8033E" w:rsidR="00090986" w:rsidRPr="00090986" w:rsidRDefault="00112ACA" w:rsidP="00090986">
      <w:pPr>
        <w:autoSpaceDE w:val="0"/>
        <w:autoSpaceDN w:val="0"/>
        <w:jc w:val="both"/>
        <w:rPr>
          <w:rFonts w:ascii="Georgia" w:hAnsi="Georgia"/>
          <w:color w:val="404040" w:themeColor="text1" w:themeTint="BF"/>
          <w:sz w:val="20"/>
          <w:szCs w:val="20"/>
        </w:rPr>
      </w:pPr>
      <w:r>
        <w:rPr>
          <w:rFonts w:ascii="Georgia" w:hAnsi="Georgia"/>
          <w:color w:val="404040" w:themeColor="text1" w:themeTint="BF"/>
          <w:sz w:val="20"/>
          <w:szCs w:val="20"/>
          <w:u w:val="single"/>
        </w:rPr>
        <w:t xml:space="preserve">Case Study </w:t>
      </w:r>
      <w:r w:rsidR="00090986" w:rsidRPr="00090986">
        <w:rPr>
          <w:rFonts w:ascii="Georgia" w:hAnsi="Georgia"/>
          <w:color w:val="404040" w:themeColor="text1" w:themeTint="BF"/>
          <w:sz w:val="20"/>
          <w:szCs w:val="20"/>
          <w:u w:val="single"/>
        </w:rPr>
        <w:t xml:space="preserve">– </w:t>
      </w:r>
      <w:proofErr w:type="spellStart"/>
      <w:r w:rsidR="00090986" w:rsidRPr="00090986">
        <w:rPr>
          <w:rFonts w:ascii="Georgia" w:hAnsi="Georgia"/>
          <w:color w:val="404040" w:themeColor="text1" w:themeTint="BF"/>
          <w:sz w:val="20"/>
          <w:szCs w:val="20"/>
          <w:u w:val="single"/>
        </w:rPr>
        <w:t>Nunzia</w:t>
      </w:r>
      <w:proofErr w:type="spellEnd"/>
      <w:r w:rsidR="00090986" w:rsidRPr="00090986">
        <w:rPr>
          <w:rFonts w:ascii="Georgia" w:hAnsi="Georgia"/>
          <w:color w:val="404040" w:themeColor="text1" w:themeTint="BF"/>
          <w:sz w:val="20"/>
          <w:szCs w:val="20"/>
        </w:rPr>
        <w:t xml:space="preserve"> </w:t>
      </w:r>
    </w:p>
    <w:p w14:paraId="629924C2" w14:textId="77777777" w:rsidR="00090986" w:rsidRPr="00090986" w:rsidRDefault="00090986" w:rsidP="00090986">
      <w:pPr>
        <w:autoSpaceDE w:val="0"/>
        <w:autoSpaceDN w:val="0"/>
        <w:jc w:val="both"/>
        <w:rPr>
          <w:rFonts w:ascii="Georgia" w:hAnsi="Georgia"/>
          <w:i/>
          <w:iCs/>
          <w:color w:val="404040" w:themeColor="text1" w:themeTint="BF"/>
          <w:sz w:val="20"/>
          <w:szCs w:val="20"/>
        </w:rPr>
      </w:pPr>
      <w:r w:rsidRPr="00090986">
        <w:rPr>
          <w:rFonts w:ascii="Georgia" w:hAnsi="Georgia"/>
          <w:i/>
          <w:iCs/>
          <w:color w:val="404040" w:themeColor="text1" w:themeTint="BF"/>
          <w:sz w:val="20"/>
          <w:szCs w:val="20"/>
        </w:rPr>
        <w:t>“I joined Bluefield Partners LLP as a document manager after completing my law degree. Though I joined as a paralegal, Bluefield offered me the opportunity to study for my Legal Practice Course. During my two-year training contract, I was given flexibility to complete my studies and with Bluefield’s support I am now a fully qualified lawyer.</w:t>
      </w:r>
    </w:p>
    <w:p w14:paraId="6CAAEBD2" w14:textId="77777777" w:rsidR="00090986" w:rsidRDefault="00090986" w:rsidP="0087181F">
      <w:pPr>
        <w:autoSpaceDE w:val="0"/>
        <w:autoSpaceDN w:val="0"/>
        <w:jc w:val="both"/>
        <w:rPr>
          <w:rFonts w:ascii="Georgia" w:hAnsi="Georgia"/>
          <w:color w:val="404040" w:themeColor="text1" w:themeTint="BF"/>
          <w:sz w:val="20"/>
          <w:szCs w:val="20"/>
        </w:rPr>
      </w:pPr>
    </w:p>
    <w:p w14:paraId="15E1387E" w14:textId="77777777" w:rsidR="00090986" w:rsidRPr="00096B63" w:rsidRDefault="00090986" w:rsidP="00090986">
      <w:pPr>
        <w:autoSpaceDE w:val="0"/>
        <w:autoSpaceDN w:val="0"/>
        <w:jc w:val="both"/>
        <w:rPr>
          <w:rFonts w:ascii="Georgia" w:hAnsi="Georgia"/>
          <w:b/>
          <w:i/>
          <w:color w:val="404040" w:themeColor="text1" w:themeTint="BF"/>
          <w:sz w:val="20"/>
          <w:szCs w:val="20"/>
        </w:rPr>
      </w:pPr>
      <w:bookmarkStart w:id="24" w:name="_Toc50044049"/>
      <w:r w:rsidRPr="00096B63">
        <w:rPr>
          <w:rFonts w:ascii="Georgia" w:hAnsi="Georgia"/>
          <w:b/>
          <w:i/>
          <w:color w:val="404040" w:themeColor="text1" w:themeTint="BF"/>
          <w:sz w:val="20"/>
          <w:szCs w:val="20"/>
        </w:rPr>
        <w:t>Education</w:t>
      </w:r>
      <w:bookmarkEnd w:id="24"/>
      <w:r w:rsidRPr="00096B63">
        <w:rPr>
          <w:rFonts w:ascii="Georgia" w:hAnsi="Georgia"/>
          <w:b/>
          <w:i/>
          <w:color w:val="404040" w:themeColor="text1" w:themeTint="BF"/>
          <w:sz w:val="20"/>
          <w:szCs w:val="20"/>
        </w:rPr>
        <w:t xml:space="preserve"> </w:t>
      </w:r>
    </w:p>
    <w:p w14:paraId="7C410719"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65BA354D" w14:textId="77777777" w:rsidR="00090986" w:rsidRPr="00090986" w:rsidRDefault="00090986" w:rsidP="00090986">
      <w:pPr>
        <w:autoSpaceDE w:val="0"/>
        <w:autoSpaceDN w:val="0"/>
        <w:jc w:val="both"/>
        <w:rPr>
          <w:rFonts w:ascii="Georgia" w:hAnsi="Georgia"/>
          <w:color w:val="404040" w:themeColor="text1" w:themeTint="BF"/>
          <w:sz w:val="20"/>
          <w:szCs w:val="20"/>
        </w:rPr>
      </w:pPr>
      <w:bookmarkStart w:id="25" w:name="_Toc50044050"/>
      <w:r w:rsidRPr="00090986">
        <w:rPr>
          <w:rFonts w:ascii="Georgia" w:hAnsi="Georgia"/>
          <w:color w:val="404040" w:themeColor="text1" w:themeTint="BF"/>
          <w:sz w:val="20"/>
          <w:szCs w:val="20"/>
        </w:rPr>
        <w:t>Work Experience &amp; Internships</w:t>
      </w:r>
      <w:bookmarkEnd w:id="25"/>
      <w:r w:rsidRPr="00090986">
        <w:rPr>
          <w:rFonts w:ascii="Georgia" w:hAnsi="Georgia"/>
          <w:color w:val="404040" w:themeColor="text1" w:themeTint="BF"/>
          <w:sz w:val="20"/>
          <w:szCs w:val="20"/>
        </w:rPr>
        <w:t xml:space="preserve"> </w:t>
      </w:r>
    </w:p>
    <w:p w14:paraId="339BC87B" w14:textId="784DAA06"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The Bluefield Group provides internships, apprenticeships and work experience for students across the UK, increasing awareness of career opportunities within the renewable energy sector and further promoting Bluefield’s objective of sustainability. Last year</w:t>
      </w:r>
      <w:r w:rsidR="00F73694">
        <w:rPr>
          <w:rFonts w:ascii="Georgia" w:hAnsi="Georgia"/>
          <w:color w:val="404040" w:themeColor="text1" w:themeTint="BF"/>
          <w:sz w:val="20"/>
          <w:szCs w:val="20"/>
        </w:rPr>
        <w:t>,</w:t>
      </w:r>
      <w:r w:rsidRPr="00090986">
        <w:rPr>
          <w:rFonts w:ascii="Georgia" w:hAnsi="Georgia"/>
          <w:color w:val="404040" w:themeColor="text1" w:themeTint="BF"/>
          <w:sz w:val="20"/>
          <w:szCs w:val="20"/>
        </w:rPr>
        <w:t xml:space="preserve"> the Bluefield Group provided 8 work experience placements (including an apprenticeship). Two of these placements resulted in permanent job offers within the Monitoring and Administration teams.</w:t>
      </w:r>
    </w:p>
    <w:p w14:paraId="7A66D3AC" w14:textId="1070CA0B" w:rsidR="00090986" w:rsidRDefault="00090986" w:rsidP="00090986">
      <w:pPr>
        <w:autoSpaceDE w:val="0"/>
        <w:autoSpaceDN w:val="0"/>
        <w:jc w:val="both"/>
        <w:rPr>
          <w:rFonts w:ascii="Georgia" w:hAnsi="Georgia"/>
          <w:color w:val="404040" w:themeColor="text1" w:themeTint="BF"/>
          <w:sz w:val="20"/>
          <w:szCs w:val="20"/>
        </w:rPr>
      </w:pPr>
    </w:p>
    <w:p w14:paraId="5203C510" w14:textId="671032DB" w:rsidR="00090986" w:rsidRDefault="00090986" w:rsidP="00090986">
      <w:pPr>
        <w:autoSpaceDE w:val="0"/>
        <w:autoSpaceDN w:val="0"/>
        <w:jc w:val="both"/>
        <w:rPr>
          <w:rFonts w:ascii="Georgia" w:hAnsi="Georgia"/>
          <w:color w:val="404040" w:themeColor="text1" w:themeTint="BF"/>
          <w:sz w:val="20"/>
          <w:szCs w:val="20"/>
        </w:rPr>
      </w:pPr>
    </w:p>
    <w:p w14:paraId="737BEC8C" w14:textId="1D4CFC2F" w:rsidR="00090986" w:rsidRDefault="00090986" w:rsidP="00090986">
      <w:pPr>
        <w:autoSpaceDE w:val="0"/>
        <w:autoSpaceDN w:val="0"/>
        <w:jc w:val="both"/>
        <w:rPr>
          <w:rFonts w:ascii="Georgia" w:hAnsi="Georgia"/>
          <w:color w:val="404040" w:themeColor="text1" w:themeTint="BF"/>
          <w:sz w:val="20"/>
          <w:szCs w:val="20"/>
        </w:rPr>
      </w:pPr>
    </w:p>
    <w:p w14:paraId="2D73614B" w14:textId="47BF341E" w:rsidR="00090986" w:rsidRDefault="00090986" w:rsidP="00090986">
      <w:pPr>
        <w:autoSpaceDE w:val="0"/>
        <w:autoSpaceDN w:val="0"/>
        <w:jc w:val="both"/>
        <w:rPr>
          <w:rFonts w:ascii="Georgia" w:hAnsi="Georgia"/>
          <w:color w:val="404040" w:themeColor="text1" w:themeTint="BF"/>
          <w:sz w:val="20"/>
          <w:szCs w:val="20"/>
        </w:rPr>
      </w:pPr>
    </w:p>
    <w:p w14:paraId="0D3F2CA2" w14:textId="7ADBAE9F" w:rsidR="00090986" w:rsidRDefault="00090986" w:rsidP="00090986">
      <w:pPr>
        <w:autoSpaceDE w:val="0"/>
        <w:autoSpaceDN w:val="0"/>
        <w:jc w:val="both"/>
        <w:rPr>
          <w:rFonts w:ascii="Georgia" w:hAnsi="Georgia"/>
          <w:color w:val="404040" w:themeColor="text1" w:themeTint="BF"/>
          <w:sz w:val="20"/>
          <w:szCs w:val="20"/>
        </w:rPr>
      </w:pPr>
    </w:p>
    <w:p w14:paraId="1D0A14C1" w14:textId="77777777" w:rsidR="00090986" w:rsidRPr="00475D47" w:rsidRDefault="00090986" w:rsidP="00090986">
      <w:pPr>
        <w:pStyle w:val="Heading2"/>
        <w:spacing w:before="0"/>
      </w:pPr>
      <w:r w:rsidRPr="00475D47">
        <w:lastRenderedPageBreak/>
        <w:t>Report of the Investment Adviser (continued)</w:t>
      </w:r>
    </w:p>
    <w:p w14:paraId="26CAE46A" w14:textId="77777777" w:rsidR="00090986" w:rsidRDefault="00090986" w:rsidP="00090986">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51B7934C" w14:textId="488DABBB" w:rsidR="00090986" w:rsidRPr="00090986" w:rsidRDefault="00090986" w:rsidP="00090986">
      <w:pPr>
        <w:spacing w:after="160" w:line="259" w:lineRule="auto"/>
        <w:jc w:val="both"/>
        <w:rPr>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55D36824" w14:textId="4C04FEC3" w:rsidR="00090986" w:rsidRDefault="00090986" w:rsidP="00090986">
      <w:pPr>
        <w:autoSpaceDE w:val="0"/>
        <w:autoSpaceDN w:val="0"/>
        <w:jc w:val="both"/>
        <w:rPr>
          <w:rFonts w:ascii="Georgia" w:hAnsi="Georgia"/>
          <w:color w:val="404040" w:themeColor="text1" w:themeTint="BF"/>
          <w:sz w:val="20"/>
          <w:szCs w:val="20"/>
          <w:u w:val="single"/>
        </w:rPr>
      </w:pPr>
      <w:r w:rsidRPr="00090986">
        <w:rPr>
          <w:rFonts w:ascii="Georgia" w:hAnsi="Georgia"/>
          <w:color w:val="404040" w:themeColor="text1" w:themeTint="BF"/>
          <w:sz w:val="20"/>
          <w:szCs w:val="20"/>
          <w:u w:val="single"/>
        </w:rPr>
        <w:t xml:space="preserve">George Oxley case study </w:t>
      </w:r>
    </w:p>
    <w:p w14:paraId="76AE5F7F"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A4F1442" w14:textId="77777777" w:rsidR="00090986" w:rsidRPr="00090986" w:rsidRDefault="00090986" w:rsidP="00090986">
      <w:pPr>
        <w:autoSpaceDE w:val="0"/>
        <w:autoSpaceDN w:val="0"/>
        <w:jc w:val="both"/>
        <w:rPr>
          <w:rFonts w:ascii="Georgia" w:hAnsi="Georgia"/>
          <w:i/>
          <w:iCs/>
          <w:color w:val="404040" w:themeColor="text1" w:themeTint="BF"/>
          <w:sz w:val="20"/>
          <w:szCs w:val="20"/>
        </w:rPr>
      </w:pPr>
      <w:r w:rsidRPr="00090986">
        <w:rPr>
          <w:rFonts w:ascii="Georgia" w:hAnsi="Georgia"/>
          <w:i/>
          <w:iCs/>
          <w:color w:val="404040" w:themeColor="text1" w:themeTint="BF"/>
          <w:sz w:val="20"/>
          <w:szCs w:val="20"/>
        </w:rPr>
        <w:t>“I completed an internship with Bluefield during summer 2019 and gained knowledge and experience of the renewable sector. Upon completing my degree, I was keen to apply to Bluefield for a full-time position and was offered the role of a Monitoring and Performance Engineer. I have no doubt that my internship helped with my application and I look forward to my future with Bluefield.”</w:t>
      </w:r>
    </w:p>
    <w:p w14:paraId="78ADBE9D" w14:textId="690817D6" w:rsidR="00760E26" w:rsidRDefault="00760E26" w:rsidP="0087181F">
      <w:pPr>
        <w:autoSpaceDE w:val="0"/>
        <w:autoSpaceDN w:val="0"/>
        <w:jc w:val="both"/>
        <w:rPr>
          <w:rFonts w:ascii="Georgia" w:hAnsi="Georgia"/>
          <w:color w:val="404040" w:themeColor="text1" w:themeTint="BF"/>
          <w:sz w:val="20"/>
          <w:szCs w:val="20"/>
        </w:rPr>
      </w:pPr>
    </w:p>
    <w:p w14:paraId="2F4B4B65" w14:textId="74D46F46" w:rsidR="00090986" w:rsidRPr="00096B63" w:rsidRDefault="00090986" w:rsidP="00090986">
      <w:pPr>
        <w:autoSpaceDE w:val="0"/>
        <w:autoSpaceDN w:val="0"/>
        <w:jc w:val="both"/>
        <w:rPr>
          <w:rFonts w:ascii="Georgia" w:hAnsi="Georgia"/>
          <w:b/>
          <w:i/>
          <w:color w:val="404040" w:themeColor="text1" w:themeTint="BF"/>
          <w:sz w:val="20"/>
          <w:szCs w:val="20"/>
        </w:rPr>
      </w:pPr>
      <w:bookmarkStart w:id="26" w:name="_Toc50044051"/>
      <w:r w:rsidRPr="00096B63">
        <w:rPr>
          <w:rFonts w:ascii="Georgia" w:hAnsi="Georgia"/>
          <w:b/>
          <w:i/>
          <w:color w:val="404040" w:themeColor="text1" w:themeTint="BF"/>
          <w:sz w:val="20"/>
          <w:szCs w:val="20"/>
        </w:rPr>
        <w:t>Engagement with Universities</w:t>
      </w:r>
      <w:bookmarkEnd w:id="26"/>
      <w:r w:rsidRPr="00096B63">
        <w:rPr>
          <w:rFonts w:ascii="Georgia" w:hAnsi="Georgia"/>
          <w:b/>
          <w:i/>
          <w:color w:val="404040" w:themeColor="text1" w:themeTint="BF"/>
          <w:sz w:val="20"/>
          <w:szCs w:val="20"/>
        </w:rPr>
        <w:t xml:space="preserve"> </w:t>
      </w:r>
    </w:p>
    <w:p w14:paraId="14BDD009"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76983E4D" w14:textId="0EC78CE6"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The Bluefield Group has attended multiple University events, promoting the group as an employer of choice. Included was the University of Bristol’s first Sustainability Careers </w:t>
      </w:r>
      <w:r w:rsidR="00486798">
        <w:rPr>
          <w:rFonts w:ascii="Georgia" w:hAnsi="Georgia"/>
          <w:color w:val="404040" w:themeColor="text1" w:themeTint="BF"/>
          <w:sz w:val="20"/>
          <w:szCs w:val="20"/>
        </w:rPr>
        <w:t>Event</w:t>
      </w:r>
      <w:r w:rsidRPr="00090986">
        <w:rPr>
          <w:rFonts w:ascii="Georgia" w:hAnsi="Georgia"/>
          <w:color w:val="404040" w:themeColor="text1" w:themeTint="BF"/>
          <w:sz w:val="20"/>
          <w:szCs w:val="20"/>
        </w:rPr>
        <w:t>. CEO of Bluefield Services Ltd, Howard Johns, ran voluntary seminars for students at Bristol and Exeter Universities, discussing the climate emergency and the role of renewable energy in its resolution. The seminars proved popular and several students subsequently applied for future placements within the Bluefield Group.</w:t>
      </w:r>
    </w:p>
    <w:p w14:paraId="1D71D160" w14:textId="34D89DF8" w:rsidR="00090986" w:rsidRDefault="00090986" w:rsidP="0087181F">
      <w:pPr>
        <w:autoSpaceDE w:val="0"/>
        <w:autoSpaceDN w:val="0"/>
        <w:jc w:val="both"/>
        <w:rPr>
          <w:rFonts w:ascii="Georgia" w:hAnsi="Georgia"/>
          <w:color w:val="404040" w:themeColor="text1" w:themeTint="BF"/>
          <w:sz w:val="20"/>
          <w:szCs w:val="20"/>
        </w:rPr>
      </w:pPr>
    </w:p>
    <w:p w14:paraId="796B550C" w14:textId="77777777" w:rsidR="00090986" w:rsidRPr="00864802" w:rsidRDefault="00090986" w:rsidP="00090986">
      <w:pPr>
        <w:autoSpaceDE w:val="0"/>
        <w:autoSpaceDN w:val="0"/>
        <w:jc w:val="both"/>
        <w:rPr>
          <w:rFonts w:ascii="Georgia" w:hAnsi="Georgia"/>
          <w:b/>
          <w:i/>
          <w:color w:val="404040" w:themeColor="text1" w:themeTint="BF"/>
          <w:sz w:val="20"/>
          <w:szCs w:val="20"/>
        </w:rPr>
      </w:pPr>
      <w:bookmarkStart w:id="27" w:name="_Toc50044052"/>
      <w:r w:rsidRPr="00864802">
        <w:rPr>
          <w:rFonts w:ascii="Georgia" w:hAnsi="Georgia"/>
          <w:b/>
          <w:i/>
          <w:color w:val="404040" w:themeColor="text1" w:themeTint="BF"/>
          <w:sz w:val="20"/>
          <w:szCs w:val="20"/>
        </w:rPr>
        <w:t>Governance</w:t>
      </w:r>
      <w:bookmarkEnd w:id="27"/>
      <w:r w:rsidRPr="00864802">
        <w:rPr>
          <w:rFonts w:ascii="Georgia" w:hAnsi="Georgia"/>
          <w:b/>
          <w:i/>
          <w:color w:val="404040" w:themeColor="text1" w:themeTint="BF"/>
          <w:sz w:val="20"/>
          <w:szCs w:val="20"/>
        </w:rPr>
        <w:t xml:space="preserve"> </w:t>
      </w:r>
    </w:p>
    <w:p w14:paraId="15CFA65D" w14:textId="77777777" w:rsidR="00090986" w:rsidRDefault="00090986" w:rsidP="00090986">
      <w:pPr>
        <w:autoSpaceDE w:val="0"/>
        <w:autoSpaceDN w:val="0"/>
        <w:jc w:val="both"/>
        <w:rPr>
          <w:rFonts w:ascii="Georgia" w:hAnsi="Georgia"/>
          <w:color w:val="404040" w:themeColor="text1" w:themeTint="BF"/>
          <w:sz w:val="20"/>
          <w:szCs w:val="20"/>
        </w:rPr>
      </w:pPr>
    </w:p>
    <w:p w14:paraId="25AA9849" w14:textId="18C8951E"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The Bluefield Group’s reputation and integrity could not have been achieved without strict governance and controls. Each Bluefield business is independent of the other and its governance is carefully crafted, with each company led by a different management team. </w:t>
      </w:r>
      <w:r w:rsidR="00BC5A1E">
        <w:rPr>
          <w:rFonts w:ascii="Georgia" w:hAnsi="Georgia"/>
          <w:color w:val="404040" w:themeColor="text1" w:themeTint="BF"/>
          <w:sz w:val="20"/>
          <w:szCs w:val="20"/>
        </w:rPr>
        <w:t>This ensures the fiduciary duty</w:t>
      </w:r>
      <w:r w:rsidRPr="00090986">
        <w:rPr>
          <w:rFonts w:ascii="Georgia" w:hAnsi="Georgia"/>
          <w:color w:val="404040" w:themeColor="text1" w:themeTint="BF"/>
          <w:sz w:val="20"/>
          <w:szCs w:val="20"/>
        </w:rPr>
        <w:t xml:space="preserve"> to act in the best interest of each company, is paramount. At the same time, common goals and aspirations are developed to focus group direction. </w:t>
      </w:r>
    </w:p>
    <w:p w14:paraId="2FC0C146" w14:textId="73C61EC8" w:rsidR="00760E26" w:rsidRPr="00864802" w:rsidRDefault="00760E26" w:rsidP="0087181F">
      <w:pPr>
        <w:autoSpaceDE w:val="0"/>
        <w:autoSpaceDN w:val="0"/>
        <w:jc w:val="both"/>
        <w:rPr>
          <w:rFonts w:ascii="Georgia" w:hAnsi="Georgia"/>
          <w:b/>
          <w:color w:val="404040" w:themeColor="text1" w:themeTint="BF"/>
          <w:sz w:val="20"/>
          <w:szCs w:val="20"/>
        </w:rPr>
      </w:pPr>
    </w:p>
    <w:p w14:paraId="524DD014" w14:textId="0192B343" w:rsidR="00090986" w:rsidRPr="00864802" w:rsidRDefault="00090986" w:rsidP="00090986">
      <w:pPr>
        <w:autoSpaceDE w:val="0"/>
        <w:autoSpaceDN w:val="0"/>
        <w:jc w:val="both"/>
        <w:rPr>
          <w:rFonts w:ascii="Georgia" w:hAnsi="Georgia"/>
          <w:b/>
          <w:i/>
          <w:color w:val="404040" w:themeColor="text1" w:themeTint="BF"/>
          <w:sz w:val="20"/>
          <w:szCs w:val="20"/>
        </w:rPr>
      </w:pPr>
      <w:bookmarkStart w:id="28" w:name="_Toc50044053"/>
      <w:r w:rsidRPr="00864802">
        <w:rPr>
          <w:rFonts w:ascii="Georgia" w:hAnsi="Georgia"/>
          <w:b/>
          <w:i/>
          <w:color w:val="404040" w:themeColor="text1" w:themeTint="BF"/>
          <w:sz w:val="20"/>
          <w:szCs w:val="20"/>
        </w:rPr>
        <w:t>Commitment to ESG</w:t>
      </w:r>
      <w:bookmarkEnd w:id="28"/>
      <w:r w:rsidRPr="00864802">
        <w:rPr>
          <w:rFonts w:ascii="Georgia" w:hAnsi="Georgia"/>
          <w:b/>
          <w:i/>
          <w:color w:val="404040" w:themeColor="text1" w:themeTint="BF"/>
          <w:sz w:val="20"/>
          <w:szCs w:val="20"/>
        </w:rPr>
        <w:t xml:space="preserve"> </w:t>
      </w:r>
    </w:p>
    <w:p w14:paraId="73F3B261"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0E348129"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ESG principles have been intrinsic to the development of the Bluefield Group. The group is committed to upholding ESG considerations and creating a transparency with regard to its accountability by reporting annually to its Shareholders. Responsibility for ESG was placed with the Portfolio Director and has been fully supported at the highest level by the Directors of the companies. </w:t>
      </w:r>
    </w:p>
    <w:p w14:paraId="0F4BB8F8"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6703C8F9" w14:textId="399D10CF" w:rsidR="00090986" w:rsidRPr="00864802" w:rsidRDefault="00090986" w:rsidP="00090986">
      <w:pPr>
        <w:autoSpaceDE w:val="0"/>
        <w:autoSpaceDN w:val="0"/>
        <w:jc w:val="both"/>
        <w:rPr>
          <w:rFonts w:ascii="Georgia" w:hAnsi="Georgia"/>
          <w:b/>
          <w:i/>
          <w:color w:val="404040" w:themeColor="text1" w:themeTint="BF"/>
          <w:sz w:val="20"/>
          <w:szCs w:val="20"/>
        </w:rPr>
      </w:pPr>
      <w:bookmarkStart w:id="29" w:name="_Toc50044054"/>
      <w:r w:rsidRPr="00864802">
        <w:rPr>
          <w:rFonts w:ascii="Georgia" w:hAnsi="Georgia"/>
          <w:b/>
          <w:i/>
          <w:color w:val="404040" w:themeColor="text1" w:themeTint="BF"/>
          <w:sz w:val="20"/>
          <w:szCs w:val="20"/>
        </w:rPr>
        <w:t>Third party due diligence</w:t>
      </w:r>
      <w:bookmarkEnd w:id="29"/>
      <w:r w:rsidRPr="00864802">
        <w:rPr>
          <w:rFonts w:ascii="Georgia" w:hAnsi="Georgia"/>
          <w:b/>
          <w:i/>
          <w:color w:val="404040" w:themeColor="text1" w:themeTint="BF"/>
          <w:sz w:val="20"/>
          <w:szCs w:val="20"/>
        </w:rPr>
        <w:t xml:space="preserve"> </w:t>
      </w:r>
    </w:p>
    <w:p w14:paraId="599AB974"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741F238" w14:textId="60AA95D3"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A comprehensive vetting process has been developed to ensure subcontractors are suitably qualified, carry appropriate levels of insurance and have planned works in a safe manner. This is primarily achieved through use of a sub-contractor questionnaire and analysis of contractor certification. Training in these matters is undertaken by appropriate staff. Searches and checks are tools that are applied during initial tenders and negotiations, as well as during formal audits. The </w:t>
      </w:r>
      <w:r w:rsidR="00F2516B">
        <w:rPr>
          <w:rFonts w:ascii="Georgia" w:hAnsi="Georgia"/>
          <w:color w:val="404040" w:themeColor="text1" w:themeTint="BF"/>
          <w:sz w:val="20"/>
          <w:szCs w:val="20"/>
        </w:rPr>
        <w:t>Group</w:t>
      </w:r>
      <w:r w:rsidRPr="00090986">
        <w:rPr>
          <w:rFonts w:ascii="Georgia" w:hAnsi="Georgia"/>
          <w:color w:val="404040" w:themeColor="text1" w:themeTint="BF"/>
          <w:sz w:val="20"/>
          <w:szCs w:val="20"/>
        </w:rPr>
        <w:t xml:space="preserve"> focuses on ensuring that none of its counterparties have ever been sanctioned by worldwide authorities.</w:t>
      </w:r>
    </w:p>
    <w:p w14:paraId="57F60830"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4A4FBF9" w14:textId="15D5E97D" w:rsidR="00090986" w:rsidRPr="00864802" w:rsidRDefault="00090986" w:rsidP="00090986">
      <w:pPr>
        <w:autoSpaceDE w:val="0"/>
        <w:autoSpaceDN w:val="0"/>
        <w:jc w:val="both"/>
        <w:rPr>
          <w:rFonts w:ascii="Georgia" w:hAnsi="Georgia"/>
          <w:b/>
          <w:i/>
          <w:color w:val="404040" w:themeColor="text1" w:themeTint="BF"/>
          <w:sz w:val="20"/>
          <w:szCs w:val="20"/>
        </w:rPr>
      </w:pPr>
      <w:bookmarkStart w:id="30" w:name="_Toc50044055"/>
      <w:r w:rsidRPr="00864802">
        <w:rPr>
          <w:rFonts w:ascii="Georgia" w:hAnsi="Georgia"/>
          <w:b/>
          <w:i/>
          <w:color w:val="404040" w:themeColor="text1" w:themeTint="BF"/>
          <w:sz w:val="20"/>
          <w:szCs w:val="20"/>
        </w:rPr>
        <w:t>Anti-Bribery, Money Laundering and Slavery</w:t>
      </w:r>
      <w:bookmarkEnd w:id="30"/>
      <w:r w:rsidRPr="00864802">
        <w:rPr>
          <w:rFonts w:ascii="Georgia" w:hAnsi="Georgia"/>
          <w:b/>
          <w:i/>
          <w:color w:val="404040" w:themeColor="text1" w:themeTint="BF"/>
          <w:sz w:val="20"/>
          <w:szCs w:val="20"/>
        </w:rPr>
        <w:t xml:space="preserve">  </w:t>
      </w:r>
    </w:p>
    <w:p w14:paraId="4A6B171C"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8632D77" w14:textId="72A5542B"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Internal policy requires that the companies, and all those who work for them and with them, uphold principles embodied in the anti-bribery, </w:t>
      </w:r>
      <w:r w:rsidR="00F2516B">
        <w:rPr>
          <w:rFonts w:ascii="Georgia" w:hAnsi="Georgia"/>
          <w:color w:val="404040" w:themeColor="text1" w:themeTint="BF"/>
          <w:sz w:val="20"/>
          <w:szCs w:val="20"/>
        </w:rPr>
        <w:t>anti-</w:t>
      </w:r>
      <w:r w:rsidRPr="00090986">
        <w:rPr>
          <w:rFonts w:ascii="Georgia" w:hAnsi="Georgia"/>
          <w:color w:val="404040" w:themeColor="text1" w:themeTint="BF"/>
          <w:sz w:val="20"/>
          <w:szCs w:val="20"/>
        </w:rPr>
        <w:t xml:space="preserve">money laundering and anti-slavery/trafficking legislation. These requirements are reflected in contractual obligations and may be followed up with annual audit requirements of contractors. Policies are subject to periodical reviews and renewed as appropriate, with staff trained on a yearly basis. </w:t>
      </w:r>
    </w:p>
    <w:p w14:paraId="2FD3F5F0"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718ECB81" w14:textId="7FD3C8FC" w:rsidR="00090986" w:rsidRPr="00864802" w:rsidRDefault="00090986" w:rsidP="00090986">
      <w:pPr>
        <w:autoSpaceDE w:val="0"/>
        <w:autoSpaceDN w:val="0"/>
        <w:jc w:val="both"/>
        <w:rPr>
          <w:rFonts w:ascii="Georgia" w:hAnsi="Georgia"/>
          <w:b/>
          <w:i/>
          <w:color w:val="404040" w:themeColor="text1" w:themeTint="BF"/>
          <w:sz w:val="20"/>
          <w:szCs w:val="20"/>
        </w:rPr>
      </w:pPr>
      <w:bookmarkStart w:id="31" w:name="_Toc50044056"/>
      <w:r w:rsidRPr="00864802">
        <w:rPr>
          <w:rFonts w:ascii="Georgia" w:hAnsi="Georgia"/>
          <w:b/>
          <w:i/>
          <w:color w:val="404040" w:themeColor="text1" w:themeTint="BF"/>
          <w:sz w:val="20"/>
          <w:szCs w:val="20"/>
        </w:rPr>
        <w:t>Compliance</w:t>
      </w:r>
      <w:bookmarkEnd w:id="31"/>
    </w:p>
    <w:p w14:paraId="7AD265FA"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297CD07" w14:textId="53CCE909" w:rsidR="00760E2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Regulation and compliance direct Bluefield’s decision making and underpin all work undertaken. Widespread awareness of legal obligations throughout the senior teams ensures a vigilant company approach. The Investment Adviser uses third party compliance advisers to ensure its regulatory</w:t>
      </w:r>
      <w:r>
        <w:rPr>
          <w:rFonts w:ascii="Georgia" w:hAnsi="Georgia"/>
          <w:color w:val="404040" w:themeColor="text1" w:themeTint="BF"/>
          <w:sz w:val="20"/>
          <w:szCs w:val="20"/>
        </w:rPr>
        <w:t xml:space="preserve"> </w:t>
      </w:r>
      <w:r w:rsidRPr="00090986">
        <w:rPr>
          <w:rFonts w:ascii="Georgia" w:hAnsi="Georgia"/>
          <w:color w:val="404040" w:themeColor="text1" w:themeTint="BF"/>
          <w:sz w:val="20"/>
          <w:szCs w:val="20"/>
        </w:rPr>
        <w:t>obligations are met through annual audit on business activities. Annual training on regulation and internal policies is given to relevant staff.</w:t>
      </w:r>
    </w:p>
    <w:p w14:paraId="1F91F492" w14:textId="75115C87" w:rsidR="00760E26" w:rsidRDefault="00760E26" w:rsidP="0087181F">
      <w:pPr>
        <w:autoSpaceDE w:val="0"/>
        <w:autoSpaceDN w:val="0"/>
        <w:jc w:val="both"/>
        <w:rPr>
          <w:rFonts w:ascii="Georgia" w:hAnsi="Georgia"/>
          <w:color w:val="404040" w:themeColor="text1" w:themeTint="BF"/>
          <w:sz w:val="20"/>
          <w:szCs w:val="20"/>
        </w:rPr>
      </w:pPr>
    </w:p>
    <w:p w14:paraId="3617A2E6" w14:textId="24A54F56" w:rsidR="00760E26" w:rsidRDefault="00760E26" w:rsidP="0087181F">
      <w:pPr>
        <w:autoSpaceDE w:val="0"/>
        <w:autoSpaceDN w:val="0"/>
        <w:jc w:val="both"/>
        <w:rPr>
          <w:rFonts w:ascii="Georgia" w:hAnsi="Georgia"/>
          <w:color w:val="404040" w:themeColor="text1" w:themeTint="BF"/>
          <w:sz w:val="20"/>
          <w:szCs w:val="20"/>
        </w:rPr>
      </w:pPr>
    </w:p>
    <w:p w14:paraId="476C79E4" w14:textId="77777777" w:rsidR="00090986" w:rsidRPr="00475D47" w:rsidRDefault="00090986" w:rsidP="00090986">
      <w:pPr>
        <w:pStyle w:val="Heading2"/>
        <w:spacing w:before="0"/>
      </w:pPr>
      <w:r w:rsidRPr="00475D47">
        <w:lastRenderedPageBreak/>
        <w:t>Report of the Investment Adviser (continued)</w:t>
      </w:r>
    </w:p>
    <w:p w14:paraId="278CED02" w14:textId="77777777" w:rsidR="00090986" w:rsidRDefault="00090986" w:rsidP="00090986">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646D1CA6" w14:textId="77777777" w:rsidR="00090986" w:rsidRPr="00090986" w:rsidRDefault="00090986" w:rsidP="00090986">
      <w:pPr>
        <w:spacing w:after="160" w:line="259" w:lineRule="auto"/>
        <w:jc w:val="both"/>
        <w:rPr>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02425344"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Asset Management ensure compliance with the specific conditions associated with each asset, throughout the asset’s lifetime. Internal processes and procedures are used alongside the Asset Management platform to ensure all regulations are adhered to, with regular site visits confirming that environmental conditions are being met. </w:t>
      </w:r>
    </w:p>
    <w:p w14:paraId="74E14E5C" w14:textId="0FBCAAEE" w:rsidR="00760E26" w:rsidRDefault="00760E26" w:rsidP="0087181F">
      <w:pPr>
        <w:autoSpaceDE w:val="0"/>
        <w:autoSpaceDN w:val="0"/>
        <w:jc w:val="both"/>
        <w:rPr>
          <w:rFonts w:ascii="Georgia" w:hAnsi="Georgia"/>
          <w:color w:val="404040" w:themeColor="text1" w:themeTint="BF"/>
          <w:sz w:val="20"/>
          <w:szCs w:val="20"/>
        </w:rPr>
      </w:pPr>
    </w:p>
    <w:p w14:paraId="3FC211F7" w14:textId="659313F6" w:rsidR="00090986" w:rsidRPr="00864802" w:rsidRDefault="00090986" w:rsidP="00090986">
      <w:pPr>
        <w:autoSpaceDE w:val="0"/>
        <w:autoSpaceDN w:val="0"/>
        <w:jc w:val="both"/>
        <w:rPr>
          <w:rFonts w:ascii="Georgia" w:hAnsi="Georgia"/>
          <w:b/>
          <w:i/>
          <w:color w:val="404040" w:themeColor="text1" w:themeTint="BF"/>
          <w:sz w:val="20"/>
          <w:szCs w:val="20"/>
        </w:rPr>
      </w:pPr>
      <w:bookmarkStart w:id="32" w:name="_Toc50044057"/>
      <w:r w:rsidRPr="00864802">
        <w:rPr>
          <w:rFonts w:ascii="Georgia" w:hAnsi="Georgia"/>
          <w:b/>
          <w:i/>
          <w:color w:val="404040" w:themeColor="text1" w:themeTint="BF"/>
          <w:sz w:val="20"/>
          <w:szCs w:val="20"/>
        </w:rPr>
        <w:t>GDPR</w:t>
      </w:r>
      <w:bookmarkEnd w:id="32"/>
      <w:r w:rsidRPr="00864802">
        <w:rPr>
          <w:rFonts w:ascii="Georgia" w:hAnsi="Georgia"/>
          <w:b/>
          <w:i/>
          <w:color w:val="404040" w:themeColor="text1" w:themeTint="BF"/>
          <w:sz w:val="20"/>
          <w:szCs w:val="20"/>
        </w:rPr>
        <w:t xml:space="preserve">  </w:t>
      </w:r>
    </w:p>
    <w:p w14:paraId="5671A7F2"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3380208"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Staff compliance with GDPR regulation is a priority. Risk impact assessments have been conducted across every department to ensure that GDPR principles are embedded throughout the group. Comprehensive policies have been implemented and reviewed regularly, and all employees undertake mandatory GDPR training. The result is a workforce highly aware of confidentiality matters, with full understanding around data treatment and retention. </w:t>
      </w:r>
    </w:p>
    <w:p w14:paraId="53F6216F" w14:textId="329DBB1A" w:rsidR="00760E26" w:rsidRDefault="00760E26" w:rsidP="0087181F">
      <w:pPr>
        <w:autoSpaceDE w:val="0"/>
        <w:autoSpaceDN w:val="0"/>
        <w:jc w:val="both"/>
        <w:rPr>
          <w:rFonts w:ascii="Georgia" w:hAnsi="Georgia"/>
          <w:color w:val="404040" w:themeColor="text1" w:themeTint="BF"/>
          <w:sz w:val="20"/>
          <w:szCs w:val="20"/>
        </w:rPr>
      </w:pPr>
    </w:p>
    <w:p w14:paraId="6A6F166A" w14:textId="78829436" w:rsidR="00090986" w:rsidRPr="00864802" w:rsidRDefault="00090986" w:rsidP="00090986">
      <w:pPr>
        <w:autoSpaceDE w:val="0"/>
        <w:autoSpaceDN w:val="0"/>
        <w:jc w:val="both"/>
        <w:rPr>
          <w:rFonts w:ascii="Georgia" w:hAnsi="Georgia"/>
          <w:b/>
          <w:color w:val="404040" w:themeColor="text1" w:themeTint="BF"/>
          <w:sz w:val="20"/>
          <w:szCs w:val="20"/>
        </w:rPr>
      </w:pPr>
      <w:bookmarkStart w:id="33" w:name="_Toc50044058"/>
      <w:r w:rsidRPr="00864802">
        <w:rPr>
          <w:rFonts w:ascii="Georgia" w:hAnsi="Georgia"/>
          <w:b/>
          <w:color w:val="404040" w:themeColor="text1" w:themeTint="BF"/>
          <w:sz w:val="20"/>
          <w:szCs w:val="20"/>
        </w:rPr>
        <w:t>Cyber Security</w:t>
      </w:r>
      <w:bookmarkEnd w:id="33"/>
      <w:r w:rsidRPr="00864802">
        <w:rPr>
          <w:rFonts w:ascii="Georgia" w:hAnsi="Georgia"/>
          <w:b/>
          <w:color w:val="404040" w:themeColor="text1" w:themeTint="BF"/>
          <w:sz w:val="20"/>
          <w:szCs w:val="20"/>
        </w:rPr>
        <w:t xml:space="preserve"> </w:t>
      </w:r>
    </w:p>
    <w:p w14:paraId="447CE4E3"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42BBDADE"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Cyber security has been a focus for the Bluefield Group. In addition to formal training in this area, there has been careful penetration testing on systems and benchmark studies on one of the largest solar farms, to identify risks. Active plans are underway to strengthen security across the portfolio and office networks. </w:t>
      </w:r>
    </w:p>
    <w:p w14:paraId="3BC841E1"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0C94164E" w14:textId="44290D2F" w:rsidR="00090986" w:rsidRPr="00864802" w:rsidRDefault="00090986" w:rsidP="00090986">
      <w:pPr>
        <w:autoSpaceDE w:val="0"/>
        <w:autoSpaceDN w:val="0"/>
        <w:jc w:val="both"/>
        <w:rPr>
          <w:rFonts w:ascii="Georgia" w:hAnsi="Georgia"/>
          <w:b/>
          <w:i/>
          <w:color w:val="404040" w:themeColor="text1" w:themeTint="BF"/>
          <w:sz w:val="20"/>
          <w:szCs w:val="20"/>
        </w:rPr>
      </w:pPr>
      <w:bookmarkStart w:id="34" w:name="_Toc50044059"/>
      <w:r w:rsidRPr="00864802">
        <w:rPr>
          <w:rFonts w:ascii="Georgia" w:hAnsi="Georgia"/>
          <w:b/>
          <w:i/>
          <w:color w:val="404040" w:themeColor="text1" w:themeTint="BF"/>
          <w:sz w:val="20"/>
          <w:szCs w:val="20"/>
        </w:rPr>
        <w:t>Transparency &amp; Reporting</w:t>
      </w:r>
      <w:bookmarkEnd w:id="34"/>
    </w:p>
    <w:p w14:paraId="75EB9645"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8285F57"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Over the last year significant investment has been made into systems, improving transparency and making reporting automated and consistent across the group. Creation of a data warehouse and implementation of a specialist Asset Management system will allow for more powerful and frequent reporting on the status of the assets, and a more standardised approach to portfolio management.</w:t>
      </w:r>
    </w:p>
    <w:p w14:paraId="2FDE5E81"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00DC42CC" w14:textId="2C02A4CD" w:rsidR="00090986" w:rsidRPr="00864802" w:rsidRDefault="00090986" w:rsidP="00090986">
      <w:pPr>
        <w:autoSpaceDE w:val="0"/>
        <w:autoSpaceDN w:val="0"/>
        <w:jc w:val="both"/>
        <w:rPr>
          <w:rFonts w:ascii="Georgia" w:hAnsi="Georgia"/>
          <w:b/>
          <w:i/>
          <w:color w:val="404040" w:themeColor="text1" w:themeTint="BF"/>
          <w:sz w:val="20"/>
          <w:szCs w:val="20"/>
        </w:rPr>
      </w:pPr>
      <w:bookmarkStart w:id="35" w:name="_Toc50044060"/>
      <w:r w:rsidRPr="00864802">
        <w:rPr>
          <w:rFonts w:ascii="Georgia" w:hAnsi="Georgia"/>
          <w:b/>
          <w:i/>
          <w:color w:val="404040" w:themeColor="text1" w:themeTint="BF"/>
          <w:sz w:val="20"/>
          <w:szCs w:val="20"/>
        </w:rPr>
        <w:t>PRI</w:t>
      </w:r>
      <w:bookmarkEnd w:id="35"/>
      <w:r w:rsidRPr="00864802">
        <w:rPr>
          <w:rFonts w:ascii="Georgia" w:hAnsi="Georgia"/>
          <w:b/>
          <w:i/>
          <w:color w:val="404040" w:themeColor="text1" w:themeTint="BF"/>
          <w:sz w:val="20"/>
          <w:szCs w:val="20"/>
        </w:rPr>
        <w:t xml:space="preserve"> </w:t>
      </w:r>
    </w:p>
    <w:p w14:paraId="7C79124D"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CFB4DF9" w14:textId="77777777"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In 2019 the Investment Adviser became signatory to the Principles of Responsible Investment (PRI). The PRI principles are part of the Investment Adviser’s due diligence when making acquisitions. Compliance with these principles is reported to the Company board before any acquisition is completed.  </w:t>
      </w:r>
    </w:p>
    <w:p w14:paraId="6FEB1655"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8C4AE28" w14:textId="0ABB5D79" w:rsidR="00090986" w:rsidRPr="00864802" w:rsidRDefault="00090986" w:rsidP="00090986">
      <w:pPr>
        <w:autoSpaceDE w:val="0"/>
        <w:autoSpaceDN w:val="0"/>
        <w:jc w:val="both"/>
        <w:rPr>
          <w:rFonts w:ascii="Georgia" w:hAnsi="Georgia"/>
          <w:b/>
          <w:i/>
          <w:color w:val="404040" w:themeColor="text1" w:themeTint="BF"/>
          <w:sz w:val="20"/>
          <w:szCs w:val="20"/>
        </w:rPr>
      </w:pPr>
      <w:bookmarkStart w:id="36" w:name="_Toc50044061"/>
      <w:r w:rsidRPr="00864802">
        <w:rPr>
          <w:rFonts w:ascii="Georgia" w:hAnsi="Georgia"/>
          <w:b/>
          <w:i/>
          <w:color w:val="404040" w:themeColor="text1" w:themeTint="BF"/>
          <w:sz w:val="20"/>
          <w:szCs w:val="20"/>
        </w:rPr>
        <w:t>Health and Safety</w:t>
      </w:r>
      <w:bookmarkEnd w:id="36"/>
      <w:r w:rsidRPr="00864802">
        <w:rPr>
          <w:rFonts w:ascii="Georgia" w:hAnsi="Georgia"/>
          <w:b/>
          <w:i/>
          <w:color w:val="404040" w:themeColor="text1" w:themeTint="BF"/>
          <w:sz w:val="20"/>
          <w:szCs w:val="20"/>
        </w:rPr>
        <w:t xml:space="preserve"> </w:t>
      </w:r>
    </w:p>
    <w:p w14:paraId="50FDA806"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1C5A0CB9" w14:textId="1E9424BD" w:rsidR="00090986" w:rsidRPr="00090986" w:rsidRDefault="00090986" w:rsidP="00090986">
      <w:pPr>
        <w:autoSpaceDE w:val="0"/>
        <w:autoSpaceDN w:val="0"/>
        <w:jc w:val="both"/>
        <w:rPr>
          <w:rFonts w:ascii="Georgia" w:hAnsi="Georgia"/>
          <w:color w:val="404040" w:themeColor="text1" w:themeTint="BF"/>
          <w:sz w:val="20"/>
          <w:szCs w:val="20"/>
        </w:rPr>
      </w:pPr>
      <w:r w:rsidRPr="00090986">
        <w:rPr>
          <w:rFonts w:ascii="Georgia" w:hAnsi="Georgia"/>
          <w:color w:val="404040" w:themeColor="text1" w:themeTint="BF"/>
          <w:sz w:val="20"/>
          <w:szCs w:val="20"/>
        </w:rPr>
        <w:t xml:space="preserve">The Bluefield Group has a rigorous approach to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090986">
        <w:rPr>
          <w:rFonts w:ascii="Georgia" w:hAnsi="Georgia"/>
          <w:color w:val="404040" w:themeColor="text1" w:themeTint="BF"/>
          <w:sz w:val="20"/>
          <w:szCs w:val="20"/>
        </w:rPr>
        <w:t xml:space="preserve">management, with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090986">
        <w:rPr>
          <w:rFonts w:ascii="Georgia" w:hAnsi="Georgia"/>
          <w:color w:val="404040" w:themeColor="text1" w:themeTint="BF"/>
          <w:sz w:val="20"/>
          <w:szCs w:val="20"/>
        </w:rPr>
        <w:t xml:space="preserve">awareness embedded at every level of the organisation. The on-site activities of Bluefield Operations Ltd pose the highest risk and are therefore a key area of focus. </w:t>
      </w:r>
    </w:p>
    <w:p w14:paraId="45A6E707" w14:textId="77777777" w:rsidR="00090986" w:rsidRPr="00090986" w:rsidRDefault="00090986" w:rsidP="00090986">
      <w:pPr>
        <w:autoSpaceDE w:val="0"/>
        <w:autoSpaceDN w:val="0"/>
        <w:jc w:val="both"/>
        <w:rPr>
          <w:rFonts w:ascii="Georgia" w:hAnsi="Georgia"/>
          <w:color w:val="404040" w:themeColor="text1" w:themeTint="BF"/>
          <w:sz w:val="20"/>
          <w:szCs w:val="20"/>
        </w:rPr>
      </w:pPr>
    </w:p>
    <w:p w14:paraId="2EF9DEDF" w14:textId="3ABDCBF5" w:rsidR="00090986" w:rsidRPr="00090986" w:rsidRDefault="003E5D10" w:rsidP="00090986">
      <w:pPr>
        <w:autoSpaceDE w:val="0"/>
        <w:autoSpaceDN w:val="0"/>
        <w:jc w:val="both"/>
        <w:rPr>
          <w:rFonts w:ascii="Georgia" w:hAnsi="Georgia"/>
          <w:color w:val="404040" w:themeColor="text1" w:themeTint="BF"/>
          <w:sz w:val="20"/>
          <w:szCs w:val="20"/>
        </w:rPr>
      </w:pPr>
      <w:r>
        <w:rPr>
          <w:rFonts w:ascii="Georgia" w:hAnsi="Georgia"/>
          <w:color w:val="404040" w:themeColor="text1" w:themeTint="BF"/>
          <w:sz w:val="20"/>
          <w:szCs w:val="20"/>
        </w:rPr>
        <w:t xml:space="preserve">Comprehensive </w:t>
      </w:r>
      <w:r w:rsidR="00090986"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90986"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90986"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90986" w:rsidRPr="00090986">
        <w:rPr>
          <w:rFonts w:ascii="Georgia" w:hAnsi="Georgia"/>
          <w:color w:val="404040" w:themeColor="text1" w:themeTint="BF"/>
          <w:sz w:val="20"/>
          <w:szCs w:val="20"/>
        </w:rPr>
        <w:t xml:space="preserve"> policies and processes, created alongside specialist consultants, are frequently reviewed to ensure compliance with the latest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00090986" w:rsidRPr="00090986">
        <w:rPr>
          <w:rFonts w:ascii="Georgia" w:hAnsi="Georgia"/>
          <w:color w:val="404040" w:themeColor="text1" w:themeTint="BF"/>
          <w:sz w:val="20"/>
          <w:szCs w:val="20"/>
        </w:rPr>
        <w:t>guidance. Every task, whether corrective maintenance or just</w:t>
      </w:r>
      <w:r w:rsidR="000D641A">
        <w:rPr>
          <w:rFonts w:ascii="Georgia" w:hAnsi="Georgia"/>
          <w:color w:val="404040" w:themeColor="text1" w:themeTint="BF"/>
          <w:sz w:val="20"/>
          <w:szCs w:val="20"/>
        </w:rPr>
        <w:t xml:space="preserve"> a site visit, is proceeded by</w:t>
      </w:r>
      <w:r w:rsidR="00090986" w:rsidRPr="00090986">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00090986" w:rsidRPr="00090986">
        <w:rPr>
          <w:rFonts w:ascii="Georgia" w:hAnsi="Georgia"/>
          <w:color w:val="404040" w:themeColor="text1" w:themeTint="BF"/>
          <w:sz w:val="20"/>
          <w:szCs w:val="20"/>
        </w:rPr>
        <w:t xml:space="preserve">analysis. This identifies the set of risk assessments and method statements required. </w:t>
      </w:r>
    </w:p>
    <w:p w14:paraId="681F9029" w14:textId="28EE3B9C" w:rsidR="00760E26" w:rsidRDefault="00760E26" w:rsidP="0087181F">
      <w:pPr>
        <w:autoSpaceDE w:val="0"/>
        <w:autoSpaceDN w:val="0"/>
        <w:jc w:val="both"/>
        <w:rPr>
          <w:rFonts w:ascii="Georgia" w:hAnsi="Georgia"/>
          <w:color w:val="404040" w:themeColor="text1" w:themeTint="BF"/>
          <w:sz w:val="20"/>
          <w:szCs w:val="20"/>
        </w:rPr>
      </w:pPr>
    </w:p>
    <w:p w14:paraId="7ECE8215" w14:textId="1614D890" w:rsidR="00AA2107" w:rsidRPr="00AA2107" w:rsidRDefault="00AA2107" w:rsidP="00AA2107">
      <w:pPr>
        <w:autoSpaceDE w:val="0"/>
        <w:autoSpaceDN w:val="0"/>
        <w:jc w:val="both"/>
        <w:rPr>
          <w:rFonts w:ascii="Georgia" w:hAnsi="Georgia"/>
          <w:color w:val="404040" w:themeColor="text1" w:themeTint="BF"/>
          <w:sz w:val="20"/>
          <w:szCs w:val="20"/>
        </w:rPr>
      </w:pPr>
      <w:r w:rsidRPr="00AA2107">
        <w:rPr>
          <w:rFonts w:ascii="Georgia" w:hAnsi="Georgia"/>
          <w:color w:val="404040" w:themeColor="text1" w:themeTint="BF"/>
          <w:sz w:val="20"/>
          <w:szCs w:val="20"/>
        </w:rPr>
        <w:t xml:space="preserve">Technology is integral to the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AA2107">
        <w:rPr>
          <w:rFonts w:ascii="Georgia" w:hAnsi="Georgia"/>
          <w:color w:val="404040" w:themeColor="text1" w:themeTint="BF"/>
          <w:sz w:val="20"/>
          <w:szCs w:val="20"/>
        </w:rPr>
        <w:t xml:space="preserve">management approach. Documenting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AA2107">
        <w:rPr>
          <w:rFonts w:ascii="Georgia" w:hAnsi="Georgia"/>
          <w:color w:val="404040" w:themeColor="text1" w:themeTint="BF"/>
          <w:sz w:val="20"/>
          <w:szCs w:val="20"/>
        </w:rPr>
        <w:t xml:space="preserve">information electronically allows for powerful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AA2107">
        <w:rPr>
          <w:rFonts w:ascii="Georgia" w:hAnsi="Georgia"/>
          <w:color w:val="404040" w:themeColor="text1" w:themeTint="BF"/>
          <w:sz w:val="20"/>
          <w:szCs w:val="20"/>
        </w:rPr>
        <w:t xml:space="preserve">reporting and ensures a consistent method of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AA2107">
        <w:rPr>
          <w:rFonts w:ascii="Georgia" w:hAnsi="Georgia"/>
          <w:color w:val="404040" w:themeColor="text1" w:themeTint="BF"/>
          <w:sz w:val="20"/>
          <w:szCs w:val="20"/>
        </w:rPr>
        <w:t>management across a remote, field-based team. Office staff can be notified in minutes of the latest H</w:t>
      </w:r>
      <w:r w:rsidR="00AE0854">
        <w:rPr>
          <w:rFonts w:ascii="Georgia" w:hAnsi="Georgia"/>
          <w:color w:val="404040" w:themeColor="text1" w:themeTint="BF"/>
          <w:sz w:val="20"/>
          <w:szCs w:val="20"/>
        </w:rPr>
        <w:t xml:space="preserve">ealth </w:t>
      </w:r>
      <w:r w:rsidRPr="00AA2107">
        <w:rPr>
          <w:rFonts w:ascii="Georgia" w:hAnsi="Georgia"/>
          <w:color w:val="404040" w:themeColor="text1" w:themeTint="BF"/>
          <w:sz w:val="20"/>
          <w:szCs w:val="20"/>
        </w:rPr>
        <w:t>&amp;</w:t>
      </w:r>
      <w:r w:rsidR="00AE0854">
        <w:rPr>
          <w:rFonts w:ascii="Georgia" w:hAnsi="Georgia"/>
          <w:color w:val="404040" w:themeColor="text1" w:themeTint="BF"/>
          <w:sz w:val="20"/>
          <w:szCs w:val="20"/>
        </w:rPr>
        <w:t xml:space="preserve"> </w:t>
      </w:r>
      <w:r w:rsidRPr="00AA2107">
        <w:rPr>
          <w:rFonts w:ascii="Georgia" w:hAnsi="Georgia"/>
          <w:color w:val="404040" w:themeColor="text1" w:themeTint="BF"/>
          <w:sz w:val="20"/>
          <w:szCs w:val="20"/>
        </w:rPr>
        <w:t>S</w:t>
      </w:r>
      <w:r w:rsidR="00AE0854">
        <w:rPr>
          <w:rFonts w:ascii="Georgia" w:hAnsi="Georgia"/>
          <w:color w:val="404040" w:themeColor="text1" w:themeTint="BF"/>
          <w:sz w:val="20"/>
          <w:szCs w:val="20"/>
        </w:rPr>
        <w:t>afety</w:t>
      </w:r>
      <w:r w:rsidRPr="00AA2107">
        <w:rPr>
          <w:rFonts w:ascii="Georgia" w:hAnsi="Georgia"/>
          <w:color w:val="404040" w:themeColor="text1" w:themeTint="BF"/>
          <w:sz w:val="20"/>
          <w:szCs w:val="20"/>
        </w:rPr>
        <w:t xml:space="preserve"> risk assessments, reports and incidents on site. </w:t>
      </w:r>
    </w:p>
    <w:p w14:paraId="53616CB8" w14:textId="77777777" w:rsidR="00AA2107" w:rsidRPr="00AA2107" w:rsidRDefault="00AA2107" w:rsidP="00AA2107">
      <w:pPr>
        <w:autoSpaceDE w:val="0"/>
        <w:autoSpaceDN w:val="0"/>
        <w:jc w:val="both"/>
        <w:rPr>
          <w:rFonts w:ascii="Georgia" w:hAnsi="Georgia"/>
          <w:color w:val="404040" w:themeColor="text1" w:themeTint="BF"/>
          <w:sz w:val="20"/>
          <w:szCs w:val="20"/>
        </w:rPr>
      </w:pPr>
    </w:p>
    <w:p w14:paraId="5B94A9E1" w14:textId="5A2F3215" w:rsidR="00AA2107" w:rsidRPr="00AA2107" w:rsidRDefault="00AA2107" w:rsidP="00AA2107">
      <w:pPr>
        <w:autoSpaceDE w:val="0"/>
        <w:autoSpaceDN w:val="0"/>
        <w:jc w:val="both"/>
        <w:rPr>
          <w:rFonts w:ascii="Georgia" w:hAnsi="Georgia"/>
          <w:color w:val="404040" w:themeColor="text1" w:themeTint="BF"/>
          <w:sz w:val="20"/>
          <w:szCs w:val="20"/>
        </w:rPr>
      </w:pPr>
      <w:r w:rsidRPr="00AA2107">
        <w:rPr>
          <w:rFonts w:ascii="Georgia" w:hAnsi="Georgia"/>
          <w:color w:val="404040" w:themeColor="text1" w:themeTint="BF"/>
          <w:sz w:val="20"/>
          <w:szCs w:val="20"/>
        </w:rPr>
        <w:t xml:space="preserve">During the last contractual year, Bluefield Operations Ltd spent over 2,350 contracted hours on corrective maintenance. There were no major </w:t>
      </w:r>
      <w:r w:rsidR="000D641A" w:rsidRPr="00090986">
        <w:rPr>
          <w:rFonts w:ascii="Georgia" w:hAnsi="Georgia"/>
          <w:color w:val="404040" w:themeColor="text1" w:themeTint="BF"/>
          <w:sz w:val="20"/>
          <w:szCs w:val="20"/>
        </w:rPr>
        <w:t>H</w:t>
      </w:r>
      <w:r w:rsidR="000D641A">
        <w:rPr>
          <w:rFonts w:ascii="Georgia" w:hAnsi="Georgia"/>
          <w:color w:val="404040" w:themeColor="text1" w:themeTint="BF"/>
          <w:sz w:val="20"/>
          <w:szCs w:val="20"/>
        </w:rPr>
        <w:t xml:space="preserve">ealth </w:t>
      </w:r>
      <w:r w:rsidR="000D641A" w:rsidRPr="00090986">
        <w:rPr>
          <w:rFonts w:ascii="Georgia" w:hAnsi="Georgia"/>
          <w:color w:val="404040" w:themeColor="text1" w:themeTint="BF"/>
          <w:sz w:val="20"/>
          <w:szCs w:val="20"/>
        </w:rPr>
        <w:t>&amp;</w:t>
      </w:r>
      <w:r w:rsidR="000D641A">
        <w:rPr>
          <w:rFonts w:ascii="Georgia" w:hAnsi="Georgia"/>
          <w:color w:val="404040" w:themeColor="text1" w:themeTint="BF"/>
          <w:sz w:val="20"/>
          <w:szCs w:val="20"/>
        </w:rPr>
        <w:t xml:space="preserve"> </w:t>
      </w:r>
      <w:r w:rsidR="000D641A" w:rsidRPr="00090986">
        <w:rPr>
          <w:rFonts w:ascii="Georgia" w:hAnsi="Georgia"/>
          <w:color w:val="404040" w:themeColor="text1" w:themeTint="BF"/>
          <w:sz w:val="20"/>
          <w:szCs w:val="20"/>
        </w:rPr>
        <w:t>S</w:t>
      </w:r>
      <w:r w:rsidR="000D641A">
        <w:rPr>
          <w:rFonts w:ascii="Georgia" w:hAnsi="Georgia"/>
          <w:color w:val="404040" w:themeColor="text1" w:themeTint="BF"/>
          <w:sz w:val="20"/>
          <w:szCs w:val="20"/>
        </w:rPr>
        <w:t>afety</w:t>
      </w:r>
      <w:r w:rsidR="000D641A" w:rsidRPr="00090986">
        <w:rPr>
          <w:rFonts w:ascii="Georgia" w:hAnsi="Georgia"/>
          <w:color w:val="404040" w:themeColor="text1" w:themeTint="BF"/>
          <w:sz w:val="20"/>
          <w:szCs w:val="20"/>
        </w:rPr>
        <w:t xml:space="preserve"> </w:t>
      </w:r>
      <w:r w:rsidRPr="00AA2107">
        <w:rPr>
          <w:rFonts w:ascii="Georgia" w:hAnsi="Georgia"/>
          <w:color w:val="404040" w:themeColor="text1" w:themeTint="BF"/>
          <w:sz w:val="20"/>
          <w:szCs w:val="20"/>
        </w:rPr>
        <w:t xml:space="preserve">issues to declare. </w:t>
      </w:r>
    </w:p>
    <w:p w14:paraId="56718F23" w14:textId="62F189EA" w:rsidR="00760E26" w:rsidRDefault="00760E26" w:rsidP="0087181F">
      <w:pPr>
        <w:autoSpaceDE w:val="0"/>
        <w:autoSpaceDN w:val="0"/>
        <w:jc w:val="both"/>
        <w:rPr>
          <w:rFonts w:ascii="Georgia" w:hAnsi="Georgia"/>
          <w:color w:val="404040" w:themeColor="text1" w:themeTint="BF"/>
          <w:sz w:val="20"/>
          <w:szCs w:val="20"/>
        </w:rPr>
      </w:pPr>
    </w:p>
    <w:p w14:paraId="6744AE59" w14:textId="340A6E5F" w:rsidR="00760E26" w:rsidRDefault="00760E26" w:rsidP="0087181F">
      <w:pPr>
        <w:autoSpaceDE w:val="0"/>
        <w:autoSpaceDN w:val="0"/>
        <w:jc w:val="both"/>
        <w:rPr>
          <w:rFonts w:ascii="Georgia" w:hAnsi="Georgia"/>
          <w:color w:val="404040" w:themeColor="text1" w:themeTint="BF"/>
          <w:sz w:val="20"/>
          <w:szCs w:val="20"/>
        </w:rPr>
      </w:pPr>
    </w:p>
    <w:p w14:paraId="0F38F3C7" w14:textId="54907A4B" w:rsidR="00760E26" w:rsidRDefault="00760E26" w:rsidP="0087181F">
      <w:pPr>
        <w:autoSpaceDE w:val="0"/>
        <w:autoSpaceDN w:val="0"/>
        <w:jc w:val="both"/>
        <w:rPr>
          <w:rFonts w:ascii="Georgia" w:hAnsi="Georgia"/>
          <w:color w:val="404040" w:themeColor="text1" w:themeTint="BF"/>
          <w:sz w:val="20"/>
          <w:szCs w:val="20"/>
        </w:rPr>
      </w:pPr>
    </w:p>
    <w:p w14:paraId="45B077C5" w14:textId="122A4776" w:rsidR="00760E26" w:rsidRDefault="00760E26" w:rsidP="0087181F">
      <w:pPr>
        <w:autoSpaceDE w:val="0"/>
        <w:autoSpaceDN w:val="0"/>
        <w:jc w:val="both"/>
        <w:rPr>
          <w:rFonts w:ascii="Georgia" w:hAnsi="Georgia"/>
          <w:color w:val="404040" w:themeColor="text1" w:themeTint="BF"/>
          <w:sz w:val="20"/>
          <w:szCs w:val="20"/>
        </w:rPr>
      </w:pPr>
    </w:p>
    <w:p w14:paraId="7B04264C" w14:textId="41E4C13A" w:rsidR="00760E26" w:rsidRDefault="00760E26" w:rsidP="0087181F">
      <w:pPr>
        <w:autoSpaceDE w:val="0"/>
        <w:autoSpaceDN w:val="0"/>
        <w:jc w:val="both"/>
        <w:rPr>
          <w:rFonts w:ascii="Georgia" w:hAnsi="Georgia"/>
          <w:color w:val="404040" w:themeColor="text1" w:themeTint="BF"/>
          <w:sz w:val="20"/>
          <w:szCs w:val="20"/>
        </w:rPr>
      </w:pPr>
    </w:p>
    <w:p w14:paraId="7FD5A3A3" w14:textId="06DC446C" w:rsidR="00760E26" w:rsidRDefault="00760E26" w:rsidP="0087181F">
      <w:pPr>
        <w:autoSpaceDE w:val="0"/>
        <w:autoSpaceDN w:val="0"/>
        <w:jc w:val="both"/>
        <w:rPr>
          <w:rFonts w:ascii="Georgia" w:hAnsi="Georgia"/>
          <w:color w:val="404040" w:themeColor="text1" w:themeTint="BF"/>
          <w:sz w:val="20"/>
          <w:szCs w:val="20"/>
        </w:rPr>
      </w:pPr>
    </w:p>
    <w:p w14:paraId="64A5C213" w14:textId="77777777" w:rsidR="00AA2107" w:rsidRPr="00475D47" w:rsidRDefault="00AA2107" w:rsidP="00AA2107">
      <w:pPr>
        <w:pStyle w:val="Heading2"/>
        <w:spacing w:before="0"/>
      </w:pPr>
      <w:r w:rsidRPr="00475D47">
        <w:lastRenderedPageBreak/>
        <w:t>Report of the Investment Adviser (continued)</w:t>
      </w:r>
    </w:p>
    <w:p w14:paraId="461338F4" w14:textId="77777777" w:rsidR="00AA2107" w:rsidRDefault="00AA2107" w:rsidP="00AA2107">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6A7CD19D" w14:textId="77777777" w:rsidR="00AA2107" w:rsidRPr="00090986" w:rsidRDefault="00AA2107" w:rsidP="00AA2107">
      <w:pPr>
        <w:spacing w:after="160" w:line="259" w:lineRule="auto"/>
        <w:jc w:val="both"/>
        <w:rPr>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4DCA9EC9" w14:textId="77777777" w:rsidR="00AA2107" w:rsidRPr="00096B63" w:rsidRDefault="00AA2107" w:rsidP="00AA2107">
      <w:pPr>
        <w:autoSpaceDE w:val="0"/>
        <w:autoSpaceDN w:val="0"/>
        <w:jc w:val="both"/>
        <w:rPr>
          <w:rFonts w:ascii="Georgia" w:hAnsi="Georgia"/>
          <w:b/>
          <w:i/>
          <w:color w:val="404040" w:themeColor="text1" w:themeTint="BF"/>
          <w:sz w:val="20"/>
          <w:szCs w:val="20"/>
        </w:rPr>
      </w:pPr>
      <w:bookmarkStart w:id="37" w:name="_Toc50044062"/>
      <w:r w:rsidRPr="00096B63">
        <w:rPr>
          <w:rFonts w:ascii="Georgia" w:hAnsi="Georgia"/>
          <w:b/>
          <w:i/>
          <w:color w:val="404040" w:themeColor="text1" w:themeTint="BF"/>
          <w:sz w:val="20"/>
          <w:szCs w:val="20"/>
        </w:rPr>
        <w:t>Corporate Responsibility</w:t>
      </w:r>
      <w:bookmarkEnd w:id="37"/>
      <w:r w:rsidRPr="00096B63">
        <w:rPr>
          <w:rFonts w:ascii="Georgia" w:hAnsi="Georgia"/>
          <w:b/>
          <w:i/>
          <w:color w:val="404040" w:themeColor="text1" w:themeTint="BF"/>
          <w:sz w:val="20"/>
          <w:szCs w:val="20"/>
        </w:rPr>
        <w:t xml:space="preserve"> </w:t>
      </w:r>
    </w:p>
    <w:p w14:paraId="713A5604" w14:textId="77777777" w:rsidR="00AA2107" w:rsidRPr="00096B63" w:rsidRDefault="00AA2107" w:rsidP="00AA2107">
      <w:pPr>
        <w:autoSpaceDE w:val="0"/>
        <w:autoSpaceDN w:val="0"/>
        <w:jc w:val="both"/>
        <w:rPr>
          <w:rFonts w:ascii="Georgia" w:hAnsi="Georgia"/>
          <w:b/>
          <w:i/>
          <w:color w:val="404040" w:themeColor="text1" w:themeTint="BF"/>
          <w:sz w:val="20"/>
          <w:szCs w:val="20"/>
        </w:rPr>
      </w:pPr>
    </w:p>
    <w:p w14:paraId="6602BEDA" w14:textId="5736F79E" w:rsidR="00AA2107" w:rsidRPr="00096B63" w:rsidRDefault="00AA2107" w:rsidP="00AA2107">
      <w:pPr>
        <w:autoSpaceDE w:val="0"/>
        <w:autoSpaceDN w:val="0"/>
        <w:jc w:val="both"/>
        <w:rPr>
          <w:rFonts w:ascii="Georgia" w:hAnsi="Georgia"/>
          <w:b/>
          <w:i/>
          <w:color w:val="404040" w:themeColor="text1" w:themeTint="BF"/>
          <w:sz w:val="20"/>
          <w:szCs w:val="20"/>
        </w:rPr>
      </w:pPr>
      <w:bookmarkStart w:id="38" w:name="_Toc50044063"/>
      <w:r w:rsidRPr="00096B63">
        <w:rPr>
          <w:rFonts w:ascii="Georgia" w:hAnsi="Georgia"/>
          <w:b/>
          <w:i/>
          <w:color w:val="404040" w:themeColor="text1" w:themeTint="BF"/>
          <w:sz w:val="20"/>
          <w:szCs w:val="20"/>
        </w:rPr>
        <w:t>Partnership</w:t>
      </w:r>
      <w:bookmarkEnd w:id="38"/>
      <w:r w:rsidRPr="00096B63">
        <w:rPr>
          <w:rFonts w:ascii="Georgia" w:hAnsi="Georgia"/>
          <w:b/>
          <w:i/>
          <w:color w:val="404040" w:themeColor="text1" w:themeTint="BF"/>
          <w:sz w:val="20"/>
          <w:szCs w:val="20"/>
        </w:rPr>
        <w:t xml:space="preserve">  </w:t>
      </w:r>
    </w:p>
    <w:p w14:paraId="72C6490E" w14:textId="77777777" w:rsidR="00AA2107" w:rsidRPr="00AA2107" w:rsidRDefault="00AA2107" w:rsidP="00AA2107">
      <w:pPr>
        <w:autoSpaceDE w:val="0"/>
        <w:autoSpaceDN w:val="0"/>
        <w:jc w:val="both"/>
        <w:rPr>
          <w:rFonts w:ascii="Georgia" w:hAnsi="Georgia"/>
          <w:color w:val="404040" w:themeColor="text1" w:themeTint="BF"/>
          <w:sz w:val="20"/>
          <w:szCs w:val="20"/>
        </w:rPr>
      </w:pPr>
    </w:p>
    <w:p w14:paraId="1260A483" w14:textId="139C2DB6" w:rsidR="00AA2107" w:rsidRDefault="00AA2107" w:rsidP="00AA2107">
      <w:pPr>
        <w:autoSpaceDE w:val="0"/>
        <w:autoSpaceDN w:val="0"/>
        <w:jc w:val="both"/>
        <w:rPr>
          <w:rFonts w:ascii="Georgia" w:hAnsi="Georgia"/>
          <w:color w:val="404040" w:themeColor="text1" w:themeTint="BF"/>
          <w:sz w:val="20"/>
          <w:szCs w:val="20"/>
        </w:rPr>
      </w:pPr>
      <w:r w:rsidRPr="00AA2107">
        <w:rPr>
          <w:rFonts w:ascii="Georgia" w:hAnsi="Georgia"/>
          <w:color w:val="404040" w:themeColor="text1" w:themeTint="BF"/>
          <w:sz w:val="20"/>
          <w:szCs w:val="20"/>
        </w:rPr>
        <w:t>The Bluefield Group believes that collaboration between organisations is essential to maximising the positive impact society can have on climate change. The group supports a number of schemes focused on the preservation and restoration of the environment, including several tree planting initiatives. The Bluefield Group will continue to contribute to a variety of schemes during the upcoming financial year.</w:t>
      </w:r>
    </w:p>
    <w:p w14:paraId="699249C0" w14:textId="77777777" w:rsidR="00AA2107" w:rsidRPr="00AA2107" w:rsidRDefault="00AA2107" w:rsidP="00AA2107">
      <w:pPr>
        <w:autoSpaceDE w:val="0"/>
        <w:autoSpaceDN w:val="0"/>
        <w:jc w:val="both"/>
        <w:rPr>
          <w:rFonts w:ascii="Georgia" w:hAnsi="Georgia"/>
          <w:color w:val="404040" w:themeColor="text1" w:themeTint="BF"/>
          <w:sz w:val="20"/>
          <w:szCs w:val="20"/>
        </w:rPr>
      </w:pPr>
    </w:p>
    <w:p w14:paraId="2093FDF9" w14:textId="2E53D125" w:rsidR="00AA2107" w:rsidRDefault="00AA2107" w:rsidP="00AA2107">
      <w:pPr>
        <w:autoSpaceDE w:val="0"/>
        <w:autoSpaceDN w:val="0"/>
        <w:jc w:val="both"/>
        <w:rPr>
          <w:rFonts w:ascii="Georgia" w:hAnsi="Georgia"/>
          <w:color w:val="404040" w:themeColor="text1" w:themeTint="BF"/>
          <w:sz w:val="20"/>
          <w:szCs w:val="20"/>
          <w:u w:val="single"/>
        </w:rPr>
      </w:pPr>
      <w:r w:rsidRPr="00AA2107">
        <w:rPr>
          <w:rFonts w:ascii="Georgia" w:hAnsi="Georgia"/>
          <w:color w:val="404040" w:themeColor="text1" w:themeTint="BF"/>
          <w:sz w:val="20"/>
          <w:szCs w:val="20"/>
          <w:u w:val="single"/>
        </w:rPr>
        <w:t xml:space="preserve">Wild Aligned Programme </w:t>
      </w:r>
    </w:p>
    <w:p w14:paraId="3609A398" w14:textId="15618E58" w:rsidR="009045AC" w:rsidRDefault="009045AC" w:rsidP="00AA2107">
      <w:pPr>
        <w:autoSpaceDE w:val="0"/>
        <w:autoSpaceDN w:val="0"/>
        <w:jc w:val="both"/>
        <w:rPr>
          <w:rFonts w:ascii="Georgia" w:hAnsi="Georgia"/>
          <w:color w:val="404040" w:themeColor="text1" w:themeTint="BF"/>
          <w:sz w:val="20"/>
          <w:szCs w:val="20"/>
          <w:u w:val="single"/>
        </w:rPr>
      </w:pPr>
    </w:p>
    <w:p w14:paraId="5A9E79BE" w14:textId="6B4DBD4E" w:rsidR="009045AC" w:rsidRDefault="009045AC" w:rsidP="00AA2107">
      <w:pPr>
        <w:autoSpaceDE w:val="0"/>
        <w:autoSpaceDN w:val="0"/>
        <w:jc w:val="both"/>
        <w:rPr>
          <w:rFonts w:ascii="Georgia" w:hAnsi="Georgia"/>
          <w:color w:val="404040" w:themeColor="text1" w:themeTint="BF"/>
          <w:sz w:val="20"/>
          <w:szCs w:val="20"/>
          <w:u w:val="single"/>
        </w:rPr>
      </w:pPr>
      <w:r w:rsidRPr="009045AC">
        <w:rPr>
          <w:rFonts w:ascii="Georgia" w:hAnsi="Georgia"/>
          <w:noProof/>
          <w:color w:val="404040" w:themeColor="text1" w:themeTint="BF"/>
          <w:sz w:val="20"/>
          <w:szCs w:val="20"/>
          <w:u w:val="single"/>
          <w:lang w:eastAsia="zh-CN"/>
        </w:rPr>
        <w:drawing>
          <wp:inline distT="0" distB="0" distL="0" distR="0" wp14:anchorId="2B6FE83D" wp14:editId="7A8ABCFF">
            <wp:extent cx="5924550" cy="2944952"/>
            <wp:effectExtent l="0" t="0" r="0" b="8255"/>
            <wp:docPr id="9" name="Picture 9" descr="C:\Users\rshutie\AppData\Local\Microsoft\Windows\INetCache\Content.Outlook\G72AIMV2\wild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hutie\AppData\Local\Microsoft\Windows\INetCache\Content.Outlook\G72AIMV2\wild aligne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5291" cy="2960232"/>
                    </a:xfrm>
                    <a:prstGeom prst="rect">
                      <a:avLst/>
                    </a:prstGeom>
                    <a:noFill/>
                    <a:ln>
                      <a:noFill/>
                    </a:ln>
                  </pic:spPr>
                </pic:pic>
              </a:graphicData>
            </a:graphic>
          </wp:inline>
        </w:drawing>
      </w:r>
    </w:p>
    <w:p w14:paraId="23D0468F" w14:textId="77777777" w:rsidR="00AA2107" w:rsidRPr="00AA2107" w:rsidRDefault="00AA2107" w:rsidP="00AA2107">
      <w:pPr>
        <w:autoSpaceDE w:val="0"/>
        <w:autoSpaceDN w:val="0"/>
        <w:jc w:val="both"/>
        <w:rPr>
          <w:rFonts w:ascii="Georgia" w:hAnsi="Georgia"/>
          <w:color w:val="404040" w:themeColor="text1" w:themeTint="BF"/>
          <w:sz w:val="20"/>
          <w:szCs w:val="20"/>
          <w:u w:val="single"/>
        </w:rPr>
      </w:pPr>
    </w:p>
    <w:p w14:paraId="6882FEC3" w14:textId="77777777" w:rsidR="00AA2107" w:rsidRPr="009045AC" w:rsidRDefault="00AA2107" w:rsidP="00AA2107">
      <w:pPr>
        <w:autoSpaceDE w:val="0"/>
        <w:autoSpaceDN w:val="0"/>
        <w:jc w:val="both"/>
        <w:rPr>
          <w:rFonts w:ascii="Georgia" w:hAnsi="Georgia"/>
          <w:color w:val="404040" w:themeColor="text1" w:themeTint="BF"/>
          <w:sz w:val="20"/>
          <w:szCs w:val="20"/>
          <w:lang w:val="de-DE"/>
        </w:rPr>
      </w:pPr>
      <w:r w:rsidRPr="009045AC">
        <w:rPr>
          <w:rFonts w:ascii="Georgia" w:hAnsi="Georgia"/>
          <w:iCs/>
          <w:color w:val="404040" w:themeColor="text1" w:themeTint="BF"/>
          <w:sz w:val="20"/>
          <w:szCs w:val="20"/>
          <w:lang w:val="en-US"/>
        </w:rPr>
        <w:t xml:space="preserve">Developed by C Level, Wild Aligned allows </w:t>
      </w:r>
      <w:proofErr w:type="spellStart"/>
      <w:r w:rsidRPr="009045AC">
        <w:rPr>
          <w:rFonts w:ascii="Georgia" w:hAnsi="Georgia"/>
          <w:iCs/>
          <w:color w:val="404040" w:themeColor="text1" w:themeTint="BF"/>
          <w:sz w:val="20"/>
          <w:szCs w:val="20"/>
          <w:lang w:val="en-US"/>
        </w:rPr>
        <w:t>organisations</w:t>
      </w:r>
      <w:proofErr w:type="spellEnd"/>
      <w:r w:rsidRPr="009045AC">
        <w:rPr>
          <w:rFonts w:ascii="Georgia" w:hAnsi="Georgia"/>
          <w:iCs/>
          <w:color w:val="404040" w:themeColor="text1" w:themeTint="BF"/>
          <w:sz w:val="20"/>
          <w:szCs w:val="20"/>
          <w:lang w:val="en-US"/>
        </w:rPr>
        <w:t xml:space="preserve"> to go further with their commitment to reforestation and rewilding. It provides opportunities for </w:t>
      </w:r>
      <w:proofErr w:type="spellStart"/>
      <w:r w:rsidRPr="009045AC">
        <w:rPr>
          <w:rFonts w:ascii="Georgia" w:hAnsi="Georgia"/>
          <w:iCs/>
          <w:color w:val="404040" w:themeColor="text1" w:themeTint="BF"/>
          <w:sz w:val="20"/>
          <w:szCs w:val="20"/>
          <w:lang w:val="en-US"/>
        </w:rPr>
        <w:t>organisations</w:t>
      </w:r>
      <w:proofErr w:type="spellEnd"/>
      <w:r w:rsidRPr="009045AC">
        <w:rPr>
          <w:rFonts w:ascii="Georgia" w:hAnsi="Georgia"/>
          <w:iCs/>
          <w:color w:val="404040" w:themeColor="text1" w:themeTint="BF"/>
          <w:sz w:val="20"/>
          <w:szCs w:val="20"/>
          <w:lang w:val="en-US"/>
        </w:rPr>
        <w:t xml:space="preserve"> to have direct involvement with native tree planting initiatives. Reforestation partners include: The Children’s Forest, Forests without Frontiers and Rewilding from Within.  </w:t>
      </w:r>
    </w:p>
    <w:p w14:paraId="4B3992D0" w14:textId="15791EF5" w:rsidR="00760E26" w:rsidRPr="00AA2107" w:rsidRDefault="00760E26" w:rsidP="0087181F">
      <w:pPr>
        <w:autoSpaceDE w:val="0"/>
        <w:autoSpaceDN w:val="0"/>
        <w:jc w:val="both"/>
        <w:rPr>
          <w:rFonts w:ascii="Georgia" w:hAnsi="Georgia"/>
          <w:color w:val="404040" w:themeColor="text1" w:themeTint="BF"/>
          <w:sz w:val="20"/>
          <w:szCs w:val="20"/>
          <w:lang w:val="de-DE"/>
        </w:rPr>
      </w:pPr>
    </w:p>
    <w:p w14:paraId="16E5DD5F" w14:textId="2A1DA02B" w:rsidR="009045AC" w:rsidRPr="00096B63" w:rsidRDefault="009045AC" w:rsidP="009045AC">
      <w:pPr>
        <w:autoSpaceDE w:val="0"/>
        <w:autoSpaceDN w:val="0"/>
        <w:jc w:val="both"/>
        <w:rPr>
          <w:rFonts w:ascii="Georgia" w:hAnsi="Georgia"/>
          <w:b/>
          <w:i/>
          <w:color w:val="404040" w:themeColor="text1" w:themeTint="BF"/>
          <w:sz w:val="20"/>
          <w:szCs w:val="20"/>
        </w:rPr>
      </w:pPr>
      <w:bookmarkStart w:id="39" w:name="_Toc50044064"/>
      <w:r w:rsidRPr="00096B63">
        <w:rPr>
          <w:rFonts w:ascii="Georgia" w:hAnsi="Georgia"/>
          <w:b/>
          <w:i/>
          <w:color w:val="404040" w:themeColor="text1" w:themeTint="BF"/>
          <w:sz w:val="20"/>
          <w:szCs w:val="20"/>
        </w:rPr>
        <w:t>Charities</w:t>
      </w:r>
      <w:bookmarkEnd w:id="39"/>
      <w:r w:rsidRPr="00096B63">
        <w:rPr>
          <w:rFonts w:ascii="Georgia" w:hAnsi="Georgia"/>
          <w:b/>
          <w:i/>
          <w:color w:val="404040" w:themeColor="text1" w:themeTint="BF"/>
          <w:sz w:val="20"/>
          <w:szCs w:val="20"/>
        </w:rPr>
        <w:t xml:space="preserve"> </w:t>
      </w:r>
    </w:p>
    <w:p w14:paraId="4D96689D" w14:textId="77777777" w:rsidR="009045AC" w:rsidRPr="009045AC" w:rsidRDefault="009045AC" w:rsidP="009045AC">
      <w:pPr>
        <w:autoSpaceDE w:val="0"/>
        <w:autoSpaceDN w:val="0"/>
        <w:jc w:val="both"/>
        <w:rPr>
          <w:rFonts w:ascii="Georgia" w:hAnsi="Georgia"/>
          <w:color w:val="404040" w:themeColor="text1" w:themeTint="BF"/>
          <w:sz w:val="20"/>
          <w:szCs w:val="20"/>
        </w:rPr>
      </w:pPr>
    </w:p>
    <w:p w14:paraId="593D8C26" w14:textId="77777777" w:rsidR="00651731" w:rsidRPr="009045AC" w:rsidRDefault="00651731" w:rsidP="00651731">
      <w:pPr>
        <w:autoSpaceDE w:val="0"/>
        <w:autoSpaceDN w:val="0"/>
        <w:jc w:val="both"/>
        <w:rPr>
          <w:rFonts w:ascii="Georgia" w:hAnsi="Georgia"/>
          <w:color w:val="404040" w:themeColor="text1" w:themeTint="BF"/>
          <w:sz w:val="20"/>
          <w:szCs w:val="20"/>
        </w:rPr>
      </w:pPr>
      <w:r w:rsidRPr="009045AC">
        <w:rPr>
          <w:rFonts w:ascii="Georgia" w:hAnsi="Georgia"/>
          <w:color w:val="404040" w:themeColor="text1" w:themeTint="BF"/>
          <w:sz w:val="20"/>
          <w:szCs w:val="20"/>
        </w:rPr>
        <w:t>The Bluefield Group organises an annual charity even</w:t>
      </w:r>
      <w:r>
        <w:rPr>
          <w:rFonts w:ascii="Georgia" w:hAnsi="Georgia"/>
          <w:color w:val="404040" w:themeColor="text1" w:themeTint="BF"/>
          <w:sz w:val="20"/>
          <w:szCs w:val="20"/>
        </w:rPr>
        <w:t xml:space="preserve">t. </w:t>
      </w:r>
      <w:r w:rsidRPr="000F782A">
        <w:rPr>
          <w:rFonts w:ascii="Georgia" w:hAnsi="Georgia"/>
          <w:color w:val="404040" w:themeColor="text1" w:themeTint="BF"/>
          <w:sz w:val="20"/>
          <w:szCs w:val="20"/>
        </w:rPr>
        <w:t>For the 2019 fundraiser</w:t>
      </w:r>
      <w:r>
        <w:rPr>
          <w:rFonts w:ascii="Georgia" w:hAnsi="Georgia"/>
          <w:color w:val="404040" w:themeColor="text1" w:themeTint="BF"/>
          <w:sz w:val="20"/>
          <w:szCs w:val="20"/>
        </w:rPr>
        <w:t>, employees cycled from</w:t>
      </w:r>
      <w:r w:rsidRPr="009045AC">
        <w:rPr>
          <w:rFonts w:ascii="Georgia" w:hAnsi="Georgia"/>
          <w:color w:val="404040" w:themeColor="text1" w:themeTint="BF"/>
          <w:sz w:val="20"/>
          <w:szCs w:val="20"/>
        </w:rPr>
        <w:t xml:space="preserve"> Bristol to</w:t>
      </w:r>
      <w:r>
        <w:rPr>
          <w:rFonts w:ascii="Georgia" w:hAnsi="Georgia"/>
          <w:color w:val="404040" w:themeColor="text1" w:themeTint="BF"/>
          <w:sz w:val="20"/>
          <w:szCs w:val="20"/>
        </w:rPr>
        <w:t xml:space="preserve"> the</w:t>
      </w:r>
      <w:r w:rsidRPr="009045AC">
        <w:rPr>
          <w:rFonts w:ascii="Georgia" w:hAnsi="Georgia"/>
          <w:color w:val="404040" w:themeColor="text1" w:themeTint="BF"/>
          <w:sz w:val="20"/>
          <w:szCs w:val="20"/>
        </w:rPr>
        <w:t xml:space="preserve"> London office. Beneficiaries of the event included: MIND, Julian House and the Bumblebee Conservation Trust. If staff undertake additional fundraisers, historically Bluefield matches the donations raised. </w:t>
      </w:r>
    </w:p>
    <w:p w14:paraId="0F4EDF0D" w14:textId="77777777" w:rsidR="009045AC" w:rsidRDefault="009045AC" w:rsidP="009045AC">
      <w:pPr>
        <w:autoSpaceDE w:val="0"/>
        <w:autoSpaceDN w:val="0"/>
        <w:jc w:val="both"/>
        <w:rPr>
          <w:rFonts w:ascii="Georgia" w:hAnsi="Georgia"/>
          <w:color w:val="404040" w:themeColor="text1" w:themeTint="BF"/>
          <w:sz w:val="20"/>
          <w:szCs w:val="20"/>
        </w:rPr>
      </w:pPr>
    </w:p>
    <w:p w14:paraId="04A618C2" w14:textId="1512DA56" w:rsidR="009045AC" w:rsidRPr="009045AC" w:rsidRDefault="009045AC" w:rsidP="009045AC">
      <w:pPr>
        <w:autoSpaceDE w:val="0"/>
        <w:autoSpaceDN w:val="0"/>
        <w:jc w:val="both"/>
        <w:rPr>
          <w:rFonts w:ascii="Georgia" w:hAnsi="Georgia"/>
          <w:color w:val="404040" w:themeColor="text1" w:themeTint="BF"/>
          <w:sz w:val="20"/>
          <w:szCs w:val="20"/>
        </w:rPr>
      </w:pPr>
      <w:r w:rsidRPr="009045AC">
        <w:rPr>
          <w:rFonts w:ascii="Georgia" w:hAnsi="Georgia"/>
          <w:color w:val="404040" w:themeColor="text1" w:themeTint="BF"/>
          <w:sz w:val="20"/>
          <w:szCs w:val="20"/>
        </w:rPr>
        <w:t>Objectives for the upcoming year include aligning each business with an appropriate charity and the introduction of corporate responsibility days across the group.</w:t>
      </w:r>
    </w:p>
    <w:p w14:paraId="62A5653C" w14:textId="38F387B5" w:rsidR="00760E26" w:rsidRDefault="00760E26" w:rsidP="0087181F">
      <w:pPr>
        <w:autoSpaceDE w:val="0"/>
        <w:autoSpaceDN w:val="0"/>
        <w:jc w:val="both"/>
        <w:rPr>
          <w:rFonts w:ascii="Georgia" w:hAnsi="Georgia"/>
          <w:color w:val="404040" w:themeColor="text1" w:themeTint="BF"/>
          <w:sz w:val="20"/>
          <w:szCs w:val="20"/>
        </w:rPr>
      </w:pPr>
    </w:p>
    <w:p w14:paraId="71AA00FE" w14:textId="0AF79F1F" w:rsidR="00760E26" w:rsidRDefault="00760E26" w:rsidP="0087181F">
      <w:pPr>
        <w:autoSpaceDE w:val="0"/>
        <w:autoSpaceDN w:val="0"/>
        <w:jc w:val="both"/>
        <w:rPr>
          <w:rFonts w:ascii="Georgia" w:hAnsi="Georgia"/>
          <w:color w:val="404040" w:themeColor="text1" w:themeTint="BF"/>
          <w:sz w:val="20"/>
          <w:szCs w:val="20"/>
        </w:rPr>
      </w:pPr>
    </w:p>
    <w:p w14:paraId="58A012F8" w14:textId="1D7EE575" w:rsidR="00760E26" w:rsidRDefault="00760E26" w:rsidP="0087181F">
      <w:pPr>
        <w:autoSpaceDE w:val="0"/>
        <w:autoSpaceDN w:val="0"/>
        <w:jc w:val="both"/>
        <w:rPr>
          <w:rFonts w:ascii="Georgia" w:hAnsi="Georgia"/>
          <w:color w:val="404040" w:themeColor="text1" w:themeTint="BF"/>
          <w:sz w:val="20"/>
          <w:szCs w:val="20"/>
        </w:rPr>
      </w:pPr>
    </w:p>
    <w:p w14:paraId="28356CFB" w14:textId="1E26D4EE" w:rsidR="00760E26" w:rsidRDefault="00760E26" w:rsidP="0087181F">
      <w:pPr>
        <w:autoSpaceDE w:val="0"/>
        <w:autoSpaceDN w:val="0"/>
        <w:jc w:val="both"/>
        <w:rPr>
          <w:rFonts w:ascii="Georgia" w:hAnsi="Georgia"/>
          <w:color w:val="404040" w:themeColor="text1" w:themeTint="BF"/>
          <w:sz w:val="20"/>
          <w:szCs w:val="20"/>
        </w:rPr>
      </w:pPr>
    </w:p>
    <w:p w14:paraId="52C37F28" w14:textId="72492CC5" w:rsidR="00760E26" w:rsidRDefault="00760E26" w:rsidP="0087181F">
      <w:pPr>
        <w:autoSpaceDE w:val="0"/>
        <w:autoSpaceDN w:val="0"/>
        <w:jc w:val="both"/>
        <w:rPr>
          <w:rFonts w:ascii="Georgia" w:hAnsi="Georgia"/>
          <w:color w:val="404040" w:themeColor="text1" w:themeTint="BF"/>
          <w:sz w:val="20"/>
          <w:szCs w:val="20"/>
        </w:rPr>
      </w:pPr>
    </w:p>
    <w:p w14:paraId="7C477BEC" w14:textId="73232C72" w:rsidR="00760E26" w:rsidRDefault="00760E26" w:rsidP="0087181F">
      <w:pPr>
        <w:autoSpaceDE w:val="0"/>
        <w:autoSpaceDN w:val="0"/>
        <w:jc w:val="both"/>
        <w:rPr>
          <w:rFonts w:ascii="Georgia" w:hAnsi="Georgia"/>
          <w:color w:val="404040" w:themeColor="text1" w:themeTint="BF"/>
          <w:sz w:val="20"/>
          <w:szCs w:val="20"/>
        </w:rPr>
      </w:pPr>
    </w:p>
    <w:p w14:paraId="276D0BB3" w14:textId="592237A9" w:rsidR="00760E26" w:rsidRDefault="00760E26" w:rsidP="0087181F">
      <w:pPr>
        <w:autoSpaceDE w:val="0"/>
        <w:autoSpaceDN w:val="0"/>
        <w:jc w:val="both"/>
        <w:rPr>
          <w:rFonts w:ascii="Georgia" w:hAnsi="Georgia"/>
          <w:color w:val="404040" w:themeColor="text1" w:themeTint="BF"/>
          <w:sz w:val="20"/>
          <w:szCs w:val="20"/>
        </w:rPr>
      </w:pPr>
    </w:p>
    <w:p w14:paraId="10BE39C5" w14:textId="020B1211" w:rsidR="00760E26" w:rsidRDefault="00760E26" w:rsidP="0087181F">
      <w:pPr>
        <w:autoSpaceDE w:val="0"/>
        <w:autoSpaceDN w:val="0"/>
        <w:jc w:val="both"/>
        <w:rPr>
          <w:rFonts w:ascii="Georgia" w:hAnsi="Georgia"/>
          <w:color w:val="404040" w:themeColor="text1" w:themeTint="BF"/>
          <w:sz w:val="20"/>
          <w:szCs w:val="20"/>
        </w:rPr>
      </w:pPr>
    </w:p>
    <w:p w14:paraId="7DC0BCAF" w14:textId="6DADEFA0" w:rsidR="00760E26" w:rsidRDefault="00760E26" w:rsidP="0087181F">
      <w:pPr>
        <w:autoSpaceDE w:val="0"/>
        <w:autoSpaceDN w:val="0"/>
        <w:jc w:val="both"/>
        <w:rPr>
          <w:rFonts w:ascii="Georgia" w:hAnsi="Georgia"/>
          <w:color w:val="404040" w:themeColor="text1" w:themeTint="BF"/>
          <w:sz w:val="20"/>
          <w:szCs w:val="20"/>
        </w:rPr>
      </w:pPr>
    </w:p>
    <w:p w14:paraId="5E4A4015" w14:textId="77777777" w:rsidR="005910D4" w:rsidRPr="00475D47" w:rsidRDefault="005910D4" w:rsidP="005910D4">
      <w:pPr>
        <w:pStyle w:val="Heading2"/>
        <w:spacing w:before="0"/>
      </w:pPr>
      <w:r w:rsidRPr="00475D47">
        <w:lastRenderedPageBreak/>
        <w:t>Report of the Investment Adviser (continued)</w:t>
      </w:r>
    </w:p>
    <w:p w14:paraId="6189423D" w14:textId="77777777" w:rsidR="005910D4" w:rsidRDefault="005910D4" w:rsidP="005910D4">
      <w:pPr>
        <w:pStyle w:val="paragraph"/>
        <w:spacing w:before="0" w:beforeAutospacing="0" w:after="0" w:afterAutospacing="0"/>
        <w:jc w:val="both"/>
        <w:textAlignment w:val="baseline"/>
        <w:rPr>
          <w:rStyle w:val="normaltextrun"/>
          <w:rFonts w:ascii="Georgia" w:hAnsi="Georgia"/>
          <w:color w:val="404040" w:themeColor="text1" w:themeTint="BF"/>
          <w:sz w:val="20"/>
          <w:szCs w:val="20"/>
          <w:highlight w:val="yellow"/>
        </w:rPr>
      </w:pPr>
    </w:p>
    <w:p w14:paraId="69BF0B7A" w14:textId="77777777" w:rsidR="005910D4" w:rsidRPr="00090986" w:rsidRDefault="005910D4" w:rsidP="005910D4">
      <w:pPr>
        <w:spacing w:after="160" w:line="259" w:lineRule="auto"/>
        <w:jc w:val="both"/>
        <w:rPr>
          <w:rFonts w:ascii="Georgia" w:hAnsi="Georgia"/>
          <w:b/>
          <w:color w:val="404040" w:themeColor="text1" w:themeTint="BF"/>
          <w:sz w:val="20"/>
          <w:szCs w:val="20"/>
        </w:rPr>
      </w:pPr>
      <w:r w:rsidRPr="00180BE8">
        <w:rPr>
          <w:rFonts w:ascii="Georgia" w:hAnsi="Georgia"/>
          <w:b/>
          <w:color w:val="404040" w:themeColor="text1" w:themeTint="BF"/>
          <w:sz w:val="20"/>
          <w:szCs w:val="20"/>
        </w:rPr>
        <w:t xml:space="preserve">8. Environmental, Social and Governance </w:t>
      </w:r>
      <w:r>
        <w:rPr>
          <w:rFonts w:ascii="Georgia" w:hAnsi="Georgia"/>
          <w:b/>
          <w:color w:val="404040" w:themeColor="text1" w:themeTint="BF"/>
          <w:sz w:val="20"/>
          <w:szCs w:val="20"/>
        </w:rPr>
        <w:t>(continued)</w:t>
      </w:r>
    </w:p>
    <w:p w14:paraId="548AB78A" w14:textId="287DD859" w:rsidR="005910D4" w:rsidRPr="00096B63" w:rsidRDefault="005910D4" w:rsidP="005910D4">
      <w:pPr>
        <w:autoSpaceDE w:val="0"/>
        <w:autoSpaceDN w:val="0"/>
        <w:jc w:val="both"/>
        <w:rPr>
          <w:rFonts w:ascii="Georgia" w:hAnsi="Georgia"/>
          <w:b/>
          <w:i/>
          <w:color w:val="404040" w:themeColor="text1" w:themeTint="BF"/>
          <w:sz w:val="20"/>
          <w:szCs w:val="20"/>
        </w:rPr>
      </w:pPr>
      <w:bookmarkStart w:id="40" w:name="_Toc50044065"/>
      <w:r w:rsidRPr="00096B63">
        <w:rPr>
          <w:rFonts w:ascii="Georgia" w:hAnsi="Georgia"/>
          <w:b/>
          <w:i/>
          <w:color w:val="404040" w:themeColor="text1" w:themeTint="BF"/>
          <w:sz w:val="20"/>
          <w:szCs w:val="20"/>
        </w:rPr>
        <w:t>Contribution to Sustainable Development Goals</w:t>
      </w:r>
      <w:bookmarkEnd w:id="40"/>
    </w:p>
    <w:p w14:paraId="7EE19343" w14:textId="77777777" w:rsidR="005910D4" w:rsidRPr="005910D4" w:rsidRDefault="005910D4" w:rsidP="005910D4">
      <w:pPr>
        <w:autoSpaceDE w:val="0"/>
        <w:autoSpaceDN w:val="0"/>
        <w:jc w:val="both"/>
        <w:rPr>
          <w:rFonts w:ascii="Georgia" w:hAnsi="Georgia"/>
          <w:i/>
          <w:color w:val="404040" w:themeColor="text1" w:themeTint="BF"/>
          <w:sz w:val="20"/>
          <w:szCs w:val="20"/>
        </w:rPr>
      </w:pPr>
    </w:p>
    <w:p w14:paraId="7EECEDBE" w14:textId="77777777" w:rsidR="00651731" w:rsidRPr="005910D4" w:rsidRDefault="00651731" w:rsidP="00651731">
      <w:pPr>
        <w:autoSpaceDE w:val="0"/>
        <w:autoSpaceDN w:val="0"/>
        <w:jc w:val="both"/>
        <w:rPr>
          <w:rFonts w:ascii="Georgia" w:hAnsi="Georgia"/>
          <w:color w:val="404040" w:themeColor="text1" w:themeTint="BF"/>
          <w:sz w:val="20"/>
          <w:szCs w:val="20"/>
        </w:rPr>
      </w:pPr>
      <w:r w:rsidRPr="005910D4">
        <w:rPr>
          <w:rFonts w:ascii="Georgia" w:hAnsi="Georgia"/>
          <w:color w:val="404040" w:themeColor="text1" w:themeTint="BF"/>
          <w:sz w:val="20"/>
          <w:szCs w:val="20"/>
        </w:rPr>
        <w:t>The Bluefield Group unders</w:t>
      </w:r>
      <w:r>
        <w:rPr>
          <w:rFonts w:ascii="Georgia" w:hAnsi="Georgia"/>
          <w:color w:val="404040" w:themeColor="text1" w:themeTint="BF"/>
          <w:sz w:val="20"/>
          <w:szCs w:val="20"/>
        </w:rPr>
        <w:t>tands the importance of the SDG</w:t>
      </w:r>
      <w:r w:rsidRPr="005910D4">
        <w:rPr>
          <w:rFonts w:ascii="Georgia" w:hAnsi="Georgia"/>
          <w:color w:val="404040" w:themeColor="text1" w:themeTint="BF"/>
          <w:sz w:val="20"/>
          <w:szCs w:val="20"/>
        </w:rPr>
        <w:t xml:space="preserve">s and their role in the positive development of human society. </w:t>
      </w:r>
      <w:r>
        <w:rPr>
          <w:rFonts w:ascii="Georgia" w:hAnsi="Georgia"/>
          <w:color w:val="404040" w:themeColor="text1" w:themeTint="BF"/>
          <w:sz w:val="20"/>
          <w:szCs w:val="20"/>
        </w:rPr>
        <w:t xml:space="preserve">Moving </w:t>
      </w:r>
      <w:r w:rsidRPr="005910D4">
        <w:rPr>
          <w:rFonts w:ascii="Georgia" w:hAnsi="Georgia"/>
          <w:color w:val="404040" w:themeColor="text1" w:themeTint="BF"/>
          <w:sz w:val="20"/>
          <w:szCs w:val="20"/>
        </w:rPr>
        <w:t>forward, the Bluefield</w:t>
      </w:r>
      <w:r>
        <w:rPr>
          <w:rFonts w:ascii="Georgia" w:hAnsi="Georgia"/>
          <w:color w:val="404040" w:themeColor="text1" w:themeTint="BF"/>
          <w:sz w:val="20"/>
          <w:szCs w:val="20"/>
        </w:rPr>
        <w:t xml:space="preserve"> Group hopes to incorporate </w:t>
      </w:r>
      <w:r w:rsidRPr="00780734">
        <w:rPr>
          <w:rFonts w:ascii="Georgia" w:hAnsi="Georgia"/>
          <w:color w:val="404040" w:themeColor="text1" w:themeTint="BF"/>
          <w:sz w:val="20"/>
          <w:szCs w:val="20"/>
        </w:rPr>
        <w:t xml:space="preserve">Sustainable Development Goals </w:t>
      </w:r>
      <w:r>
        <w:rPr>
          <w:rFonts w:ascii="Georgia" w:hAnsi="Georgia"/>
          <w:color w:val="404040" w:themeColor="text1" w:themeTint="BF"/>
          <w:sz w:val="20"/>
          <w:szCs w:val="20"/>
        </w:rPr>
        <w:t>(SDG</w:t>
      </w:r>
      <w:r w:rsidRPr="005910D4">
        <w:rPr>
          <w:rFonts w:ascii="Georgia" w:hAnsi="Georgia"/>
          <w:color w:val="404040" w:themeColor="text1" w:themeTint="BF"/>
          <w:sz w:val="20"/>
          <w:szCs w:val="20"/>
        </w:rPr>
        <w:t>s</w:t>
      </w:r>
      <w:r>
        <w:rPr>
          <w:rFonts w:ascii="Georgia" w:hAnsi="Georgia"/>
          <w:color w:val="404040" w:themeColor="text1" w:themeTint="BF"/>
          <w:sz w:val="20"/>
          <w:szCs w:val="20"/>
        </w:rPr>
        <w:t>)</w:t>
      </w:r>
      <w:r w:rsidRPr="005910D4">
        <w:rPr>
          <w:rFonts w:ascii="Georgia" w:hAnsi="Georgia"/>
          <w:color w:val="404040" w:themeColor="text1" w:themeTint="BF"/>
          <w:sz w:val="20"/>
          <w:szCs w:val="20"/>
        </w:rPr>
        <w:t xml:space="preserve"> into its ESG strategy. </w:t>
      </w:r>
    </w:p>
    <w:p w14:paraId="430D2087" w14:textId="77777777" w:rsidR="005910D4" w:rsidRPr="005910D4" w:rsidRDefault="005910D4" w:rsidP="005910D4">
      <w:pPr>
        <w:autoSpaceDE w:val="0"/>
        <w:autoSpaceDN w:val="0"/>
        <w:jc w:val="both"/>
        <w:rPr>
          <w:rFonts w:ascii="Georgia" w:hAnsi="Georgia"/>
          <w:color w:val="404040" w:themeColor="text1" w:themeTint="BF"/>
          <w:sz w:val="20"/>
          <w:szCs w:val="20"/>
        </w:rPr>
      </w:pPr>
    </w:p>
    <w:p w14:paraId="69A5A718" w14:textId="6ABC9C85" w:rsidR="005910D4" w:rsidRPr="00096B63" w:rsidRDefault="005910D4" w:rsidP="005910D4">
      <w:pPr>
        <w:autoSpaceDE w:val="0"/>
        <w:autoSpaceDN w:val="0"/>
        <w:jc w:val="both"/>
        <w:rPr>
          <w:rFonts w:ascii="Georgia" w:hAnsi="Georgia"/>
          <w:b/>
          <w:i/>
          <w:color w:val="404040" w:themeColor="text1" w:themeTint="BF"/>
          <w:sz w:val="20"/>
          <w:szCs w:val="20"/>
        </w:rPr>
      </w:pPr>
      <w:bookmarkStart w:id="41" w:name="_Toc50044066"/>
      <w:r w:rsidRPr="00096B63">
        <w:rPr>
          <w:rFonts w:ascii="Georgia" w:hAnsi="Georgia"/>
          <w:b/>
          <w:i/>
          <w:color w:val="404040" w:themeColor="text1" w:themeTint="BF"/>
          <w:sz w:val="20"/>
          <w:szCs w:val="20"/>
        </w:rPr>
        <w:t>Looking Forward</w:t>
      </w:r>
      <w:bookmarkEnd w:id="41"/>
      <w:r w:rsidRPr="00096B63">
        <w:rPr>
          <w:rFonts w:ascii="Georgia" w:hAnsi="Georgia"/>
          <w:b/>
          <w:i/>
          <w:color w:val="404040" w:themeColor="text1" w:themeTint="BF"/>
          <w:sz w:val="20"/>
          <w:szCs w:val="20"/>
        </w:rPr>
        <w:t xml:space="preserve"> </w:t>
      </w:r>
    </w:p>
    <w:p w14:paraId="60CD96D8" w14:textId="77777777" w:rsidR="005910D4" w:rsidRPr="005910D4" w:rsidRDefault="005910D4" w:rsidP="005910D4">
      <w:pPr>
        <w:autoSpaceDE w:val="0"/>
        <w:autoSpaceDN w:val="0"/>
        <w:jc w:val="both"/>
        <w:rPr>
          <w:rFonts w:ascii="Georgia" w:hAnsi="Georgia"/>
          <w:i/>
          <w:color w:val="404040" w:themeColor="text1" w:themeTint="BF"/>
          <w:sz w:val="20"/>
          <w:szCs w:val="20"/>
        </w:rPr>
      </w:pPr>
    </w:p>
    <w:p w14:paraId="13082B93" w14:textId="77777777" w:rsidR="005910D4" w:rsidRPr="005910D4" w:rsidRDefault="005910D4" w:rsidP="005910D4">
      <w:pPr>
        <w:autoSpaceDE w:val="0"/>
        <w:autoSpaceDN w:val="0"/>
        <w:jc w:val="both"/>
        <w:rPr>
          <w:rFonts w:ascii="Georgia" w:hAnsi="Georgia"/>
          <w:color w:val="404040" w:themeColor="text1" w:themeTint="BF"/>
          <w:sz w:val="20"/>
          <w:szCs w:val="20"/>
        </w:rPr>
      </w:pPr>
      <w:r w:rsidRPr="005910D4">
        <w:rPr>
          <w:rFonts w:ascii="Georgia" w:hAnsi="Georgia"/>
          <w:color w:val="404040" w:themeColor="text1" w:themeTint="BF"/>
          <w:sz w:val="20"/>
          <w:szCs w:val="20"/>
        </w:rPr>
        <w:t xml:space="preserve">The Bluefield Group is committed to increasing its ESG activities. This report, the first of its kind for Bluefield, has been created to act as a benchmark from which an ESG strategy can be devised and integrated across the group. </w:t>
      </w:r>
    </w:p>
    <w:p w14:paraId="5B249DB4" w14:textId="221F25AC" w:rsidR="00760E26" w:rsidRDefault="00760E26" w:rsidP="0087181F">
      <w:pPr>
        <w:autoSpaceDE w:val="0"/>
        <w:autoSpaceDN w:val="0"/>
        <w:jc w:val="both"/>
        <w:rPr>
          <w:rFonts w:ascii="Georgia" w:hAnsi="Georgia"/>
          <w:color w:val="404040" w:themeColor="text1" w:themeTint="BF"/>
          <w:sz w:val="20"/>
          <w:szCs w:val="20"/>
        </w:rPr>
      </w:pPr>
    </w:p>
    <w:p w14:paraId="45CC474E" w14:textId="659E31D9" w:rsidR="005910D4" w:rsidRPr="005910D4" w:rsidRDefault="005910D4" w:rsidP="005910D4">
      <w:pPr>
        <w:autoSpaceDE w:val="0"/>
        <w:autoSpaceDN w:val="0"/>
        <w:jc w:val="both"/>
        <w:rPr>
          <w:rFonts w:ascii="Georgia" w:hAnsi="Georgia"/>
          <w:color w:val="404040" w:themeColor="text1" w:themeTint="BF"/>
          <w:sz w:val="20"/>
          <w:szCs w:val="20"/>
        </w:rPr>
      </w:pPr>
      <w:r w:rsidRPr="005910D4">
        <w:rPr>
          <w:rFonts w:ascii="Georgia" w:hAnsi="Georgia"/>
          <w:color w:val="404040" w:themeColor="text1" w:themeTint="BF"/>
          <w:sz w:val="20"/>
          <w:szCs w:val="20"/>
        </w:rPr>
        <w:t>Over the next year the Bluef</w:t>
      </w:r>
      <w:r w:rsidR="003E5D10">
        <w:rPr>
          <w:rFonts w:ascii="Georgia" w:hAnsi="Georgia"/>
          <w:color w:val="404040" w:themeColor="text1" w:themeTint="BF"/>
          <w:sz w:val="20"/>
          <w:szCs w:val="20"/>
        </w:rPr>
        <w:t xml:space="preserve">ield Group will </w:t>
      </w:r>
      <w:r w:rsidR="00AE0854">
        <w:rPr>
          <w:rFonts w:ascii="Georgia" w:hAnsi="Georgia"/>
          <w:color w:val="404040" w:themeColor="text1" w:themeTint="BF"/>
          <w:sz w:val="20"/>
          <w:szCs w:val="20"/>
        </w:rPr>
        <w:t>continue</w:t>
      </w:r>
      <w:r w:rsidR="003E5D10">
        <w:rPr>
          <w:rFonts w:ascii="Georgia" w:hAnsi="Georgia"/>
          <w:color w:val="404040" w:themeColor="text1" w:themeTint="BF"/>
          <w:sz w:val="20"/>
          <w:szCs w:val="20"/>
        </w:rPr>
        <w:t xml:space="preserve"> to develop</w:t>
      </w:r>
      <w:r w:rsidRPr="005910D4">
        <w:rPr>
          <w:rFonts w:ascii="Georgia" w:hAnsi="Georgia"/>
          <w:color w:val="404040" w:themeColor="text1" w:themeTint="BF"/>
          <w:sz w:val="20"/>
          <w:szCs w:val="20"/>
        </w:rPr>
        <w:t xml:space="preserve"> its strategy, as well as continuing with current ESG activities. An ESG report will be produced annually, providing transparency to Shareholders and highlighting Bluefield’s ongoing dedication to maximising the positive impact it has on the societies and environments it is part of. </w:t>
      </w:r>
    </w:p>
    <w:p w14:paraId="32401555" w14:textId="77777777" w:rsidR="005910D4" w:rsidRDefault="005910D4" w:rsidP="005910D4">
      <w:pPr>
        <w:autoSpaceDE w:val="0"/>
        <w:autoSpaceDN w:val="0"/>
        <w:jc w:val="both"/>
        <w:rPr>
          <w:rFonts w:ascii="Georgia" w:hAnsi="Georgia"/>
          <w:color w:val="404040" w:themeColor="text1" w:themeTint="BF"/>
          <w:sz w:val="20"/>
          <w:szCs w:val="20"/>
        </w:rPr>
      </w:pPr>
    </w:p>
    <w:p w14:paraId="3538BD8D" w14:textId="0A660501" w:rsidR="00760E26" w:rsidRPr="0087181F" w:rsidRDefault="00760E26" w:rsidP="0087181F">
      <w:pPr>
        <w:autoSpaceDE w:val="0"/>
        <w:autoSpaceDN w:val="0"/>
        <w:jc w:val="both"/>
        <w:rPr>
          <w:rFonts w:ascii="Georgia" w:hAnsi="Georgia"/>
          <w:color w:val="404040" w:themeColor="text1" w:themeTint="BF"/>
          <w:sz w:val="20"/>
          <w:szCs w:val="20"/>
        </w:rPr>
      </w:pPr>
    </w:p>
    <w:p w14:paraId="5D4FBD4E" w14:textId="77777777" w:rsidR="0087181F" w:rsidRPr="0087181F" w:rsidRDefault="0087181F" w:rsidP="0087181F">
      <w:pPr>
        <w:autoSpaceDE w:val="0"/>
        <w:autoSpaceDN w:val="0"/>
        <w:jc w:val="both"/>
        <w:rPr>
          <w:rFonts w:ascii="Georgia" w:hAnsi="Georgia"/>
          <w:color w:val="404040" w:themeColor="text1" w:themeTint="BF"/>
          <w:sz w:val="20"/>
          <w:szCs w:val="20"/>
          <w:lang w:val="en-US"/>
        </w:rPr>
      </w:pPr>
    </w:p>
    <w:p w14:paraId="5E7EDD50" w14:textId="77777777" w:rsidR="007B66C1" w:rsidRPr="00904E51" w:rsidRDefault="007B66C1" w:rsidP="007B66C1">
      <w:pPr>
        <w:autoSpaceDE w:val="0"/>
        <w:autoSpaceDN w:val="0"/>
        <w:jc w:val="both"/>
        <w:rPr>
          <w:rFonts w:ascii="Georgia" w:hAnsi="Georgia"/>
          <w:color w:val="404040" w:themeColor="text1" w:themeTint="BF"/>
          <w:sz w:val="20"/>
          <w:szCs w:val="20"/>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tblGrid>
      <w:tr w:rsidR="007B66C1" w:rsidRPr="00904E51" w14:paraId="247C6369" w14:textId="77777777" w:rsidTr="006F0858">
        <w:tc>
          <w:tcPr>
            <w:tcW w:w="6345" w:type="dxa"/>
          </w:tcPr>
          <w:p w14:paraId="43FD3D93" w14:textId="77777777" w:rsidR="007B66C1" w:rsidRPr="0041051B" w:rsidRDefault="007B66C1" w:rsidP="006F0858">
            <w:pPr>
              <w:jc w:val="both"/>
              <w:rPr>
                <w:rFonts w:ascii="Georgia" w:hAnsi="Georgia" w:cs="Calibri"/>
                <w:b/>
                <w:color w:val="404040" w:themeColor="text1" w:themeTint="BF"/>
                <w:sz w:val="20"/>
              </w:rPr>
            </w:pPr>
          </w:p>
          <w:p w14:paraId="652FFF60" w14:textId="77777777" w:rsidR="007B66C1" w:rsidRPr="0041051B" w:rsidRDefault="007B66C1" w:rsidP="006F0858">
            <w:pPr>
              <w:jc w:val="both"/>
              <w:rPr>
                <w:rFonts w:ascii="Georgia" w:hAnsi="Georgia" w:cs="Calibri"/>
                <w:b/>
                <w:color w:val="404040" w:themeColor="text1" w:themeTint="BF"/>
                <w:sz w:val="20"/>
              </w:rPr>
            </w:pPr>
          </w:p>
          <w:p w14:paraId="7D64F0F2" w14:textId="77777777" w:rsidR="007B66C1" w:rsidRPr="0041051B" w:rsidRDefault="007B66C1" w:rsidP="006F0858">
            <w:pPr>
              <w:jc w:val="both"/>
              <w:rPr>
                <w:rFonts w:ascii="Georgia" w:hAnsi="Georgia" w:cs="Calibri"/>
                <w:b/>
                <w:color w:val="404040" w:themeColor="text1" w:themeTint="BF"/>
                <w:sz w:val="20"/>
              </w:rPr>
            </w:pPr>
            <w:r w:rsidRPr="0041051B">
              <w:rPr>
                <w:rFonts w:ascii="Georgia" w:hAnsi="Georgia" w:cs="Calibri"/>
                <w:b/>
                <w:color w:val="404040" w:themeColor="text1" w:themeTint="BF"/>
                <w:sz w:val="20"/>
              </w:rPr>
              <w:t>Bluefield Partners LLP</w:t>
            </w:r>
          </w:p>
        </w:tc>
      </w:tr>
      <w:tr w:rsidR="007B66C1" w:rsidRPr="005474DA" w14:paraId="0651A0D1" w14:textId="77777777" w:rsidTr="006F0858">
        <w:trPr>
          <w:trHeight w:val="308"/>
        </w:trPr>
        <w:tc>
          <w:tcPr>
            <w:tcW w:w="6345" w:type="dxa"/>
          </w:tcPr>
          <w:p w14:paraId="52FE7169" w14:textId="58D27347" w:rsidR="007B66C1" w:rsidRPr="0041051B" w:rsidRDefault="00851867" w:rsidP="006F0858">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7B66C1" w:rsidRPr="00851867">
              <w:rPr>
                <w:rFonts w:ascii="Georgia" w:hAnsi="Georgia" w:cs="Calibri"/>
                <w:color w:val="404040" w:themeColor="text1" w:themeTint="BF"/>
                <w:sz w:val="20"/>
              </w:rPr>
              <w:t xml:space="preserve"> September 2020</w:t>
            </w:r>
          </w:p>
        </w:tc>
      </w:tr>
      <w:tr w:rsidR="0014482E" w:rsidRPr="005474DA" w14:paraId="104417CC" w14:textId="77777777" w:rsidTr="006F0858">
        <w:trPr>
          <w:trHeight w:val="308"/>
        </w:trPr>
        <w:tc>
          <w:tcPr>
            <w:tcW w:w="6345" w:type="dxa"/>
          </w:tcPr>
          <w:p w14:paraId="1D4236FC" w14:textId="77777777" w:rsidR="0014482E" w:rsidRDefault="0014482E" w:rsidP="006F0858">
            <w:pPr>
              <w:jc w:val="both"/>
              <w:rPr>
                <w:rFonts w:ascii="Georgia" w:hAnsi="Georgia" w:cs="Calibri"/>
                <w:color w:val="404040" w:themeColor="text1" w:themeTint="BF"/>
                <w:sz w:val="20"/>
                <w:highlight w:val="yellow"/>
              </w:rPr>
            </w:pPr>
          </w:p>
        </w:tc>
      </w:tr>
    </w:tbl>
    <w:p w14:paraId="6E3314AF" w14:textId="6A4EFAFA" w:rsidR="00E17053" w:rsidRDefault="00E17053">
      <w:pPr>
        <w:rPr>
          <w:rFonts w:ascii="Georgia" w:hAnsi="Georgia" w:cs="Calibri"/>
          <w:color w:val="404040" w:themeColor="text1" w:themeTint="BF"/>
          <w:sz w:val="20"/>
          <w:highlight w:val="yellow"/>
        </w:rPr>
      </w:pPr>
      <w:r>
        <w:rPr>
          <w:rFonts w:ascii="Georgia" w:hAnsi="Georgia" w:cs="Calibri"/>
          <w:color w:val="404040" w:themeColor="text1" w:themeTint="BF"/>
          <w:sz w:val="20"/>
          <w:highlight w:val="yellow"/>
        </w:rPr>
        <w:br w:type="page"/>
      </w:r>
    </w:p>
    <w:p w14:paraId="0EDE2BAC" w14:textId="5659682E" w:rsidR="00481E57" w:rsidRDefault="00871871" w:rsidP="00E85EF6">
      <w:pPr>
        <w:pStyle w:val="Heading2"/>
        <w:pBdr>
          <w:bottom w:val="single" w:sz="4" w:space="0" w:color="auto"/>
        </w:pBdr>
        <w:spacing w:before="0"/>
      </w:pPr>
      <w:r>
        <w:lastRenderedPageBreak/>
        <w:t>R</w:t>
      </w:r>
      <w:r w:rsidR="000F51FA">
        <w:t>eport of the Directors</w:t>
      </w:r>
    </w:p>
    <w:p w14:paraId="7C3E23AC" w14:textId="77777777" w:rsidR="000F51FA" w:rsidRDefault="000F51FA" w:rsidP="000F51FA">
      <w:pPr>
        <w:jc w:val="both"/>
        <w:rPr>
          <w:rFonts w:ascii="Georgia" w:hAnsi="Georgia" w:cs="Calibri"/>
          <w:color w:val="404040" w:themeColor="text1" w:themeTint="BF"/>
          <w:sz w:val="20"/>
        </w:rPr>
      </w:pPr>
    </w:p>
    <w:p w14:paraId="76EB748B" w14:textId="0F16DFDC" w:rsidR="000F51FA" w:rsidRPr="006102D0" w:rsidRDefault="000F51FA" w:rsidP="000F51FA">
      <w:pPr>
        <w:jc w:val="both"/>
        <w:rPr>
          <w:rFonts w:ascii="Georgia" w:hAnsi="Georgia" w:cs="Calibri"/>
          <w:color w:val="404040" w:themeColor="text1" w:themeTint="BF"/>
          <w:sz w:val="20"/>
        </w:rPr>
      </w:pPr>
      <w:r w:rsidRPr="006102D0">
        <w:rPr>
          <w:rFonts w:ascii="Georgia" w:hAnsi="Georgia" w:cs="Calibri"/>
          <w:color w:val="404040" w:themeColor="text1" w:themeTint="BF"/>
          <w:sz w:val="20"/>
        </w:rPr>
        <w:t xml:space="preserve">The Directors hereby submit the </w:t>
      </w:r>
      <w:r>
        <w:rPr>
          <w:rFonts w:ascii="Georgia" w:hAnsi="Georgia" w:cs="Calibri"/>
          <w:color w:val="404040" w:themeColor="text1" w:themeTint="BF"/>
          <w:sz w:val="20"/>
        </w:rPr>
        <w:t>annual r</w:t>
      </w:r>
      <w:r w:rsidRPr="006102D0">
        <w:rPr>
          <w:rFonts w:ascii="Georgia" w:hAnsi="Georgia" w:cs="Calibri"/>
          <w:color w:val="404040" w:themeColor="text1" w:themeTint="BF"/>
          <w:sz w:val="20"/>
        </w:rPr>
        <w:t xml:space="preserve">eport and </w:t>
      </w:r>
      <w:r>
        <w:rPr>
          <w:rFonts w:ascii="Georgia" w:hAnsi="Georgia" w:cs="Calibri"/>
          <w:color w:val="404040" w:themeColor="text1" w:themeTint="BF"/>
          <w:sz w:val="20"/>
        </w:rPr>
        <w:t>f</w:t>
      </w:r>
      <w:r w:rsidRPr="006102D0">
        <w:rPr>
          <w:rFonts w:ascii="Georgia" w:hAnsi="Georgia" w:cs="Calibri"/>
          <w:color w:val="404040" w:themeColor="text1" w:themeTint="BF"/>
          <w:sz w:val="20"/>
        </w:rPr>
        <w:t xml:space="preserve">inancial </w:t>
      </w:r>
      <w:r>
        <w:rPr>
          <w:rFonts w:ascii="Georgia" w:hAnsi="Georgia" w:cs="Calibri"/>
          <w:color w:val="404040" w:themeColor="text1" w:themeTint="BF"/>
          <w:sz w:val="20"/>
        </w:rPr>
        <w:t>s</w:t>
      </w:r>
      <w:r w:rsidRPr="006102D0">
        <w:rPr>
          <w:rFonts w:ascii="Georgia" w:hAnsi="Georgia" w:cs="Calibri"/>
          <w:color w:val="404040" w:themeColor="text1" w:themeTint="BF"/>
          <w:sz w:val="20"/>
        </w:rPr>
        <w:t xml:space="preserve">tatements </w:t>
      </w:r>
      <w:r w:rsidR="000F0348">
        <w:rPr>
          <w:rFonts w:ascii="Georgia" w:hAnsi="Georgia" w:cs="Calibri"/>
          <w:color w:val="404040" w:themeColor="text1" w:themeTint="BF"/>
          <w:sz w:val="20"/>
        </w:rPr>
        <w:t>of</w:t>
      </w:r>
      <w:r w:rsidRPr="006102D0">
        <w:rPr>
          <w:rFonts w:ascii="Georgia" w:hAnsi="Georgia" w:cs="Calibri"/>
          <w:color w:val="404040" w:themeColor="text1" w:themeTint="BF"/>
          <w:sz w:val="20"/>
        </w:rPr>
        <w:t xml:space="preserve"> the </w:t>
      </w:r>
      <w:r w:rsidR="00CE617E">
        <w:rPr>
          <w:rFonts w:ascii="Georgia" w:hAnsi="Georgia" w:cs="Calibri"/>
          <w:color w:val="404040" w:themeColor="text1" w:themeTint="BF"/>
          <w:sz w:val="20"/>
        </w:rPr>
        <w:t>Company</w:t>
      </w:r>
      <w:r w:rsidRPr="006102D0">
        <w:rPr>
          <w:rFonts w:ascii="Georgia" w:hAnsi="Georgia" w:cs="Calibri"/>
          <w:color w:val="404040" w:themeColor="text1" w:themeTint="BF"/>
          <w:sz w:val="20"/>
        </w:rPr>
        <w:t xml:space="preserve"> for the </w:t>
      </w:r>
      <w:r w:rsidR="00A94691">
        <w:rPr>
          <w:rFonts w:ascii="Georgia" w:hAnsi="Georgia" w:cs="Calibri"/>
          <w:color w:val="404040" w:themeColor="text1" w:themeTint="BF"/>
          <w:sz w:val="20"/>
        </w:rPr>
        <w:t xml:space="preserve">year ended </w:t>
      </w:r>
      <w:r>
        <w:rPr>
          <w:rFonts w:ascii="Georgia" w:hAnsi="Georgia" w:cs="Calibri"/>
          <w:color w:val="404040" w:themeColor="text1" w:themeTint="BF"/>
          <w:sz w:val="20"/>
        </w:rPr>
        <w:t>30 June</w:t>
      </w:r>
      <w:r w:rsidR="00A94691">
        <w:rPr>
          <w:rFonts w:ascii="Georgia" w:hAnsi="Georgia" w:cs="Calibri"/>
          <w:color w:val="404040" w:themeColor="text1" w:themeTint="BF"/>
          <w:sz w:val="20"/>
        </w:rPr>
        <w:t xml:space="preserve"> </w:t>
      </w:r>
      <w:r w:rsidR="00904E51">
        <w:rPr>
          <w:rFonts w:ascii="Georgia" w:hAnsi="Georgia" w:cs="Calibri"/>
          <w:color w:val="404040" w:themeColor="text1" w:themeTint="BF"/>
          <w:sz w:val="20"/>
        </w:rPr>
        <w:t>2020</w:t>
      </w:r>
      <w:r w:rsidRPr="006102D0">
        <w:rPr>
          <w:rFonts w:ascii="Georgia" w:hAnsi="Georgia" w:cs="Calibri"/>
          <w:color w:val="404040" w:themeColor="text1" w:themeTint="BF"/>
          <w:sz w:val="20"/>
        </w:rPr>
        <w:t>.</w:t>
      </w:r>
    </w:p>
    <w:p w14:paraId="41E2EA76" w14:textId="77777777" w:rsidR="000F51FA" w:rsidRPr="006102D0" w:rsidRDefault="000F51FA" w:rsidP="000F51FA">
      <w:pPr>
        <w:jc w:val="both"/>
        <w:rPr>
          <w:rFonts w:ascii="Georgia" w:hAnsi="Georgia" w:cs="Calibri"/>
          <w:color w:val="404040" w:themeColor="text1" w:themeTint="BF"/>
          <w:sz w:val="20"/>
        </w:rPr>
      </w:pPr>
    </w:p>
    <w:p w14:paraId="39499559" w14:textId="77777777" w:rsidR="000F51FA" w:rsidRPr="00AC0071" w:rsidRDefault="000F51FA" w:rsidP="000F51FA">
      <w:pPr>
        <w:jc w:val="both"/>
        <w:rPr>
          <w:rFonts w:ascii="Georgia" w:hAnsi="Georgia" w:cs="Calibri"/>
          <w:b/>
          <w:color w:val="404040" w:themeColor="text1" w:themeTint="BF"/>
          <w:sz w:val="20"/>
        </w:rPr>
      </w:pPr>
      <w:r w:rsidRPr="00AC0071">
        <w:rPr>
          <w:rFonts w:ascii="Georgia" w:hAnsi="Georgia" w:cs="Calibri"/>
          <w:b/>
          <w:color w:val="404040" w:themeColor="text1" w:themeTint="BF"/>
          <w:sz w:val="20"/>
        </w:rPr>
        <w:t>General Information</w:t>
      </w:r>
    </w:p>
    <w:p w14:paraId="56F3410F" w14:textId="77777777" w:rsidR="000F51FA" w:rsidRPr="00E85EF6" w:rsidRDefault="000F51FA" w:rsidP="000F51FA">
      <w:pPr>
        <w:jc w:val="both"/>
        <w:rPr>
          <w:rFonts w:ascii="Georgia" w:hAnsi="Georgia" w:cs="Calibri"/>
          <w:color w:val="404040" w:themeColor="text1" w:themeTint="BF"/>
          <w:sz w:val="20"/>
        </w:rPr>
      </w:pPr>
    </w:p>
    <w:p w14:paraId="4D13D276" w14:textId="751D63AF" w:rsidR="000F51FA" w:rsidRPr="00BD3D1C" w:rsidRDefault="000F51FA" w:rsidP="00BD3D1C">
      <w:pPr>
        <w:jc w:val="both"/>
        <w:rPr>
          <w:rFonts w:ascii="Verdana" w:hAnsi="Verdana"/>
          <w:sz w:val="18"/>
          <w:lang w:eastAsia="zh-CN"/>
        </w:rPr>
      </w:pPr>
      <w:r w:rsidRPr="00016CA9">
        <w:rPr>
          <w:rFonts w:ascii="Georgia" w:hAnsi="Georgia" w:cs="Calibri"/>
          <w:color w:val="404040" w:themeColor="text1" w:themeTint="BF"/>
          <w:sz w:val="20"/>
        </w:rPr>
        <w:t xml:space="preserve">The Company is a non-cellular company limited by shares incorporated in Guernsey under the </w:t>
      </w:r>
      <w:r w:rsidR="0084314D">
        <w:rPr>
          <w:rFonts w:ascii="Georgia" w:hAnsi="Georgia" w:cs="Calibri"/>
          <w:color w:val="404040" w:themeColor="text1" w:themeTint="BF"/>
          <w:sz w:val="20"/>
        </w:rPr>
        <w:t>Law</w:t>
      </w:r>
      <w:r w:rsidRPr="00016CA9">
        <w:rPr>
          <w:rFonts w:ascii="Georgia" w:hAnsi="Georgia" w:cs="Calibri"/>
          <w:color w:val="404040" w:themeColor="text1" w:themeTint="BF"/>
          <w:sz w:val="20"/>
        </w:rPr>
        <w:t xml:space="preserve"> on 29 May 2013. The Company’s registration number is 56708, and it has been registered and is regulated by the GFSC as a registered closed-ended collective investment scheme</w:t>
      </w:r>
      <w:r w:rsidR="00BD3D1C">
        <w:rPr>
          <w:rFonts w:ascii="Georgia" w:hAnsi="Georgia" w:cs="Calibri"/>
          <w:color w:val="404040" w:themeColor="text1" w:themeTint="BF"/>
          <w:sz w:val="20"/>
        </w:rPr>
        <w:t xml:space="preserve"> and as a Green Fund after successful application under the Guernsey Green Fund Rules to the GFSC on 16 April </w:t>
      </w:r>
      <w:r w:rsidR="009776FB">
        <w:rPr>
          <w:rFonts w:ascii="Georgia" w:hAnsi="Georgia" w:cs="Calibri"/>
          <w:color w:val="404040" w:themeColor="text1" w:themeTint="BF"/>
          <w:sz w:val="20"/>
        </w:rPr>
        <w:t>2019</w:t>
      </w:r>
      <w:r w:rsidR="00BD3D1C">
        <w:rPr>
          <w:rFonts w:ascii="Georgia" w:hAnsi="Georgia" w:cs="Calibri"/>
          <w:color w:val="404040" w:themeColor="text1" w:themeTint="BF"/>
          <w:sz w:val="20"/>
        </w:rPr>
        <w:t xml:space="preserve">. The Company’s </w:t>
      </w:r>
      <w:r w:rsidRPr="00016CA9">
        <w:rPr>
          <w:rFonts w:ascii="Georgia" w:hAnsi="Georgia" w:cs="Calibri"/>
          <w:color w:val="404040" w:themeColor="text1" w:themeTint="BF"/>
          <w:sz w:val="20"/>
        </w:rPr>
        <w:t xml:space="preserve">Ordinary Shares were admitted to the Premium Segment of the Official List and to trading on the Main Market of the </w:t>
      </w:r>
      <w:r w:rsidR="006C7E72">
        <w:rPr>
          <w:rFonts w:ascii="Georgia" w:hAnsi="Georgia" w:cs="Calibri"/>
          <w:color w:val="404040" w:themeColor="text1" w:themeTint="BF"/>
          <w:sz w:val="20"/>
        </w:rPr>
        <w:t>L</w:t>
      </w:r>
      <w:r w:rsidR="00432962">
        <w:rPr>
          <w:rFonts w:ascii="Georgia" w:hAnsi="Georgia" w:cs="Calibri"/>
          <w:color w:val="404040" w:themeColor="text1" w:themeTint="BF"/>
          <w:sz w:val="20"/>
        </w:rPr>
        <w:t xml:space="preserve">ondon </w:t>
      </w:r>
      <w:r w:rsidR="006C7E72">
        <w:rPr>
          <w:rFonts w:ascii="Georgia" w:hAnsi="Georgia" w:cs="Calibri"/>
          <w:color w:val="404040" w:themeColor="text1" w:themeTint="BF"/>
          <w:sz w:val="20"/>
        </w:rPr>
        <w:t>S</w:t>
      </w:r>
      <w:r w:rsidR="00432962">
        <w:rPr>
          <w:rFonts w:ascii="Georgia" w:hAnsi="Georgia" w:cs="Calibri"/>
          <w:color w:val="404040" w:themeColor="text1" w:themeTint="BF"/>
          <w:sz w:val="20"/>
        </w:rPr>
        <w:t xml:space="preserve">tock </w:t>
      </w:r>
      <w:r w:rsidR="006C7E72">
        <w:rPr>
          <w:rFonts w:ascii="Georgia" w:hAnsi="Georgia" w:cs="Calibri"/>
          <w:color w:val="404040" w:themeColor="text1" w:themeTint="BF"/>
          <w:sz w:val="20"/>
        </w:rPr>
        <w:t>E</w:t>
      </w:r>
      <w:r w:rsidR="00432962">
        <w:rPr>
          <w:rFonts w:ascii="Georgia" w:hAnsi="Georgia" w:cs="Calibri"/>
          <w:color w:val="404040" w:themeColor="text1" w:themeTint="BF"/>
          <w:sz w:val="20"/>
        </w:rPr>
        <w:t>xchange</w:t>
      </w:r>
      <w:r w:rsidR="0084314D">
        <w:rPr>
          <w:rFonts w:ascii="Georgia" w:hAnsi="Georgia" w:cs="Calibri"/>
          <w:color w:val="404040" w:themeColor="text1" w:themeTint="BF"/>
          <w:sz w:val="20"/>
        </w:rPr>
        <w:t xml:space="preserve"> following its IPO </w:t>
      </w:r>
      <w:r w:rsidRPr="00016CA9">
        <w:rPr>
          <w:rFonts w:ascii="Georgia" w:hAnsi="Georgia" w:cs="Calibri"/>
          <w:color w:val="404040" w:themeColor="text1" w:themeTint="BF"/>
          <w:sz w:val="20"/>
        </w:rPr>
        <w:t xml:space="preserve">which completed on 12 July 2013. </w:t>
      </w:r>
    </w:p>
    <w:p w14:paraId="0C7DD5EE" w14:textId="77777777" w:rsidR="000F51FA" w:rsidRPr="00016CA9" w:rsidRDefault="000F51FA" w:rsidP="000F51FA"/>
    <w:p w14:paraId="5284D5DD" w14:textId="77777777" w:rsidR="000F51FA" w:rsidRDefault="000F51FA" w:rsidP="000F51FA">
      <w:pPr>
        <w:jc w:val="both"/>
        <w:rPr>
          <w:rFonts w:ascii="Georgia" w:hAnsi="Georgia" w:cs="Calibri"/>
          <w:b/>
          <w:color w:val="404040" w:themeColor="text1" w:themeTint="BF"/>
          <w:sz w:val="20"/>
        </w:rPr>
      </w:pPr>
      <w:r w:rsidRPr="00AC0071">
        <w:rPr>
          <w:rFonts w:ascii="Georgia" w:hAnsi="Georgia" w:cs="Calibri"/>
          <w:b/>
          <w:color w:val="404040" w:themeColor="text1" w:themeTint="BF"/>
          <w:sz w:val="20"/>
        </w:rPr>
        <w:t>Principal Activities</w:t>
      </w:r>
    </w:p>
    <w:p w14:paraId="4D0D6749" w14:textId="77777777" w:rsidR="000F51FA" w:rsidRPr="00256451" w:rsidRDefault="000F51FA" w:rsidP="000F51FA">
      <w:pPr>
        <w:jc w:val="both"/>
        <w:rPr>
          <w:rFonts w:ascii="Georgia" w:hAnsi="Georgia" w:cs="Calibri"/>
          <w:b/>
          <w:color w:val="404040" w:themeColor="text1" w:themeTint="BF"/>
          <w:sz w:val="18"/>
        </w:rPr>
      </w:pPr>
    </w:p>
    <w:p w14:paraId="164039DB" w14:textId="41C39178" w:rsidR="000F51FA" w:rsidRDefault="000F51FA" w:rsidP="000F51FA">
      <w:pPr>
        <w:jc w:val="both"/>
        <w:rPr>
          <w:rFonts w:ascii="Georgia" w:hAnsi="Georgia" w:cs="Calibri"/>
          <w:color w:val="404040" w:themeColor="text1" w:themeTint="BF"/>
          <w:sz w:val="20"/>
        </w:rPr>
      </w:pPr>
      <w:r>
        <w:rPr>
          <w:rFonts w:ascii="Georgia" w:hAnsi="Georgia" w:cs="Calibri"/>
          <w:color w:val="404040" w:themeColor="text1" w:themeTint="BF"/>
          <w:sz w:val="20"/>
        </w:rPr>
        <w:t xml:space="preserve">The principal activity of the </w:t>
      </w:r>
      <w:r w:rsidR="00CE617E">
        <w:rPr>
          <w:rFonts w:ascii="Georgia" w:hAnsi="Georgia" w:cs="Calibri"/>
          <w:color w:val="404040" w:themeColor="text1" w:themeTint="BF"/>
          <w:sz w:val="20"/>
        </w:rPr>
        <w:t>Company</w:t>
      </w:r>
      <w:r>
        <w:rPr>
          <w:rFonts w:ascii="Georgia" w:hAnsi="Georgia" w:cs="Calibri"/>
          <w:color w:val="404040" w:themeColor="text1" w:themeTint="BF"/>
          <w:sz w:val="20"/>
        </w:rPr>
        <w:t xml:space="preserve"> is to invest in a portfolio of large scale UK based solar energy infrastructure assets. </w:t>
      </w:r>
    </w:p>
    <w:p w14:paraId="38F85456" w14:textId="77777777" w:rsidR="000F51FA" w:rsidRPr="00256451" w:rsidRDefault="000F51FA" w:rsidP="000F51FA">
      <w:pPr>
        <w:jc w:val="both"/>
        <w:rPr>
          <w:rFonts w:ascii="Georgia" w:hAnsi="Georgia" w:cs="Calibri"/>
          <w:color w:val="404040" w:themeColor="text1" w:themeTint="BF"/>
          <w:sz w:val="18"/>
        </w:rPr>
      </w:pPr>
    </w:p>
    <w:p w14:paraId="29C82F8D" w14:textId="20E880B0" w:rsidR="000F51FA" w:rsidRDefault="000F51FA" w:rsidP="000F51FA">
      <w:pPr>
        <w:jc w:val="both"/>
        <w:rPr>
          <w:rFonts w:ascii="Georgia" w:hAnsi="Georgia" w:cs="Calibri"/>
          <w:color w:val="404040" w:themeColor="text1" w:themeTint="BF"/>
          <w:sz w:val="20"/>
        </w:rPr>
      </w:pPr>
      <w:r>
        <w:rPr>
          <w:rFonts w:ascii="Georgia" w:hAnsi="Georgia" w:cs="Calibri"/>
          <w:color w:val="404040" w:themeColor="text1" w:themeTint="BF"/>
          <w:sz w:val="20"/>
        </w:rPr>
        <w:t xml:space="preserve">The Company’s objective </w:t>
      </w:r>
      <w:r w:rsidR="00573A8F">
        <w:rPr>
          <w:rFonts w:ascii="Georgia" w:hAnsi="Georgia" w:cs="Calibri"/>
          <w:color w:val="404040" w:themeColor="text1" w:themeTint="BF"/>
          <w:sz w:val="20"/>
        </w:rPr>
        <w:t xml:space="preserve">was </w:t>
      </w:r>
      <w:r>
        <w:rPr>
          <w:rFonts w:ascii="Georgia" w:hAnsi="Georgia" w:cs="Calibri"/>
          <w:color w:val="404040" w:themeColor="text1" w:themeTint="BF"/>
          <w:sz w:val="20"/>
        </w:rPr>
        <w:t xml:space="preserve">to target a dividend </w:t>
      </w:r>
      <w:r w:rsidRPr="00381565">
        <w:rPr>
          <w:rFonts w:ascii="Georgia" w:hAnsi="Georgia" w:cs="Calibri"/>
          <w:color w:val="404040" w:themeColor="text1" w:themeTint="BF"/>
          <w:sz w:val="20"/>
        </w:rPr>
        <w:t>of 7</w:t>
      </w:r>
      <w:r w:rsidR="0023787F" w:rsidRPr="00381565">
        <w:rPr>
          <w:rFonts w:ascii="Georgia" w:hAnsi="Georgia" w:cs="Calibri"/>
          <w:color w:val="404040" w:themeColor="text1" w:themeTint="BF"/>
          <w:sz w:val="20"/>
        </w:rPr>
        <w:t>pps</w:t>
      </w:r>
      <w:r>
        <w:rPr>
          <w:rFonts w:ascii="Georgia" w:hAnsi="Georgia" w:cs="Calibri"/>
          <w:color w:val="404040" w:themeColor="text1" w:themeTint="BF"/>
          <w:sz w:val="20"/>
        </w:rPr>
        <w:t xml:space="preserve"> in respect of its second financial year end</w:t>
      </w:r>
      <w:r w:rsidR="00A819B2">
        <w:rPr>
          <w:rFonts w:ascii="Georgia" w:hAnsi="Georgia" w:cs="Calibri"/>
          <w:color w:val="404040" w:themeColor="text1" w:themeTint="BF"/>
          <w:sz w:val="20"/>
        </w:rPr>
        <w:t>ed</w:t>
      </w:r>
      <w:r>
        <w:rPr>
          <w:rFonts w:ascii="Georgia" w:hAnsi="Georgia" w:cs="Calibri"/>
          <w:color w:val="404040" w:themeColor="text1" w:themeTint="BF"/>
          <w:sz w:val="20"/>
        </w:rPr>
        <w:t xml:space="preserve"> 30 June 201</w:t>
      </w:r>
      <w:r w:rsidR="00F53EDC">
        <w:rPr>
          <w:rFonts w:ascii="Georgia" w:hAnsi="Georgia" w:cs="Calibri"/>
          <w:color w:val="404040" w:themeColor="text1" w:themeTint="BF"/>
          <w:sz w:val="20"/>
        </w:rPr>
        <w:t>5</w:t>
      </w:r>
      <w:r>
        <w:rPr>
          <w:rFonts w:ascii="Georgia" w:hAnsi="Georgia" w:cs="Calibri"/>
          <w:color w:val="404040" w:themeColor="text1" w:themeTint="BF"/>
          <w:sz w:val="20"/>
        </w:rPr>
        <w:t xml:space="preserve">, with the intention of the dividend rising </w:t>
      </w:r>
      <w:r w:rsidRPr="004354AB">
        <w:rPr>
          <w:rFonts w:ascii="Georgia" w:hAnsi="Georgia" w:cs="Calibri"/>
          <w:color w:val="404040" w:themeColor="text1" w:themeTint="BF"/>
          <w:sz w:val="20"/>
        </w:rPr>
        <w:t xml:space="preserve">annually in line with </w:t>
      </w:r>
      <w:r w:rsidR="00B35343" w:rsidRPr="004354AB">
        <w:rPr>
          <w:rFonts w:ascii="Georgia" w:hAnsi="Georgia" w:cs="Calibri"/>
          <w:color w:val="404040" w:themeColor="text1" w:themeTint="BF"/>
          <w:sz w:val="20"/>
        </w:rPr>
        <w:t>UK</w:t>
      </w:r>
      <w:r w:rsidRPr="004354AB">
        <w:rPr>
          <w:rFonts w:ascii="Georgia" w:hAnsi="Georgia" w:cs="Calibri"/>
          <w:color w:val="404040" w:themeColor="text1" w:themeTint="BF"/>
          <w:sz w:val="20"/>
        </w:rPr>
        <w:t xml:space="preserve"> RPI thereafter.</w:t>
      </w:r>
      <w:r w:rsidR="00F53EDC" w:rsidRPr="004354AB">
        <w:rPr>
          <w:rFonts w:ascii="Georgia" w:hAnsi="Georgia" w:cs="Calibri"/>
          <w:color w:val="404040" w:themeColor="text1" w:themeTint="BF"/>
          <w:sz w:val="20"/>
        </w:rPr>
        <w:t xml:space="preserve"> The dividend target for its </w:t>
      </w:r>
      <w:r w:rsidR="00834AB8">
        <w:rPr>
          <w:rFonts w:ascii="Georgia" w:hAnsi="Georgia" w:cs="Calibri"/>
          <w:color w:val="404040" w:themeColor="text1" w:themeTint="BF"/>
          <w:sz w:val="20"/>
        </w:rPr>
        <w:t>seventh</w:t>
      </w:r>
      <w:r w:rsidR="00F53EDC" w:rsidRPr="004354AB">
        <w:rPr>
          <w:rFonts w:ascii="Georgia" w:hAnsi="Georgia" w:cs="Calibri"/>
          <w:color w:val="404040" w:themeColor="text1" w:themeTint="BF"/>
          <w:sz w:val="20"/>
        </w:rPr>
        <w:t xml:space="preserve"> financial year end</w:t>
      </w:r>
      <w:r w:rsidR="00ED6C3A" w:rsidRPr="004354AB">
        <w:rPr>
          <w:rFonts w:ascii="Georgia" w:hAnsi="Georgia" w:cs="Calibri"/>
          <w:color w:val="404040" w:themeColor="text1" w:themeTint="BF"/>
          <w:sz w:val="20"/>
        </w:rPr>
        <w:t xml:space="preserve">ed 30 June </w:t>
      </w:r>
      <w:r w:rsidR="00904E51">
        <w:rPr>
          <w:rFonts w:ascii="Georgia" w:hAnsi="Georgia" w:cs="Calibri"/>
          <w:color w:val="404040" w:themeColor="text1" w:themeTint="BF"/>
          <w:sz w:val="20"/>
        </w:rPr>
        <w:t>2020</w:t>
      </w:r>
      <w:r w:rsidR="009776FB">
        <w:rPr>
          <w:rFonts w:ascii="Georgia" w:hAnsi="Georgia" w:cs="Calibri"/>
          <w:color w:val="404040" w:themeColor="text1" w:themeTint="BF"/>
          <w:sz w:val="20"/>
        </w:rPr>
        <w:t xml:space="preserve"> wa</w:t>
      </w:r>
      <w:r w:rsidR="00ED6C3A" w:rsidRPr="004354AB">
        <w:rPr>
          <w:rFonts w:ascii="Georgia" w:hAnsi="Georgia" w:cs="Calibri"/>
          <w:color w:val="404040" w:themeColor="text1" w:themeTint="BF"/>
          <w:sz w:val="20"/>
        </w:rPr>
        <w:t xml:space="preserve">s </w:t>
      </w:r>
      <w:r w:rsidR="00ED6C3A" w:rsidRPr="001D5634">
        <w:rPr>
          <w:rFonts w:ascii="Georgia" w:hAnsi="Georgia" w:cs="Calibri"/>
          <w:color w:val="404040" w:themeColor="text1" w:themeTint="BF"/>
          <w:sz w:val="20"/>
        </w:rPr>
        <w:t>7.</w:t>
      </w:r>
      <w:r w:rsidR="001D5634" w:rsidRPr="001D5634">
        <w:rPr>
          <w:rFonts w:ascii="Georgia" w:hAnsi="Georgia" w:cs="Calibri"/>
          <w:color w:val="404040" w:themeColor="text1" w:themeTint="BF"/>
          <w:sz w:val="20"/>
        </w:rPr>
        <w:t>90</w:t>
      </w:r>
      <w:r w:rsidR="005A41E2" w:rsidRPr="001D5634">
        <w:rPr>
          <w:rFonts w:ascii="Georgia" w:hAnsi="Georgia" w:cs="Calibri"/>
          <w:color w:val="404040" w:themeColor="text1" w:themeTint="BF"/>
          <w:sz w:val="20"/>
        </w:rPr>
        <w:t>pps</w:t>
      </w:r>
      <w:r w:rsidR="00F53EDC" w:rsidRPr="001D5634">
        <w:rPr>
          <w:rFonts w:ascii="Georgia" w:hAnsi="Georgia" w:cs="Calibri"/>
          <w:color w:val="404040" w:themeColor="text1" w:themeTint="BF"/>
          <w:sz w:val="20"/>
        </w:rPr>
        <w:t>.</w:t>
      </w:r>
    </w:p>
    <w:p w14:paraId="7FD4F28F" w14:textId="77777777" w:rsidR="000F51FA" w:rsidRDefault="000F51FA" w:rsidP="000F51FA">
      <w:pPr>
        <w:autoSpaceDE w:val="0"/>
        <w:autoSpaceDN w:val="0"/>
        <w:adjustRightInd w:val="0"/>
        <w:rPr>
          <w:rFonts w:ascii="Georgia" w:hAnsi="Georgia" w:cs="Calibri"/>
          <w:color w:val="404040" w:themeColor="text1" w:themeTint="BF"/>
          <w:sz w:val="20"/>
        </w:rPr>
      </w:pPr>
    </w:p>
    <w:p w14:paraId="276A5CF3" w14:textId="77777777" w:rsidR="000F51FA" w:rsidRPr="00AC0071" w:rsidRDefault="000F51FA" w:rsidP="000F51FA">
      <w:pPr>
        <w:jc w:val="both"/>
        <w:rPr>
          <w:rFonts w:ascii="Georgia" w:hAnsi="Georgia" w:cs="Calibri"/>
          <w:b/>
          <w:color w:val="404040" w:themeColor="text1" w:themeTint="BF"/>
          <w:sz w:val="20"/>
        </w:rPr>
      </w:pPr>
      <w:r w:rsidRPr="00AC0071">
        <w:rPr>
          <w:rFonts w:ascii="Georgia" w:hAnsi="Georgia" w:cs="Calibri"/>
          <w:b/>
          <w:color w:val="404040" w:themeColor="text1" w:themeTint="BF"/>
          <w:sz w:val="20"/>
        </w:rPr>
        <w:t>Business Review</w:t>
      </w:r>
    </w:p>
    <w:p w14:paraId="367C99A4" w14:textId="77777777" w:rsidR="000F51FA" w:rsidRPr="00256451" w:rsidRDefault="000F51FA" w:rsidP="000F51FA">
      <w:pPr>
        <w:jc w:val="both"/>
        <w:rPr>
          <w:rFonts w:ascii="Georgia" w:hAnsi="Georgia" w:cs="Calibri"/>
          <w:color w:val="404040" w:themeColor="text1" w:themeTint="BF"/>
          <w:sz w:val="18"/>
        </w:rPr>
      </w:pPr>
    </w:p>
    <w:p w14:paraId="651EE75E" w14:textId="1CB2EC03" w:rsidR="000F51FA" w:rsidRPr="006102D0" w:rsidRDefault="000F51FA" w:rsidP="000F51FA">
      <w:pPr>
        <w:jc w:val="both"/>
        <w:rPr>
          <w:rFonts w:ascii="Georgia" w:hAnsi="Georgia" w:cs="Calibri"/>
          <w:color w:val="404040" w:themeColor="text1" w:themeTint="BF"/>
          <w:sz w:val="20"/>
        </w:rPr>
      </w:pPr>
      <w:r w:rsidRPr="006102D0">
        <w:rPr>
          <w:rFonts w:ascii="Georgia" w:hAnsi="Georgia" w:cs="Calibri"/>
          <w:color w:val="404040" w:themeColor="text1" w:themeTint="BF"/>
          <w:sz w:val="20"/>
        </w:rPr>
        <w:t xml:space="preserve">A review of the </w:t>
      </w:r>
      <w:r w:rsidR="00336993">
        <w:rPr>
          <w:rFonts w:ascii="Georgia" w:hAnsi="Georgia" w:cs="Calibri"/>
          <w:color w:val="404040" w:themeColor="text1" w:themeTint="BF"/>
          <w:sz w:val="20"/>
        </w:rPr>
        <w:t>Company</w:t>
      </w:r>
      <w:r w:rsidRPr="00B20DAA">
        <w:rPr>
          <w:rFonts w:ascii="Georgia" w:hAnsi="Georgia" w:cs="Calibri"/>
          <w:color w:val="404040" w:themeColor="text1" w:themeTint="BF"/>
          <w:sz w:val="20"/>
        </w:rPr>
        <w:t>’s business and its likely future development is provided in the Chairman’s Statement</w:t>
      </w:r>
      <w:r w:rsidR="002C0EE5">
        <w:rPr>
          <w:rFonts w:ascii="Georgia" w:hAnsi="Georgia" w:cs="Calibri"/>
          <w:color w:val="404040" w:themeColor="text1" w:themeTint="BF"/>
          <w:sz w:val="20"/>
        </w:rPr>
        <w:t xml:space="preserve"> on </w:t>
      </w:r>
      <w:r w:rsidR="002C0EE5" w:rsidRPr="00556F93">
        <w:rPr>
          <w:rFonts w:ascii="Georgia" w:hAnsi="Georgia" w:cs="Calibri"/>
          <w:color w:val="404040" w:themeColor="text1" w:themeTint="BF"/>
          <w:sz w:val="20"/>
        </w:rPr>
        <w:t xml:space="preserve">pages </w:t>
      </w:r>
      <w:r w:rsidR="00DC283A" w:rsidRPr="00556F93">
        <w:rPr>
          <w:rFonts w:ascii="Georgia" w:hAnsi="Georgia" w:cs="Calibri"/>
          <w:color w:val="404040" w:themeColor="text1" w:themeTint="BF"/>
          <w:sz w:val="20"/>
        </w:rPr>
        <w:t>7</w:t>
      </w:r>
      <w:r w:rsidR="000A33A6" w:rsidRPr="00556F93">
        <w:rPr>
          <w:rFonts w:ascii="Georgia" w:hAnsi="Georgia" w:cs="Calibri"/>
          <w:color w:val="404040" w:themeColor="text1" w:themeTint="BF"/>
          <w:sz w:val="20"/>
        </w:rPr>
        <w:t xml:space="preserve"> </w:t>
      </w:r>
      <w:r w:rsidR="002C0EE5" w:rsidRPr="00556F93">
        <w:rPr>
          <w:rFonts w:ascii="Georgia" w:hAnsi="Georgia" w:cs="Calibri"/>
          <w:color w:val="404040" w:themeColor="text1" w:themeTint="BF"/>
          <w:sz w:val="20"/>
        </w:rPr>
        <w:t xml:space="preserve">to </w:t>
      </w:r>
      <w:r w:rsidR="00556F93" w:rsidRPr="00556F93">
        <w:rPr>
          <w:rFonts w:ascii="Georgia" w:hAnsi="Georgia" w:cs="Calibri"/>
          <w:color w:val="404040" w:themeColor="text1" w:themeTint="BF"/>
          <w:sz w:val="20"/>
        </w:rPr>
        <w:t>11</w:t>
      </w:r>
      <w:r w:rsidR="00053614" w:rsidRPr="00556F93">
        <w:rPr>
          <w:rFonts w:ascii="Georgia" w:hAnsi="Georgia" w:cs="Calibri"/>
          <w:color w:val="404040" w:themeColor="text1" w:themeTint="BF"/>
          <w:sz w:val="20"/>
        </w:rPr>
        <w:t>,</w:t>
      </w:r>
      <w:r w:rsidR="00016E63" w:rsidRPr="00556F93">
        <w:rPr>
          <w:rFonts w:ascii="Georgia" w:hAnsi="Georgia" w:cs="Calibri"/>
          <w:color w:val="404040" w:themeColor="text1" w:themeTint="BF"/>
          <w:sz w:val="20"/>
        </w:rPr>
        <w:t xml:space="preserve"> Strategic</w:t>
      </w:r>
      <w:r w:rsidR="00016E63" w:rsidRPr="003766E0">
        <w:rPr>
          <w:rFonts w:ascii="Georgia" w:hAnsi="Georgia" w:cs="Calibri"/>
          <w:color w:val="404040" w:themeColor="text1" w:themeTint="BF"/>
          <w:sz w:val="20"/>
        </w:rPr>
        <w:t xml:space="preserve"> Report</w:t>
      </w:r>
      <w:r w:rsidRPr="003766E0">
        <w:rPr>
          <w:rFonts w:ascii="Georgia" w:hAnsi="Georgia" w:cs="Calibri"/>
          <w:color w:val="404040" w:themeColor="text1" w:themeTint="BF"/>
          <w:sz w:val="20"/>
        </w:rPr>
        <w:t xml:space="preserve"> on </w:t>
      </w:r>
      <w:r w:rsidRPr="00556F93">
        <w:rPr>
          <w:rFonts w:ascii="Georgia" w:hAnsi="Georgia" w:cs="Calibri"/>
          <w:color w:val="404040" w:themeColor="text1" w:themeTint="BF"/>
          <w:sz w:val="20"/>
        </w:rPr>
        <w:t xml:space="preserve">pages </w:t>
      </w:r>
      <w:r w:rsidR="00556F93" w:rsidRPr="00556F93">
        <w:rPr>
          <w:rFonts w:ascii="Georgia" w:hAnsi="Georgia" w:cs="Calibri"/>
          <w:color w:val="404040" w:themeColor="text1" w:themeTint="BF"/>
          <w:sz w:val="20"/>
        </w:rPr>
        <w:t>16</w:t>
      </w:r>
      <w:r w:rsidR="000A33A6" w:rsidRPr="00556F93">
        <w:rPr>
          <w:rFonts w:ascii="Georgia" w:hAnsi="Georgia" w:cs="Calibri"/>
          <w:color w:val="404040" w:themeColor="text1" w:themeTint="BF"/>
          <w:sz w:val="20"/>
        </w:rPr>
        <w:t xml:space="preserve"> to </w:t>
      </w:r>
      <w:r w:rsidR="00556F93">
        <w:rPr>
          <w:rFonts w:ascii="Georgia" w:hAnsi="Georgia" w:cs="Calibri"/>
          <w:color w:val="404040" w:themeColor="text1" w:themeTint="BF"/>
          <w:sz w:val="20"/>
        </w:rPr>
        <w:t>42</w:t>
      </w:r>
      <w:r w:rsidR="000A33A6" w:rsidRPr="003766E0" w:rsidDel="000A33A6">
        <w:rPr>
          <w:rFonts w:ascii="Georgia" w:hAnsi="Georgia" w:cs="Calibri"/>
          <w:color w:val="404040" w:themeColor="text1" w:themeTint="BF"/>
          <w:sz w:val="20"/>
        </w:rPr>
        <w:t xml:space="preserve"> </w:t>
      </w:r>
      <w:r w:rsidRPr="003766E0">
        <w:rPr>
          <w:rFonts w:ascii="Georgia" w:hAnsi="Georgia" w:cs="Calibri"/>
          <w:color w:val="404040" w:themeColor="text1" w:themeTint="BF"/>
          <w:sz w:val="20"/>
        </w:rPr>
        <w:t xml:space="preserve">and in the </w:t>
      </w:r>
      <w:r w:rsidR="00691945" w:rsidRPr="003766E0">
        <w:rPr>
          <w:rFonts w:ascii="Georgia" w:hAnsi="Georgia" w:cs="Calibri"/>
          <w:color w:val="404040" w:themeColor="text1" w:themeTint="BF"/>
          <w:sz w:val="20"/>
        </w:rPr>
        <w:t xml:space="preserve">Report of the </w:t>
      </w:r>
      <w:r w:rsidRPr="003766E0">
        <w:rPr>
          <w:rFonts w:ascii="Georgia" w:hAnsi="Georgia" w:cs="Calibri"/>
          <w:color w:val="404040" w:themeColor="text1" w:themeTint="BF"/>
          <w:sz w:val="20"/>
        </w:rPr>
        <w:t xml:space="preserve">Investment Adviser on pages </w:t>
      </w:r>
      <w:r w:rsidR="00556F93" w:rsidRPr="00556F93">
        <w:rPr>
          <w:rFonts w:ascii="Georgia" w:hAnsi="Georgia" w:cs="Calibri"/>
          <w:color w:val="404040" w:themeColor="text1" w:themeTint="BF"/>
          <w:sz w:val="20"/>
        </w:rPr>
        <w:t>43 to 79</w:t>
      </w:r>
      <w:r w:rsidR="002C0EE5" w:rsidRPr="00556F93">
        <w:rPr>
          <w:rFonts w:ascii="Georgia" w:hAnsi="Georgia" w:cs="Calibri"/>
          <w:color w:val="404040" w:themeColor="text1" w:themeTint="BF"/>
          <w:sz w:val="20"/>
        </w:rPr>
        <w:t>.</w:t>
      </w:r>
    </w:p>
    <w:p w14:paraId="6D9EE33A" w14:textId="77777777" w:rsidR="000F51FA" w:rsidRPr="006102D0" w:rsidRDefault="000F51FA" w:rsidP="000F51FA">
      <w:pPr>
        <w:jc w:val="both"/>
        <w:rPr>
          <w:rFonts w:ascii="Georgia" w:hAnsi="Georgia" w:cs="Calibri"/>
          <w:color w:val="404040" w:themeColor="text1" w:themeTint="BF"/>
          <w:sz w:val="20"/>
        </w:rPr>
      </w:pPr>
    </w:p>
    <w:p w14:paraId="03801F5C" w14:textId="77777777" w:rsidR="000F51FA" w:rsidRPr="00AC0071" w:rsidRDefault="000F51FA" w:rsidP="000F51FA">
      <w:pPr>
        <w:jc w:val="both"/>
        <w:rPr>
          <w:rFonts w:ascii="Georgia" w:hAnsi="Georgia" w:cs="Calibri"/>
          <w:b/>
          <w:color w:val="404040" w:themeColor="text1" w:themeTint="BF"/>
          <w:sz w:val="20"/>
        </w:rPr>
      </w:pPr>
      <w:r w:rsidRPr="00AC0071">
        <w:rPr>
          <w:rFonts w:ascii="Georgia" w:hAnsi="Georgia" w:cs="Calibri"/>
          <w:b/>
          <w:color w:val="404040" w:themeColor="text1" w:themeTint="BF"/>
          <w:sz w:val="20"/>
        </w:rPr>
        <w:t>Listing Requirements</w:t>
      </w:r>
    </w:p>
    <w:p w14:paraId="653FC67D" w14:textId="77777777" w:rsidR="000F51FA" w:rsidRPr="00256451" w:rsidRDefault="000F51FA" w:rsidP="000F51FA">
      <w:pPr>
        <w:jc w:val="both"/>
        <w:rPr>
          <w:rFonts w:ascii="Georgia" w:hAnsi="Georgia" w:cs="Calibri"/>
          <w:color w:val="404040" w:themeColor="text1" w:themeTint="BF"/>
          <w:sz w:val="18"/>
        </w:rPr>
      </w:pPr>
    </w:p>
    <w:p w14:paraId="5AAEA0D8" w14:textId="77777777" w:rsidR="000F51FA" w:rsidRPr="006102D0" w:rsidRDefault="00A819B2" w:rsidP="000F51FA">
      <w:pPr>
        <w:jc w:val="both"/>
        <w:rPr>
          <w:rFonts w:ascii="Georgia" w:hAnsi="Georgia" w:cs="Calibri"/>
          <w:color w:val="404040" w:themeColor="text1" w:themeTint="BF"/>
          <w:sz w:val="20"/>
        </w:rPr>
      </w:pPr>
      <w:r>
        <w:rPr>
          <w:rFonts w:ascii="Georgia" w:hAnsi="Georgia" w:cs="Calibri"/>
          <w:color w:val="404040" w:themeColor="text1" w:themeTint="BF"/>
          <w:sz w:val="20"/>
        </w:rPr>
        <w:t xml:space="preserve">The </w:t>
      </w:r>
      <w:r w:rsidR="000F51FA" w:rsidRPr="006102D0">
        <w:rPr>
          <w:rFonts w:ascii="Georgia" w:hAnsi="Georgia" w:cs="Calibri"/>
          <w:color w:val="404040" w:themeColor="text1" w:themeTint="BF"/>
          <w:sz w:val="20"/>
        </w:rPr>
        <w:t>Company has complied with the applicable Listing Rules</w:t>
      </w:r>
      <w:r w:rsidR="001A1A96">
        <w:rPr>
          <w:rFonts w:ascii="Georgia" w:hAnsi="Georgia" w:cs="Calibri"/>
          <w:color w:val="404040" w:themeColor="text1" w:themeTint="BF"/>
          <w:sz w:val="20"/>
        </w:rPr>
        <w:t xml:space="preserve"> throughout the year</w:t>
      </w:r>
      <w:r w:rsidR="000F51FA" w:rsidRPr="006102D0">
        <w:rPr>
          <w:rFonts w:ascii="Georgia" w:hAnsi="Georgia" w:cs="Calibri"/>
          <w:color w:val="404040" w:themeColor="text1" w:themeTint="BF"/>
          <w:sz w:val="20"/>
        </w:rPr>
        <w:t xml:space="preserve">. </w:t>
      </w:r>
    </w:p>
    <w:p w14:paraId="785D6CD6" w14:textId="77777777" w:rsidR="000F51FA" w:rsidRPr="006102D0" w:rsidRDefault="000F51FA" w:rsidP="000F51FA">
      <w:pPr>
        <w:jc w:val="both"/>
        <w:rPr>
          <w:rFonts w:ascii="Georgia" w:hAnsi="Georgia" w:cs="Calibri"/>
          <w:color w:val="404040" w:themeColor="text1" w:themeTint="BF"/>
          <w:sz w:val="20"/>
        </w:rPr>
      </w:pPr>
    </w:p>
    <w:p w14:paraId="33253CF0" w14:textId="77777777" w:rsidR="000F51FA" w:rsidRPr="00AC0071" w:rsidRDefault="000F51FA" w:rsidP="000F51FA">
      <w:pPr>
        <w:jc w:val="both"/>
        <w:rPr>
          <w:rFonts w:ascii="Georgia" w:hAnsi="Georgia" w:cs="Calibri"/>
          <w:b/>
          <w:color w:val="404040" w:themeColor="text1" w:themeTint="BF"/>
          <w:sz w:val="20"/>
        </w:rPr>
      </w:pPr>
      <w:r w:rsidRPr="00AC0071">
        <w:rPr>
          <w:rFonts w:ascii="Georgia" w:hAnsi="Georgia" w:cs="Calibri"/>
          <w:b/>
          <w:color w:val="404040" w:themeColor="text1" w:themeTint="BF"/>
          <w:sz w:val="20"/>
        </w:rPr>
        <w:t>Results and Dividends</w:t>
      </w:r>
    </w:p>
    <w:p w14:paraId="369F8BF2" w14:textId="77777777" w:rsidR="000F51FA" w:rsidRPr="00256451" w:rsidRDefault="000F51FA" w:rsidP="000F51FA">
      <w:pPr>
        <w:jc w:val="both"/>
        <w:rPr>
          <w:rFonts w:ascii="Georgia" w:hAnsi="Georgia" w:cs="Calibri"/>
          <w:color w:val="404040" w:themeColor="text1" w:themeTint="BF"/>
          <w:sz w:val="18"/>
        </w:rPr>
      </w:pPr>
    </w:p>
    <w:p w14:paraId="21C884B4" w14:textId="591C8BA3" w:rsidR="003B20C0" w:rsidRDefault="000F51FA" w:rsidP="000F51FA">
      <w:pPr>
        <w:jc w:val="both"/>
        <w:rPr>
          <w:rFonts w:ascii="Georgia" w:hAnsi="Georgia" w:cs="Calibri"/>
          <w:color w:val="404040" w:themeColor="text1" w:themeTint="BF"/>
          <w:sz w:val="20"/>
        </w:rPr>
      </w:pPr>
      <w:r w:rsidRPr="006102D0">
        <w:rPr>
          <w:rFonts w:ascii="Georgia" w:hAnsi="Georgia" w:cs="Calibri"/>
          <w:color w:val="404040" w:themeColor="text1" w:themeTint="BF"/>
          <w:sz w:val="20"/>
        </w:rPr>
        <w:t xml:space="preserve">The results for the </w:t>
      </w:r>
      <w:r w:rsidR="00D7407C">
        <w:rPr>
          <w:rFonts w:ascii="Georgia" w:hAnsi="Georgia" w:cs="Calibri"/>
          <w:color w:val="404040" w:themeColor="text1" w:themeTint="BF"/>
          <w:sz w:val="20"/>
        </w:rPr>
        <w:t>year</w:t>
      </w:r>
      <w:r w:rsidRPr="006102D0">
        <w:rPr>
          <w:rFonts w:ascii="Georgia" w:hAnsi="Georgia" w:cs="Calibri"/>
          <w:color w:val="404040" w:themeColor="text1" w:themeTint="BF"/>
          <w:sz w:val="20"/>
        </w:rPr>
        <w:t xml:space="preserve"> are set out in the </w:t>
      </w:r>
      <w:r>
        <w:rPr>
          <w:rFonts w:ascii="Georgia" w:hAnsi="Georgia" w:cs="Calibri"/>
          <w:color w:val="404040" w:themeColor="text1" w:themeTint="BF"/>
          <w:sz w:val="20"/>
        </w:rPr>
        <w:t>f</w:t>
      </w:r>
      <w:r w:rsidRPr="006102D0">
        <w:rPr>
          <w:rFonts w:ascii="Georgia" w:hAnsi="Georgia" w:cs="Calibri"/>
          <w:color w:val="404040" w:themeColor="text1" w:themeTint="BF"/>
          <w:sz w:val="20"/>
        </w:rPr>
        <w:t xml:space="preserve">inancial </w:t>
      </w:r>
      <w:r>
        <w:rPr>
          <w:rFonts w:ascii="Georgia" w:hAnsi="Georgia" w:cs="Calibri"/>
          <w:color w:val="404040" w:themeColor="text1" w:themeTint="BF"/>
          <w:sz w:val="20"/>
        </w:rPr>
        <w:t>s</w:t>
      </w:r>
      <w:r w:rsidRPr="006102D0">
        <w:rPr>
          <w:rFonts w:ascii="Georgia" w:hAnsi="Georgia" w:cs="Calibri"/>
          <w:color w:val="404040" w:themeColor="text1" w:themeTint="BF"/>
          <w:sz w:val="20"/>
        </w:rPr>
        <w:t xml:space="preserve">tatements on </w:t>
      </w:r>
      <w:r w:rsidRPr="00B20DAA">
        <w:rPr>
          <w:rFonts w:ascii="Georgia" w:hAnsi="Georgia" w:cs="Calibri"/>
          <w:color w:val="404040" w:themeColor="text1" w:themeTint="BF"/>
          <w:sz w:val="20"/>
        </w:rPr>
        <w:t>pages</w:t>
      </w:r>
      <w:r w:rsidR="008D15CA">
        <w:rPr>
          <w:rFonts w:ascii="Georgia" w:hAnsi="Georgia" w:cs="Calibri"/>
          <w:color w:val="404040" w:themeColor="text1" w:themeTint="BF"/>
          <w:sz w:val="20"/>
        </w:rPr>
        <w:t xml:space="preserve"> </w:t>
      </w:r>
      <w:r w:rsidR="008D15CA" w:rsidRPr="008D15CA">
        <w:rPr>
          <w:rFonts w:ascii="Georgia" w:hAnsi="Georgia" w:cs="Calibri"/>
          <w:color w:val="404040" w:themeColor="text1" w:themeTint="BF"/>
          <w:sz w:val="20"/>
        </w:rPr>
        <w:t>100</w:t>
      </w:r>
      <w:r w:rsidR="000A33A6" w:rsidRPr="008D15CA">
        <w:rPr>
          <w:rFonts w:ascii="Georgia" w:hAnsi="Georgia" w:cs="Calibri"/>
          <w:color w:val="404040" w:themeColor="text1" w:themeTint="BF"/>
          <w:sz w:val="20"/>
        </w:rPr>
        <w:t xml:space="preserve"> to </w:t>
      </w:r>
      <w:r w:rsidR="008D15CA" w:rsidRPr="008D15CA">
        <w:rPr>
          <w:rFonts w:ascii="Georgia" w:hAnsi="Georgia" w:cs="Calibri"/>
          <w:color w:val="404040" w:themeColor="text1" w:themeTint="BF"/>
          <w:sz w:val="20"/>
        </w:rPr>
        <w:t>129</w:t>
      </w:r>
      <w:r w:rsidRPr="008D15CA">
        <w:rPr>
          <w:rFonts w:ascii="Georgia" w:hAnsi="Georgia" w:cs="Calibri"/>
          <w:color w:val="404040" w:themeColor="text1" w:themeTint="BF"/>
          <w:sz w:val="20"/>
        </w:rPr>
        <w:t>.</w:t>
      </w:r>
      <w:r w:rsidRPr="006102D0">
        <w:rPr>
          <w:rFonts w:ascii="Georgia" w:hAnsi="Georgia" w:cs="Calibri"/>
          <w:color w:val="404040" w:themeColor="text1" w:themeTint="BF"/>
          <w:sz w:val="20"/>
        </w:rPr>
        <w:t xml:space="preserve"> </w:t>
      </w:r>
      <w:bookmarkStart w:id="42" w:name="OLE_LINK2"/>
      <w:bookmarkStart w:id="43" w:name="OLE_LINK3"/>
    </w:p>
    <w:p w14:paraId="2497B34D" w14:textId="77777777" w:rsidR="006C03E1" w:rsidRDefault="006C03E1" w:rsidP="000F51FA">
      <w:pPr>
        <w:jc w:val="both"/>
        <w:rPr>
          <w:rFonts w:ascii="Georgia" w:hAnsi="Georgia" w:cs="Calibri"/>
          <w:color w:val="404040" w:themeColor="text1" w:themeTint="BF"/>
          <w:sz w:val="20"/>
        </w:rPr>
      </w:pPr>
    </w:p>
    <w:bookmarkEnd w:id="42"/>
    <w:bookmarkEnd w:id="43"/>
    <w:p w14:paraId="2D419176" w14:textId="364167F2" w:rsidR="00F85D09" w:rsidRDefault="0038409D" w:rsidP="00F85D09">
      <w:pPr>
        <w:pStyle w:val="BluefieldBody"/>
        <w:rPr>
          <w:rFonts w:cs="Calibri"/>
          <w:szCs w:val="24"/>
        </w:rPr>
      </w:pPr>
      <w:r>
        <w:rPr>
          <w:rFonts w:cs="Calibri"/>
          <w:szCs w:val="24"/>
        </w:rPr>
        <w:t xml:space="preserve">The dividends for the year are set out in the financial statements </w:t>
      </w:r>
      <w:r w:rsidR="002232D9">
        <w:rPr>
          <w:rFonts w:cs="Calibri"/>
          <w:szCs w:val="24"/>
        </w:rPr>
        <w:t xml:space="preserve">in </w:t>
      </w:r>
      <w:r w:rsidR="002232D9" w:rsidRPr="00C249CF">
        <w:rPr>
          <w:rFonts w:cs="Calibri"/>
          <w:szCs w:val="24"/>
        </w:rPr>
        <w:t xml:space="preserve">Note </w:t>
      </w:r>
      <w:r w:rsidR="002232D9" w:rsidRPr="008D15CA">
        <w:rPr>
          <w:rFonts w:cs="Calibri"/>
          <w:szCs w:val="24"/>
        </w:rPr>
        <w:t xml:space="preserve">14 </w:t>
      </w:r>
      <w:r w:rsidRPr="008D15CA">
        <w:rPr>
          <w:rFonts w:cs="Calibri"/>
          <w:szCs w:val="24"/>
        </w:rPr>
        <w:t>on page 1</w:t>
      </w:r>
      <w:r w:rsidR="008D15CA" w:rsidRPr="008D15CA">
        <w:rPr>
          <w:rFonts w:cs="Calibri"/>
          <w:szCs w:val="24"/>
        </w:rPr>
        <w:t>20</w:t>
      </w:r>
      <w:r w:rsidR="00F651CD" w:rsidRPr="008D15CA">
        <w:rPr>
          <w:rFonts w:cs="Calibri"/>
          <w:szCs w:val="24"/>
        </w:rPr>
        <w:t>.</w:t>
      </w:r>
    </w:p>
    <w:p w14:paraId="134E0E81" w14:textId="22FAD038" w:rsidR="0038409D" w:rsidRDefault="0038409D" w:rsidP="00F85D09">
      <w:pPr>
        <w:pStyle w:val="BluefieldBody"/>
        <w:rPr>
          <w:rFonts w:cs="Calibri"/>
          <w:szCs w:val="24"/>
        </w:rPr>
      </w:pPr>
    </w:p>
    <w:p w14:paraId="0B12C1E6" w14:textId="1119B117" w:rsidR="0038409D" w:rsidRDefault="0038409D" w:rsidP="00F85D09">
      <w:pPr>
        <w:pStyle w:val="BluefieldBody"/>
        <w:rPr>
          <w:rFonts w:cs="Calibri"/>
          <w:szCs w:val="24"/>
        </w:rPr>
      </w:pPr>
    </w:p>
    <w:p w14:paraId="21AB8B69" w14:textId="0C976DBA" w:rsidR="0038409D" w:rsidRDefault="0038409D" w:rsidP="00F85D09">
      <w:pPr>
        <w:pStyle w:val="BluefieldBody"/>
        <w:rPr>
          <w:rFonts w:cs="Calibri"/>
          <w:szCs w:val="24"/>
        </w:rPr>
      </w:pPr>
    </w:p>
    <w:p w14:paraId="28593052" w14:textId="2CBCC1CF" w:rsidR="0038409D" w:rsidRDefault="0038409D" w:rsidP="00F85D09">
      <w:pPr>
        <w:pStyle w:val="BluefieldBody"/>
        <w:rPr>
          <w:rFonts w:cs="Calibri"/>
          <w:szCs w:val="24"/>
        </w:rPr>
      </w:pPr>
    </w:p>
    <w:p w14:paraId="6063E9E7" w14:textId="19E96620" w:rsidR="0038409D" w:rsidRDefault="0038409D" w:rsidP="00F85D09">
      <w:pPr>
        <w:pStyle w:val="BluefieldBody"/>
        <w:rPr>
          <w:rFonts w:cs="Calibri"/>
          <w:szCs w:val="24"/>
        </w:rPr>
      </w:pPr>
    </w:p>
    <w:p w14:paraId="29FFA78D" w14:textId="60121843" w:rsidR="0038409D" w:rsidRDefault="0038409D" w:rsidP="00F85D09">
      <w:pPr>
        <w:pStyle w:val="BluefieldBody"/>
        <w:rPr>
          <w:rFonts w:cs="Calibri"/>
          <w:szCs w:val="24"/>
        </w:rPr>
      </w:pPr>
    </w:p>
    <w:p w14:paraId="3139BA4D" w14:textId="792CE24B" w:rsidR="0038409D" w:rsidRDefault="0038409D" w:rsidP="00F85D09">
      <w:pPr>
        <w:pStyle w:val="BluefieldBody"/>
        <w:rPr>
          <w:rFonts w:cs="Calibri"/>
          <w:szCs w:val="24"/>
        </w:rPr>
      </w:pPr>
    </w:p>
    <w:p w14:paraId="49F24E15" w14:textId="4D76864C" w:rsidR="0038409D" w:rsidRDefault="0038409D" w:rsidP="00F85D09">
      <w:pPr>
        <w:pStyle w:val="BluefieldBody"/>
        <w:rPr>
          <w:rFonts w:cs="Calibri"/>
          <w:szCs w:val="24"/>
        </w:rPr>
      </w:pPr>
    </w:p>
    <w:p w14:paraId="570AEDFF" w14:textId="67595C1D" w:rsidR="0038409D" w:rsidRDefault="0038409D" w:rsidP="00F85D09">
      <w:pPr>
        <w:pStyle w:val="BluefieldBody"/>
        <w:rPr>
          <w:rFonts w:cs="Calibri"/>
          <w:szCs w:val="24"/>
        </w:rPr>
      </w:pPr>
    </w:p>
    <w:p w14:paraId="6A2FB513" w14:textId="3B583978" w:rsidR="0038409D" w:rsidRDefault="0038409D" w:rsidP="00F85D09">
      <w:pPr>
        <w:pStyle w:val="BluefieldBody"/>
        <w:rPr>
          <w:rFonts w:cs="Calibri"/>
          <w:szCs w:val="24"/>
        </w:rPr>
      </w:pPr>
    </w:p>
    <w:p w14:paraId="42A196CC" w14:textId="0DCF8E08" w:rsidR="0038409D" w:rsidRDefault="0038409D" w:rsidP="00F85D09">
      <w:pPr>
        <w:pStyle w:val="BluefieldBody"/>
        <w:rPr>
          <w:rFonts w:cs="Calibri"/>
          <w:szCs w:val="24"/>
        </w:rPr>
      </w:pPr>
    </w:p>
    <w:p w14:paraId="6E88703E" w14:textId="5D17EF41" w:rsidR="0038409D" w:rsidRDefault="0038409D" w:rsidP="00F85D09">
      <w:pPr>
        <w:pStyle w:val="BluefieldBody"/>
        <w:rPr>
          <w:rFonts w:cs="Calibri"/>
          <w:szCs w:val="24"/>
        </w:rPr>
      </w:pPr>
    </w:p>
    <w:p w14:paraId="7A427DC8" w14:textId="20BDBA53" w:rsidR="0038409D" w:rsidRDefault="0038409D" w:rsidP="00F85D09">
      <w:pPr>
        <w:pStyle w:val="BluefieldBody"/>
        <w:rPr>
          <w:rFonts w:cs="Calibri"/>
          <w:szCs w:val="24"/>
        </w:rPr>
      </w:pPr>
    </w:p>
    <w:p w14:paraId="29A1B88D" w14:textId="72E5649F" w:rsidR="0038409D" w:rsidRDefault="0038409D" w:rsidP="00F85D09">
      <w:pPr>
        <w:pStyle w:val="BluefieldBody"/>
        <w:rPr>
          <w:rFonts w:cs="Calibri"/>
          <w:szCs w:val="24"/>
        </w:rPr>
      </w:pPr>
    </w:p>
    <w:p w14:paraId="65521D52" w14:textId="77777777" w:rsidR="0038409D" w:rsidRPr="00102A3D" w:rsidRDefault="0038409D" w:rsidP="00F85D09">
      <w:pPr>
        <w:pStyle w:val="BluefieldBody"/>
        <w:rPr>
          <w:rFonts w:cs="Calibri"/>
          <w:szCs w:val="24"/>
        </w:rPr>
      </w:pPr>
    </w:p>
    <w:p w14:paraId="6B94B894" w14:textId="77777777" w:rsidR="005A41E2" w:rsidRDefault="005A41E2" w:rsidP="00B46925">
      <w:pPr>
        <w:pStyle w:val="BluefieldBody"/>
        <w:rPr>
          <w:rFonts w:cs="Calibri"/>
          <w:szCs w:val="24"/>
        </w:rPr>
      </w:pPr>
    </w:p>
    <w:p w14:paraId="76EA2D5A" w14:textId="77777777" w:rsidR="0084314D" w:rsidRDefault="0084314D" w:rsidP="00B46925">
      <w:pPr>
        <w:pStyle w:val="BluefieldBody"/>
        <w:rPr>
          <w:rFonts w:cs="Calibri"/>
          <w:szCs w:val="24"/>
        </w:rPr>
      </w:pPr>
    </w:p>
    <w:p w14:paraId="0A7EF1ED" w14:textId="77777777" w:rsidR="00130052" w:rsidRDefault="00130052" w:rsidP="00B46925">
      <w:pPr>
        <w:pStyle w:val="BluefieldBody"/>
        <w:rPr>
          <w:rFonts w:cs="Calibri"/>
          <w:szCs w:val="24"/>
        </w:rPr>
      </w:pPr>
    </w:p>
    <w:p w14:paraId="4313D090" w14:textId="77777777" w:rsidR="00130052" w:rsidRDefault="00130052" w:rsidP="00B46925">
      <w:pPr>
        <w:pStyle w:val="BluefieldBody"/>
        <w:rPr>
          <w:rFonts w:cs="Calibri"/>
          <w:szCs w:val="24"/>
        </w:rPr>
      </w:pPr>
    </w:p>
    <w:p w14:paraId="6A34F861" w14:textId="77777777" w:rsidR="00130052" w:rsidRDefault="00130052" w:rsidP="00B46925">
      <w:pPr>
        <w:pStyle w:val="BluefieldBody"/>
        <w:rPr>
          <w:rFonts w:cs="Calibri"/>
          <w:szCs w:val="24"/>
        </w:rPr>
      </w:pPr>
    </w:p>
    <w:p w14:paraId="64A7A3B7" w14:textId="77777777" w:rsidR="005C7206" w:rsidRDefault="005C7206" w:rsidP="00B46925">
      <w:pPr>
        <w:pStyle w:val="BluefieldBody"/>
        <w:rPr>
          <w:rFonts w:cs="Calibri"/>
          <w:szCs w:val="24"/>
        </w:rPr>
      </w:pPr>
    </w:p>
    <w:p w14:paraId="0D2999CD" w14:textId="77777777" w:rsidR="00130052" w:rsidRPr="00102A3D" w:rsidRDefault="00130052" w:rsidP="00B46925">
      <w:pPr>
        <w:pStyle w:val="BluefieldBody"/>
        <w:rPr>
          <w:rFonts w:cs="Calibri"/>
          <w:szCs w:val="24"/>
        </w:rPr>
      </w:pPr>
    </w:p>
    <w:p w14:paraId="33EA3749" w14:textId="77777777" w:rsidR="00481E57" w:rsidRDefault="00F02A22" w:rsidP="00E85EF6">
      <w:pPr>
        <w:pStyle w:val="Heading2"/>
        <w:spacing w:before="0"/>
      </w:pPr>
      <w:r>
        <w:lastRenderedPageBreak/>
        <w:t>Re</w:t>
      </w:r>
      <w:r w:rsidR="000F51FA">
        <w:t>port of the Directors (continued)</w:t>
      </w:r>
    </w:p>
    <w:p w14:paraId="3B57C1EA" w14:textId="77777777" w:rsidR="00917415" w:rsidRDefault="00917415" w:rsidP="00917415">
      <w:pPr>
        <w:jc w:val="both"/>
        <w:rPr>
          <w:rFonts w:ascii="Georgia" w:hAnsi="Georgia" w:cs="Calibri"/>
          <w:b/>
          <w:color w:val="404040" w:themeColor="text1" w:themeTint="BF"/>
          <w:sz w:val="20"/>
        </w:rPr>
      </w:pPr>
    </w:p>
    <w:p w14:paraId="30B6F20B" w14:textId="77777777" w:rsidR="00F02A22" w:rsidRPr="00AC0071" w:rsidRDefault="00F02A22" w:rsidP="00F02A22">
      <w:pPr>
        <w:jc w:val="both"/>
        <w:rPr>
          <w:rFonts w:ascii="Georgia" w:hAnsi="Georgia" w:cs="Calibri"/>
          <w:b/>
          <w:color w:val="404040" w:themeColor="text1" w:themeTint="BF"/>
          <w:sz w:val="20"/>
        </w:rPr>
      </w:pPr>
      <w:r w:rsidRPr="00AC0071">
        <w:rPr>
          <w:rFonts w:ascii="Georgia" w:hAnsi="Georgia" w:cs="Calibri"/>
          <w:b/>
          <w:color w:val="404040" w:themeColor="text1" w:themeTint="BF"/>
          <w:sz w:val="20"/>
        </w:rPr>
        <w:t>Share Capital</w:t>
      </w:r>
    </w:p>
    <w:p w14:paraId="3F171198" w14:textId="77777777" w:rsidR="00B46925" w:rsidRPr="006F2DAA" w:rsidRDefault="00B46925" w:rsidP="00B46925">
      <w:pPr>
        <w:jc w:val="both"/>
        <w:rPr>
          <w:rFonts w:ascii="Georgia" w:hAnsi="Georgia" w:cs="Calibri"/>
          <w:color w:val="404040" w:themeColor="text1" w:themeTint="BF"/>
          <w:sz w:val="20"/>
        </w:rPr>
      </w:pPr>
    </w:p>
    <w:p w14:paraId="3018B9CA" w14:textId="5880F17B" w:rsidR="00F02A22" w:rsidRDefault="00F02A22" w:rsidP="00F02A22">
      <w:pPr>
        <w:jc w:val="both"/>
        <w:rPr>
          <w:rFonts w:ascii="Georgia" w:hAnsi="Georgia" w:cs="Calibri"/>
          <w:color w:val="404040" w:themeColor="text1" w:themeTint="BF"/>
          <w:sz w:val="20"/>
        </w:rPr>
      </w:pPr>
      <w:r w:rsidRPr="006102D0">
        <w:rPr>
          <w:rFonts w:ascii="Georgia" w:hAnsi="Georgia" w:cs="Calibri"/>
          <w:color w:val="404040" w:themeColor="text1" w:themeTint="BF"/>
          <w:sz w:val="20"/>
        </w:rPr>
        <w:t>The Company has one class of Ordinary Shares. The issued nominal value of the Ordinary Shares represents 100</w:t>
      </w:r>
      <w:r>
        <w:rPr>
          <w:rFonts w:ascii="Georgia" w:hAnsi="Georgia" w:cs="Calibri"/>
          <w:color w:val="404040" w:themeColor="text1" w:themeTint="BF"/>
          <w:sz w:val="20"/>
        </w:rPr>
        <w:t>%</w:t>
      </w:r>
      <w:r w:rsidRPr="006102D0">
        <w:rPr>
          <w:rFonts w:ascii="Georgia" w:hAnsi="Georgia" w:cs="Calibri"/>
          <w:color w:val="404040" w:themeColor="text1" w:themeTint="BF"/>
          <w:sz w:val="20"/>
        </w:rPr>
        <w:t xml:space="preserve"> of the total issued nominal value of all share capit</w:t>
      </w:r>
      <w:r>
        <w:rPr>
          <w:rFonts w:ascii="Georgia" w:hAnsi="Georgia" w:cs="Calibri"/>
          <w:color w:val="404040" w:themeColor="text1" w:themeTint="BF"/>
          <w:sz w:val="20"/>
        </w:rPr>
        <w:t>al. Under the Company’s Articles</w:t>
      </w:r>
      <w:r w:rsidRPr="006102D0">
        <w:rPr>
          <w:rFonts w:ascii="Georgia" w:hAnsi="Georgia" w:cs="Calibri"/>
          <w:color w:val="404040" w:themeColor="text1" w:themeTint="BF"/>
          <w:sz w:val="20"/>
        </w:rPr>
        <w:t xml:space="preserve">, on a show of hands, each </w:t>
      </w:r>
      <w:r w:rsidR="00CE617E">
        <w:rPr>
          <w:rFonts w:ascii="Georgia" w:hAnsi="Georgia" w:cs="Calibri"/>
          <w:color w:val="404040" w:themeColor="text1" w:themeTint="BF"/>
          <w:sz w:val="20"/>
        </w:rPr>
        <w:t>s</w:t>
      </w:r>
      <w:r w:rsidRPr="006102D0">
        <w:rPr>
          <w:rFonts w:ascii="Georgia" w:hAnsi="Georgia" w:cs="Calibri"/>
          <w:color w:val="404040" w:themeColor="text1" w:themeTint="BF"/>
          <w:sz w:val="20"/>
        </w:rPr>
        <w:t xml:space="preserve">hareholder present in person or by proxy has the right to one vote at general meetings. On a poll, each </w:t>
      </w:r>
      <w:r w:rsidR="00CE617E">
        <w:rPr>
          <w:rFonts w:ascii="Georgia" w:hAnsi="Georgia" w:cs="Calibri"/>
          <w:color w:val="404040" w:themeColor="text1" w:themeTint="BF"/>
          <w:sz w:val="20"/>
        </w:rPr>
        <w:t>s</w:t>
      </w:r>
      <w:r w:rsidRPr="006102D0">
        <w:rPr>
          <w:rFonts w:ascii="Georgia" w:hAnsi="Georgia" w:cs="Calibri"/>
          <w:color w:val="404040" w:themeColor="text1" w:themeTint="BF"/>
          <w:sz w:val="20"/>
        </w:rPr>
        <w:t>hareholder is entitled to one vote for every share held.</w:t>
      </w:r>
    </w:p>
    <w:p w14:paraId="3F9C3786" w14:textId="77777777" w:rsidR="00F02A22" w:rsidRPr="00256451" w:rsidRDefault="00F02A22" w:rsidP="00F02A22">
      <w:pPr>
        <w:jc w:val="both"/>
        <w:rPr>
          <w:rFonts w:ascii="Georgia" w:hAnsi="Georgia" w:cs="Calibri"/>
          <w:color w:val="404040" w:themeColor="text1" w:themeTint="BF"/>
          <w:sz w:val="18"/>
        </w:rPr>
      </w:pPr>
    </w:p>
    <w:p w14:paraId="670AF1E9" w14:textId="78B23230" w:rsidR="00F02A22" w:rsidRDefault="00F02A22" w:rsidP="00F02A22">
      <w:pPr>
        <w:jc w:val="both"/>
        <w:rPr>
          <w:rFonts w:ascii="Georgia" w:hAnsi="Georgia" w:cs="Calibri"/>
          <w:color w:val="404040" w:themeColor="text1" w:themeTint="BF"/>
          <w:sz w:val="20"/>
        </w:rPr>
      </w:pPr>
      <w:r w:rsidRPr="006102D0">
        <w:rPr>
          <w:rFonts w:ascii="Georgia" w:hAnsi="Georgia" w:cs="Calibri"/>
          <w:color w:val="404040" w:themeColor="text1" w:themeTint="BF"/>
          <w:sz w:val="20"/>
        </w:rPr>
        <w:t xml:space="preserve">Shareholders are entitled to all dividends paid by the Company and, on a winding up, providing the Company has satisfied all of its liabilities, the </w:t>
      </w:r>
      <w:r w:rsidR="007A01C2">
        <w:rPr>
          <w:rFonts w:ascii="Georgia" w:hAnsi="Georgia" w:cs="Calibri"/>
          <w:color w:val="404040" w:themeColor="text1" w:themeTint="BF"/>
          <w:sz w:val="20"/>
        </w:rPr>
        <w:t>S</w:t>
      </w:r>
      <w:r w:rsidRPr="006102D0">
        <w:rPr>
          <w:rFonts w:ascii="Georgia" w:hAnsi="Georgia" w:cs="Calibri"/>
          <w:color w:val="404040" w:themeColor="text1" w:themeTint="BF"/>
          <w:sz w:val="20"/>
        </w:rPr>
        <w:t>hareholders are entitled to all of the surplus assets of the Company. The Ordinary Shares have no right to fixed income.</w:t>
      </w:r>
    </w:p>
    <w:p w14:paraId="29EF5681" w14:textId="77777777" w:rsidR="00F02A22" w:rsidRDefault="00F02A22" w:rsidP="000F51FA">
      <w:pPr>
        <w:jc w:val="both"/>
        <w:rPr>
          <w:rFonts w:ascii="Georgia" w:hAnsi="Georgia" w:cs="Calibri"/>
          <w:b/>
          <w:color w:val="404040" w:themeColor="text1" w:themeTint="BF"/>
          <w:sz w:val="20"/>
        </w:rPr>
      </w:pPr>
    </w:p>
    <w:p w14:paraId="5DD66B0D" w14:textId="77777777" w:rsidR="000F51FA" w:rsidRPr="00CF386D" w:rsidRDefault="000F51FA" w:rsidP="000F51FA">
      <w:pPr>
        <w:jc w:val="both"/>
        <w:rPr>
          <w:rFonts w:ascii="Georgia" w:hAnsi="Georgia" w:cs="Calibri"/>
          <w:b/>
          <w:color w:val="404040" w:themeColor="text1" w:themeTint="BF"/>
          <w:sz w:val="20"/>
        </w:rPr>
      </w:pPr>
      <w:r w:rsidRPr="00CF386D">
        <w:rPr>
          <w:rFonts w:ascii="Georgia" w:hAnsi="Georgia" w:cs="Calibri"/>
          <w:b/>
          <w:color w:val="404040" w:themeColor="text1" w:themeTint="BF"/>
          <w:sz w:val="20"/>
        </w:rPr>
        <w:t>Shareholdings of the Directors</w:t>
      </w:r>
    </w:p>
    <w:p w14:paraId="05D5C9E9" w14:textId="77777777" w:rsidR="000F51FA" w:rsidRPr="00CF386D" w:rsidRDefault="000F51FA" w:rsidP="000F51FA">
      <w:pPr>
        <w:jc w:val="both"/>
        <w:rPr>
          <w:rFonts w:ascii="Georgia" w:hAnsi="Georgia" w:cs="Calibri"/>
          <w:color w:val="404040" w:themeColor="text1" w:themeTint="BF"/>
          <w:sz w:val="20"/>
        </w:rPr>
      </w:pPr>
    </w:p>
    <w:p w14:paraId="75AFB09B" w14:textId="3C0090BF" w:rsidR="000F51FA" w:rsidRDefault="000F51FA" w:rsidP="000F51FA">
      <w:pPr>
        <w:jc w:val="both"/>
        <w:rPr>
          <w:rFonts w:ascii="Georgia" w:hAnsi="Georgia" w:cs="Calibri"/>
          <w:color w:val="404040" w:themeColor="text1" w:themeTint="BF"/>
          <w:sz w:val="20"/>
        </w:rPr>
      </w:pPr>
      <w:r w:rsidRPr="00CF386D">
        <w:rPr>
          <w:rFonts w:ascii="Georgia" w:hAnsi="Georgia" w:cs="Calibri"/>
          <w:color w:val="404040" w:themeColor="text1" w:themeTint="BF"/>
          <w:sz w:val="20"/>
        </w:rPr>
        <w:t xml:space="preserve">The Directors of the Company and their beneficial interests in the shares of the Company as at </w:t>
      </w:r>
      <w:r>
        <w:rPr>
          <w:rFonts w:ascii="Georgia" w:hAnsi="Georgia" w:cs="Calibri"/>
          <w:color w:val="404040" w:themeColor="text1" w:themeTint="BF"/>
          <w:sz w:val="20"/>
        </w:rPr>
        <w:t>30</w:t>
      </w:r>
      <w:r w:rsidRPr="00CF386D">
        <w:rPr>
          <w:rFonts w:ascii="Georgia" w:hAnsi="Georgia" w:cs="Calibri"/>
          <w:color w:val="404040" w:themeColor="text1" w:themeTint="BF"/>
          <w:sz w:val="20"/>
        </w:rPr>
        <w:t xml:space="preserve"> </w:t>
      </w:r>
      <w:r>
        <w:rPr>
          <w:rFonts w:ascii="Georgia" w:hAnsi="Georgia" w:cs="Calibri"/>
          <w:color w:val="404040" w:themeColor="text1" w:themeTint="BF"/>
          <w:sz w:val="20"/>
        </w:rPr>
        <w:t>June</w:t>
      </w:r>
      <w:r w:rsidR="00C03451">
        <w:rPr>
          <w:rFonts w:ascii="Georgia" w:hAnsi="Georgia" w:cs="Calibri"/>
          <w:color w:val="404040" w:themeColor="text1" w:themeTint="BF"/>
          <w:sz w:val="20"/>
        </w:rPr>
        <w:t xml:space="preserve"> </w:t>
      </w:r>
      <w:r w:rsidR="00904E51">
        <w:rPr>
          <w:rFonts w:ascii="Georgia" w:hAnsi="Georgia" w:cs="Calibri"/>
          <w:color w:val="404040" w:themeColor="text1" w:themeTint="BF"/>
          <w:sz w:val="20"/>
        </w:rPr>
        <w:t>2020</w:t>
      </w:r>
      <w:r w:rsidRPr="00CF386D">
        <w:rPr>
          <w:rFonts w:ascii="Georgia" w:hAnsi="Georgia" w:cs="Calibri"/>
          <w:color w:val="404040" w:themeColor="text1" w:themeTint="BF"/>
          <w:sz w:val="20"/>
        </w:rPr>
        <w:t xml:space="preserve"> are detailed below:</w:t>
      </w:r>
    </w:p>
    <w:p w14:paraId="701716A7" w14:textId="77777777" w:rsidR="003739DA" w:rsidRDefault="003739DA" w:rsidP="000F51FA">
      <w:pPr>
        <w:jc w:val="both"/>
        <w:rPr>
          <w:rFonts w:ascii="Georgia" w:hAnsi="Georgia" w:cs="Calibri"/>
          <w:color w:val="404040" w:themeColor="text1" w:themeTint="B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gridCol w:w="1807"/>
        <w:gridCol w:w="1664"/>
        <w:gridCol w:w="1830"/>
        <w:gridCol w:w="1613"/>
      </w:tblGrid>
      <w:tr w:rsidR="00183A06" w:rsidRPr="00CF386D" w14:paraId="0D5DE2F4" w14:textId="77777777" w:rsidTr="0038409D">
        <w:tc>
          <w:tcPr>
            <w:tcW w:w="2446" w:type="dxa"/>
            <w:tcBorders>
              <w:bottom w:val="single" w:sz="4" w:space="0" w:color="auto"/>
            </w:tcBorders>
          </w:tcPr>
          <w:p w14:paraId="40CCF7AF" w14:textId="77777777" w:rsidR="00183A06" w:rsidRPr="00325ACE" w:rsidRDefault="00183A06" w:rsidP="00D80E01">
            <w:pPr>
              <w:jc w:val="both"/>
              <w:rPr>
                <w:rFonts w:ascii="Georgia" w:hAnsi="Georgia" w:cs="Calibri"/>
                <w:b/>
                <w:color w:val="404040" w:themeColor="text1" w:themeTint="BF"/>
                <w:sz w:val="20"/>
              </w:rPr>
            </w:pPr>
            <w:r w:rsidRPr="00E42A95">
              <w:rPr>
                <w:rFonts w:ascii="Georgia" w:hAnsi="Georgia" w:cs="Calibri"/>
                <w:b/>
                <w:color w:val="404040" w:themeColor="text1" w:themeTint="BF"/>
                <w:sz w:val="20"/>
              </w:rPr>
              <w:t>Director</w:t>
            </w:r>
          </w:p>
        </w:tc>
        <w:tc>
          <w:tcPr>
            <w:tcW w:w="1807" w:type="dxa"/>
            <w:tcBorders>
              <w:bottom w:val="single" w:sz="4" w:space="0" w:color="auto"/>
            </w:tcBorders>
          </w:tcPr>
          <w:p w14:paraId="1246C786" w14:textId="187E8081" w:rsidR="00183A06" w:rsidRPr="00325ACE" w:rsidRDefault="00183A06" w:rsidP="00D26CB6">
            <w:pPr>
              <w:jc w:val="right"/>
              <w:rPr>
                <w:rFonts w:ascii="Georgia" w:hAnsi="Georgia" w:cs="Calibri"/>
                <w:b/>
                <w:color w:val="404040" w:themeColor="text1" w:themeTint="BF"/>
                <w:sz w:val="20"/>
              </w:rPr>
            </w:pPr>
            <w:r w:rsidRPr="00E42A95">
              <w:rPr>
                <w:rFonts w:ascii="Georgia" w:hAnsi="Georgia" w:cs="Calibri"/>
                <w:b/>
                <w:color w:val="404040" w:themeColor="text1" w:themeTint="BF"/>
                <w:sz w:val="20"/>
              </w:rPr>
              <w:t xml:space="preserve">Ordinary </w:t>
            </w:r>
            <w:r w:rsidR="0068295D">
              <w:rPr>
                <w:rFonts w:ascii="Georgia" w:hAnsi="Georgia" w:cs="Calibri"/>
                <w:b/>
                <w:color w:val="404040" w:themeColor="text1" w:themeTint="BF"/>
                <w:sz w:val="20"/>
              </w:rPr>
              <w:t>S</w:t>
            </w:r>
            <w:r w:rsidRPr="00E42A95">
              <w:rPr>
                <w:rFonts w:ascii="Georgia" w:hAnsi="Georgia" w:cs="Calibri"/>
                <w:b/>
                <w:color w:val="404040" w:themeColor="text1" w:themeTint="BF"/>
                <w:sz w:val="20"/>
              </w:rPr>
              <w:t>ha</w:t>
            </w:r>
            <w:r>
              <w:rPr>
                <w:rFonts w:ascii="Georgia" w:hAnsi="Georgia" w:cs="Calibri"/>
                <w:b/>
                <w:color w:val="404040" w:themeColor="text1" w:themeTint="BF"/>
                <w:sz w:val="20"/>
              </w:rPr>
              <w:t xml:space="preserve">res of £1 each held 30 June </w:t>
            </w:r>
            <w:r w:rsidR="00904E51">
              <w:rPr>
                <w:rFonts w:ascii="Georgia" w:hAnsi="Georgia" w:cs="Calibri"/>
                <w:b/>
                <w:color w:val="404040" w:themeColor="text1" w:themeTint="BF"/>
                <w:sz w:val="20"/>
              </w:rPr>
              <w:t>2020</w:t>
            </w:r>
          </w:p>
        </w:tc>
        <w:tc>
          <w:tcPr>
            <w:tcW w:w="1664" w:type="dxa"/>
            <w:tcBorders>
              <w:bottom w:val="single" w:sz="4" w:space="0" w:color="auto"/>
            </w:tcBorders>
          </w:tcPr>
          <w:p w14:paraId="40611614" w14:textId="77777777" w:rsidR="007108C4" w:rsidRPr="00B96F76" w:rsidRDefault="007108C4" w:rsidP="00D80E01">
            <w:pPr>
              <w:jc w:val="right"/>
              <w:rPr>
                <w:rFonts w:ascii="Georgia" w:hAnsi="Georgia" w:cs="Calibri"/>
                <w:b/>
                <w:color w:val="404040" w:themeColor="text1" w:themeTint="BF"/>
                <w:sz w:val="20"/>
              </w:rPr>
            </w:pPr>
          </w:p>
          <w:p w14:paraId="6798D228" w14:textId="77777777" w:rsidR="007108C4" w:rsidRPr="00B96F76" w:rsidRDefault="007108C4" w:rsidP="00D80E01">
            <w:pPr>
              <w:jc w:val="right"/>
              <w:rPr>
                <w:rFonts w:ascii="Georgia" w:hAnsi="Georgia" w:cs="Calibri"/>
                <w:b/>
                <w:color w:val="404040" w:themeColor="text1" w:themeTint="BF"/>
                <w:sz w:val="20"/>
              </w:rPr>
            </w:pPr>
          </w:p>
          <w:p w14:paraId="6CC34103" w14:textId="77777777" w:rsidR="00183A06" w:rsidRPr="00B96F76" w:rsidRDefault="00183A06" w:rsidP="00D80E01">
            <w:pPr>
              <w:jc w:val="right"/>
              <w:rPr>
                <w:rFonts w:ascii="Georgia" w:hAnsi="Georgia" w:cs="Calibri"/>
                <w:b/>
                <w:color w:val="404040" w:themeColor="text1" w:themeTint="BF"/>
                <w:sz w:val="20"/>
              </w:rPr>
            </w:pPr>
            <w:r w:rsidRPr="00B96F76">
              <w:rPr>
                <w:rFonts w:ascii="Georgia" w:hAnsi="Georgia" w:cs="Calibri"/>
                <w:b/>
                <w:color w:val="404040" w:themeColor="text1" w:themeTint="BF"/>
                <w:sz w:val="20"/>
              </w:rPr>
              <w:t xml:space="preserve">%  holding at </w:t>
            </w:r>
          </w:p>
          <w:p w14:paraId="19A2134B" w14:textId="569CC4D4" w:rsidR="00183A06" w:rsidRPr="00B96F76" w:rsidRDefault="00183A06" w:rsidP="00D26CB6">
            <w:pPr>
              <w:jc w:val="right"/>
              <w:rPr>
                <w:rFonts w:ascii="Georgia" w:hAnsi="Georgia" w:cs="Calibri"/>
                <w:b/>
                <w:color w:val="404040" w:themeColor="text1" w:themeTint="BF"/>
                <w:sz w:val="20"/>
              </w:rPr>
            </w:pPr>
            <w:r w:rsidRPr="00B96F76">
              <w:rPr>
                <w:rFonts w:ascii="Georgia" w:hAnsi="Georgia" w:cs="Calibri"/>
                <w:b/>
                <w:color w:val="404040" w:themeColor="text1" w:themeTint="BF"/>
                <w:sz w:val="20"/>
              </w:rPr>
              <w:t xml:space="preserve">30 June </w:t>
            </w:r>
            <w:r w:rsidR="00904E51">
              <w:rPr>
                <w:rFonts w:ascii="Georgia" w:hAnsi="Georgia" w:cs="Calibri"/>
                <w:b/>
                <w:color w:val="404040" w:themeColor="text1" w:themeTint="BF"/>
                <w:sz w:val="20"/>
              </w:rPr>
              <w:t>2020</w:t>
            </w:r>
          </w:p>
        </w:tc>
        <w:tc>
          <w:tcPr>
            <w:tcW w:w="1830" w:type="dxa"/>
            <w:tcBorders>
              <w:bottom w:val="single" w:sz="4" w:space="0" w:color="auto"/>
            </w:tcBorders>
          </w:tcPr>
          <w:p w14:paraId="79CAD9D1" w14:textId="0A61284E" w:rsidR="00183A06" w:rsidRPr="00E42A95" w:rsidRDefault="00183A06" w:rsidP="00D26CB6">
            <w:pPr>
              <w:jc w:val="right"/>
              <w:rPr>
                <w:rFonts w:ascii="Georgia" w:hAnsi="Georgia" w:cs="Calibri"/>
                <w:b/>
                <w:color w:val="404040" w:themeColor="text1" w:themeTint="BF"/>
                <w:sz w:val="20"/>
              </w:rPr>
            </w:pPr>
            <w:r w:rsidRPr="00E42A95">
              <w:rPr>
                <w:rFonts w:ascii="Georgia" w:hAnsi="Georgia" w:cs="Calibri"/>
                <w:b/>
                <w:color w:val="404040" w:themeColor="text1" w:themeTint="BF"/>
                <w:sz w:val="20"/>
              </w:rPr>
              <w:t xml:space="preserve">Ordinary </w:t>
            </w:r>
            <w:r w:rsidR="0075637E">
              <w:rPr>
                <w:rFonts w:ascii="Georgia" w:hAnsi="Georgia" w:cs="Calibri"/>
                <w:b/>
                <w:color w:val="404040" w:themeColor="text1" w:themeTint="BF"/>
                <w:sz w:val="20"/>
              </w:rPr>
              <w:t>S</w:t>
            </w:r>
            <w:r w:rsidRPr="00E42A95">
              <w:rPr>
                <w:rFonts w:ascii="Georgia" w:hAnsi="Georgia" w:cs="Calibri"/>
                <w:b/>
                <w:color w:val="404040" w:themeColor="text1" w:themeTint="BF"/>
                <w:sz w:val="20"/>
              </w:rPr>
              <w:t>ha</w:t>
            </w:r>
            <w:r>
              <w:rPr>
                <w:rFonts w:ascii="Georgia" w:hAnsi="Georgia" w:cs="Calibri"/>
                <w:b/>
                <w:color w:val="404040" w:themeColor="text1" w:themeTint="BF"/>
                <w:sz w:val="20"/>
              </w:rPr>
              <w:t xml:space="preserve">res of £1 each held 30 June </w:t>
            </w:r>
            <w:r w:rsidR="00904E51">
              <w:rPr>
                <w:rFonts w:ascii="Georgia" w:hAnsi="Georgia" w:cs="Calibri"/>
                <w:b/>
                <w:color w:val="404040" w:themeColor="text1" w:themeTint="BF"/>
                <w:sz w:val="20"/>
              </w:rPr>
              <w:t>2019</w:t>
            </w:r>
          </w:p>
        </w:tc>
        <w:tc>
          <w:tcPr>
            <w:tcW w:w="1613" w:type="dxa"/>
            <w:tcBorders>
              <w:bottom w:val="single" w:sz="4" w:space="0" w:color="auto"/>
            </w:tcBorders>
          </w:tcPr>
          <w:p w14:paraId="76132241" w14:textId="77777777" w:rsidR="007108C4" w:rsidRDefault="007108C4" w:rsidP="0004352A">
            <w:pPr>
              <w:jc w:val="right"/>
              <w:rPr>
                <w:rFonts w:ascii="Georgia" w:hAnsi="Georgia" w:cs="Calibri"/>
                <w:b/>
                <w:color w:val="404040" w:themeColor="text1" w:themeTint="BF"/>
                <w:sz w:val="20"/>
              </w:rPr>
            </w:pPr>
          </w:p>
          <w:p w14:paraId="57161737" w14:textId="77777777" w:rsidR="007108C4" w:rsidRDefault="007108C4" w:rsidP="0004352A">
            <w:pPr>
              <w:jc w:val="right"/>
              <w:rPr>
                <w:rFonts w:ascii="Georgia" w:hAnsi="Georgia" w:cs="Calibri"/>
                <w:b/>
                <w:color w:val="404040" w:themeColor="text1" w:themeTint="BF"/>
                <w:sz w:val="20"/>
              </w:rPr>
            </w:pPr>
          </w:p>
          <w:p w14:paraId="05857FB6" w14:textId="77777777" w:rsidR="00183A06" w:rsidRPr="00325ACE" w:rsidRDefault="00183A06" w:rsidP="0004352A">
            <w:pPr>
              <w:jc w:val="right"/>
              <w:rPr>
                <w:rFonts w:ascii="Georgia" w:hAnsi="Georgia" w:cs="Calibri"/>
                <w:b/>
                <w:color w:val="404040" w:themeColor="text1" w:themeTint="BF"/>
                <w:sz w:val="20"/>
              </w:rPr>
            </w:pPr>
            <w:r w:rsidRPr="00E42A95">
              <w:rPr>
                <w:rFonts w:ascii="Georgia" w:hAnsi="Georgia" w:cs="Calibri"/>
                <w:b/>
                <w:color w:val="404040" w:themeColor="text1" w:themeTint="BF"/>
                <w:sz w:val="20"/>
              </w:rPr>
              <w:t xml:space="preserve">%  holding at </w:t>
            </w:r>
          </w:p>
          <w:p w14:paraId="6D811DB7" w14:textId="4ADAD89D" w:rsidR="00183A06" w:rsidRPr="00E42A95" w:rsidRDefault="00183A06" w:rsidP="00D26CB6">
            <w:pPr>
              <w:jc w:val="right"/>
              <w:rPr>
                <w:rFonts w:ascii="Georgia" w:hAnsi="Georgia" w:cs="Calibri"/>
                <w:b/>
                <w:color w:val="404040" w:themeColor="text1" w:themeTint="BF"/>
                <w:sz w:val="20"/>
              </w:rPr>
            </w:pPr>
            <w:r>
              <w:rPr>
                <w:rFonts w:ascii="Georgia" w:hAnsi="Georgia" w:cs="Calibri"/>
                <w:b/>
                <w:color w:val="404040" w:themeColor="text1" w:themeTint="BF"/>
                <w:sz w:val="20"/>
              </w:rPr>
              <w:t xml:space="preserve">30 June </w:t>
            </w:r>
            <w:r w:rsidR="00904E51">
              <w:rPr>
                <w:rFonts w:ascii="Georgia" w:hAnsi="Georgia" w:cs="Calibri"/>
                <w:b/>
                <w:color w:val="404040" w:themeColor="text1" w:themeTint="BF"/>
                <w:sz w:val="20"/>
              </w:rPr>
              <w:t>2019</w:t>
            </w:r>
          </w:p>
        </w:tc>
      </w:tr>
      <w:tr w:rsidR="00250B13" w:rsidRPr="00CF386D" w14:paraId="7FABD2A0" w14:textId="77777777" w:rsidTr="0038409D">
        <w:trPr>
          <w:trHeight w:val="336"/>
        </w:trPr>
        <w:tc>
          <w:tcPr>
            <w:tcW w:w="2446" w:type="dxa"/>
            <w:tcBorders>
              <w:top w:val="single" w:sz="4" w:space="0" w:color="auto"/>
            </w:tcBorders>
            <w:vAlign w:val="center"/>
          </w:tcPr>
          <w:p w14:paraId="65D86CA7" w14:textId="77777777" w:rsidR="00250B13" w:rsidRDefault="00250B13" w:rsidP="00250B13">
            <w:pPr>
              <w:rPr>
                <w:rFonts w:ascii="Georgia" w:hAnsi="Georgia" w:cs="Calibri"/>
                <w:color w:val="404040" w:themeColor="text1" w:themeTint="BF"/>
                <w:sz w:val="20"/>
              </w:rPr>
            </w:pPr>
            <w:r w:rsidRPr="00E42A95">
              <w:rPr>
                <w:rFonts w:ascii="Georgia" w:hAnsi="Georgia" w:cs="Calibri"/>
                <w:color w:val="404040" w:themeColor="text1" w:themeTint="BF"/>
                <w:sz w:val="20"/>
              </w:rPr>
              <w:t>John Rennocks*</w:t>
            </w:r>
          </w:p>
        </w:tc>
        <w:tc>
          <w:tcPr>
            <w:tcW w:w="1807" w:type="dxa"/>
            <w:tcBorders>
              <w:top w:val="single" w:sz="4" w:space="0" w:color="auto"/>
            </w:tcBorders>
            <w:vAlign w:val="center"/>
          </w:tcPr>
          <w:p w14:paraId="3ACD1D7B" w14:textId="3903A45E" w:rsidR="00250B13" w:rsidRPr="000E1684" w:rsidRDefault="00250B13" w:rsidP="00250B13">
            <w:pPr>
              <w:jc w:val="right"/>
              <w:rPr>
                <w:rFonts w:ascii="Georgia" w:hAnsi="Georgia"/>
                <w:color w:val="404040"/>
                <w:sz w:val="20"/>
              </w:rPr>
            </w:pPr>
            <w:r w:rsidRPr="000E1684">
              <w:rPr>
                <w:rFonts w:ascii="Georgia" w:hAnsi="Georgia"/>
                <w:color w:val="404040"/>
                <w:sz w:val="20"/>
              </w:rPr>
              <w:t>316,011</w:t>
            </w:r>
          </w:p>
        </w:tc>
        <w:tc>
          <w:tcPr>
            <w:tcW w:w="1664" w:type="dxa"/>
            <w:tcBorders>
              <w:top w:val="single" w:sz="4" w:space="0" w:color="auto"/>
            </w:tcBorders>
            <w:vAlign w:val="center"/>
          </w:tcPr>
          <w:p w14:paraId="69F0D737" w14:textId="282ADC2A" w:rsidR="00250B13" w:rsidRPr="000E1684" w:rsidRDefault="00250B13" w:rsidP="00250B13">
            <w:pPr>
              <w:jc w:val="right"/>
              <w:rPr>
                <w:rFonts w:ascii="Georgia" w:hAnsi="Georgia"/>
                <w:color w:val="404040" w:themeColor="text1" w:themeTint="BF"/>
                <w:sz w:val="20"/>
              </w:rPr>
            </w:pPr>
            <w:r w:rsidRPr="000E1684">
              <w:rPr>
                <w:rFonts w:ascii="Georgia" w:hAnsi="Georgia"/>
                <w:color w:val="404040" w:themeColor="text1" w:themeTint="BF"/>
                <w:sz w:val="20"/>
              </w:rPr>
              <w:t>0.09</w:t>
            </w:r>
          </w:p>
        </w:tc>
        <w:tc>
          <w:tcPr>
            <w:tcW w:w="1830" w:type="dxa"/>
            <w:tcBorders>
              <w:top w:val="single" w:sz="4" w:space="0" w:color="auto"/>
            </w:tcBorders>
            <w:vAlign w:val="center"/>
          </w:tcPr>
          <w:p w14:paraId="577D4986" w14:textId="0A9E12B1" w:rsidR="00250B13" w:rsidRPr="00FF3652" w:rsidRDefault="00250B13" w:rsidP="00250B13">
            <w:pPr>
              <w:jc w:val="right"/>
              <w:rPr>
                <w:rFonts w:ascii="Georgia" w:hAnsi="Georgia" w:cs="Calibri"/>
                <w:color w:val="404040" w:themeColor="text1" w:themeTint="BF"/>
                <w:sz w:val="20"/>
              </w:rPr>
            </w:pPr>
            <w:r w:rsidRPr="00003B9B">
              <w:rPr>
                <w:rFonts w:ascii="Georgia" w:hAnsi="Georgia"/>
                <w:color w:val="404040"/>
                <w:sz w:val="20"/>
              </w:rPr>
              <w:t>316,011</w:t>
            </w:r>
          </w:p>
        </w:tc>
        <w:tc>
          <w:tcPr>
            <w:tcW w:w="1613" w:type="dxa"/>
            <w:tcBorders>
              <w:top w:val="single" w:sz="4" w:space="0" w:color="auto"/>
            </w:tcBorders>
            <w:vAlign w:val="center"/>
          </w:tcPr>
          <w:p w14:paraId="7C7A6CC6" w14:textId="446B8243" w:rsidR="00250B13" w:rsidRPr="00FF3652" w:rsidRDefault="00250B13" w:rsidP="00250B13">
            <w:pPr>
              <w:jc w:val="right"/>
              <w:rPr>
                <w:rFonts w:ascii="Georgia" w:hAnsi="Georgia" w:cs="Calibri"/>
                <w:color w:val="404040" w:themeColor="text1" w:themeTint="BF"/>
                <w:sz w:val="20"/>
              </w:rPr>
            </w:pPr>
            <w:r w:rsidRPr="00DB0FFA">
              <w:rPr>
                <w:rFonts w:ascii="Georgia" w:hAnsi="Georgia"/>
                <w:color w:val="404040" w:themeColor="text1" w:themeTint="BF"/>
                <w:sz w:val="20"/>
              </w:rPr>
              <w:t>0.09</w:t>
            </w:r>
          </w:p>
        </w:tc>
      </w:tr>
      <w:tr w:rsidR="00250B13" w:rsidRPr="00CF386D" w14:paraId="0F8C0ED0" w14:textId="77777777" w:rsidTr="0038409D">
        <w:trPr>
          <w:trHeight w:val="336"/>
        </w:trPr>
        <w:tc>
          <w:tcPr>
            <w:tcW w:w="2446" w:type="dxa"/>
            <w:vAlign w:val="center"/>
          </w:tcPr>
          <w:p w14:paraId="7DBC3723" w14:textId="09327D3C" w:rsidR="00250B13" w:rsidRDefault="00250B13" w:rsidP="00250B13">
            <w:pPr>
              <w:rPr>
                <w:rFonts w:ascii="Georgia" w:hAnsi="Georgia" w:cs="Calibri"/>
                <w:color w:val="404040" w:themeColor="text1" w:themeTint="BF"/>
                <w:sz w:val="20"/>
              </w:rPr>
            </w:pPr>
            <w:r w:rsidRPr="00E42A95">
              <w:rPr>
                <w:rFonts w:ascii="Georgia" w:hAnsi="Georgia" w:cs="Calibri"/>
                <w:color w:val="404040" w:themeColor="text1" w:themeTint="BF"/>
                <w:sz w:val="20"/>
              </w:rPr>
              <w:t>John Scott</w:t>
            </w:r>
            <w:r w:rsidR="005C3886">
              <w:rPr>
                <w:rFonts w:ascii="Georgia" w:hAnsi="Georgia" w:cs="Calibri"/>
                <w:color w:val="404040" w:themeColor="text1" w:themeTint="BF"/>
                <w:sz w:val="20"/>
              </w:rPr>
              <w:t>*</w:t>
            </w:r>
          </w:p>
        </w:tc>
        <w:tc>
          <w:tcPr>
            <w:tcW w:w="1807" w:type="dxa"/>
            <w:vAlign w:val="center"/>
          </w:tcPr>
          <w:p w14:paraId="389C3306" w14:textId="1F2D6029" w:rsidR="00250B13" w:rsidRPr="000E1684" w:rsidRDefault="000E1684" w:rsidP="00250B13">
            <w:pPr>
              <w:jc w:val="right"/>
              <w:rPr>
                <w:rFonts w:ascii="Georgia" w:hAnsi="Georgia"/>
                <w:color w:val="404040"/>
                <w:sz w:val="20"/>
              </w:rPr>
            </w:pPr>
            <w:r w:rsidRPr="000E1684">
              <w:rPr>
                <w:rFonts w:ascii="Georgia" w:hAnsi="Georgia"/>
                <w:color w:val="404040"/>
                <w:sz w:val="20"/>
              </w:rPr>
              <w:t>51</w:t>
            </w:r>
            <w:r w:rsidR="00250B13" w:rsidRPr="000E1684">
              <w:rPr>
                <w:rFonts w:ascii="Georgia" w:hAnsi="Georgia"/>
                <w:color w:val="404040"/>
                <w:sz w:val="20"/>
              </w:rPr>
              <w:t>2,436</w:t>
            </w:r>
          </w:p>
        </w:tc>
        <w:tc>
          <w:tcPr>
            <w:tcW w:w="1664" w:type="dxa"/>
            <w:vAlign w:val="center"/>
          </w:tcPr>
          <w:p w14:paraId="5B5E4A04" w14:textId="2D5747E2" w:rsidR="00250B13" w:rsidRPr="000E1684" w:rsidRDefault="000E1684" w:rsidP="00250B13">
            <w:pPr>
              <w:jc w:val="right"/>
              <w:rPr>
                <w:rFonts w:ascii="Georgia" w:hAnsi="Georgia"/>
                <w:color w:val="404040" w:themeColor="text1" w:themeTint="BF"/>
                <w:sz w:val="20"/>
              </w:rPr>
            </w:pPr>
            <w:r w:rsidRPr="000E1684">
              <w:rPr>
                <w:rFonts w:ascii="Georgia" w:hAnsi="Georgia"/>
                <w:color w:val="404040" w:themeColor="text1" w:themeTint="BF"/>
                <w:sz w:val="20"/>
              </w:rPr>
              <w:t>0.14</w:t>
            </w:r>
          </w:p>
        </w:tc>
        <w:tc>
          <w:tcPr>
            <w:tcW w:w="1830" w:type="dxa"/>
            <w:vAlign w:val="center"/>
          </w:tcPr>
          <w:p w14:paraId="4B4A5751" w14:textId="70573D15" w:rsidR="00250B13" w:rsidRPr="00FF3652" w:rsidRDefault="00250B13" w:rsidP="00250B13">
            <w:pPr>
              <w:jc w:val="right"/>
              <w:rPr>
                <w:rFonts w:ascii="Georgia" w:hAnsi="Georgia" w:cs="Calibri"/>
                <w:color w:val="404040" w:themeColor="text1" w:themeTint="BF"/>
                <w:sz w:val="20"/>
              </w:rPr>
            </w:pPr>
            <w:r w:rsidRPr="00003B9B">
              <w:rPr>
                <w:rFonts w:ascii="Georgia" w:hAnsi="Georgia"/>
                <w:color w:val="404040"/>
                <w:sz w:val="20"/>
              </w:rPr>
              <w:t>452,436</w:t>
            </w:r>
          </w:p>
        </w:tc>
        <w:tc>
          <w:tcPr>
            <w:tcW w:w="1613" w:type="dxa"/>
            <w:vAlign w:val="center"/>
          </w:tcPr>
          <w:p w14:paraId="7E048C6C" w14:textId="750493A4" w:rsidR="00250B13" w:rsidRPr="00FF3652" w:rsidRDefault="00250B13" w:rsidP="00250B13">
            <w:pPr>
              <w:jc w:val="right"/>
              <w:rPr>
                <w:rFonts w:ascii="Georgia" w:hAnsi="Georgia" w:cs="Calibri"/>
                <w:color w:val="404040" w:themeColor="text1" w:themeTint="BF"/>
                <w:sz w:val="20"/>
              </w:rPr>
            </w:pPr>
            <w:r w:rsidRPr="00DB0FFA">
              <w:rPr>
                <w:rFonts w:ascii="Georgia" w:hAnsi="Georgia"/>
                <w:color w:val="404040" w:themeColor="text1" w:themeTint="BF"/>
                <w:sz w:val="20"/>
              </w:rPr>
              <w:t>0.12</w:t>
            </w:r>
          </w:p>
        </w:tc>
      </w:tr>
      <w:tr w:rsidR="00250B13" w:rsidRPr="00CF386D" w14:paraId="14D6C1C2" w14:textId="77777777" w:rsidTr="0038409D">
        <w:trPr>
          <w:trHeight w:val="336"/>
        </w:trPr>
        <w:tc>
          <w:tcPr>
            <w:tcW w:w="2446" w:type="dxa"/>
            <w:vAlign w:val="center"/>
          </w:tcPr>
          <w:p w14:paraId="31B8F301" w14:textId="77777777" w:rsidR="00250B13" w:rsidRDefault="00250B13" w:rsidP="00250B13">
            <w:pPr>
              <w:rPr>
                <w:rFonts w:ascii="Georgia" w:hAnsi="Georgia" w:cs="Calibri"/>
                <w:color w:val="404040" w:themeColor="text1" w:themeTint="BF"/>
                <w:sz w:val="20"/>
              </w:rPr>
            </w:pPr>
            <w:r w:rsidRPr="00E42A95">
              <w:rPr>
                <w:rFonts w:ascii="Georgia" w:hAnsi="Georgia" w:cs="Calibri"/>
                <w:color w:val="404040" w:themeColor="text1" w:themeTint="BF"/>
                <w:sz w:val="20"/>
              </w:rPr>
              <w:t>Laurence McNairn</w:t>
            </w:r>
          </w:p>
        </w:tc>
        <w:tc>
          <w:tcPr>
            <w:tcW w:w="1807" w:type="dxa"/>
            <w:vAlign w:val="center"/>
          </w:tcPr>
          <w:p w14:paraId="1F4F44A8" w14:textId="51FB4055" w:rsidR="00250B13" w:rsidRPr="000E1684" w:rsidRDefault="00250B13" w:rsidP="00250B13">
            <w:pPr>
              <w:jc w:val="right"/>
              <w:rPr>
                <w:rFonts w:ascii="Georgia" w:hAnsi="Georgia"/>
                <w:color w:val="404040"/>
                <w:sz w:val="20"/>
              </w:rPr>
            </w:pPr>
            <w:r w:rsidRPr="000E1684">
              <w:rPr>
                <w:rFonts w:ascii="Georgia" w:hAnsi="Georgia"/>
                <w:color w:val="404040"/>
                <w:sz w:val="20"/>
              </w:rPr>
              <w:t>441,764</w:t>
            </w:r>
          </w:p>
        </w:tc>
        <w:tc>
          <w:tcPr>
            <w:tcW w:w="1664" w:type="dxa"/>
            <w:vAlign w:val="center"/>
          </w:tcPr>
          <w:p w14:paraId="3F09ABF6" w14:textId="5AA4F4E1" w:rsidR="00250B13" w:rsidRPr="000E1684" w:rsidRDefault="00250B13" w:rsidP="00250B13">
            <w:pPr>
              <w:jc w:val="right"/>
              <w:rPr>
                <w:rFonts w:ascii="Georgia" w:hAnsi="Georgia"/>
                <w:color w:val="404040" w:themeColor="text1" w:themeTint="BF"/>
                <w:sz w:val="20"/>
              </w:rPr>
            </w:pPr>
            <w:r w:rsidRPr="000E1684">
              <w:rPr>
                <w:rFonts w:ascii="Georgia" w:hAnsi="Georgia"/>
                <w:color w:val="404040" w:themeColor="text1" w:themeTint="BF"/>
                <w:sz w:val="20"/>
              </w:rPr>
              <w:t>0.12</w:t>
            </w:r>
          </w:p>
        </w:tc>
        <w:tc>
          <w:tcPr>
            <w:tcW w:w="1830" w:type="dxa"/>
            <w:vAlign w:val="center"/>
          </w:tcPr>
          <w:p w14:paraId="7116C86B" w14:textId="777456FD" w:rsidR="00250B13" w:rsidRPr="00FF3652" w:rsidRDefault="00250B13" w:rsidP="00250B13">
            <w:pPr>
              <w:jc w:val="right"/>
              <w:rPr>
                <w:rFonts w:ascii="Georgia" w:hAnsi="Georgia" w:cs="Calibri"/>
                <w:color w:val="404040" w:themeColor="text1" w:themeTint="BF"/>
                <w:sz w:val="20"/>
              </w:rPr>
            </w:pPr>
            <w:r w:rsidRPr="00003B9B">
              <w:rPr>
                <w:rFonts w:ascii="Georgia" w:hAnsi="Georgia"/>
                <w:color w:val="404040"/>
                <w:sz w:val="20"/>
              </w:rPr>
              <w:t>441,764</w:t>
            </w:r>
          </w:p>
        </w:tc>
        <w:tc>
          <w:tcPr>
            <w:tcW w:w="1613" w:type="dxa"/>
            <w:vAlign w:val="center"/>
          </w:tcPr>
          <w:p w14:paraId="121398BA" w14:textId="5F86FBDE" w:rsidR="00250B13" w:rsidRPr="00FF3652" w:rsidRDefault="00250B13" w:rsidP="00250B13">
            <w:pPr>
              <w:jc w:val="right"/>
              <w:rPr>
                <w:rFonts w:ascii="Georgia" w:hAnsi="Georgia" w:cs="Calibri"/>
                <w:color w:val="404040" w:themeColor="text1" w:themeTint="BF"/>
                <w:sz w:val="20"/>
              </w:rPr>
            </w:pPr>
            <w:r w:rsidRPr="00DB0FFA">
              <w:rPr>
                <w:rFonts w:ascii="Georgia" w:hAnsi="Georgia"/>
                <w:color w:val="404040" w:themeColor="text1" w:themeTint="BF"/>
                <w:sz w:val="20"/>
              </w:rPr>
              <w:t>0.12</w:t>
            </w:r>
          </w:p>
        </w:tc>
      </w:tr>
      <w:tr w:rsidR="00250B13" w:rsidRPr="00CF386D" w14:paraId="586134A7" w14:textId="77777777" w:rsidTr="0038409D">
        <w:trPr>
          <w:trHeight w:val="336"/>
        </w:trPr>
        <w:tc>
          <w:tcPr>
            <w:tcW w:w="2446" w:type="dxa"/>
            <w:vAlign w:val="center"/>
          </w:tcPr>
          <w:p w14:paraId="779BD109" w14:textId="694D93A8" w:rsidR="00250B13" w:rsidRPr="00E42A95" w:rsidRDefault="00250B13" w:rsidP="00250B13">
            <w:pPr>
              <w:rPr>
                <w:rFonts w:ascii="Georgia" w:hAnsi="Georgia" w:cs="Calibri"/>
                <w:color w:val="404040" w:themeColor="text1" w:themeTint="BF"/>
                <w:sz w:val="20"/>
              </w:rPr>
            </w:pPr>
            <w:r>
              <w:rPr>
                <w:rFonts w:ascii="Georgia" w:hAnsi="Georgia" w:cs="Calibri"/>
                <w:color w:val="404040" w:themeColor="text1" w:themeTint="BF"/>
                <w:sz w:val="20"/>
              </w:rPr>
              <w:t>Meriel Lenfestey</w:t>
            </w:r>
          </w:p>
        </w:tc>
        <w:tc>
          <w:tcPr>
            <w:tcW w:w="1807" w:type="dxa"/>
            <w:vAlign w:val="center"/>
          </w:tcPr>
          <w:p w14:paraId="2FAF5037" w14:textId="742DADAA" w:rsidR="00250B13" w:rsidRPr="000E1684" w:rsidRDefault="00250B13" w:rsidP="00250B13">
            <w:pPr>
              <w:jc w:val="right"/>
              <w:rPr>
                <w:rFonts w:ascii="Georgia" w:hAnsi="Georgia"/>
                <w:color w:val="404040"/>
                <w:sz w:val="20"/>
              </w:rPr>
            </w:pPr>
            <w:r w:rsidRPr="000E1684">
              <w:rPr>
                <w:rFonts w:ascii="Georgia" w:hAnsi="Georgia"/>
                <w:color w:val="404040"/>
                <w:sz w:val="20"/>
              </w:rPr>
              <w:t>-</w:t>
            </w:r>
          </w:p>
        </w:tc>
        <w:tc>
          <w:tcPr>
            <w:tcW w:w="1664" w:type="dxa"/>
            <w:vAlign w:val="center"/>
          </w:tcPr>
          <w:p w14:paraId="73A510E3" w14:textId="6E17467F" w:rsidR="00250B13" w:rsidRPr="000E1684" w:rsidRDefault="00250B13" w:rsidP="00250B13">
            <w:pPr>
              <w:jc w:val="right"/>
              <w:rPr>
                <w:rFonts w:ascii="Georgia" w:hAnsi="Georgia"/>
                <w:color w:val="404040" w:themeColor="text1" w:themeTint="BF"/>
                <w:sz w:val="20"/>
              </w:rPr>
            </w:pPr>
            <w:r w:rsidRPr="000E1684">
              <w:rPr>
                <w:rFonts w:ascii="Georgia" w:hAnsi="Georgia"/>
                <w:color w:val="404040" w:themeColor="text1" w:themeTint="BF"/>
                <w:sz w:val="20"/>
              </w:rPr>
              <w:t>-</w:t>
            </w:r>
          </w:p>
        </w:tc>
        <w:tc>
          <w:tcPr>
            <w:tcW w:w="1830" w:type="dxa"/>
            <w:vAlign w:val="center"/>
          </w:tcPr>
          <w:p w14:paraId="1E85DC89" w14:textId="4569EEDC" w:rsidR="00250B13" w:rsidRDefault="00250B13" w:rsidP="00250B13">
            <w:pPr>
              <w:jc w:val="right"/>
              <w:rPr>
                <w:rFonts w:ascii="Georgia" w:hAnsi="Georgia"/>
                <w:color w:val="404040"/>
                <w:sz w:val="20"/>
              </w:rPr>
            </w:pPr>
            <w:r w:rsidRPr="00B96F76">
              <w:rPr>
                <w:rFonts w:ascii="Georgia" w:hAnsi="Georgia"/>
                <w:color w:val="404040"/>
                <w:sz w:val="20"/>
              </w:rPr>
              <w:t>-</w:t>
            </w:r>
          </w:p>
        </w:tc>
        <w:tc>
          <w:tcPr>
            <w:tcW w:w="1613" w:type="dxa"/>
            <w:vAlign w:val="center"/>
          </w:tcPr>
          <w:p w14:paraId="106A4838" w14:textId="0F662DA0" w:rsidR="00250B13" w:rsidRDefault="00250B13" w:rsidP="00250B13">
            <w:pPr>
              <w:jc w:val="right"/>
              <w:rPr>
                <w:rFonts w:ascii="Georgia" w:hAnsi="Georgia"/>
                <w:color w:val="404040" w:themeColor="text1" w:themeTint="BF"/>
                <w:sz w:val="20"/>
              </w:rPr>
            </w:pPr>
            <w:r w:rsidRPr="00B96F76">
              <w:rPr>
                <w:rFonts w:ascii="Georgia" w:hAnsi="Georgia"/>
                <w:color w:val="404040" w:themeColor="text1" w:themeTint="BF"/>
                <w:sz w:val="20"/>
              </w:rPr>
              <w:t>-</w:t>
            </w:r>
          </w:p>
        </w:tc>
      </w:tr>
      <w:tr w:rsidR="00250B13" w:rsidRPr="00CF386D" w14:paraId="7A6460C5" w14:textId="77777777" w:rsidTr="0038409D">
        <w:trPr>
          <w:trHeight w:val="336"/>
        </w:trPr>
        <w:tc>
          <w:tcPr>
            <w:tcW w:w="2446" w:type="dxa"/>
            <w:tcBorders>
              <w:bottom w:val="single" w:sz="4" w:space="0" w:color="auto"/>
            </w:tcBorders>
            <w:vAlign w:val="center"/>
          </w:tcPr>
          <w:p w14:paraId="446C567F" w14:textId="1857C890" w:rsidR="00250B13" w:rsidRDefault="00250B13" w:rsidP="00250B13">
            <w:pPr>
              <w:rPr>
                <w:rFonts w:ascii="Georgia" w:hAnsi="Georgia" w:cs="Calibri"/>
                <w:color w:val="404040" w:themeColor="text1" w:themeTint="BF"/>
                <w:sz w:val="20"/>
              </w:rPr>
            </w:pPr>
            <w:r w:rsidRPr="00E42A95">
              <w:rPr>
                <w:rFonts w:ascii="Georgia" w:hAnsi="Georgia" w:cs="Calibri"/>
                <w:color w:val="404040" w:themeColor="text1" w:themeTint="BF"/>
                <w:sz w:val="20"/>
              </w:rPr>
              <w:t>Paul Le Page</w:t>
            </w:r>
          </w:p>
        </w:tc>
        <w:tc>
          <w:tcPr>
            <w:tcW w:w="1807" w:type="dxa"/>
            <w:tcBorders>
              <w:bottom w:val="single" w:sz="4" w:space="0" w:color="auto"/>
            </w:tcBorders>
            <w:vAlign w:val="center"/>
          </w:tcPr>
          <w:p w14:paraId="0B3F156A" w14:textId="7AB5EB2D" w:rsidR="00250B13" w:rsidRPr="000E1684" w:rsidRDefault="00250B13" w:rsidP="00250B13">
            <w:pPr>
              <w:jc w:val="right"/>
              <w:rPr>
                <w:rFonts w:ascii="Georgia" w:hAnsi="Georgia"/>
                <w:color w:val="404040"/>
                <w:sz w:val="20"/>
              </w:rPr>
            </w:pPr>
            <w:r w:rsidRPr="000E1684">
              <w:rPr>
                <w:rFonts w:ascii="Georgia" w:hAnsi="Georgia"/>
                <w:color w:val="404040"/>
                <w:sz w:val="20"/>
              </w:rPr>
              <w:t>70,000</w:t>
            </w:r>
          </w:p>
        </w:tc>
        <w:tc>
          <w:tcPr>
            <w:tcW w:w="1664" w:type="dxa"/>
            <w:tcBorders>
              <w:bottom w:val="single" w:sz="4" w:space="0" w:color="auto"/>
            </w:tcBorders>
            <w:vAlign w:val="center"/>
          </w:tcPr>
          <w:p w14:paraId="0E253DBB" w14:textId="300C2202" w:rsidR="00250B13" w:rsidRPr="000E1684" w:rsidRDefault="00250B13" w:rsidP="00250B13">
            <w:pPr>
              <w:jc w:val="right"/>
              <w:rPr>
                <w:rFonts w:ascii="Georgia" w:hAnsi="Georgia"/>
                <w:color w:val="404040" w:themeColor="text1" w:themeTint="BF"/>
                <w:sz w:val="20"/>
              </w:rPr>
            </w:pPr>
            <w:r w:rsidRPr="000E1684">
              <w:rPr>
                <w:rFonts w:ascii="Georgia" w:hAnsi="Georgia"/>
                <w:color w:val="404040" w:themeColor="text1" w:themeTint="BF"/>
                <w:sz w:val="20"/>
              </w:rPr>
              <w:t>0.02</w:t>
            </w:r>
          </w:p>
        </w:tc>
        <w:tc>
          <w:tcPr>
            <w:tcW w:w="1830" w:type="dxa"/>
            <w:tcBorders>
              <w:bottom w:val="single" w:sz="4" w:space="0" w:color="auto"/>
            </w:tcBorders>
            <w:vAlign w:val="center"/>
          </w:tcPr>
          <w:p w14:paraId="45BDE794" w14:textId="051816C8" w:rsidR="00250B13" w:rsidRDefault="00250B13" w:rsidP="00250B13">
            <w:pPr>
              <w:jc w:val="right"/>
              <w:rPr>
                <w:rFonts w:ascii="Georgia" w:hAnsi="Georgia"/>
                <w:color w:val="404040"/>
                <w:sz w:val="20"/>
              </w:rPr>
            </w:pPr>
            <w:r w:rsidRPr="00003B9B">
              <w:rPr>
                <w:rFonts w:ascii="Georgia" w:hAnsi="Georgia"/>
                <w:color w:val="404040"/>
                <w:sz w:val="20"/>
              </w:rPr>
              <w:t>70,000</w:t>
            </w:r>
          </w:p>
        </w:tc>
        <w:tc>
          <w:tcPr>
            <w:tcW w:w="1613" w:type="dxa"/>
            <w:tcBorders>
              <w:bottom w:val="single" w:sz="4" w:space="0" w:color="auto"/>
            </w:tcBorders>
            <w:vAlign w:val="center"/>
          </w:tcPr>
          <w:p w14:paraId="2169FEE5" w14:textId="017289D4" w:rsidR="00250B13" w:rsidRDefault="00250B13" w:rsidP="00250B13">
            <w:pPr>
              <w:jc w:val="right"/>
              <w:rPr>
                <w:rFonts w:ascii="Georgia" w:hAnsi="Georgia"/>
                <w:color w:val="404040" w:themeColor="text1" w:themeTint="BF"/>
                <w:sz w:val="20"/>
              </w:rPr>
            </w:pPr>
            <w:r w:rsidRPr="00DB0FFA">
              <w:rPr>
                <w:rFonts w:ascii="Georgia" w:hAnsi="Georgia"/>
                <w:color w:val="404040" w:themeColor="text1" w:themeTint="BF"/>
                <w:sz w:val="20"/>
              </w:rPr>
              <w:t>0.02</w:t>
            </w:r>
          </w:p>
        </w:tc>
      </w:tr>
    </w:tbl>
    <w:p w14:paraId="0DD3ED12" w14:textId="77777777" w:rsidR="00E3075F" w:rsidRDefault="00E3075F" w:rsidP="00E3075F">
      <w:pPr>
        <w:jc w:val="both"/>
        <w:rPr>
          <w:rFonts w:ascii="Georgia" w:hAnsi="Georgia" w:cs="Calibri"/>
          <w:color w:val="404040" w:themeColor="text1" w:themeTint="BF"/>
          <w:sz w:val="18"/>
          <w:szCs w:val="18"/>
        </w:rPr>
      </w:pPr>
    </w:p>
    <w:p w14:paraId="163A8ADB" w14:textId="4BB3E26C" w:rsidR="000F51FA" w:rsidRPr="000E42ED" w:rsidRDefault="00E3075F" w:rsidP="00E3075F">
      <w:pPr>
        <w:jc w:val="both"/>
        <w:rPr>
          <w:rFonts w:ascii="Georgia" w:hAnsi="Georgia" w:cs="Calibri"/>
          <w:color w:val="404040" w:themeColor="text1" w:themeTint="BF"/>
          <w:sz w:val="18"/>
          <w:szCs w:val="18"/>
        </w:rPr>
      </w:pPr>
      <w:r w:rsidRPr="000E42ED">
        <w:rPr>
          <w:rFonts w:ascii="Georgia" w:hAnsi="Georgia" w:cs="Calibri"/>
          <w:color w:val="404040" w:themeColor="text1" w:themeTint="BF"/>
          <w:sz w:val="18"/>
          <w:szCs w:val="18"/>
        </w:rPr>
        <w:t>*</w:t>
      </w:r>
      <w:r w:rsidR="00AB52D0">
        <w:rPr>
          <w:rFonts w:ascii="Georgia" w:hAnsi="Georgia" w:cs="Calibri"/>
          <w:color w:val="404040" w:themeColor="text1" w:themeTint="BF"/>
          <w:sz w:val="18"/>
          <w:szCs w:val="18"/>
        </w:rPr>
        <w:t xml:space="preserve">including shares </w:t>
      </w:r>
      <w:r w:rsidR="00BC781D" w:rsidRPr="000E42ED">
        <w:rPr>
          <w:rFonts w:ascii="Georgia" w:hAnsi="Georgia" w:cs="Calibri"/>
          <w:color w:val="404040" w:themeColor="text1" w:themeTint="BF"/>
          <w:sz w:val="18"/>
          <w:szCs w:val="18"/>
        </w:rPr>
        <w:t>h</w:t>
      </w:r>
      <w:r w:rsidRPr="000E42ED">
        <w:rPr>
          <w:rFonts w:ascii="Georgia" w:hAnsi="Georgia" w:cs="Calibri"/>
          <w:color w:val="404040" w:themeColor="text1" w:themeTint="BF"/>
          <w:sz w:val="18"/>
          <w:szCs w:val="18"/>
        </w:rPr>
        <w:t xml:space="preserve">eld </w:t>
      </w:r>
      <w:r w:rsidR="00AB52D0">
        <w:rPr>
          <w:rFonts w:ascii="Georgia" w:hAnsi="Georgia" w:cs="Calibri"/>
          <w:color w:val="404040" w:themeColor="text1" w:themeTint="BF"/>
          <w:sz w:val="18"/>
          <w:szCs w:val="18"/>
        </w:rPr>
        <w:t>by</w:t>
      </w:r>
      <w:r w:rsidRPr="000E42ED">
        <w:rPr>
          <w:rFonts w:ascii="Georgia" w:hAnsi="Georgia" w:cs="Calibri"/>
          <w:color w:val="404040" w:themeColor="text1" w:themeTint="BF"/>
          <w:sz w:val="18"/>
          <w:szCs w:val="18"/>
        </w:rPr>
        <w:t xml:space="preserve"> </w:t>
      </w:r>
      <w:r w:rsidR="006A0063">
        <w:rPr>
          <w:rFonts w:ascii="Georgia" w:hAnsi="Georgia" w:cs="Calibri"/>
          <w:color w:val="404040" w:themeColor="text1" w:themeTint="BF"/>
          <w:sz w:val="18"/>
          <w:szCs w:val="18"/>
        </w:rPr>
        <w:t>PCAs</w:t>
      </w:r>
    </w:p>
    <w:p w14:paraId="5EEDB9B1" w14:textId="77777777" w:rsidR="00E3075F" w:rsidRDefault="00E3075F" w:rsidP="000F51FA">
      <w:pPr>
        <w:jc w:val="both"/>
        <w:rPr>
          <w:rFonts w:ascii="Georgia" w:hAnsi="Georgia" w:cs="Calibri"/>
          <w:color w:val="404040" w:themeColor="text1" w:themeTint="BF"/>
          <w:sz w:val="20"/>
        </w:rPr>
      </w:pPr>
    </w:p>
    <w:p w14:paraId="60F995BD" w14:textId="77777777" w:rsidR="00183A06" w:rsidRDefault="00183A06" w:rsidP="000F51FA">
      <w:pPr>
        <w:jc w:val="both"/>
        <w:rPr>
          <w:rFonts w:ascii="Georgia" w:hAnsi="Georgia" w:cs="Calibri"/>
          <w:color w:val="404040" w:themeColor="text1" w:themeTint="BF"/>
          <w:sz w:val="20"/>
        </w:rPr>
      </w:pPr>
    </w:p>
    <w:p w14:paraId="61F256B7" w14:textId="77777777" w:rsidR="00E61B92" w:rsidRDefault="00E61B92">
      <w:pPr>
        <w:rPr>
          <w:rFonts w:ascii="Georgia" w:hAnsi="Georgia" w:cs="Calibri"/>
          <w:color w:val="404040" w:themeColor="text1" w:themeTint="BF"/>
          <w:sz w:val="20"/>
        </w:rPr>
      </w:pPr>
      <w:r>
        <w:rPr>
          <w:rFonts w:ascii="Georgia" w:hAnsi="Georgia" w:cs="Calibri"/>
          <w:color w:val="404040" w:themeColor="text1" w:themeTint="BF"/>
          <w:sz w:val="20"/>
        </w:rPr>
        <w:br w:type="page"/>
      </w:r>
    </w:p>
    <w:p w14:paraId="28F58944" w14:textId="77777777" w:rsidR="00B97DFE" w:rsidRDefault="00B97DFE" w:rsidP="00E85EF6">
      <w:pPr>
        <w:pStyle w:val="Heading2"/>
        <w:spacing w:before="0"/>
      </w:pPr>
      <w:r>
        <w:lastRenderedPageBreak/>
        <w:t>Report of the Directors (continued)</w:t>
      </w:r>
    </w:p>
    <w:p w14:paraId="6E9FC6EC" w14:textId="77777777" w:rsidR="00015722" w:rsidRDefault="00015722" w:rsidP="00015722">
      <w:pPr>
        <w:jc w:val="both"/>
        <w:rPr>
          <w:rFonts w:ascii="Georgia" w:hAnsi="Georgia" w:cs="Calibri"/>
          <w:b/>
          <w:color w:val="404040" w:themeColor="text1" w:themeTint="BF"/>
          <w:sz w:val="20"/>
        </w:rPr>
      </w:pPr>
    </w:p>
    <w:p w14:paraId="029F480B" w14:textId="77777777" w:rsidR="000F51FA" w:rsidRPr="00B97DFE" w:rsidRDefault="000F51FA" w:rsidP="000F51FA">
      <w:pPr>
        <w:autoSpaceDE w:val="0"/>
        <w:autoSpaceDN w:val="0"/>
        <w:adjustRightInd w:val="0"/>
        <w:jc w:val="both"/>
        <w:rPr>
          <w:rFonts w:ascii="Georgia" w:hAnsi="Georgia" w:cs="Calibri"/>
          <w:b/>
          <w:sz w:val="20"/>
        </w:rPr>
      </w:pPr>
      <w:r w:rsidRPr="00B97DFE">
        <w:rPr>
          <w:rFonts w:ascii="Georgia" w:hAnsi="Georgia" w:cs="Calibri"/>
          <w:b/>
          <w:color w:val="404040" w:themeColor="text1" w:themeTint="BF"/>
          <w:sz w:val="20"/>
        </w:rPr>
        <w:t xml:space="preserve">Directors’ Authority to Buy Back Shares </w:t>
      </w:r>
    </w:p>
    <w:p w14:paraId="339B8EA9" w14:textId="77777777" w:rsidR="000F51FA" w:rsidRPr="00863C51" w:rsidRDefault="000F51FA" w:rsidP="000F51FA">
      <w:pPr>
        <w:autoSpaceDE w:val="0"/>
        <w:autoSpaceDN w:val="0"/>
        <w:adjustRightInd w:val="0"/>
        <w:jc w:val="both"/>
        <w:rPr>
          <w:rFonts w:ascii="Georgia" w:hAnsi="Georgia" w:cs="Calibri"/>
          <w:color w:val="404040" w:themeColor="text1" w:themeTint="BF"/>
          <w:sz w:val="20"/>
        </w:rPr>
      </w:pPr>
    </w:p>
    <w:p w14:paraId="71BCB9DE" w14:textId="619E8103" w:rsidR="00E42A95" w:rsidRDefault="009311EA" w:rsidP="00E42A95">
      <w:pPr>
        <w:pStyle w:val="BluefieldBody"/>
      </w:pPr>
      <w:r w:rsidRPr="00863C51">
        <w:t xml:space="preserve">The </w:t>
      </w:r>
      <w:r w:rsidR="00CE617E">
        <w:t>Board</w:t>
      </w:r>
      <w:r w:rsidRPr="00863C51">
        <w:t xml:space="preserve"> believe</w:t>
      </w:r>
      <w:r w:rsidR="00CE617E">
        <w:t>s</w:t>
      </w:r>
      <w:r w:rsidRPr="00863C51">
        <w:t xml:space="preserve"> that the most effective means of minimising any discount to </w:t>
      </w:r>
      <w:r w:rsidRPr="00D104E1">
        <w:t>NAV which</w:t>
      </w:r>
      <w:r w:rsidRPr="00863C51">
        <w:t xml:space="preserve"> may arise on the Company’s share price is to deliver strong, consistent performance from the Company’s investment portfolio in both absolute and relative terms. </w:t>
      </w:r>
      <w:r w:rsidR="000F51FA" w:rsidRPr="00863C51">
        <w:t xml:space="preserve">However, the Board recognises that wider market conditions and other considerations will affect the rating of the </w:t>
      </w:r>
      <w:r w:rsidR="000F51FA">
        <w:t xml:space="preserve">Ordinary </w:t>
      </w:r>
      <w:r w:rsidR="000F51FA" w:rsidRPr="00863C51">
        <w:t xml:space="preserve">Shares in the short term and the Board may seek to limit the level and volatility of any discount to </w:t>
      </w:r>
      <w:r w:rsidR="000F51FA">
        <w:t>NAV</w:t>
      </w:r>
      <w:r w:rsidR="000F51FA" w:rsidRPr="00863C51">
        <w:t xml:space="preserve"> at which the </w:t>
      </w:r>
      <w:r w:rsidR="000F51FA">
        <w:t xml:space="preserve">Ordinary </w:t>
      </w:r>
      <w:r w:rsidR="000F51FA" w:rsidRPr="00863C51">
        <w:t xml:space="preserve">Shares may trade. The means by which this might be done could include the Company repurchasing </w:t>
      </w:r>
      <w:r w:rsidR="00B67D1E">
        <w:t xml:space="preserve">its </w:t>
      </w:r>
      <w:r w:rsidR="000F51FA">
        <w:t>Ordinary</w:t>
      </w:r>
      <w:r w:rsidR="000F51FA" w:rsidRPr="00863C51">
        <w:t xml:space="preserve"> Shares. Therefore, subject to the requirements of the Listing Rules, the Law, the Articles and other applicable legislation, the Company may purchase </w:t>
      </w:r>
      <w:r w:rsidR="000F51FA">
        <w:t>Ordinary</w:t>
      </w:r>
      <w:r w:rsidR="000F51FA" w:rsidRPr="00863C51">
        <w:t xml:space="preserve"> Shares in the market in order to address any imbalance between the supply of and demand for </w:t>
      </w:r>
      <w:r w:rsidR="000F51FA">
        <w:t>Ordinary</w:t>
      </w:r>
      <w:r w:rsidR="000F51FA" w:rsidRPr="00863C51">
        <w:t xml:space="preserve"> Shares or to enhance the </w:t>
      </w:r>
      <w:r w:rsidR="000F51FA">
        <w:t>NAV</w:t>
      </w:r>
      <w:r w:rsidR="000F51FA" w:rsidRPr="00863C51">
        <w:t xml:space="preserve"> of </w:t>
      </w:r>
      <w:r w:rsidR="000F51FA">
        <w:t>Ordinary</w:t>
      </w:r>
      <w:r w:rsidR="000F51FA" w:rsidRPr="00863C51">
        <w:t xml:space="preserve"> Shares.</w:t>
      </w:r>
    </w:p>
    <w:p w14:paraId="70336DA3" w14:textId="77777777" w:rsidR="00E42A95" w:rsidRDefault="00E42A95" w:rsidP="00E42A95">
      <w:pPr>
        <w:pStyle w:val="BluefieldBody"/>
      </w:pPr>
    </w:p>
    <w:p w14:paraId="0001E6F4" w14:textId="00EE430D" w:rsidR="00E42A95" w:rsidRDefault="000F51FA" w:rsidP="00E42A95">
      <w:pPr>
        <w:pStyle w:val="BluefieldBody"/>
      </w:pPr>
      <w:r w:rsidRPr="00863C51">
        <w:t xml:space="preserve">In deciding whether to make any such purchases the </w:t>
      </w:r>
      <w:r w:rsidR="00CE617E">
        <w:t>Board</w:t>
      </w:r>
      <w:r w:rsidR="00BC5A1E">
        <w:t xml:space="preserve"> will have regard to what it</w:t>
      </w:r>
      <w:r w:rsidRPr="00863C51">
        <w:t xml:space="preserve"> believe</w:t>
      </w:r>
      <w:r w:rsidR="00BC5A1E">
        <w:t>s</w:t>
      </w:r>
      <w:r w:rsidRPr="00863C51">
        <w:t xml:space="preserve"> </w:t>
      </w:r>
      <w:r w:rsidR="00341535">
        <w:t>to be in the best interests of S</w:t>
      </w:r>
      <w:r w:rsidRPr="00863C51">
        <w:t xml:space="preserve">hareholders and to the applicable Guernsey legal requirements which require the </w:t>
      </w:r>
      <w:r w:rsidR="00CE617E">
        <w:t>Board</w:t>
      </w:r>
      <w:r w:rsidRPr="00863C51">
        <w:t xml:space="preserve"> to be satisfied on reasonable grounds that the Company will, immediately after any such repurchase, satisfy a solvency test prescribed by the Law and any other requirements in its Articles. The making and timing of any buybacks will be at the absolute discretion of the Board and not at the option of the </w:t>
      </w:r>
      <w:r w:rsidR="00341535">
        <w:t>S</w:t>
      </w:r>
      <w:r w:rsidRPr="00863C51">
        <w:t xml:space="preserve">hareholders. Any such repurchases would only be made through the market for cash at a discount to </w:t>
      </w:r>
      <w:r>
        <w:t>NAV</w:t>
      </w:r>
      <w:r w:rsidRPr="00863C51">
        <w:t>.</w:t>
      </w:r>
    </w:p>
    <w:p w14:paraId="6405BEEF" w14:textId="77777777" w:rsidR="00E42A95" w:rsidRDefault="00E42A95" w:rsidP="00E42A95">
      <w:pPr>
        <w:pStyle w:val="BluefieldBody"/>
      </w:pPr>
    </w:p>
    <w:p w14:paraId="4B7ABBAE" w14:textId="5286A9C4" w:rsidR="00E42A95" w:rsidRDefault="00DC48FB" w:rsidP="00E42A95">
      <w:pPr>
        <w:pStyle w:val="BluefieldBody"/>
      </w:pPr>
      <w:r>
        <w:t>On incorporation</w:t>
      </w:r>
      <w:r w:rsidR="007C403D">
        <w:t>,</w:t>
      </w:r>
      <w:r>
        <w:t xml:space="preserve"> the Company passed a written resolution granting the </w:t>
      </w:r>
      <w:r w:rsidR="00CE617E">
        <w:t>Board</w:t>
      </w:r>
      <w:r>
        <w:t xml:space="preserve"> general authority to purchase in the market up to </w:t>
      </w:r>
      <w:r w:rsidRPr="00DC48FB">
        <w:t>14.99</w:t>
      </w:r>
      <w:r>
        <w:t>% of the Ordinary Shares in issue immediately following Admission</w:t>
      </w:r>
      <w:r w:rsidRPr="00DC48FB">
        <w:t>.  A resolution to rene</w:t>
      </w:r>
      <w:r w:rsidR="00341535">
        <w:t xml:space="preserve">w such authority was </w:t>
      </w:r>
      <w:r w:rsidR="00341535" w:rsidRPr="002F26A8">
        <w:t>passed by S</w:t>
      </w:r>
      <w:r w:rsidRPr="002F26A8">
        <w:t xml:space="preserve">hareholders at the AGM held on </w:t>
      </w:r>
      <w:r w:rsidR="00405C64" w:rsidRPr="002F26A8">
        <w:t>26</w:t>
      </w:r>
      <w:r w:rsidRPr="002F26A8">
        <w:t xml:space="preserve"> November </w:t>
      </w:r>
      <w:r w:rsidR="00904E51" w:rsidRPr="002F26A8">
        <w:t>2019</w:t>
      </w:r>
      <w:r w:rsidRPr="002F26A8">
        <w:t xml:space="preserve">.  Therefore, authority was granted to the </w:t>
      </w:r>
      <w:r w:rsidR="00CE617E" w:rsidRPr="002F26A8">
        <w:t>Board</w:t>
      </w:r>
      <w:r w:rsidRPr="002F26A8">
        <w:t xml:space="preserve"> to purchase in the market up to 14.99% of the Ordinary Shares in issue immediately following the AGM held on </w:t>
      </w:r>
      <w:r w:rsidR="00405C64" w:rsidRPr="002F26A8">
        <w:t>26</w:t>
      </w:r>
      <w:r w:rsidRPr="002F26A8">
        <w:t xml:space="preserve"> November </w:t>
      </w:r>
      <w:r w:rsidR="00904E51" w:rsidRPr="002F26A8">
        <w:t>2019</w:t>
      </w:r>
      <w:r w:rsidRPr="002F26A8">
        <w:t xml:space="preserve"> at a price not exceeding the higher of (</w:t>
      </w:r>
      <w:proofErr w:type="spellStart"/>
      <w:r w:rsidRPr="002F26A8">
        <w:t>i</w:t>
      </w:r>
      <w:proofErr w:type="spellEnd"/>
      <w:r w:rsidRPr="002F26A8">
        <w:t xml:space="preserve">) 5% above the average mid-market values of Ordinary Shares for the five Business Days before the purchase is made or (ii) the higher of the last independent trade or the highest current independent bid for Ordinary Shares. The </w:t>
      </w:r>
      <w:r w:rsidR="00CE617E" w:rsidRPr="002F26A8">
        <w:t>Board</w:t>
      </w:r>
      <w:r w:rsidRPr="002F26A8">
        <w:t xml:space="preserve"> intend</w:t>
      </w:r>
      <w:r w:rsidR="00CE617E" w:rsidRPr="002F26A8">
        <w:t>s</w:t>
      </w:r>
      <w:r w:rsidRPr="002F26A8">
        <w:t xml:space="preserve"> to seek rene</w:t>
      </w:r>
      <w:r w:rsidR="00341535" w:rsidRPr="002F26A8">
        <w:t>wal of this authority from the S</w:t>
      </w:r>
      <w:r w:rsidRPr="002F26A8">
        <w:t xml:space="preserve">hareholders at the next AGM scheduled to be held on </w:t>
      </w:r>
      <w:r w:rsidR="00060929" w:rsidRPr="002F26A8">
        <w:t>26</w:t>
      </w:r>
      <w:r w:rsidRPr="002F26A8">
        <w:t xml:space="preserve"> November </w:t>
      </w:r>
      <w:r w:rsidR="00904E51" w:rsidRPr="002F26A8">
        <w:t>2020</w:t>
      </w:r>
      <w:r w:rsidRPr="002F26A8">
        <w:t>.</w:t>
      </w:r>
    </w:p>
    <w:p w14:paraId="3E7ED648" w14:textId="77777777" w:rsidR="00DC48FB" w:rsidRDefault="00DC48FB" w:rsidP="00E42A95">
      <w:pPr>
        <w:pStyle w:val="BluefieldBody"/>
      </w:pPr>
    </w:p>
    <w:p w14:paraId="22EF5A5B" w14:textId="71495FF3" w:rsidR="00E42A95" w:rsidRDefault="000F51FA" w:rsidP="00E42A95">
      <w:pPr>
        <w:pStyle w:val="BluefieldBody"/>
      </w:pPr>
      <w:r w:rsidRPr="00863C51">
        <w:t xml:space="preserve">Pursuant to this authority, and subject to the Law and the discretion of the </w:t>
      </w:r>
      <w:r w:rsidR="00CE617E">
        <w:t>Board</w:t>
      </w:r>
      <w:r w:rsidRPr="00863C51">
        <w:t xml:space="preserve">, the Company may purchase </w:t>
      </w:r>
      <w:r>
        <w:t>Ordinary</w:t>
      </w:r>
      <w:r w:rsidR="00566B75">
        <w:t xml:space="preserve"> Shares in the market on an on</w:t>
      </w:r>
      <w:r w:rsidRPr="00863C51">
        <w:t xml:space="preserve">going basis with a view to addressing any imbalance between the supply of and demand for </w:t>
      </w:r>
      <w:r>
        <w:t>Ordinary</w:t>
      </w:r>
      <w:r w:rsidRPr="00863C51">
        <w:t xml:space="preserve"> Shares.</w:t>
      </w:r>
    </w:p>
    <w:p w14:paraId="536A1280" w14:textId="77777777" w:rsidR="00E42A95" w:rsidRDefault="00E42A95" w:rsidP="00E42A95">
      <w:pPr>
        <w:pStyle w:val="BluefieldBody"/>
      </w:pPr>
    </w:p>
    <w:p w14:paraId="2754903E" w14:textId="77777777" w:rsidR="00E42A95" w:rsidRDefault="000F51FA" w:rsidP="00E42A95">
      <w:pPr>
        <w:pStyle w:val="BluefieldBody"/>
      </w:pPr>
      <w:r>
        <w:t>Ordinary</w:t>
      </w:r>
      <w:r w:rsidRPr="00863C51">
        <w:t xml:space="preserve"> Shares purchased by the Company may be cancelled or held as treasury shares. The Company may borrow and/or realise investments in order to finance such </w:t>
      </w:r>
      <w:r>
        <w:t>Ordinary</w:t>
      </w:r>
      <w:r w:rsidRPr="00863C51">
        <w:t xml:space="preserve"> Share purchases. </w:t>
      </w:r>
    </w:p>
    <w:p w14:paraId="722E68E5" w14:textId="77777777" w:rsidR="000F51FA" w:rsidRPr="00863C51" w:rsidRDefault="000F51FA" w:rsidP="000F51FA">
      <w:pPr>
        <w:autoSpaceDE w:val="0"/>
        <w:autoSpaceDN w:val="0"/>
        <w:adjustRightInd w:val="0"/>
        <w:jc w:val="both"/>
        <w:rPr>
          <w:rFonts w:ascii="Georgia" w:hAnsi="Georgia" w:cs="Calibri"/>
          <w:color w:val="404040" w:themeColor="text1" w:themeTint="BF"/>
          <w:sz w:val="20"/>
        </w:rPr>
      </w:pPr>
    </w:p>
    <w:p w14:paraId="797B193E" w14:textId="77777777" w:rsidR="000F51FA" w:rsidRPr="00863C51" w:rsidRDefault="000F51FA" w:rsidP="000F51FA">
      <w:pPr>
        <w:autoSpaceDE w:val="0"/>
        <w:autoSpaceDN w:val="0"/>
        <w:adjustRightInd w:val="0"/>
        <w:jc w:val="both"/>
        <w:rPr>
          <w:rFonts w:ascii="Georgia" w:hAnsi="Georgia" w:cs="Calibri"/>
          <w:color w:val="404040" w:themeColor="text1" w:themeTint="BF"/>
          <w:sz w:val="20"/>
        </w:rPr>
      </w:pPr>
      <w:r w:rsidRPr="00837182">
        <w:rPr>
          <w:rFonts w:ascii="Georgia" w:hAnsi="Georgia"/>
          <w:color w:val="404040" w:themeColor="text1" w:themeTint="BF"/>
          <w:sz w:val="20"/>
        </w:rPr>
        <w:t>The Company did not purchase any Ordinary Shares for treasury or cancellation during the period.</w:t>
      </w:r>
    </w:p>
    <w:p w14:paraId="028449B3" w14:textId="77777777" w:rsidR="000F51FA" w:rsidRDefault="000F51FA" w:rsidP="000F51FA">
      <w:pPr>
        <w:jc w:val="both"/>
        <w:rPr>
          <w:rFonts w:asciiTheme="minorHAnsi" w:hAnsiTheme="minorHAnsi"/>
        </w:rPr>
      </w:pPr>
    </w:p>
    <w:p w14:paraId="280C1A57" w14:textId="77777777" w:rsidR="00B97DFE" w:rsidRDefault="000F51FA" w:rsidP="00B97DFE">
      <w:pPr>
        <w:pStyle w:val="Heading2"/>
        <w:rPr>
          <w:rFonts w:cs="Calibri"/>
          <w:b/>
          <w:color w:val="404040" w:themeColor="text1" w:themeTint="BF"/>
          <w:sz w:val="20"/>
        </w:rPr>
      </w:pPr>
      <w:r>
        <w:rPr>
          <w:rFonts w:cs="Calibri"/>
          <w:b/>
          <w:color w:val="404040" w:themeColor="text1" w:themeTint="BF"/>
          <w:sz w:val="20"/>
        </w:rPr>
        <w:br w:type="page"/>
      </w:r>
    </w:p>
    <w:p w14:paraId="735B4BEE" w14:textId="77777777" w:rsidR="000F51FA" w:rsidRPr="00B97DFE" w:rsidRDefault="000F51FA" w:rsidP="00E85EF6">
      <w:pPr>
        <w:pStyle w:val="Heading2"/>
        <w:spacing w:before="0"/>
      </w:pPr>
      <w:r>
        <w:lastRenderedPageBreak/>
        <w:t>Report of the Directors (continued)</w:t>
      </w:r>
    </w:p>
    <w:p w14:paraId="107CCF84" w14:textId="77777777" w:rsidR="00B97DFE" w:rsidRDefault="00B97DFE" w:rsidP="000F51FA">
      <w:pPr>
        <w:jc w:val="both"/>
        <w:rPr>
          <w:rFonts w:ascii="Georgia" w:hAnsi="Georgia" w:cs="Calibri"/>
          <w:b/>
          <w:color w:val="404040" w:themeColor="text1" w:themeTint="BF"/>
          <w:sz w:val="20"/>
        </w:rPr>
      </w:pPr>
    </w:p>
    <w:p w14:paraId="1F31BDB7" w14:textId="77777777" w:rsidR="000F51FA" w:rsidRPr="00004665" w:rsidRDefault="000F51FA" w:rsidP="000F51FA">
      <w:pPr>
        <w:jc w:val="both"/>
        <w:rPr>
          <w:rFonts w:ascii="Georgia" w:hAnsi="Georgia" w:cs="Calibri"/>
          <w:b/>
          <w:color w:val="404040" w:themeColor="text1" w:themeTint="BF"/>
          <w:sz w:val="20"/>
        </w:rPr>
      </w:pPr>
      <w:r w:rsidRPr="00004665">
        <w:rPr>
          <w:rFonts w:ascii="Georgia" w:hAnsi="Georgia" w:cs="Calibri"/>
          <w:b/>
          <w:color w:val="404040" w:themeColor="text1" w:themeTint="BF"/>
          <w:sz w:val="20"/>
        </w:rPr>
        <w:t>Directors’ and Officers’ Liability Insurance</w:t>
      </w:r>
    </w:p>
    <w:p w14:paraId="5247E940" w14:textId="77777777" w:rsidR="000F51FA" w:rsidRPr="0058103C" w:rsidRDefault="000F51FA" w:rsidP="000F51FA">
      <w:pPr>
        <w:jc w:val="both"/>
        <w:rPr>
          <w:rFonts w:ascii="Georgia" w:hAnsi="Georgia" w:cs="Calibri"/>
          <w:color w:val="404040" w:themeColor="text1" w:themeTint="BF"/>
          <w:sz w:val="18"/>
        </w:rPr>
      </w:pPr>
    </w:p>
    <w:p w14:paraId="2BCC18F0" w14:textId="1EF91308" w:rsidR="000F51FA" w:rsidRPr="00004665" w:rsidRDefault="000F51FA" w:rsidP="000F51FA">
      <w:pPr>
        <w:jc w:val="both"/>
        <w:rPr>
          <w:rFonts w:ascii="Georgia" w:hAnsi="Georgia" w:cs="Calibri"/>
          <w:color w:val="404040" w:themeColor="text1" w:themeTint="BF"/>
          <w:sz w:val="20"/>
        </w:rPr>
      </w:pPr>
      <w:r w:rsidRPr="00004665">
        <w:rPr>
          <w:rFonts w:ascii="Georgia" w:hAnsi="Georgia" w:cs="Calibri"/>
          <w:color w:val="404040" w:themeColor="text1" w:themeTint="BF"/>
          <w:sz w:val="20"/>
        </w:rPr>
        <w:t xml:space="preserve">The Company maintains insurance in respect of directors’ and officers’ liability in relation to their acts on behalf of the Company. Insurance is in place, having been renewed </w:t>
      </w:r>
      <w:r w:rsidRPr="0042181A">
        <w:rPr>
          <w:rFonts w:ascii="Georgia" w:hAnsi="Georgia" w:cs="Calibri"/>
          <w:color w:val="404040" w:themeColor="text1" w:themeTint="BF"/>
          <w:sz w:val="20"/>
        </w:rPr>
        <w:t xml:space="preserve">on </w:t>
      </w:r>
      <w:r w:rsidR="00982CA3" w:rsidRPr="00982CA3">
        <w:rPr>
          <w:rFonts w:ascii="Georgia" w:hAnsi="Georgia" w:cs="Calibri"/>
          <w:color w:val="404040" w:themeColor="text1" w:themeTint="BF"/>
          <w:sz w:val="20"/>
        </w:rPr>
        <w:t>24</w:t>
      </w:r>
      <w:r w:rsidR="00D7407C" w:rsidRPr="00982CA3">
        <w:rPr>
          <w:rFonts w:ascii="Georgia" w:hAnsi="Georgia" w:cs="Calibri"/>
          <w:color w:val="404040" w:themeColor="text1" w:themeTint="BF"/>
          <w:sz w:val="20"/>
        </w:rPr>
        <w:t xml:space="preserve"> July</w:t>
      </w:r>
      <w:r w:rsidR="00A30A82" w:rsidRPr="00982CA3">
        <w:rPr>
          <w:rFonts w:ascii="Georgia" w:hAnsi="Georgia" w:cs="Calibri"/>
          <w:color w:val="404040" w:themeColor="text1" w:themeTint="BF"/>
          <w:sz w:val="20"/>
        </w:rPr>
        <w:t xml:space="preserve"> </w:t>
      </w:r>
      <w:r w:rsidR="00904E51" w:rsidRPr="00982CA3">
        <w:rPr>
          <w:rFonts w:ascii="Georgia" w:hAnsi="Georgia" w:cs="Calibri"/>
          <w:color w:val="404040" w:themeColor="text1" w:themeTint="BF"/>
          <w:sz w:val="20"/>
        </w:rPr>
        <w:t>2020</w:t>
      </w:r>
      <w:r w:rsidRPr="00982CA3">
        <w:rPr>
          <w:rFonts w:ascii="Georgia" w:hAnsi="Georgia" w:cs="Calibri"/>
          <w:color w:val="404040" w:themeColor="text1" w:themeTint="BF"/>
          <w:sz w:val="20"/>
        </w:rPr>
        <w:t>.</w:t>
      </w:r>
    </w:p>
    <w:p w14:paraId="4FE57D1D" w14:textId="77777777" w:rsidR="000F51FA" w:rsidRPr="00004665" w:rsidRDefault="000F51FA" w:rsidP="000F51FA">
      <w:pPr>
        <w:jc w:val="both"/>
        <w:rPr>
          <w:rFonts w:ascii="Georgia" w:hAnsi="Georgia" w:cs="Calibri"/>
          <w:color w:val="404040" w:themeColor="text1" w:themeTint="BF"/>
          <w:sz w:val="20"/>
        </w:rPr>
      </w:pPr>
    </w:p>
    <w:p w14:paraId="31FD97C7" w14:textId="77777777" w:rsidR="000F51FA" w:rsidRPr="00004665" w:rsidRDefault="000F51FA" w:rsidP="000F51FA">
      <w:pPr>
        <w:jc w:val="both"/>
        <w:rPr>
          <w:rFonts w:ascii="Georgia" w:hAnsi="Georgia" w:cs="Calibri"/>
          <w:b/>
          <w:color w:val="404040" w:themeColor="text1" w:themeTint="BF"/>
          <w:sz w:val="20"/>
        </w:rPr>
      </w:pPr>
      <w:r w:rsidRPr="00004665">
        <w:rPr>
          <w:rFonts w:ascii="Georgia" w:hAnsi="Georgia" w:cs="Calibri"/>
          <w:b/>
          <w:color w:val="404040" w:themeColor="text1" w:themeTint="BF"/>
          <w:sz w:val="20"/>
        </w:rPr>
        <w:t>Substantial Shareholdings</w:t>
      </w:r>
    </w:p>
    <w:p w14:paraId="68B489C1" w14:textId="77777777" w:rsidR="000F51FA" w:rsidRPr="0058103C" w:rsidRDefault="000F51FA" w:rsidP="000F51FA">
      <w:pPr>
        <w:jc w:val="both"/>
        <w:rPr>
          <w:rFonts w:ascii="Georgia" w:hAnsi="Georgia" w:cs="Calibri"/>
          <w:color w:val="404040" w:themeColor="text1" w:themeTint="BF"/>
          <w:sz w:val="18"/>
        </w:rPr>
      </w:pPr>
    </w:p>
    <w:p w14:paraId="7115907F" w14:textId="65842BC0" w:rsidR="000F51FA" w:rsidRPr="00004665" w:rsidRDefault="000F51FA" w:rsidP="000F51FA">
      <w:pPr>
        <w:jc w:val="both"/>
        <w:rPr>
          <w:rFonts w:ascii="Georgia" w:hAnsi="Georgia" w:cs="Calibri"/>
          <w:color w:val="404040" w:themeColor="text1" w:themeTint="BF"/>
          <w:sz w:val="20"/>
        </w:rPr>
      </w:pPr>
      <w:r w:rsidRPr="00004665">
        <w:rPr>
          <w:rFonts w:ascii="Georgia" w:hAnsi="Georgia" w:cs="Calibri"/>
          <w:color w:val="404040" w:themeColor="text1" w:themeTint="BF"/>
          <w:sz w:val="20"/>
        </w:rPr>
        <w:t xml:space="preserve">As at </w:t>
      </w:r>
      <w:r w:rsidR="002042B2">
        <w:rPr>
          <w:rFonts w:ascii="Georgia" w:hAnsi="Georgia" w:cs="Calibri"/>
          <w:color w:val="404040" w:themeColor="text1" w:themeTint="BF"/>
          <w:sz w:val="20"/>
        </w:rPr>
        <w:t>21</w:t>
      </w:r>
      <w:r w:rsidR="00B440C8">
        <w:rPr>
          <w:rFonts w:ascii="Georgia" w:hAnsi="Georgia" w:cs="Calibri"/>
          <w:color w:val="404040" w:themeColor="text1" w:themeTint="BF"/>
          <w:sz w:val="20"/>
        </w:rPr>
        <w:t xml:space="preserve"> </w:t>
      </w:r>
      <w:r w:rsidR="003A6751" w:rsidRPr="00DC48FB">
        <w:rPr>
          <w:rFonts w:ascii="Georgia" w:hAnsi="Georgia" w:cs="Calibri"/>
          <w:color w:val="404040" w:themeColor="text1" w:themeTint="BF"/>
          <w:sz w:val="20"/>
        </w:rPr>
        <w:t>September</w:t>
      </w:r>
      <w:r w:rsidR="00A94691" w:rsidRPr="00DC48FB">
        <w:rPr>
          <w:rFonts w:ascii="Georgia" w:hAnsi="Georgia" w:cs="Calibri"/>
          <w:color w:val="404040" w:themeColor="text1" w:themeTint="BF"/>
          <w:sz w:val="20"/>
        </w:rPr>
        <w:t xml:space="preserve"> </w:t>
      </w:r>
      <w:r w:rsidR="00904E51">
        <w:rPr>
          <w:rFonts w:ascii="Georgia" w:hAnsi="Georgia" w:cs="Calibri"/>
          <w:color w:val="404040" w:themeColor="text1" w:themeTint="BF"/>
          <w:sz w:val="20"/>
        </w:rPr>
        <w:t>2020</w:t>
      </w:r>
      <w:r w:rsidRPr="00004665">
        <w:rPr>
          <w:rFonts w:ascii="Georgia" w:hAnsi="Georgia" w:cs="Calibri"/>
          <w:color w:val="404040" w:themeColor="text1" w:themeTint="BF"/>
          <w:sz w:val="20"/>
        </w:rPr>
        <w:t>, the Company had been notified, in accordance with chapter 5 of the Disclosure and Transparency Rules, of the following substantial voting rights</w:t>
      </w:r>
      <w:r w:rsidR="00053614">
        <w:rPr>
          <w:rFonts w:ascii="Georgia" w:hAnsi="Georgia" w:cs="Calibri"/>
          <w:color w:val="404040" w:themeColor="text1" w:themeTint="BF"/>
          <w:sz w:val="20"/>
        </w:rPr>
        <w:t xml:space="preserve"> over 3%</w:t>
      </w:r>
      <w:r w:rsidRPr="00004665">
        <w:rPr>
          <w:rFonts w:ascii="Georgia" w:hAnsi="Georgia" w:cs="Calibri"/>
          <w:color w:val="404040" w:themeColor="text1" w:themeTint="BF"/>
          <w:sz w:val="20"/>
        </w:rPr>
        <w:t xml:space="preserve"> as </w:t>
      </w:r>
      <w:r w:rsidR="00696512">
        <w:rPr>
          <w:rFonts w:ascii="Georgia" w:hAnsi="Georgia" w:cs="Calibri"/>
          <w:color w:val="404040" w:themeColor="text1" w:themeTint="BF"/>
          <w:sz w:val="20"/>
        </w:rPr>
        <w:t>S</w:t>
      </w:r>
      <w:r w:rsidRPr="00004665">
        <w:rPr>
          <w:rFonts w:ascii="Georgia" w:hAnsi="Georgia" w:cs="Calibri"/>
          <w:color w:val="404040" w:themeColor="text1" w:themeTint="BF"/>
          <w:sz w:val="20"/>
        </w:rPr>
        <w:t>hareholders of the Company.</w:t>
      </w:r>
    </w:p>
    <w:p w14:paraId="63553ABE" w14:textId="77777777" w:rsidR="000F51FA" w:rsidRPr="00004665" w:rsidRDefault="000F51FA" w:rsidP="000F51FA">
      <w:pPr>
        <w:jc w:val="both"/>
        <w:rPr>
          <w:rFonts w:ascii="Georgia" w:hAnsi="Georgia" w:cs="Calibri"/>
          <w:color w:val="404040" w:themeColor="text1" w:themeTint="BF"/>
          <w:sz w:val="2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763"/>
        <w:gridCol w:w="567"/>
        <w:gridCol w:w="1497"/>
      </w:tblGrid>
      <w:tr w:rsidR="000F51FA" w:rsidRPr="00EB620F" w14:paraId="6C976580" w14:textId="77777777" w:rsidTr="00C746DE">
        <w:tc>
          <w:tcPr>
            <w:tcW w:w="5495" w:type="dxa"/>
            <w:tcBorders>
              <w:bottom w:val="single" w:sz="4" w:space="0" w:color="auto"/>
            </w:tcBorders>
          </w:tcPr>
          <w:p w14:paraId="57BB665C" w14:textId="77777777" w:rsidR="000F51FA" w:rsidRPr="005807EC" w:rsidRDefault="00E42A95" w:rsidP="00DF7545">
            <w:pPr>
              <w:jc w:val="both"/>
              <w:rPr>
                <w:rFonts w:ascii="Georgia" w:hAnsi="Georgia"/>
                <w:b/>
                <w:color w:val="404040" w:themeColor="text1" w:themeTint="BF"/>
                <w:sz w:val="20"/>
              </w:rPr>
            </w:pPr>
            <w:r w:rsidRPr="00D372BA">
              <w:rPr>
                <w:rFonts w:ascii="Georgia" w:hAnsi="Georgia"/>
                <w:b/>
                <w:color w:val="404040" w:themeColor="text1" w:themeTint="BF"/>
                <w:sz w:val="20"/>
              </w:rPr>
              <w:t>Shareholder</w:t>
            </w:r>
          </w:p>
        </w:tc>
        <w:tc>
          <w:tcPr>
            <w:tcW w:w="1763" w:type="dxa"/>
            <w:tcBorders>
              <w:bottom w:val="single" w:sz="4" w:space="0" w:color="auto"/>
            </w:tcBorders>
          </w:tcPr>
          <w:p w14:paraId="4B52C15F" w14:textId="77777777" w:rsidR="000F51FA" w:rsidRPr="005807EC" w:rsidRDefault="00E42A95" w:rsidP="00DF7545">
            <w:pPr>
              <w:jc w:val="right"/>
              <w:rPr>
                <w:rFonts w:ascii="Georgia" w:hAnsi="Georgia"/>
                <w:b/>
                <w:color w:val="404040" w:themeColor="text1" w:themeTint="BF"/>
                <w:sz w:val="20"/>
              </w:rPr>
            </w:pPr>
            <w:r w:rsidRPr="005807EC">
              <w:rPr>
                <w:rFonts w:ascii="Georgia" w:hAnsi="Georgia"/>
                <w:b/>
                <w:color w:val="404040" w:themeColor="text1" w:themeTint="BF"/>
                <w:sz w:val="20"/>
              </w:rPr>
              <w:t>Shareholding</w:t>
            </w:r>
          </w:p>
        </w:tc>
        <w:tc>
          <w:tcPr>
            <w:tcW w:w="567" w:type="dxa"/>
            <w:tcBorders>
              <w:bottom w:val="single" w:sz="4" w:space="0" w:color="auto"/>
            </w:tcBorders>
          </w:tcPr>
          <w:p w14:paraId="40D12D35" w14:textId="77777777" w:rsidR="000F51FA" w:rsidRPr="005807EC" w:rsidRDefault="000F51FA" w:rsidP="00DF7545">
            <w:pPr>
              <w:jc w:val="right"/>
              <w:rPr>
                <w:rFonts w:ascii="Georgia" w:hAnsi="Georgia"/>
                <w:b/>
                <w:color w:val="404040" w:themeColor="text1" w:themeTint="BF"/>
                <w:sz w:val="20"/>
              </w:rPr>
            </w:pPr>
          </w:p>
        </w:tc>
        <w:tc>
          <w:tcPr>
            <w:tcW w:w="1497" w:type="dxa"/>
            <w:tcBorders>
              <w:bottom w:val="single" w:sz="4" w:space="0" w:color="auto"/>
            </w:tcBorders>
          </w:tcPr>
          <w:p w14:paraId="33C01FF9" w14:textId="77777777" w:rsidR="000F51FA" w:rsidRPr="005807EC" w:rsidRDefault="00E42A95" w:rsidP="00DF7545">
            <w:pPr>
              <w:jc w:val="right"/>
              <w:rPr>
                <w:rFonts w:ascii="Georgia" w:hAnsi="Georgia"/>
                <w:b/>
                <w:color w:val="404040" w:themeColor="text1" w:themeTint="BF"/>
                <w:sz w:val="20"/>
              </w:rPr>
            </w:pPr>
            <w:r w:rsidRPr="005807EC">
              <w:rPr>
                <w:rFonts w:ascii="Georgia" w:hAnsi="Georgia"/>
                <w:b/>
                <w:color w:val="404040" w:themeColor="text1" w:themeTint="BF"/>
                <w:sz w:val="20"/>
              </w:rPr>
              <w:t>% Holding</w:t>
            </w:r>
          </w:p>
        </w:tc>
      </w:tr>
      <w:tr w:rsidR="002042B2" w:rsidRPr="00EB620F" w14:paraId="4C856680" w14:textId="77777777" w:rsidTr="00B24322">
        <w:trPr>
          <w:trHeight w:val="368"/>
        </w:trPr>
        <w:tc>
          <w:tcPr>
            <w:tcW w:w="5495" w:type="dxa"/>
            <w:tcBorders>
              <w:top w:val="single" w:sz="4" w:space="0" w:color="auto"/>
            </w:tcBorders>
            <w:noWrap/>
            <w:vAlign w:val="center"/>
          </w:tcPr>
          <w:p w14:paraId="071DDBBC" w14:textId="4FD6BB2B" w:rsidR="002042B2" w:rsidRPr="00A93A97" w:rsidRDefault="002042B2" w:rsidP="002042B2">
            <w:pPr>
              <w:jc w:val="both"/>
              <w:rPr>
                <w:rFonts w:ascii="Georgia" w:hAnsi="Georgia"/>
                <w:color w:val="404040" w:themeColor="text1" w:themeTint="BF"/>
                <w:sz w:val="20"/>
              </w:rPr>
            </w:pPr>
            <w:r w:rsidRPr="002042B2">
              <w:rPr>
                <w:rFonts w:ascii="Georgia" w:hAnsi="Georgia"/>
                <w:color w:val="404040" w:themeColor="text1" w:themeTint="BF"/>
                <w:sz w:val="20"/>
              </w:rPr>
              <w:t>Newton Investment Management</w:t>
            </w:r>
          </w:p>
        </w:tc>
        <w:tc>
          <w:tcPr>
            <w:tcW w:w="1763" w:type="dxa"/>
            <w:tcBorders>
              <w:top w:val="single" w:sz="4" w:space="0" w:color="auto"/>
            </w:tcBorders>
            <w:noWrap/>
            <w:vAlign w:val="center"/>
          </w:tcPr>
          <w:p w14:paraId="1F837512" w14:textId="254022D2"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44</w:t>
            </w:r>
            <w:r>
              <w:rPr>
                <w:rFonts w:ascii="Georgia" w:hAnsi="Georgia"/>
                <w:color w:val="404040" w:themeColor="text1" w:themeTint="BF"/>
                <w:sz w:val="20"/>
              </w:rPr>
              <w:t>,</w:t>
            </w:r>
            <w:r w:rsidRPr="002042B2">
              <w:rPr>
                <w:rFonts w:ascii="Georgia" w:hAnsi="Georgia"/>
                <w:color w:val="404040" w:themeColor="text1" w:themeTint="BF"/>
                <w:sz w:val="20"/>
              </w:rPr>
              <w:t>858</w:t>
            </w:r>
            <w:r>
              <w:rPr>
                <w:rFonts w:ascii="Georgia" w:hAnsi="Georgia"/>
                <w:color w:val="404040" w:themeColor="text1" w:themeTint="BF"/>
                <w:sz w:val="20"/>
              </w:rPr>
              <w:t>,</w:t>
            </w:r>
            <w:r w:rsidRPr="002042B2">
              <w:rPr>
                <w:rFonts w:ascii="Georgia" w:hAnsi="Georgia"/>
                <w:color w:val="404040" w:themeColor="text1" w:themeTint="BF"/>
                <w:sz w:val="20"/>
              </w:rPr>
              <w:t>860</w:t>
            </w:r>
          </w:p>
        </w:tc>
        <w:tc>
          <w:tcPr>
            <w:tcW w:w="567" w:type="dxa"/>
            <w:tcBorders>
              <w:top w:val="single" w:sz="4" w:space="0" w:color="auto"/>
            </w:tcBorders>
            <w:vAlign w:val="center"/>
          </w:tcPr>
          <w:p w14:paraId="112EE8BE" w14:textId="77777777" w:rsidR="002042B2" w:rsidRPr="009306C8" w:rsidRDefault="002042B2" w:rsidP="002042B2">
            <w:pPr>
              <w:jc w:val="right"/>
              <w:rPr>
                <w:rFonts w:ascii="Georgia" w:hAnsi="Georgia"/>
                <w:color w:val="404040" w:themeColor="text1" w:themeTint="BF"/>
                <w:sz w:val="20"/>
              </w:rPr>
            </w:pPr>
          </w:p>
        </w:tc>
        <w:tc>
          <w:tcPr>
            <w:tcW w:w="1497" w:type="dxa"/>
            <w:tcBorders>
              <w:top w:val="single" w:sz="4" w:space="0" w:color="auto"/>
            </w:tcBorders>
            <w:noWrap/>
            <w:vAlign w:val="bottom"/>
          </w:tcPr>
          <w:p w14:paraId="4FA37326" w14:textId="3EEB90F2"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12.11</w:t>
            </w:r>
          </w:p>
        </w:tc>
      </w:tr>
      <w:tr w:rsidR="002042B2" w:rsidRPr="00EB620F" w14:paraId="583087ED" w14:textId="77777777" w:rsidTr="00B24322">
        <w:trPr>
          <w:trHeight w:val="368"/>
        </w:trPr>
        <w:tc>
          <w:tcPr>
            <w:tcW w:w="5495" w:type="dxa"/>
            <w:noWrap/>
            <w:vAlign w:val="center"/>
          </w:tcPr>
          <w:p w14:paraId="73AADED7" w14:textId="682E9E88" w:rsidR="002042B2" w:rsidRPr="002042B2"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BlackRock</w:t>
            </w:r>
          </w:p>
        </w:tc>
        <w:tc>
          <w:tcPr>
            <w:tcW w:w="1763" w:type="dxa"/>
            <w:noWrap/>
            <w:vAlign w:val="center"/>
          </w:tcPr>
          <w:p w14:paraId="7D33D982" w14:textId="1B876A4E"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32</w:t>
            </w:r>
            <w:r>
              <w:rPr>
                <w:rFonts w:ascii="Georgia" w:hAnsi="Georgia"/>
                <w:color w:val="404040" w:themeColor="text1" w:themeTint="BF"/>
                <w:sz w:val="20"/>
              </w:rPr>
              <w:t>,</w:t>
            </w:r>
            <w:r w:rsidRPr="002042B2">
              <w:rPr>
                <w:rFonts w:ascii="Georgia" w:hAnsi="Georgia"/>
                <w:color w:val="404040" w:themeColor="text1" w:themeTint="BF"/>
                <w:sz w:val="20"/>
              </w:rPr>
              <w:t>194</w:t>
            </w:r>
            <w:r>
              <w:rPr>
                <w:rFonts w:ascii="Georgia" w:hAnsi="Georgia"/>
                <w:color w:val="404040" w:themeColor="text1" w:themeTint="BF"/>
                <w:sz w:val="20"/>
              </w:rPr>
              <w:t>,</w:t>
            </w:r>
            <w:r w:rsidRPr="002042B2">
              <w:rPr>
                <w:rFonts w:ascii="Georgia" w:hAnsi="Georgia"/>
                <w:color w:val="404040" w:themeColor="text1" w:themeTint="BF"/>
                <w:sz w:val="20"/>
              </w:rPr>
              <w:t>783</w:t>
            </w:r>
          </w:p>
        </w:tc>
        <w:tc>
          <w:tcPr>
            <w:tcW w:w="567" w:type="dxa"/>
            <w:vAlign w:val="center"/>
          </w:tcPr>
          <w:p w14:paraId="492C56B9"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4507D2D8" w14:textId="6E246C41"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8.69</w:t>
            </w:r>
          </w:p>
        </w:tc>
      </w:tr>
      <w:tr w:rsidR="002042B2" w:rsidRPr="00EB620F" w14:paraId="4989CEF2" w14:textId="77777777" w:rsidTr="00B24322">
        <w:trPr>
          <w:trHeight w:val="368"/>
        </w:trPr>
        <w:tc>
          <w:tcPr>
            <w:tcW w:w="5495" w:type="dxa"/>
            <w:noWrap/>
            <w:vAlign w:val="center"/>
          </w:tcPr>
          <w:p w14:paraId="2B3AAEFA" w14:textId="59C4E5D1" w:rsidR="002042B2" w:rsidRPr="002042B2"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Legal &amp; General Investment Management</w:t>
            </w:r>
          </w:p>
        </w:tc>
        <w:tc>
          <w:tcPr>
            <w:tcW w:w="1763" w:type="dxa"/>
            <w:noWrap/>
            <w:vAlign w:val="center"/>
          </w:tcPr>
          <w:p w14:paraId="05576CD0" w14:textId="384A40F3"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24</w:t>
            </w:r>
            <w:r>
              <w:rPr>
                <w:rFonts w:ascii="Georgia" w:hAnsi="Georgia"/>
                <w:color w:val="404040" w:themeColor="text1" w:themeTint="BF"/>
                <w:sz w:val="20"/>
              </w:rPr>
              <w:t>,</w:t>
            </w:r>
            <w:r w:rsidRPr="002042B2">
              <w:rPr>
                <w:rFonts w:ascii="Georgia" w:hAnsi="Georgia"/>
                <w:color w:val="404040" w:themeColor="text1" w:themeTint="BF"/>
                <w:sz w:val="20"/>
              </w:rPr>
              <w:t>617</w:t>
            </w:r>
            <w:r>
              <w:rPr>
                <w:rFonts w:ascii="Georgia" w:hAnsi="Georgia"/>
                <w:color w:val="404040" w:themeColor="text1" w:themeTint="BF"/>
                <w:sz w:val="20"/>
              </w:rPr>
              <w:t>,</w:t>
            </w:r>
            <w:r w:rsidRPr="002042B2">
              <w:rPr>
                <w:rFonts w:ascii="Georgia" w:hAnsi="Georgia"/>
                <w:color w:val="404040" w:themeColor="text1" w:themeTint="BF"/>
                <w:sz w:val="20"/>
              </w:rPr>
              <w:t>401</w:t>
            </w:r>
          </w:p>
        </w:tc>
        <w:tc>
          <w:tcPr>
            <w:tcW w:w="567" w:type="dxa"/>
            <w:vAlign w:val="center"/>
          </w:tcPr>
          <w:p w14:paraId="05F61FB0"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4E2A5849" w14:textId="0659E4D7"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6.64</w:t>
            </w:r>
          </w:p>
        </w:tc>
      </w:tr>
      <w:tr w:rsidR="002042B2" w:rsidRPr="00EB620F" w14:paraId="207BE5F8" w14:textId="77777777" w:rsidTr="00B24322">
        <w:trPr>
          <w:trHeight w:val="368"/>
        </w:trPr>
        <w:tc>
          <w:tcPr>
            <w:tcW w:w="5495" w:type="dxa"/>
            <w:noWrap/>
            <w:vAlign w:val="center"/>
          </w:tcPr>
          <w:p w14:paraId="34BA1358" w14:textId="2AD099DB" w:rsidR="002042B2" w:rsidRPr="00A93A97"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CCLA Investment Management</w:t>
            </w:r>
          </w:p>
        </w:tc>
        <w:tc>
          <w:tcPr>
            <w:tcW w:w="1763" w:type="dxa"/>
            <w:noWrap/>
            <w:vAlign w:val="center"/>
          </w:tcPr>
          <w:p w14:paraId="6184DE73" w14:textId="0FE7F520"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23</w:t>
            </w:r>
            <w:r>
              <w:rPr>
                <w:rFonts w:ascii="Georgia" w:hAnsi="Georgia"/>
                <w:color w:val="404040" w:themeColor="text1" w:themeTint="BF"/>
                <w:sz w:val="20"/>
              </w:rPr>
              <w:t>,</w:t>
            </w:r>
            <w:r w:rsidRPr="002042B2">
              <w:rPr>
                <w:rFonts w:ascii="Georgia" w:hAnsi="Georgia"/>
                <w:color w:val="404040" w:themeColor="text1" w:themeTint="BF"/>
                <w:sz w:val="20"/>
              </w:rPr>
              <w:t>964</w:t>
            </w:r>
            <w:r>
              <w:rPr>
                <w:rFonts w:ascii="Georgia" w:hAnsi="Georgia"/>
                <w:color w:val="404040" w:themeColor="text1" w:themeTint="BF"/>
                <w:sz w:val="20"/>
              </w:rPr>
              <w:t>,</w:t>
            </w:r>
            <w:r w:rsidRPr="002042B2">
              <w:rPr>
                <w:rFonts w:ascii="Georgia" w:hAnsi="Georgia"/>
                <w:color w:val="404040" w:themeColor="text1" w:themeTint="BF"/>
                <w:sz w:val="20"/>
              </w:rPr>
              <w:t>426</w:t>
            </w:r>
          </w:p>
        </w:tc>
        <w:tc>
          <w:tcPr>
            <w:tcW w:w="567" w:type="dxa"/>
            <w:vAlign w:val="center"/>
          </w:tcPr>
          <w:p w14:paraId="4156C68E"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390C1B30" w14:textId="41ACBCE2"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6.47</w:t>
            </w:r>
          </w:p>
        </w:tc>
      </w:tr>
      <w:tr w:rsidR="002042B2" w:rsidRPr="00EB620F" w14:paraId="65E3F236" w14:textId="77777777" w:rsidTr="00B24322">
        <w:trPr>
          <w:trHeight w:val="368"/>
        </w:trPr>
        <w:tc>
          <w:tcPr>
            <w:tcW w:w="5495" w:type="dxa"/>
            <w:noWrap/>
            <w:vAlign w:val="center"/>
          </w:tcPr>
          <w:p w14:paraId="4C32134A" w14:textId="10BFA336" w:rsidR="002042B2" w:rsidRPr="00A93A97" w:rsidRDefault="002042B2" w:rsidP="002042B2">
            <w:pPr>
              <w:jc w:val="both"/>
              <w:rPr>
                <w:rFonts w:ascii="Georgia" w:hAnsi="Georgia"/>
                <w:color w:val="404040" w:themeColor="text1" w:themeTint="BF"/>
                <w:sz w:val="20"/>
              </w:rPr>
            </w:pPr>
            <w:r w:rsidRPr="002042B2">
              <w:rPr>
                <w:rFonts w:ascii="Georgia" w:hAnsi="Georgia"/>
                <w:color w:val="404040" w:themeColor="text1" w:themeTint="BF"/>
                <w:sz w:val="20"/>
              </w:rPr>
              <w:t>Gravis Capital Management</w:t>
            </w:r>
          </w:p>
        </w:tc>
        <w:tc>
          <w:tcPr>
            <w:tcW w:w="1763" w:type="dxa"/>
            <w:noWrap/>
            <w:vAlign w:val="center"/>
          </w:tcPr>
          <w:p w14:paraId="381AE090" w14:textId="58B57BBA"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23</w:t>
            </w:r>
            <w:r>
              <w:rPr>
                <w:rFonts w:ascii="Georgia" w:hAnsi="Georgia"/>
                <w:color w:val="404040" w:themeColor="text1" w:themeTint="BF"/>
                <w:sz w:val="20"/>
              </w:rPr>
              <w:t>,</w:t>
            </w:r>
            <w:r w:rsidRPr="002042B2">
              <w:rPr>
                <w:rFonts w:ascii="Georgia" w:hAnsi="Georgia"/>
                <w:color w:val="404040" w:themeColor="text1" w:themeTint="BF"/>
                <w:sz w:val="20"/>
              </w:rPr>
              <w:t>932</w:t>
            </w:r>
            <w:r>
              <w:rPr>
                <w:rFonts w:ascii="Georgia" w:hAnsi="Georgia"/>
                <w:color w:val="404040" w:themeColor="text1" w:themeTint="BF"/>
                <w:sz w:val="20"/>
              </w:rPr>
              <w:t>,</w:t>
            </w:r>
            <w:r w:rsidRPr="002042B2">
              <w:rPr>
                <w:rFonts w:ascii="Georgia" w:hAnsi="Georgia"/>
                <w:color w:val="404040" w:themeColor="text1" w:themeTint="BF"/>
                <w:sz w:val="20"/>
              </w:rPr>
              <w:t>457</w:t>
            </w:r>
          </w:p>
        </w:tc>
        <w:tc>
          <w:tcPr>
            <w:tcW w:w="567" w:type="dxa"/>
            <w:vAlign w:val="center"/>
          </w:tcPr>
          <w:p w14:paraId="7A25D69D"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18A7513B" w14:textId="1AD70D76"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6.46</w:t>
            </w:r>
          </w:p>
        </w:tc>
      </w:tr>
      <w:tr w:rsidR="002042B2" w:rsidRPr="00EB620F" w14:paraId="341A30BF" w14:textId="77777777" w:rsidTr="00B24322">
        <w:trPr>
          <w:trHeight w:val="368"/>
        </w:trPr>
        <w:tc>
          <w:tcPr>
            <w:tcW w:w="5495" w:type="dxa"/>
            <w:noWrap/>
            <w:vAlign w:val="center"/>
          </w:tcPr>
          <w:p w14:paraId="6F56C576" w14:textId="3308BF1B" w:rsidR="002042B2" w:rsidRPr="00A93A97"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L&amp;P Group</w:t>
            </w:r>
          </w:p>
        </w:tc>
        <w:tc>
          <w:tcPr>
            <w:tcW w:w="1763" w:type="dxa"/>
            <w:noWrap/>
            <w:vAlign w:val="center"/>
          </w:tcPr>
          <w:p w14:paraId="6EE23BF2" w14:textId="209F484D"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19</w:t>
            </w:r>
            <w:r>
              <w:rPr>
                <w:rFonts w:ascii="Georgia" w:hAnsi="Georgia"/>
                <w:color w:val="404040" w:themeColor="text1" w:themeTint="BF"/>
                <w:sz w:val="20"/>
              </w:rPr>
              <w:t>,</w:t>
            </w:r>
            <w:r w:rsidRPr="002042B2">
              <w:rPr>
                <w:rFonts w:ascii="Georgia" w:hAnsi="Georgia"/>
                <w:color w:val="404040" w:themeColor="text1" w:themeTint="BF"/>
                <w:sz w:val="20"/>
              </w:rPr>
              <w:t>930</w:t>
            </w:r>
            <w:r>
              <w:rPr>
                <w:rFonts w:ascii="Georgia" w:hAnsi="Georgia"/>
                <w:color w:val="404040" w:themeColor="text1" w:themeTint="BF"/>
                <w:sz w:val="20"/>
              </w:rPr>
              <w:t>,</w:t>
            </w:r>
            <w:r w:rsidRPr="002042B2">
              <w:rPr>
                <w:rFonts w:ascii="Georgia" w:hAnsi="Georgia"/>
                <w:color w:val="404040" w:themeColor="text1" w:themeTint="BF"/>
                <w:sz w:val="20"/>
              </w:rPr>
              <w:t>005</w:t>
            </w:r>
          </w:p>
        </w:tc>
        <w:tc>
          <w:tcPr>
            <w:tcW w:w="567" w:type="dxa"/>
            <w:vAlign w:val="center"/>
          </w:tcPr>
          <w:p w14:paraId="7822AB52"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65136518" w14:textId="472C15CC"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5.38</w:t>
            </w:r>
          </w:p>
        </w:tc>
      </w:tr>
      <w:tr w:rsidR="002042B2" w:rsidRPr="00EB620F" w14:paraId="42E0C19F" w14:textId="77777777" w:rsidTr="00B24322">
        <w:trPr>
          <w:trHeight w:val="368"/>
        </w:trPr>
        <w:tc>
          <w:tcPr>
            <w:tcW w:w="5495" w:type="dxa"/>
            <w:noWrap/>
            <w:vAlign w:val="center"/>
          </w:tcPr>
          <w:p w14:paraId="56272296" w14:textId="27A9EB21" w:rsidR="002042B2" w:rsidRPr="00A93A97"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Hargreaves Lansdown, stockbrokers (EO)</w:t>
            </w:r>
          </w:p>
        </w:tc>
        <w:tc>
          <w:tcPr>
            <w:tcW w:w="1763" w:type="dxa"/>
            <w:noWrap/>
            <w:vAlign w:val="center"/>
          </w:tcPr>
          <w:p w14:paraId="3666C855" w14:textId="4C15292E"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18</w:t>
            </w:r>
            <w:r>
              <w:rPr>
                <w:rFonts w:ascii="Georgia" w:hAnsi="Georgia"/>
                <w:color w:val="404040" w:themeColor="text1" w:themeTint="BF"/>
                <w:sz w:val="20"/>
              </w:rPr>
              <w:t>,</w:t>
            </w:r>
            <w:r w:rsidRPr="002042B2">
              <w:rPr>
                <w:rFonts w:ascii="Georgia" w:hAnsi="Georgia"/>
                <w:color w:val="404040" w:themeColor="text1" w:themeTint="BF"/>
                <w:sz w:val="20"/>
              </w:rPr>
              <w:t>728</w:t>
            </w:r>
            <w:r>
              <w:rPr>
                <w:rFonts w:ascii="Georgia" w:hAnsi="Georgia"/>
                <w:color w:val="404040" w:themeColor="text1" w:themeTint="BF"/>
                <w:sz w:val="20"/>
              </w:rPr>
              <w:t>,</w:t>
            </w:r>
            <w:r w:rsidRPr="002042B2">
              <w:rPr>
                <w:rFonts w:ascii="Georgia" w:hAnsi="Georgia"/>
                <w:color w:val="404040" w:themeColor="text1" w:themeTint="BF"/>
                <w:sz w:val="20"/>
              </w:rPr>
              <w:t>896</w:t>
            </w:r>
          </w:p>
        </w:tc>
        <w:tc>
          <w:tcPr>
            <w:tcW w:w="567" w:type="dxa"/>
            <w:vAlign w:val="center"/>
          </w:tcPr>
          <w:p w14:paraId="202037AD"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0F04B6AD" w14:textId="014D1A37"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5.06</w:t>
            </w:r>
          </w:p>
        </w:tc>
      </w:tr>
      <w:tr w:rsidR="002042B2" w:rsidRPr="00EB620F" w14:paraId="5920ACB0" w14:textId="77777777" w:rsidTr="00B24322">
        <w:trPr>
          <w:trHeight w:val="368"/>
        </w:trPr>
        <w:tc>
          <w:tcPr>
            <w:tcW w:w="5495" w:type="dxa"/>
            <w:noWrap/>
            <w:vAlign w:val="center"/>
          </w:tcPr>
          <w:p w14:paraId="2AA18ED3" w14:textId="6A9FAFB8" w:rsidR="002042B2" w:rsidRPr="00A93A97"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Aberdeen Standard Capital</w:t>
            </w:r>
          </w:p>
        </w:tc>
        <w:tc>
          <w:tcPr>
            <w:tcW w:w="1763" w:type="dxa"/>
            <w:noWrap/>
            <w:vAlign w:val="center"/>
          </w:tcPr>
          <w:p w14:paraId="12F0F41F" w14:textId="34423E0F"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17</w:t>
            </w:r>
            <w:r>
              <w:rPr>
                <w:rFonts w:ascii="Georgia" w:hAnsi="Georgia"/>
                <w:color w:val="404040" w:themeColor="text1" w:themeTint="BF"/>
                <w:sz w:val="20"/>
              </w:rPr>
              <w:t>,</w:t>
            </w:r>
            <w:r w:rsidRPr="002042B2">
              <w:rPr>
                <w:rFonts w:ascii="Georgia" w:hAnsi="Georgia"/>
                <w:color w:val="404040" w:themeColor="text1" w:themeTint="BF"/>
                <w:sz w:val="20"/>
              </w:rPr>
              <w:t>123</w:t>
            </w:r>
            <w:r>
              <w:rPr>
                <w:rFonts w:ascii="Georgia" w:hAnsi="Georgia"/>
                <w:color w:val="404040" w:themeColor="text1" w:themeTint="BF"/>
                <w:sz w:val="20"/>
              </w:rPr>
              <w:t>,</w:t>
            </w:r>
            <w:r w:rsidRPr="002042B2">
              <w:rPr>
                <w:rFonts w:ascii="Georgia" w:hAnsi="Georgia"/>
                <w:color w:val="404040" w:themeColor="text1" w:themeTint="BF"/>
                <w:sz w:val="20"/>
              </w:rPr>
              <w:t>059</w:t>
            </w:r>
          </w:p>
        </w:tc>
        <w:tc>
          <w:tcPr>
            <w:tcW w:w="567" w:type="dxa"/>
            <w:vAlign w:val="center"/>
          </w:tcPr>
          <w:p w14:paraId="40D1F6F8"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51FC5A4A" w14:textId="05F36110"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4.62</w:t>
            </w:r>
          </w:p>
        </w:tc>
      </w:tr>
      <w:tr w:rsidR="002042B2" w:rsidRPr="00EB620F" w14:paraId="07F138D6" w14:textId="77777777" w:rsidTr="00B24322">
        <w:trPr>
          <w:trHeight w:val="368"/>
        </w:trPr>
        <w:tc>
          <w:tcPr>
            <w:tcW w:w="5495" w:type="dxa"/>
            <w:noWrap/>
            <w:vAlign w:val="center"/>
          </w:tcPr>
          <w:p w14:paraId="558DB3AD" w14:textId="03997A5A" w:rsidR="002042B2" w:rsidRPr="00A93A97" w:rsidRDefault="002042B2" w:rsidP="002042B2">
            <w:pPr>
              <w:rPr>
                <w:rFonts w:ascii="Georgia" w:hAnsi="Georgia"/>
                <w:color w:val="404040" w:themeColor="text1" w:themeTint="BF"/>
                <w:sz w:val="20"/>
              </w:rPr>
            </w:pPr>
            <w:r w:rsidRPr="002042B2">
              <w:rPr>
                <w:rFonts w:ascii="Georgia" w:hAnsi="Georgia"/>
                <w:color w:val="404040" w:themeColor="text1" w:themeTint="BF"/>
                <w:sz w:val="20"/>
              </w:rPr>
              <w:t>JM Finn, stockbrokers</w:t>
            </w:r>
          </w:p>
        </w:tc>
        <w:tc>
          <w:tcPr>
            <w:tcW w:w="1763" w:type="dxa"/>
            <w:noWrap/>
            <w:vAlign w:val="center"/>
          </w:tcPr>
          <w:p w14:paraId="3832E896" w14:textId="75EBE6ED"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14</w:t>
            </w:r>
            <w:r>
              <w:rPr>
                <w:rFonts w:ascii="Georgia" w:hAnsi="Georgia"/>
                <w:color w:val="404040" w:themeColor="text1" w:themeTint="BF"/>
                <w:sz w:val="20"/>
              </w:rPr>
              <w:t>,</w:t>
            </w:r>
            <w:r w:rsidRPr="002042B2">
              <w:rPr>
                <w:rFonts w:ascii="Georgia" w:hAnsi="Georgia"/>
                <w:color w:val="404040" w:themeColor="text1" w:themeTint="BF"/>
                <w:sz w:val="20"/>
              </w:rPr>
              <w:t>841</w:t>
            </w:r>
            <w:r>
              <w:rPr>
                <w:rFonts w:ascii="Georgia" w:hAnsi="Georgia"/>
                <w:color w:val="404040" w:themeColor="text1" w:themeTint="BF"/>
                <w:sz w:val="20"/>
              </w:rPr>
              <w:t>,</w:t>
            </w:r>
            <w:r w:rsidRPr="002042B2">
              <w:rPr>
                <w:rFonts w:ascii="Georgia" w:hAnsi="Georgia"/>
                <w:color w:val="404040" w:themeColor="text1" w:themeTint="BF"/>
                <w:sz w:val="20"/>
              </w:rPr>
              <w:t>562</w:t>
            </w:r>
          </w:p>
        </w:tc>
        <w:tc>
          <w:tcPr>
            <w:tcW w:w="567" w:type="dxa"/>
            <w:vAlign w:val="center"/>
          </w:tcPr>
          <w:p w14:paraId="14119C2F" w14:textId="77777777" w:rsidR="002042B2" w:rsidRPr="009306C8" w:rsidRDefault="002042B2" w:rsidP="002042B2">
            <w:pPr>
              <w:jc w:val="right"/>
              <w:rPr>
                <w:rFonts w:ascii="Georgia" w:hAnsi="Georgia"/>
                <w:color w:val="404040" w:themeColor="text1" w:themeTint="BF"/>
                <w:sz w:val="20"/>
              </w:rPr>
            </w:pPr>
          </w:p>
        </w:tc>
        <w:tc>
          <w:tcPr>
            <w:tcW w:w="1497" w:type="dxa"/>
            <w:noWrap/>
            <w:vAlign w:val="bottom"/>
          </w:tcPr>
          <w:p w14:paraId="02A17AD0" w14:textId="64DF5550" w:rsidR="002042B2" w:rsidRPr="009306C8" w:rsidRDefault="002042B2" w:rsidP="002042B2">
            <w:pPr>
              <w:jc w:val="right"/>
              <w:rPr>
                <w:rFonts w:ascii="Georgia" w:hAnsi="Georgia"/>
                <w:color w:val="404040" w:themeColor="text1" w:themeTint="BF"/>
                <w:sz w:val="20"/>
              </w:rPr>
            </w:pPr>
            <w:r w:rsidRPr="002042B2">
              <w:rPr>
                <w:rFonts w:ascii="Georgia" w:hAnsi="Georgia"/>
                <w:color w:val="404040" w:themeColor="text1" w:themeTint="BF"/>
                <w:sz w:val="20"/>
              </w:rPr>
              <w:t>4.01</w:t>
            </w:r>
          </w:p>
        </w:tc>
      </w:tr>
    </w:tbl>
    <w:p w14:paraId="69E0D9E4" w14:textId="77777777" w:rsidR="000F51FA" w:rsidRPr="00004665" w:rsidRDefault="000F51FA" w:rsidP="000F51FA">
      <w:pPr>
        <w:jc w:val="both"/>
        <w:rPr>
          <w:rFonts w:ascii="Georgia" w:hAnsi="Georgia" w:cs="Calibri"/>
          <w:color w:val="404040" w:themeColor="text1" w:themeTint="BF"/>
          <w:sz w:val="20"/>
        </w:rPr>
      </w:pPr>
    </w:p>
    <w:p w14:paraId="7213EA00" w14:textId="5EC7F973" w:rsidR="000F51FA" w:rsidRPr="00004665" w:rsidRDefault="000F51FA" w:rsidP="000F51FA">
      <w:pPr>
        <w:jc w:val="both"/>
        <w:rPr>
          <w:rFonts w:ascii="Georgia" w:hAnsi="Georgia" w:cs="Calibri"/>
          <w:color w:val="404040" w:themeColor="text1" w:themeTint="BF"/>
          <w:sz w:val="20"/>
        </w:rPr>
      </w:pPr>
      <w:r w:rsidRPr="00004665">
        <w:rPr>
          <w:rFonts w:ascii="Georgia" w:hAnsi="Georgia" w:cs="Calibri"/>
          <w:color w:val="404040" w:themeColor="text1" w:themeTint="BF"/>
          <w:sz w:val="20"/>
        </w:rPr>
        <w:t xml:space="preserve">The Directors </w:t>
      </w:r>
      <w:r w:rsidRPr="0038409D">
        <w:rPr>
          <w:rFonts w:ascii="Georgia" w:hAnsi="Georgia" w:cs="Calibri"/>
          <w:color w:val="404040" w:themeColor="text1" w:themeTint="BF"/>
          <w:sz w:val="20"/>
        </w:rPr>
        <w:t xml:space="preserve">confirm that there are no securities in issue that carry special rights with regards to the control of the </w:t>
      </w:r>
      <w:r w:rsidRPr="00C643E6">
        <w:rPr>
          <w:rFonts w:ascii="Georgia" w:hAnsi="Georgia" w:cs="Calibri"/>
          <w:color w:val="404040" w:themeColor="text1" w:themeTint="BF"/>
          <w:sz w:val="20"/>
        </w:rPr>
        <w:t>Company.</w:t>
      </w:r>
      <w:r w:rsidR="00B15ABE" w:rsidRPr="00C643E6">
        <w:rPr>
          <w:rFonts w:ascii="Georgia" w:hAnsi="Georgia" w:cs="Calibri"/>
          <w:color w:val="404040" w:themeColor="text1" w:themeTint="BF"/>
          <w:sz w:val="20"/>
        </w:rPr>
        <w:t xml:space="preserve"> There have been no changes </w:t>
      </w:r>
      <w:r w:rsidR="00BA4E8C" w:rsidRPr="00C643E6">
        <w:rPr>
          <w:rFonts w:ascii="Georgia" w:hAnsi="Georgia" w:cs="Calibri"/>
          <w:color w:val="404040" w:themeColor="text1" w:themeTint="BF"/>
          <w:sz w:val="20"/>
        </w:rPr>
        <w:t xml:space="preserve">that have been notified to the Company with respect to </w:t>
      </w:r>
      <w:r w:rsidR="00B15ABE" w:rsidRPr="00C643E6">
        <w:rPr>
          <w:rFonts w:ascii="Georgia" w:hAnsi="Georgia" w:cs="Calibri"/>
          <w:color w:val="404040" w:themeColor="text1" w:themeTint="BF"/>
          <w:sz w:val="20"/>
        </w:rPr>
        <w:t xml:space="preserve">the </w:t>
      </w:r>
      <w:r w:rsidR="00BA4E8C" w:rsidRPr="00C643E6">
        <w:rPr>
          <w:rFonts w:ascii="Georgia" w:hAnsi="Georgia" w:cs="Calibri"/>
          <w:color w:val="404040" w:themeColor="text1" w:themeTint="BF"/>
          <w:sz w:val="20"/>
        </w:rPr>
        <w:t xml:space="preserve">substantial </w:t>
      </w:r>
      <w:r w:rsidR="00A94691" w:rsidRPr="00C643E6">
        <w:rPr>
          <w:rFonts w:ascii="Georgia" w:hAnsi="Georgia" w:cs="Calibri"/>
          <w:color w:val="404040" w:themeColor="text1" w:themeTint="BF"/>
          <w:sz w:val="20"/>
        </w:rPr>
        <w:t xml:space="preserve">shareholdings since 30 June </w:t>
      </w:r>
      <w:r w:rsidR="00904E51" w:rsidRPr="00C643E6">
        <w:rPr>
          <w:rFonts w:ascii="Georgia" w:hAnsi="Georgia" w:cs="Calibri"/>
          <w:color w:val="404040" w:themeColor="text1" w:themeTint="BF"/>
          <w:sz w:val="20"/>
        </w:rPr>
        <w:t>2020</w:t>
      </w:r>
      <w:r w:rsidR="00BA4E8C" w:rsidRPr="00C643E6">
        <w:rPr>
          <w:rFonts w:ascii="Georgia" w:hAnsi="Georgia" w:cs="Calibri"/>
          <w:color w:val="404040" w:themeColor="text1" w:themeTint="BF"/>
          <w:sz w:val="20"/>
        </w:rPr>
        <w:t>.</w:t>
      </w:r>
    </w:p>
    <w:p w14:paraId="0104EA9B" w14:textId="77777777" w:rsidR="005A0324" w:rsidRDefault="005A0324" w:rsidP="000F51FA">
      <w:pPr>
        <w:jc w:val="both"/>
        <w:rPr>
          <w:rFonts w:ascii="Georgia" w:hAnsi="Georgia" w:cs="Calibri"/>
          <w:b/>
          <w:color w:val="404040" w:themeColor="text1" w:themeTint="BF"/>
          <w:sz w:val="20"/>
        </w:rPr>
      </w:pPr>
    </w:p>
    <w:p w14:paraId="34A8DF4D" w14:textId="77777777" w:rsidR="000F51FA" w:rsidRPr="00004665" w:rsidRDefault="000F51FA" w:rsidP="000F51FA">
      <w:pPr>
        <w:jc w:val="both"/>
        <w:rPr>
          <w:rFonts w:ascii="Georgia" w:hAnsi="Georgia" w:cs="Calibri"/>
          <w:b/>
          <w:color w:val="404040" w:themeColor="text1" w:themeTint="BF"/>
          <w:sz w:val="20"/>
        </w:rPr>
      </w:pPr>
      <w:r w:rsidRPr="00004665">
        <w:rPr>
          <w:rFonts w:ascii="Georgia" w:hAnsi="Georgia" w:cs="Calibri"/>
          <w:b/>
          <w:color w:val="404040" w:themeColor="text1" w:themeTint="BF"/>
          <w:sz w:val="20"/>
        </w:rPr>
        <w:t>Independent Auditor</w:t>
      </w:r>
    </w:p>
    <w:p w14:paraId="4D8B6025" w14:textId="77777777" w:rsidR="000F51FA" w:rsidRPr="0058103C" w:rsidRDefault="000F51FA" w:rsidP="000F51FA">
      <w:pPr>
        <w:jc w:val="both"/>
        <w:rPr>
          <w:rFonts w:ascii="Georgia" w:hAnsi="Georgia" w:cs="Calibri"/>
          <w:color w:val="404040" w:themeColor="text1" w:themeTint="BF"/>
          <w:sz w:val="18"/>
        </w:rPr>
      </w:pPr>
    </w:p>
    <w:p w14:paraId="76F4423E" w14:textId="77777777" w:rsidR="00E42A95" w:rsidRDefault="000F51FA" w:rsidP="00E42A95">
      <w:pPr>
        <w:pStyle w:val="BluefieldBody"/>
      </w:pPr>
      <w:r w:rsidRPr="00C03451">
        <w:t>KPMG</w:t>
      </w:r>
      <w:r>
        <w:t xml:space="preserve"> </w:t>
      </w:r>
      <w:r w:rsidRPr="00004665">
        <w:t xml:space="preserve">has been the Company’s external </w:t>
      </w:r>
      <w:r w:rsidR="00151DDC">
        <w:t>A</w:t>
      </w:r>
      <w:r w:rsidRPr="00004665">
        <w:t xml:space="preserve">uditor since the Company’s incorporation. A </w:t>
      </w:r>
      <w:r w:rsidR="00151DDC">
        <w:t>r</w:t>
      </w:r>
      <w:r w:rsidRPr="00004665">
        <w:t xml:space="preserve">esolution will be proposed at the forthcoming </w:t>
      </w:r>
      <w:r w:rsidR="00B67D1E">
        <w:t>AGM</w:t>
      </w:r>
      <w:r w:rsidRPr="00004665">
        <w:t xml:space="preserve"> to re-appoint them as </w:t>
      </w:r>
      <w:r w:rsidR="00151DDC">
        <w:t>A</w:t>
      </w:r>
      <w:r w:rsidRPr="00004665">
        <w:t xml:space="preserve">uditor and authorise the Directors to determine the </w:t>
      </w:r>
      <w:r w:rsidR="00151DDC">
        <w:t>A</w:t>
      </w:r>
      <w:r w:rsidRPr="00004665">
        <w:t>uditor’s remuneration for the ensuing year.</w:t>
      </w:r>
    </w:p>
    <w:p w14:paraId="139E421B" w14:textId="77777777" w:rsidR="00E42A95" w:rsidRPr="00E42A95" w:rsidRDefault="00E42A95" w:rsidP="00E42A95">
      <w:pPr>
        <w:pStyle w:val="BluefieldBody"/>
        <w:rPr>
          <w:sz w:val="18"/>
        </w:rPr>
      </w:pPr>
    </w:p>
    <w:p w14:paraId="395AC9C5" w14:textId="2A7EEBCB" w:rsidR="00E42A95" w:rsidRDefault="000F51FA" w:rsidP="00E42A95">
      <w:pPr>
        <w:pStyle w:val="BluefieldBody"/>
      </w:pPr>
      <w:r w:rsidRPr="00004665">
        <w:t>The</w:t>
      </w:r>
      <w:r>
        <w:t xml:space="preserve"> </w:t>
      </w:r>
      <w:r w:rsidRPr="00A9250D">
        <w:t>Audit Committee</w:t>
      </w:r>
      <w:r>
        <w:t xml:space="preserve"> </w:t>
      </w:r>
      <w:r w:rsidRPr="00004665">
        <w:t xml:space="preserve">will periodically review the appointment of </w:t>
      </w:r>
      <w:r>
        <w:t xml:space="preserve">KPMG </w:t>
      </w:r>
      <w:r w:rsidRPr="00004665">
        <w:t>and the Board recommends their appointment. Further information on the work of the</w:t>
      </w:r>
      <w:r>
        <w:t xml:space="preserve"> A</w:t>
      </w:r>
      <w:r w:rsidRPr="00004665">
        <w:t xml:space="preserve">uditor is set out in the Report of the Audit Committee on </w:t>
      </w:r>
      <w:r w:rsidRPr="00895146">
        <w:t xml:space="preserve">pages </w:t>
      </w:r>
      <w:r w:rsidR="00A80E31" w:rsidRPr="00A80E31">
        <w:t>90</w:t>
      </w:r>
      <w:r w:rsidR="00E827CC" w:rsidRPr="00A80E31">
        <w:t xml:space="preserve"> </w:t>
      </w:r>
      <w:r w:rsidR="00A80E31" w:rsidRPr="00A80E31">
        <w:t>to</w:t>
      </w:r>
      <w:r w:rsidR="008B702E" w:rsidRPr="00A80E31">
        <w:t xml:space="preserve"> </w:t>
      </w:r>
      <w:r w:rsidR="00A80E31" w:rsidRPr="00A80E31">
        <w:t>94</w:t>
      </w:r>
      <w:r w:rsidR="004634B5" w:rsidRPr="00A80E31">
        <w:t>.</w:t>
      </w:r>
    </w:p>
    <w:p w14:paraId="6AFB5ABD" w14:textId="77777777" w:rsidR="000F51FA" w:rsidRPr="00004665" w:rsidRDefault="000F51FA" w:rsidP="000F51FA">
      <w:pPr>
        <w:jc w:val="both"/>
        <w:rPr>
          <w:rFonts w:ascii="Georgia" w:hAnsi="Georgia" w:cs="Calibri"/>
          <w:color w:val="404040" w:themeColor="text1" w:themeTint="BF"/>
          <w:sz w:val="20"/>
        </w:rPr>
      </w:pPr>
    </w:p>
    <w:p w14:paraId="47D4EC23" w14:textId="77777777" w:rsidR="000F51FA" w:rsidRPr="00A04E61" w:rsidRDefault="000F51FA" w:rsidP="000F51FA">
      <w:pPr>
        <w:jc w:val="both"/>
        <w:rPr>
          <w:rFonts w:ascii="Georgia" w:hAnsi="Georgia" w:cs="Calibri"/>
          <w:b/>
          <w:color w:val="404040" w:themeColor="text1" w:themeTint="BF"/>
          <w:sz w:val="20"/>
        </w:rPr>
      </w:pPr>
      <w:r w:rsidRPr="00A04E61">
        <w:rPr>
          <w:rFonts w:ascii="Georgia" w:hAnsi="Georgia" w:cs="Calibri"/>
          <w:b/>
          <w:color w:val="404040" w:themeColor="text1" w:themeTint="BF"/>
          <w:sz w:val="20"/>
        </w:rPr>
        <w:t>Articles of Incorporation</w:t>
      </w:r>
    </w:p>
    <w:p w14:paraId="4E73CEB5" w14:textId="77777777" w:rsidR="000F51FA" w:rsidRPr="0058103C" w:rsidRDefault="000F51FA" w:rsidP="000F51FA">
      <w:pPr>
        <w:jc w:val="both"/>
        <w:rPr>
          <w:rFonts w:ascii="Georgia" w:hAnsi="Georgia" w:cs="Calibri"/>
          <w:color w:val="404040" w:themeColor="text1" w:themeTint="BF"/>
          <w:sz w:val="18"/>
        </w:rPr>
      </w:pPr>
    </w:p>
    <w:p w14:paraId="4BCDE758" w14:textId="4E7E52E4" w:rsidR="000F51FA" w:rsidRPr="00004665" w:rsidRDefault="000F51FA" w:rsidP="000F51FA">
      <w:pPr>
        <w:jc w:val="both"/>
        <w:rPr>
          <w:rFonts w:ascii="Georgia" w:hAnsi="Georgia" w:cs="Calibri"/>
          <w:color w:val="404040" w:themeColor="text1" w:themeTint="BF"/>
          <w:sz w:val="20"/>
        </w:rPr>
      </w:pPr>
      <w:r w:rsidRPr="00004665">
        <w:rPr>
          <w:rFonts w:ascii="Georgia" w:hAnsi="Georgia" w:cs="Calibri"/>
          <w:color w:val="404040" w:themeColor="text1" w:themeTint="BF"/>
          <w:sz w:val="20"/>
        </w:rPr>
        <w:t xml:space="preserve">The Company’s Articles may </w:t>
      </w:r>
      <w:r w:rsidR="00FD7AB7">
        <w:rPr>
          <w:rFonts w:ascii="Georgia" w:hAnsi="Georgia" w:cs="Calibri"/>
          <w:color w:val="404040" w:themeColor="text1" w:themeTint="BF"/>
          <w:sz w:val="20"/>
        </w:rPr>
        <w:t xml:space="preserve">be </w:t>
      </w:r>
      <w:r w:rsidRPr="00004665">
        <w:rPr>
          <w:rFonts w:ascii="Georgia" w:hAnsi="Georgia" w:cs="Calibri"/>
          <w:color w:val="404040" w:themeColor="text1" w:themeTint="BF"/>
          <w:sz w:val="20"/>
        </w:rPr>
        <w:t xml:space="preserve">amended </w:t>
      </w:r>
      <w:r w:rsidR="005E713A">
        <w:rPr>
          <w:rFonts w:ascii="Georgia" w:hAnsi="Georgia" w:cs="Calibri"/>
          <w:color w:val="404040" w:themeColor="text1" w:themeTint="BF"/>
          <w:sz w:val="20"/>
        </w:rPr>
        <w:t xml:space="preserve">only </w:t>
      </w:r>
      <w:r w:rsidR="00696512">
        <w:rPr>
          <w:rFonts w:ascii="Georgia" w:hAnsi="Georgia" w:cs="Calibri"/>
          <w:color w:val="404040" w:themeColor="text1" w:themeTint="BF"/>
          <w:sz w:val="20"/>
        </w:rPr>
        <w:t>by special resolution of the S</w:t>
      </w:r>
      <w:r w:rsidRPr="00004665">
        <w:rPr>
          <w:rFonts w:ascii="Georgia" w:hAnsi="Georgia" w:cs="Calibri"/>
          <w:color w:val="404040" w:themeColor="text1" w:themeTint="BF"/>
          <w:sz w:val="20"/>
        </w:rPr>
        <w:t>hareholders.</w:t>
      </w:r>
    </w:p>
    <w:p w14:paraId="353102E5" w14:textId="77777777" w:rsidR="00F02825" w:rsidRDefault="00F02825" w:rsidP="000F51FA">
      <w:pPr>
        <w:jc w:val="both"/>
        <w:rPr>
          <w:rFonts w:ascii="Georgia" w:hAnsi="Georgia" w:cs="Calibri"/>
          <w:b/>
          <w:color w:val="404040" w:themeColor="text1" w:themeTint="BF"/>
          <w:sz w:val="20"/>
        </w:rPr>
      </w:pPr>
    </w:p>
    <w:p w14:paraId="3448E28F" w14:textId="77777777" w:rsidR="000F51FA" w:rsidRDefault="000F51FA" w:rsidP="000F51FA">
      <w:pPr>
        <w:jc w:val="both"/>
        <w:rPr>
          <w:rFonts w:ascii="Georgia" w:hAnsi="Georgia" w:cs="Calibri"/>
          <w:b/>
          <w:color w:val="404040" w:themeColor="text1" w:themeTint="BF"/>
          <w:sz w:val="20"/>
        </w:rPr>
      </w:pPr>
      <w:r w:rsidRPr="006130D4">
        <w:rPr>
          <w:rFonts w:ascii="Georgia" w:hAnsi="Georgia" w:cs="Calibri"/>
          <w:b/>
          <w:color w:val="404040" w:themeColor="text1" w:themeTint="BF"/>
          <w:sz w:val="20"/>
        </w:rPr>
        <w:t>Going Concern</w:t>
      </w:r>
    </w:p>
    <w:p w14:paraId="6B2859D8" w14:textId="77777777" w:rsidR="000F51FA" w:rsidRPr="0058103C" w:rsidRDefault="000F51FA" w:rsidP="000F51FA">
      <w:pPr>
        <w:jc w:val="both"/>
        <w:rPr>
          <w:rFonts w:ascii="Georgia" w:hAnsi="Georgia" w:cs="Calibri"/>
          <w:b/>
          <w:color w:val="404040" w:themeColor="text1" w:themeTint="BF"/>
          <w:sz w:val="18"/>
        </w:rPr>
      </w:pPr>
    </w:p>
    <w:p w14:paraId="060BA1C4" w14:textId="413D112C" w:rsidR="00C77A24" w:rsidRPr="00A3680E" w:rsidRDefault="00C77A24" w:rsidP="00C77A24">
      <w:pPr>
        <w:pStyle w:val="BluefieldBody"/>
      </w:pPr>
      <w:r w:rsidRPr="008D10FA">
        <w:t xml:space="preserve">At 30 June </w:t>
      </w:r>
      <w:r w:rsidR="00904E51">
        <w:t>2020</w:t>
      </w:r>
      <w:r w:rsidRPr="008D10FA">
        <w:t xml:space="preserve">, the Company had invested </w:t>
      </w:r>
      <w:r w:rsidRPr="00401DEE">
        <w:t xml:space="preserve">in </w:t>
      </w:r>
      <w:r w:rsidR="000B11F4">
        <w:t>90</w:t>
      </w:r>
      <w:r w:rsidR="00E827CC" w:rsidRPr="00401DEE" w:rsidDel="00E827CC">
        <w:t xml:space="preserve"> </w:t>
      </w:r>
      <w:r w:rsidR="008D24DD" w:rsidRPr="00401DEE">
        <w:t>solar</w:t>
      </w:r>
      <w:r w:rsidR="008D24DD" w:rsidRPr="008D10FA">
        <w:t xml:space="preserve"> plants</w:t>
      </w:r>
      <w:r w:rsidR="00932366" w:rsidRPr="008D10FA">
        <w:t xml:space="preserve">, </w:t>
      </w:r>
      <w:r w:rsidR="00932366" w:rsidRPr="002C07CA">
        <w:t>committing £</w:t>
      </w:r>
      <w:r w:rsidR="002C07CA">
        <w:t>566.3</w:t>
      </w:r>
      <w:r w:rsidR="00A3680E" w:rsidRPr="006700DB">
        <w:t xml:space="preserve"> </w:t>
      </w:r>
      <w:r w:rsidR="00932366" w:rsidRPr="006700DB">
        <w:t>million</w:t>
      </w:r>
      <w:r w:rsidR="00A3680E" w:rsidRPr="008D10FA">
        <w:t xml:space="preserve"> to SPV investments</w:t>
      </w:r>
      <w:r w:rsidR="008D10FA">
        <w:t xml:space="preserve">. </w:t>
      </w:r>
      <w:r w:rsidR="009A2701">
        <w:t xml:space="preserve">The </w:t>
      </w:r>
      <w:r w:rsidRPr="008D10FA">
        <w:t xml:space="preserve">Company </w:t>
      </w:r>
      <w:r w:rsidR="00A3680E" w:rsidRPr="008D10FA">
        <w:t>through its direct subsidiary, BSIFIL,</w:t>
      </w:r>
      <w:r w:rsidR="00301F18" w:rsidRPr="008D10FA">
        <w:t xml:space="preserve"> </w:t>
      </w:r>
      <w:r w:rsidR="008D10FA">
        <w:t xml:space="preserve">has access to a </w:t>
      </w:r>
      <w:r w:rsidR="007B0FE8" w:rsidRPr="008D10FA">
        <w:t>RCF</w:t>
      </w:r>
      <w:r w:rsidR="008D10FA">
        <w:t xml:space="preserve"> which</w:t>
      </w:r>
      <w:r w:rsidR="00BC5A1E">
        <w:t>,</w:t>
      </w:r>
      <w:r w:rsidRPr="008D10FA">
        <w:t xml:space="preserve"> together with the net income generated by the acquired projects</w:t>
      </w:r>
      <w:r w:rsidR="00374EBB" w:rsidRPr="008D10FA">
        <w:t>,</w:t>
      </w:r>
      <w:r w:rsidRPr="008D10FA">
        <w:t xml:space="preserve"> are expected to allow the Company to meet its liquidity needs for the payment of operational expenses, dividends and acquisition of new solar assets. The Company</w:t>
      </w:r>
      <w:r w:rsidR="00BE6A57" w:rsidRPr="008D10FA">
        <w:t>, through BSIFIL,</w:t>
      </w:r>
      <w:r w:rsidRPr="008D10FA">
        <w:t xml:space="preserve"> expects to comply with the covenants of its </w:t>
      </w:r>
      <w:r w:rsidR="00BE6A57" w:rsidRPr="008D10FA">
        <w:t xml:space="preserve">long </w:t>
      </w:r>
      <w:r w:rsidR="003C5835" w:rsidRPr="008D10FA">
        <w:t xml:space="preserve">term loan and </w:t>
      </w:r>
      <w:r w:rsidR="008D10FA">
        <w:t>RCF.</w:t>
      </w:r>
    </w:p>
    <w:p w14:paraId="07499E12" w14:textId="77777777" w:rsidR="00C45343" w:rsidRPr="00A3680E" w:rsidRDefault="0058103C" w:rsidP="00E85EF6">
      <w:pPr>
        <w:pStyle w:val="Heading2"/>
        <w:spacing w:before="0"/>
      </w:pPr>
      <w:r w:rsidRPr="00A3680E">
        <w:br w:type="page"/>
      </w:r>
      <w:r w:rsidR="000F51FA" w:rsidRPr="00A3680E">
        <w:lastRenderedPageBreak/>
        <w:t>Report of the Directors (continued)</w:t>
      </w:r>
    </w:p>
    <w:p w14:paraId="2E41BF0E" w14:textId="77777777" w:rsidR="000F51FA" w:rsidRPr="00A3680E" w:rsidRDefault="000F51FA" w:rsidP="000F51FA">
      <w:pPr>
        <w:pStyle w:val="body"/>
      </w:pPr>
    </w:p>
    <w:p w14:paraId="2B4B3D80" w14:textId="77777777" w:rsidR="000F51FA" w:rsidRPr="00A3680E" w:rsidRDefault="000F51FA" w:rsidP="000F51FA">
      <w:pPr>
        <w:jc w:val="both"/>
        <w:rPr>
          <w:rFonts w:ascii="Georgia" w:hAnsi="Georgia" w:cs="Calibri"/>
          <w:b/>
          <w:color w:val="404040" w:themeColor="text1" w:themeTint="BF"/>
          <w:sz w:val="20"/>
        </w:rPr>
      </w:pPr>
      <w:r w:rsidRPr="00A3680E">
        <w:rPr>
          <w:rFonts w:ascii="Georgia" w:hAnsi="Georgia" w:cs="Calibri"/>
          <w:b/>
          <w:color w:val="404040" w:themeColor="text1" w:themeTint="BF"/>
          <w:sz w:val="20"/>
        </w:rPr>
        <w:t>Going Concern (continued)</w:t>
      </w:r>
    </w:p>
    <w:p w14:paraId="008320EF" w14:textId="77777777" w:rsidR="000F51FA" w:rsidRPr="00A3680E" w:rsidRDefault="000F51FA" w:rsidP="000F51FA">
      <w:pPr>
        <w:jc w:val="both"/>
        <w:rPr>
          <w:rFonts w:ascii="Georgia" w:hAnsi="Georgia" w:cs="Calibri"/>
          <w:b/>
          <w:color w:val="404040" w:themeColor="text1" w:themeTint="BF"/>
          <w:sz w:val="20"/>
        </w:rPr>
      </w:pPr>
    </w:p>
    <w:p w14:paraId="08B0C3F0" w14:textId="047B46BB" w:rsidR="00DD42D8" w:rsidRDefault="00C1358E" w:rsidP="00E42A95">
      <w:pPr>
        <w:pStyle w:val="BluefieldBody"/>
      </w:pPr>
      <w:r w:rsidRPr="00A3680E">
        <w:t xml:space="preserve">The </w:t>
      </w:r>
      <w:r w:rsidR="00CE617E">
        <w:t>Board</w:t>
      </w:r>
      <w:r w:rsidRPr="00A3680E">
        <w:t xml:space="preserve"> in </w:t>
      </w:r>
      <w:r w:rsidR="00843CB5">
        <w:t>its</w:t>
      </w:r>
      <w:r w:rsidR="008179AB">
        <w:t xml:space="preserve"> consideration of going concern</w:t>
      </w:r>
      <w:r w:rsidRPr="00A3680E">
        <w:t xml:space="preserve"> ha</w:t>
      </w:r>
      <w:r w:rsidR="00843CB5">
        <w:t>s</w:t>
      </w:r>
      <w:r w:rsidRPr="00A3680E">
        <w:t xml:space="preserve"> reviewed comprehensive </w:t>
      </w:r>
      <w:r w:rsidR="003C1F3B" w:rsidRPr="00A3680E">
        <w:t>cash flow</w:t>
      </w:r>
      <w:r w:rsidRPr="00A3680E">
        <w:t xml:space="preserve"> forecasts prepared by the Investment Adviser, future projects in the pipeline and the performance of the current solar plants in operation and, at the time of approving the</w:t>
      </w:r>
      <w:r w:rsidR="00764871">
        <w:t>se</w:t>
      </w:r>
      <w:r w:rsidRPr="00A3680E">
        <w:t xml:space="preserve"> financial statements, ha</w:t>
      </w:r>
      <w:r w:rsidR="00843CB5">
        <w:t>s</w:t>
      </w:r>
      <w:r w:rsidRPr="00A3680E">
        <w:t xml:space="preserve"> a reasonable expectation that the Company </w:t>
      </w:r>
      <w:r w:rsidR="00A3680E">
        <w:t>has</w:t>
      </w:r>
      <w:r w:rsidRPr="00A3680E">
        <w:t xml:space="preserve"> adequate resources to continue i</w:t>
      </w:r>
      <w:r w:rsidR="00EC316D">
        <w:t xml:space="preserve">n operational existence for </w:t>
      </w:r>
      <w:r w:rsidR="00AE6333">
        <w:t>the foreseeable future</w:t>
      </w:r>
      <w:r w:rsidR="00EC316D">
        <w:t xml:space="preserve"> </w:t>
      </w:r>
      <w:r w:rsidRPr="00A3680E">
        <w:t xml:space="preserve">and do not consider there to be any threat to the going concern status of the </w:t>
      </w:r>
      <w:r w:rsidR="00A3680E">
        <w:t>Company</w:t>
      </w:r>
      <w:r w:rsidRPr="00A3680E">
        <w:t xml:space="preserve">. </w:t>
      </w:r>
    </w:p>
    <w:p w14:paraId="08552684" w14:textId="15DEF0B9" w:rsidR="009D20D5" w:rsidRDefault="009D20D5" w:rsidP="00E42A95">
      <w:pPr>
        <w:pStyle w:val="BluefieldBody"/>
      </w:pPr>
    </w:p>
    <w:p w14:paraId="24C5A17B" w14:textId="61B643A9" w:rsidR="009D20D5" w:rsidRDefault="009D20D5" w:rsidP="00E42A95">
      <w:pPr>
        <w:pStyle w:val="BluefieldBody"/>
      </w:pPr>
      <w:r w:rsidRPr="009D20D5">
        <w:t>The current worldwide Coronavirus outbreak (Covid-19), declared by the World Health Organization as a global health emergency in March 2020, has caused disruption to businesses and economic activity. The Board and Investment Adviser have been closely monitoring this and indeed all other material macro sources of uncertainty related to Covid-19 and its potential impact on the Company and its operations.</w:t>
      </w:r>
    </w:p>
    <w:p w14:paraId="284E87AF" w14:textId="4E8997FC" w:rsidR="009D20D5" w:rsidRDefault="009D20D5" w:rsidP="00E42A95">
      <w:pPr>
        <w:pStyle w:val="BluefieldBody"/>
      </w:pPr>
    </w:p>
    <w:p w14:paraId="0F98874D" w14:textId="48A6D33F" w:rsidR="009D20D5" w:rsidRDefault="009D20D5" w:rsidP="00E42A95">
      <w:pPr>
        <w:pStyle w:val="BluefieldBody"/>
      </w:pPr>
      <w:r w:rsidRPr="009D20D5">
        <w:t xml:space="preserve">The Investment Adviser activated its business continuity plan and its regular working pattern has changed to remote working, though all staff are continuing to assume their day-to-day responsibilities remotely. There has been regular communication with its employees, as well as </w:t>
      </w:r>
      <w:r w:rsidR="00717933">
        <w:t xml:space="preserve">with </w:t>
      </w:r>
      <w:r w:rsidRPr="009D20D5">
        <w:t xml:space="preserve">its investors. In addition, the Investment Adviser is continuing to explore potential investment opportunities in this new environment, so that </w:t>
      </w:r>
      <w:r w:rsidR="005A3A69">
        <w:t>the Company</w:t>
      </w:r>
      <w:r w:rsidRPr="009D20D5">
        <w:t xml:space="preserve"> can best position the portfolio for the future. </w:t>
      </w:r>
    </w:p>
    <w:p w14:paraId="005987F6" w14:textId="77777777" w:rsidR="00DD42D8" w:rsidRDefault="00DD42D8" w:rsidP="00E42A95">
      <w:pPr>
        <w:pStyle w:val="BluefieldBody"/>
      </w:pPr>
    </w:p>
    <w:p w14:paraId="4193249A" w14:textId="78AC6522" w:rsidR="00E42A95" w:rsidRDefault="00C1358E" w:rsidP="00E42A95">
      <w:pPr>
        <w:pStyle w:val="BluefieldBody"/>
      </w:pPr>
      <w:r w:rsidRPr="00A3680E">
        <w:t xml:space="preserve">The </w:t>
      </w:r>
      <w:r w:rsidR="008179AB">
        <w:t>Board has</w:t>
      </w:r>
      <w:r w:rsidRPr="00A3680E">
        <w:t xml:space="preserve"> concluded that it is appropriate to adopt the going concern basis of accounting in preparing the financial statements.</w:t>
      </w:r>
    </w:p>
    <w:p w14:paraId="44EFEF21" w14:textId="77777777" w:rsidR="00CC5392" w:rsidRDefault="00CC5392" w:rsidP="00E42A95">
      <w:pPr>
        <w:pStyle w:val="BluefieldBody"/>
      </w:pPr>
    </w:p>
    <w:p w14:paraId="43B5995C" w14:textId="77777777" w:rsidR="00D55489" w:rsidRPr="00927785" w:rsidRDefault="00AE4972" w:rsidP="0024470F">
      <w:pPr>
        <w:jc w:val="both"/>
        <w:rPr>
          <w:rFonts w:ascii="Georgia" w:hAnsi="Georgia" w:cs="Calibri"/>
          <w:b/>
          <w:color w:val="404040" w:themeColor="text1" w:themeTint="BF"/>
          <w:sz w:val="20"/>
          <w:szCs w:val="20"/>
        </w:rPr>
      </w:pPr>
      <w:r w:rsidRPr="00927785">
        <w:rPr>
          <w:rFonts w:ascii="Georgia" w:hAnsi="Georgia" w:cs="Calibri"/>
          <w:b/>
          <w:color w:val="404040" w:themeColor="text1" w:themeTint="BF"/>
          <w:sz w:val="20"/>
          <w:szCs w:val="20"/>
        </w:rPr>
        <w:t>Internal controls review</w:t>
      </w:r>
    </w:p>
    <w:p w14:paraId="28C92621" w14:textId="77777777" w:rsidR="007E0068" w:rsidRPr="00927785" w:rsidRDefault="007E0068" w:rsidP="00E42A95">
      <w:pPr>
        <w:pStyle w:val="BluefieldBody"/>
      </w:pPr>
    </w:p>
    <w:p w14:paraId="47C8934F" w14:textId="707DD6CD" w:rsidR="00E83BE1" w:rsidRPr="002042B2" w:rsidRDefault="00AE4972" w:rsidP="00E42A95">
      <w:pPr>
        <w:pStyle w:val="BluefieldBody"/>
      </w:pPr>
      <w:r w:rsidRPr="00927785">
        <w:t xml:space="preserve">Taking into account the information on principal risks and uncertainties provided on </w:t>
      </w:r>
      <w:r w:rsidRPr="002042B2">
        <w:t xml:space="preserve">pages </w:t>
      </w:r>
      <w:r w:rsidR="002042B2" w:rsidRPr="002042B2">
        <w:t>23</w:t>
      </w:r>
      <w:r w:rsidRPr="002042B2">
        <w:t xml:space="preserve"> to </w:t>
      </w:r>
      <w:r w:rsidR="002042B2" w:rsidRPr="002042B2">
        <w:t>33</w:t>
      </w:r>
      <w:r w:rsidRPr="002042B2">
        <w:t xml:space="preserve"> of the strategic report and the ongoing work of the Audit Committee in monitoring the risk management and internal control systems on behalf of the Board, the Directors</w:t>
      </w:r>
    </w:p>
    <w:p w14:paraId="74C816F0" w14:textId="77777777" w:rsidR="00AE4972" w:rsidRPr="002042B2" w:rsidRDefault="00AE4972" w:rsidP="00E42A95">
      <w:pPr>
        <w:pStyle w:val="BluefieldBody"/>
      </w:pPr>
    </w:p>
    <w:p w14:paraId="3B24DBD7" w14:textId="77777777" w:rsidR="00AE4972" w:rsidRPr="002042B2" w:rsidRDefault="00AE4972" w:rsidP="000916C2">
      <w:pPr>
        <w:pStyle w:val="BluefieldBody"/>
        <w:numPr>
          <w:ilvl w:val="0"/>
          <w:numId w:val="12"/>
        </w:numPr>
      </w:pPr>
      <w:r w:rsidRPr="002042B2">
        <w:t>are satisfied that they have carried out a robust assessment of the principal risks facing the Company, including those that would threaten its business model, future performance, solvency or liquidity; and</w:t>
      </w:r>
    </w:p>
    <w:p w14:paraId="10129B41" w14:textId="77777777" w:rsidR="00EC3E05" w:rsidRPr="002042B2" w:rsidRDefault="00EC3E05" w:rsidP="00EC3E05">
      <w:pPr>
        <w:pStyle w:val="BluefieldBody"/>
        <w:ind w:left="720"/>
      </w:pPr>
    </w:p>
    <w:p w14:paraId="34DABF6A" w14:textId="71FA3B81" w:rsidR="00AE4972" w:rsidRPr="002042B2" w:rsidRDefault="00AE4972" w:rsidP="000916C2">
      <w:pPr>
        <w:pStyle w:val="BluefieldBody"/>
        <w:numPr>
          <w:ilvl w:val="0"/>
          <w:numId w:val="12"/>
        </w:numPr>
      </w:pPr>
      <w:r w:rsidRPr="002042B2">
        <w:t>have reviewed the effectiveness of the risk management and internal control systems and no significant failings or weaknesses were identified</w:t>
      </w:r>
      <w:r w:rsidR="00294EA8" w:rsidRPr="002042B2">
        <w:t>.</w:t>
      </w:r>
    </w:p>
    <w:p w14:paraId="46EE2531" w14:textId="77777777" w:rsidR="00E83BE1" w:rsidRPr="002042B2" w:rsidRDefault="00E83BE1" w:rsidP="00E42A95">
      <w:pPr>
        <w:pStyle w:val="BluefieldBody"/>
      </w:pPr>
    </w:p>
    <w:p w14:paraId="3915A0EB" w14:textId="77777777" w:rsidR="007E0068" w:rsidRPr="002042B2" w:rsidRDefault="007E0068" w:rsidP="009E538A">
      <w:pPr>
        <w:jc w:val="both"/>
        <w:rPr>
          <w:rFonts w:cs="Calibri"/>
          <w:b/>
        </w:rPr>
      </w:pPr>
      <w:r w:rsidRPr="002042B2">
        <w:rPr>
          <w:rFonts w:ascii="Georgia" w:hAnsi="Georgia" w:cs="Calibri"/>
          <w:b/>
          <w:color w:val="404040" w:themeColor="text1" w:themeTint="BF"/>
          <w:sz w:val="20"/>
        </w:rPr>
        <w:t xml:space="preserve">Fair, </w:t>
      </w:r>
      <w:r w:rsidR="0068295D" w:rsidRPr="002042B2">
        <w:rPr>
          <w:rFonts w:ascii="Georgia" w:hAnsi="Georgia" w:cs="Calibri"/>
          <w:b/>
          <w:color w:val="404040" w:themeColor="text1" w:themeTint="BF"/>
          <w:sz w:val="20"/>
        </w:rPr>
        <w:t>B</w:t>
      </w:r>
      <w:r w:rsidRPr="002042B2">
        <w:rPr>
          <w:rFonts w:ascii="Georgia" w:hAnsi="Georgia" w:cs="Calibri"/>
          <w:b/>
          <w:color w:val="404040" w:themeColor="text1" w:themeTint="BF"/>
          <w:sz w:val="20"/>
        </w:rPr>
        <w:t xml:space="preserve">alanced and </w:t>
      </w:r>
      <w:r w:rsidR="0068295D" w:rsidRPr="002042B2">
        <w:rPr>
          <w:rFonts w:ascii="Georgia" w:hAnsi="Georgia" w:cs="Calibri"/>
          <w:b/>
          <w:color w:val="404040" w:themeColor="text1" w:themeTint="BF"/>
          <w:sz w:val="20"/>
        </w:rPr>
        <w:t>U</w:t>
      </w:r>
      <w:r w:rsidRPr="002042B2">
        <w:rPr>
          <w:rFonts w:ascii="Georgia" w:hAnsi="Georgia" w:cs="Calibri"/>
          <w:b/>
          <w:color w:val="404040" w:themeColor="text1" w:themeTint="BF"/>
          <w:sz w:val="20"/>
        </w:rPr>
        <w:t>nderstandable</w:t>
      </w:r>
    </w:p>
    <w:p w14:paraId="0DCB223A" w14:textId="77777777" w:rsidR="007E0068" w:rsidRPr="002042B2" w:rsidRDefault="007E0068" w:rsidP="009E538A">
      <w:pPr>
        <w:jc w:val="both"/>
        <w:rPr>
          <w:rFonts w:cs="Calibri"/>
          <w:b/>
        </w:rPr>
      </w:pPr>
    </w:p>
    <w:p w14:paraId="44ECD027" w14:textId="658DDEA5" w:rsidR="007E0068" w:rsidRPr="002042B2" w:rsidRDefault="007E0068" w:rsidP="007E0068">
      <w:pPr>
        <w:pStyle w:val="BluefieldBody"/>
        <w:rPr>
          <w:rFonts w:cs="Calibri"/>
          <w:b/>
        </w:rPr>
      </w:pPr>
      <w:r w:rsidRPr="002042B2">
        <w:t xml:space="preserve">The Board has considered whether the Annual Report </w:t>
      </w:r>
      <w:r w:rsidR="005A3A69" w:rsidRPr="002042B2">
        <w:t xml:space="preserve">taken as a whole </w:t>
      </w:r>
      <w:r w:rsidRPr="002042B2">
        <w:t xml:space="preserve">is fair, balanced and understandable, taking into account the commentary and tone and whether it includes the requisite information needed for </w:t>
      </w:r>
      <w:r w:rsidR="00717933" w:rsidRPr="002042B2">
        <w:t>S</w:t>
      </w:r>
      <w:r w:rsidRPr="002042B2">
        <w:t>hareholders to assess the Company’s business model, performance and strategy. In addition</w:t>
      </w:r>
      <w:r w:rsidR="00294EA8" w:rsidRPr="002042B2">
        <w:t>,</w:t>
      </w:r>
      <w:r w:rsidRPr="002042B2">
        <w:t xml:space="preserve"> the Board also questioned the Investment Adviser on information included and excluded from the Annual Report, and considered whether the narrative at the front of the report is consistent with the financial statements. As a result of this work, each of the Board members considers that the Annual Report is fair, balanced and understandable and includes the re</w:t>
      </w:r>
      <w:r w:rsidR="00717933" w:rsidRPr="002042B2">
        <w:t>quisite information needed for S</w:t>
      </w:r>
      <w:r w:rsidRPr="002042B2">
        <w:t>hareholders to assess the Company’s business model, performance and strategy.</w:t>
      </w:r>
    </w:p>
    <w:p w14:paraId="4BFA5424" w14:textId="77777777" w:rsidR="00E42A95" w:rsidRPr="002042B2" w:rsidRDefault="00E42A95" w:rsidP="00E42A95">
      <w:pPr>
        <w:pStyle w:val="BluefieldBody"/>
        <w:rPr>
          <w:rFonts w:cs="Calibri"/>
        </w:rPr>
      </w:pPr>
    </w:p>
    <w:p w14:paraId="5D7AB91A" w14:textId="77777777" w:rsidR="00E42A95" w:rsidRPr="002042B2" w:rsidRDefault="000F51FA" w:rsidP="00E42A95">
      <w:pPr>
        <w:pStyle w:val="BluefieldBody"/>
        <w:rPr>
          <w:rFonts w:cs="Calibri"/>
          <w:b/>
        </w:rPr>
      </w:pPr>
      <w:r w:rsidRPr="002042B2">
        <w:rPr>
          <w:rFonts w:cs="Calibri"/>
          <w:b/>
        </w:rPr>
        <w:t>Financial Risk</w:t>
      </w:r>
      <w:r w:rsidR="00053614" w:rsidRPr="002042B2">
        <w:rPr>
          <w:rFonts w:cs="Calibri"/>
          <w:b/>
        </w:rPr>
        <w:t>s</w:t>
      </w:r>
      <w:r w:rsidRPr="002042B2">
        <w:rPr>
          <w:rFonts w:cs="Calibri"/>
          <w:b/>
        </w:rPr>
        <w:t xml:space="preserve"> Management Policies and Procedures</w:t>
      </w:r>
    </w:p>
    <w:p w14:paraId="481BF3FC" w14:textId="77777777" w:rsidR="00E42A95" w:rsidRPr="002042B2" w:rsidRDefault="007E0068" w:rsidP="009E538A">
      <w:pPr>
        <w:pStyle w:val="BluefieldBody"/>
        <w:tabs>
          <w:tab w:val="left" w:pos="900"/>
        </w:tabs>
        <w:rPr>
          <w:rFonts w:cs="Calibri"/>
        </w:rPr>
      </w:pPr>
      <w:r w:rsidRPr="002042B2">
        <w:rPr>
          <w:rFonts w:cs="Calibri"/>
        </w:rPr>
        <w:tab/>
      </w:r>
    </w:p>
    <w:p w14:paraId="736BE6B5" w14:textId="5A47E8CA" w:rsidR="00E42A95" w:rsidRPr="002042B2" w:rsidRDefault="000F51FA" w:rsidP="00E42A95">
      <w:pPr>
        <w:pStyle w:val="BluefieldBody"/>
        <w:rPr>
          <w:rFonts w:cs="Calibri"/>
        </w:rPr>
      </w:pPr>
      <w:r w:rsidRPr="002042B2">
        <w:rPr>
          <w:rFonts w:cs="Calibri"/>
        </w:rPr>
        <w:t>Financial Risk</w:t>
      </w:r>
      <w:r w:rsidR="00053614" w:rsidRPr="002042B2">
        <w:rPr>
          <w:rFonts w:cs="Calibri"/>
        </w:rPr>
        <w:t>s</w:t>
      </w:r>
      <w:r w:rsidRPr="002042B2">
        <w:rPr>
          <w:rFonts w:cs="Calibri"/>
        </w:rPr>
        <w:t xml:space="preserve"> Management Policies and Procedures are disclosed in Note 1</w:t>
      </w:r>
      <w:r w:rsidR="00B71251" w:rsidRPr="002042B2">
        <w:rPr>
          <w:rFonts w:cs="Calibri"/>
        </w:rPr>
        <w:t>5</w:t>
      </w:r>
      <w:r w:rsidRPr="002042B2">
        <w:rPr>
          <w:rFonts w:cs="Calibri"/>
        </w:rPr>
        <w:t>.</w:t>
      </w:r>
    </w:p>
    <w:p w14:paraId="0D7E97A2" w14:textId="77777777" w:rsidR="00E42A95" w:rsidRPr="002042B2" w:rsidRDefault="00E42A95" w:rsidP="00E42A95">
      <w:pPr>
        <w:pStyle w:val="BluefieldBody"/>
        <w:rPr>
          <w:rFonts w:cs="Calibri"/>
        </w:rPr>
      </w:pPr>
    </w:p>
    <w:p w14:paraId="4C8BC84A" w14:textId="77777777" w:rsidR="00E42A95" w:rsidRPr="002042B2" w:rsidRDefault="000F51FA" w:rsidP="00E42A95">
      <w:pPr>
        <w:pStyle w:val="BluefieldBody"/>
        <w:rPr>
          <w:rFonts w:cs="Calibri"/>
          <w:b/>
        </w:rPr>
      </w:pPr>
      <w:r w:rsidRPr="002042B2">
        <w:rPr>
          <w:rFonts w:cs="Calibri"/>
          <w:b/>
        </w:rPr>
        <w:t>Principal Risk and Uncertainties</w:t>
      </w:r>
    </w:p>
    <w:p w14:paraId="298F9FB1" w14:textId="77777777" w:rsidR="00E42A95" w:rsidRPr="002042B2" w:rsidRDefault="00E42A95" w:rsidP="00E42A95">
      <w:pPr>
        <w:pStyle w:val="BluefieldBody"/>
        <w:rPr>
          <w:rFonts w:cs="Calibri"/>
        </w:rPr>
      </w:pPr>
    </w:p>
    <w:p w14:paraId="05EE16DB" w14:textId="46380773" w:rsidR="00E42A95" w:rsidRDefault="000F51FA" w:rsidP="00E42A95">
      <w:pPr>
        <w:pStyle w:val="BluefieldBody"/>
        <w:rPr>
          <w:rFonts w:cs="Calibri"/>
        </w:rPr>
      </w:pPr>
      <w:r w:rsidRPr="002042B2">
        <w:rPr>
          <w:rFonts w:cs="Calibri"/>
        </w:rPr>
        <w:t xml:space="preserve">Principal Risk and Uncertainties are discussed in the Strategic Report on pages </w:t>
      </w:r>
      <w:r w:rsidR="002042B2" w:rsidRPr="002042B2">
        <w:t>23</w:t>
      </w:r>
      <w:r w:rsidRPr="002042B2">
        <w:rPr>
          <w:rFonts w:cs="Calibri"/>
        </w:rPr>
        <w:t xml:space="preserve"> to </w:t>
      </w:r>
      <w:r w:rsidR="002042B2" w:rsidRPr="002042B2">
        <w:t>33</w:t>
      </w:r>
      <w:r w:rsidRPr="002042B2">
        <w:rPr>
          <w:rFonts w:cs="Calibri"/>
        </w:rPr>
        <w:t>.</w:t>
      </w:r>
    </w:p>
    <w:p w14:paraId="19EF82F6" w14:textId="77777777" w:rsidR="00E42A95" w:rsidRDefault="00E42A95" w:rsidP="00E42A95">
      <w:pPr>
        <w:pStyle w:val="BluefieldBody"/>
        <w:rPr>
          <w:rFonts w:cs="Calibri"/>
        </w:rPr>
      </w:pPr>
    </w:p>
    <w:p w14:paraId="5FA3190F" w14:textId="77777777" w:rsidR="009D20D5" w:rsidRDefault="009D20D5" w:rsidP="00E42A95">
      <w:pPr>
        <w:pStyle w:val="BluefieldBody"/>
        <w:rPr>
          <w:rFonts w:cs="Calibri"/>
          <w:b/>
        </w:rPr>
      </w:pPr>
    </w:p>
    <w:p w14:paraId="1BCC80EE" w14:textId="77777777" w:rsidR="002B698F" w:rsidRDefault="002B698F" w:rsidP="00AE4972">
      <w:pPr>
        <w:pStyle w:val="BluefieldBody"/>
        <w:rPr>
          <w:highlight w:val="yellow"/>
        </w:rPr>
      </w:pPr>
    </w:p>
    <w:p w14:paraId="77C8231F" w14:textId="77777777" w:rsidR="00B46925" w:rsidRDefault="00B46925" w:rsidP="00AE4972">
      <w:pPr>
        <w:pStyle w:val="BluefieldBody"/>
        <w:rPr>
          <w:highlight w:val="yellow"/>
        </w:rPr>
      </w:pPr>
    </w:p>
    <w:p w14:paraId="6E663B85" w14:textId="77777777" w:rsidR="007E0068" w:rsidRDefault="007E0068" w:rsidP="007E0068">
      <w:pPr>
        <w:pStyle w:val="Heading2"/>
        <w:spacing w:before="0"/>
      </w:pPr>
      <w:r>
        <w:lastRenderedPageBreak/>
        <w:t>Report of the Directors (continued)</w:t>
      </w:r>
    </w:p>
    <w:p w14:paraId="63064D55" w14:textId="77777777" w:rsidR="007E0068" w:rsidRDefault="007E0068" w:rsidP="007E0068">
      <w:pPr>
        <w:pStyle w:val="BluefieldBody"/>
        <w:rPr>
          <w:rFonts w:cs="Calibri"/>
          <w:b/>
        </w:rPr>
      </w:pPr>
    </w:p>
    <w:p w14:paraId="25ACBD3B" w14:textId="77777777" w:rsidR="00E42A95" w:rsidRDefault="000F51FA" w:rsidP="00E42A95">
      <w:pPr>
        <w:pStyle w:val="BluefieldBody"/>
        <w:rPr>
          <w:rFonts w:cs="Calibri"/>
          <w:b/>
        </w:rPr>
      </w:pPr>
      <w:r w:rsidRPr="006130D4">
        <w:rPr>
          <w:rFonts w:cs="Calibri"/>
          <w:b/>
        </w:rPr>
        <w:t>Annual General Meeting</w:t>
      </w:r>
    </w:p>
    <w:p w14:paraId="6EE45566" w14:textId="77777777" w:rsidR="00E42A95" w:rsidRDefault="00E42A95" w:rsidP="00E42A95">
      <w:pPr>
        <w:pStyle w:val="BluefieldBody"/>
        <w:rPr>
          <w:rFonts w:cs="Calibri"/>
        </w:rPr>
      </w:pPr>
    </w:p>
    <w:p w14:paraId="48AD2982" w14:textId="7D25F491" w:rsidR="00E42A95" w:rsidRDefault="000F51FA" w:rsidP="00E42A95">
      <w:pPr>
        <w:pStyle w:val="BluefieldBody"/>
        <w:rPr>
          <w:rFonts w:cs="Calibri"/>
        </w:rPr>
      </w:pPr>
      <w:r w:rsidRPr="00004665">
        <w:rPr>
          <w:rFonts w:cs="Calibri"/>
        </w:rPr>
        <w:t xml:space="preserve">The </w:t>
      </w:r>
      <w:r>
        <w:rPr>
          <w:rFonts w:cs="Calibri"/>
        </w:rPr>
        <w:t>AGM</w:t>
      </w:r>
      <w:r w:rsidRPr="00004665">
        <w:rPr>
          <w:rFonts w:cs="Calibri"/>
        </w:rPr>
        <w:t xml:space="preserve"> of the Company will be </w:t>
      </w:r>
      <w:r w:rsidRPr="002F26A8">
        <w:rPr>
          <w:rFonts w:cs="Calibri"/>
        </w:rPr>
        <w:t xml:space="preserve">held </w:t>
      </w:r>
      <w:r w:rsidR="00B05D19" w:rsidRPr="002F26A8">
        <w:rPr>
          <w:rFonts w:cs="Calibri"/>
        </w:rPr>
        <w:t xml:space="preserve">on </w:t>
      </w:r>
      <w:r w:rsidR="003F4F7B" w:rsidRPr="002F26A8">
        <w:t>26</w:t>
      </w:r>
      <w:r w:rsidR="00F7371C" w:rsidRPr="002F26A8">
        <w:t xml:space="preserve"> November</w:t>
      </w:r>
      <w:r w:rsidR="00CC55B6" w:rsidRPr="00065A68">
        <w:rPr>
          <w:rFonts w:cs="Calibri"/>
        </w:rPr>
        <w:t xml:space="preserve"> </w:t>
      </w:r>
      <w:r w:rsidR="00904E51">
        <w:rPr>
          <w:rFonts w:cs="Calibri"/>
        </w:rPr>
        <w:t>2020</w:t>
      </w:r>
      <w:r w:rsidRPr="00286C11">
        <w:rPr>
          <w:rFonts w:cs="Calibri"/>
        </w:rPr>
        <w:t xml:space="preserve"> at</w:t>
      </w:r>
      <w:r w:rsidR="00EC316D">
        <w:rPr>
          <w:rFonts w:cs="Calibri"/>
        </w:rPr>
        <w:t xml:space="preserve"> </w:t>
      </w:r>
      <w:r w:rsidR="00440AC9">
        <w:rPr>
          <w:rFonts w:cs="Calibri"/>
        </w:rPr>
        <w:t xml:space="preserve">Floor 2, </w:t>
      </w:r>
      <w:r w:rsidR="00EC316D">
        <w:rPr>
          <w:rFonts w:cs="Calibri"/>
        </w:rPr>
        <w:t xml:space="preserve">Trafalgar Court, Les </w:t>
      </w:r>
      <w:proofErr w:type="spellStart"/>
      <w:r w:rsidR="00EC316D">
        <w:rPr>
          <w:rFonts w:cs="Calibri"/>
        </w:rPr>
        <w:t>Banques</w:t>
      </w:r>
      <w:proofErr w:type="spellEnd"/>
      <w:r w:rsidRPr="00004665">
        <w:rPr>
          <w:rFonts w:cs="Calibri"/>
        </w:rPr>
        <w:t xml:space="preserve">, St Peter Port, Guernsey. Details of the </w:t>
      </w:r>
      <w:r w:rsidRPr="00286C11">
        <w:rPr>
          <w:rFonts w:cs="Calibri"/>
        </w:rPr>
        <w:t>resolutions to be proposed at</w:t>
      </w:r>
      <w:r w:rsidRPr="00004665">
        <w:rPr>
          <w:rFonts w:cs="Calibri"/>
        </w:rPr>
        <w:t xml:space="preserve"> the AGM, together with explanations, will appear in the Notice</w:t>
      </w:r>
      <w:r>
        <w:rPr>
          <w:rFonts w:cs="Calibri"/>
        </w:rPr>
        <w:t xml:space="preserve"> of Meeting</w:t>
      </w:r>
      <w:r w:rsidRPr="00004665">
        <w:rPr>
          <w:rFonts w:cs="Calibri"/>
        </w:rPr>
        <w:t xml:space="preserve"> to be distributed to </w:t>
      </w:r>
      <w:r w:rsidR="00E3169C">
        <w:rPr>
          <w:rFonts w:cs="Calibri"/>
        </w:rPr>
        <w:t>S</w:t>
      </w:r>
      <w:r w:rsidRPr="00004665">
        <w:rPr>
          <w:rFonts w:cs="Calibri"/>
        </w:rPr>
        <w:t>hareholders together with this Annual Report.</w:t>
      </w:r>
    </w:p>
    <w:p w14:paraId="361E3904" w14:textId="77777777" w:rsidR="00E42A95" w:rsidRDefault="00E42A95" w:rsidP="00E42A95">
      <w:pPr>
        <w:pStyle w:val="BluefieldBody"/>
        <w:rPr>
          <w:rFonts w:cs="Calibri"/>
        </w:rPr>
      </w:pPr>
    </w:p>
    <w:p w14:paraId="407E31A9" w14:textId="77777777" w:rsidR="00E42A95" w:rsidRDefault="000F51FA" w:rsidP="00E42A95">
      <w:pPr>
        <w:pStyle w:val="BluefieldBody"/>
        <w:rPr>
          <w:rFonts w:cs="Calibri"/>
        </w:rPr>
      </w:pPr>
      <w:r w:rsidRPr="00004665">
        <w:rPr>
          <w:rFonts w:cs="Calibri"/>
        </w:rPr>
        <w:t>Members of the Board will be in attendance at the AGM and will be available to answer shareholder questions.</w:t>
      </w:r>
    </w:p>
    <w:p w14:paraId="4443E6C1" w14:textId="77777777" w:rsidR="000F51FA" w:rsidRPr="00004665" w:rsidRDefault="000F51FA" w:rsidP="000F51FA">
      <w:pPr>
        <w:jc w:val="both"/>
        <w:rPr>
          <w:rFonts w:ascii="Georgia" w:hAnsi="Georgia" w:cs="Calibri"/>
          <w:color w:val="404040" w:themeColor="text1" w:themeTint="BF"/>
          <w:sz w:val="20"/>
        </w:rPr>
      </w:pPr>
    </w:p>
    <w:p w14:paraId="7BF84317" w14:textId="77777777" w:rsidR="000F51FA" w:rsidRPr="00004665" w:rsidRDefault="000F51FA" w:rsidP="000F51FA">
      <w:pPr>
        <w:jc w:val="both"/>
        <w:rPr>
          <w:rFonts w:ascii="Georgia" w:hAnsi="Georgia" w:cs="Calibri"/>
          <w:color w:val="404040" w:themeColor="text1" w:themeTint="BF"/>
          <w:sz w:val="20"/>
        </w:rPr>
      </w:pPr>
    </w:p>
    <w:p w14:paraId="7E32C668" w14:textId="77777777" w:rsidR="000F51FA" w:rsidRPr="00004665" w:rsidRDefault="000F51FA" w:rsidP="000F51FA">
      <w:pPr>
        <w:jc w:val="both"/>
        <w:rPr>
          <w:rFonts w:ascii="Georgia" w:hAnsi="Georgia" w:cs="Calibri"/>
          <w:color w:val="404040" w:themeColor="text1" w:themeTint="BF"/>
          <w:sz w:val="20"/>
        </w:rPr>
      </w:pPr>
      <w:r w:rsidRPr="00004665">
        <w:rPr>
          <w:rFonts w:ascii="Georgia" w:hAnsi="Georgia" w:cs="Calibri"/>
          <w:color w:val="404040" w:themeColor="text1" w:themeTint="BF"/>
          <w:sz w:val="20"/>
        </w:rPr>
        <w:t>By order of the Board</w:t>
      </w:r>
    </w:p>
    <w:p w14:paraId="334404B7" w14:textId="070606AC" w:rsidR="000F51FA" w:rsidRPr="00004665" w:rsidRDefault="000F51FA" w:rsidP="000F51FA">
      <w:pPr>
        <w:jc w:val="both"/>
        <w:rPr>
          <w:rFonts w:ascii="Georgia" w:hAnsi="Georgia" w:cs="Calibri"/>
          <w:color w:val="404040" w:themeColor="text1" w:themeTint="B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0"/>
        <w:gridCol w:w="3170"/>
      </w:tblGrid>
      <w:tr w:rsidR="009A54A0" w:rsidRPr="00E619BC" w14:paraId="73DD23B1" w14:textId="77777777" w:rsidTr="00921098">
        <w:tc>
          <w:tcPr>
            <w:tcW w:w="6345" w:type="dxa"/>
          </w:tcPr>
          <w:p w14:paraId="030EE48F" w14:textId="77777777" w:rsidR="009A54A0" w:rsidRPr="001B56EC" w:rsidRDefault="009A54A0" w:rsidP="00921098">
            <w:pPr>
              <w:jc w:val="both"/>
              <w:rPr>
                <w:rFonts w:ascii="Georgia" w:hAnsi="Georgia" w:cs="Calibri"/>
                <w:b/>
                <w:color w:val="404040" w:themeColor="text1" w:themeTint="BF"/>
                <w:sz w:val="20"/>
              </w:rPr>
            </w:pPr>
          </w:p>
          <w:p w14:paraId="6D62FB91" w14:textId="77777777" w:rsidR="009A54A0" w:rsidRPr="001B56EC" w:rsidRDefault="009A54A0" w:rsidP="00921098">
            <w:pPr>
              <w:jc w:val="both"/>
              <w:rPr>
                <w:rFonts w:ascii="Georgia" w:hAnsi="Georgia" w:cs="Calibri"/>
                <w:b/>
                <w:color w:val="404040" w:themeColor="text1" w:themeTint="BF"/>
                <w:sz w:val="20"/>
              </w:rPr>
            </w:pPr>
          </w:p>
          <w:p w14:paraId="0959DDAC" w14:textId="77777777" w:rsidR="009A54A0" w:rsidRPr="001B56EC" w:rsidRDefault="009A54A0" w:rsidP="00921098">
            <w:pPr>
              <w:jc w:val="both"/>
              <w:rPr>
                <w:rFonts w:ascii="Georgia" w:hAnsi="Georgia" w:cs="Calibri"/>
                <w:b/>
                <w:color w:val="404040" w:themeColor="text1" w:themeTint="BF"/>
                <w:sz w:val="20"/>
              </w:rPr>
            </w:pPr>
            <w:r w:rsidRPr="001B56EC">
              <w:rPr>
                <w:rFonts w:ascii="Georgia" w:hAnsi="Georgia" w:cs="Calibri"/>
                <w:b/>
                <w:color w:val="404040" w:themeColor="text1" w:themeTint="BF"/>
                <w:sz w:val="20"/>
              </w:rPr>
              <w:t>Paul Le Page</w:t>
            </w:r>
          </w:p>
        </w:tc>
        <w:tc>
          <w:tcPr>
            <w:tcW w:w="3231" w:type="dxa"/>
          </w:tcPr>
          <w:p w14:paraId="5799BA91" w14:textId="77777777" w:rsidR="009A54A0" w:rsidRPr="001B56EC" w:rsidRDefault="009A54A0" w:rsidP="00921098">
            <w:pPr>
              <w:jc w:val="both"/>
              <w:rPr>
                <w:rFonts w:ascii="Georgia" w:hAnsi="Georgia" w:cs="Calibri"/>
                <w:b/>
                <w:color w:val="404040" w:themeColor="text1" w:themeTint="BF"/>
                <w:sz w:val="20"/>
              </w:rPr>
            </w:pPr>
          </w:p>
          <w:p w14:paraId="3F973786" w14:textId="77777777" w:rsidR="009A54A0" w:rsidRPr="001B56EC" w:rsidRDefault="009A54A0" w:rsidP="00921098">
            <w:pPr>
              <w:jc w:val="both"/>
              <w:rPr>
                <w:rFonts w:ascii="Georgia" w:hAnsi="Georgia" w:cs="Calibri"/>
                <w:b/>
                <w:color w:val="404040" w:themeColor="text1" w:themeTint="BF"/>
                <w:sz w:val="20"/>
              </w:rPr>
            </w:pPr>
          </w:p>
          <w:p w14:paraId="2739EA45" w14:textId="77777777" w:rsidR="009A54A0" w:rsidRPr="001B56EC" w:rsidRDefault="009A54A0" w:rsidP="00921098">
            <w:pPr>
              <w:jc w:val="both"/>
              <w:rPr>
                <w:rFonts w:ascii="Georgia" w:hAnsi="Georgia" w:cs="Calibri"/>
                <w:b/>
                <w:color w:val="404040" w:themeColor="text1" w:themeTint="BF"/>
                <w:sz w:val="20"/>
              </w:rPr>
            </w:pPr>
            <w:r w:rsidRPr="001B56EC">
              <w:rPr>
                <w:rFonts w:ascii="Georgia" w:hAnsi="Georgia" w:cs="Calibri"/>
                <w:b/>
                <w:color w:val="404040" w:themeColor="text1" w:themeTint="BF"/>
                <w:sz w:val="20"/>
              </w:rPr>
              <w:t>Laurence McNairn</w:t>
            </w:r>
          </w:p>
        </w:tc>
      </w:tr>
      <w:tr w:rsidR="009A54A0" w:rsidRPr="00E619BC" w14:paraId="20FBC0D8" w14:textId="77777777" w:rsidTr="00921098">
        <w:tc>
          <w:tcPr>
            <w:tcW w:w="6345" w:type="dxa"/>
          </w:tcPr>
          <w:p w14:paraId="05AF3A36" w14:textId="77777777" w:rsidR="009A54A0" w:rsidRPr="001B56EC" w:rsidRDefault="009A54A0" w:rsidP="00921098">
            <w:pPr>
              <w:jc w:val="both"/>
              <w:rPr>
                <w:rFonts w:ascii="Georgia" w:hAnsi="Georgia" w:cs="Calibri"/>
                <w:color w:val="404040" w:themeColor="text1" w:themeTint="BF"/>
                <w:sz w:val="20"/>
              </w:rPr>
            </w:pPr>
            <w:r w:rsidRPr="001B56EC">
              <w:rPr>
                <w:rFonts w:ascii="Georgia" w:hAnsi="Georgia" w:cs="Calibri"/>
                <w:color w:val="404040" w:themeColor="text1" w:themeTint="BF"/>
                <w:sz w:val="20"/>
              </w:rPr>
              <w:t>Director</w:t>
            </w:r>
          </w:p>
        </w:tc>
        <w:tc>
          <w:tcPr>
            <w:tcW w:w="3231" w:type="dxa"/>
          </w:tcPr>
          <w:p w14:paraId="2E58D54D" w14:textId="77777777" w:rsidR="009A54A0" w:rsidRPr="001B56EC" w:rsidRDefault="009A54A0" w:rsidP="00921098">
            <w:pPr>
              <w:jc w:val="both"/>
              <w:rPr>
                <w:rFonts w:ascii="Georgia" w:hAnsi="Georgia" w:cs="Calibri"/>
                <w:color w:val="404040" w:themeColor="text1" w:themeTint="BF"/>
                <w:sz w:val="20"/>
              </w:rPr>
            </w:pPr>
            <w:r w:rsidRPr="001B56EC">
              <w:rPr>
                <w:rFonts w:ascii="Georgia" w:hAnsi="Georgia" w:cs="Calibri"/>
                <w:color w:val="404040" w:themeColor="text1" w:themeTint="BF"/>
                <w:sz w:val="20"/>
              </w:rPr>
              <w:t>Director</w:t>
            </w:r>
          </w:p>
        </w:tc>
      </w:tr>
      <w:tr w:rsidR="009A54A0" w:rsidRPr="00066627" w14:paraId="757DF8EA" w14:textId="77777777" w:rsidTr="00921098">
        <w:tc>
          <w:tcPr>
            <w:tcW w:w="6345" w:type="dxa"/>
          </w:tcPr>
          <w:p w14:paraId="7521D816" w14:textId="32757FF9" w:rsidR="009A54A0" w:rsidRPr="00851867" w:rsidRDefault="00851867" w:rsidP="00921098">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9A54A0" w:rsidRPr="00851867">
              <w:rPr>
                <w:rFonts w:ascii="Georgia" w:hAnsi="Georgia" w:cs="Calibri"/>
                <w:color w:val="404040" w:themeColor="text1" w:themeTint="BF"/>
                <w:sz w:val="20"/>
              </w:rPr>
              <w:t xml:space="preserve"> September </w:t>
            </w:r>
            <w:r w:rsidR="00904E51" w:rsidRPr="00851867">
              <w:rPr>
                <w:rFonts w:ascii="Georgia" w:hAnsi="Georgia" w:cs="Calibri"/>
                <w:color w:val="404040" w:themeColor="text1" w:themeTint="BF"/>
                <w:sz w:val="20"/>
              </w:rPr>
              <w:t>2020</w:t>
            </w:r>
          </w:p>
        </w:tc>
        <w:tc>
          <w:tcPr>
            <w:tcW w:w="3231" w:type="dxa"/>
          </w:tcPr>
          <w:p w14:paraId="2E6BB7FC" w14:textId="1F3341F9" w:rsidR="009A54A0" w:rsidRPr="00851867" w:rsidRDefault="00851867" w:rsidP="00921098">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9A54A0" w:rsidRPr="00851867">
              <w:rPr>
                <w:rFonts w:ascii="Georgia" w:hAnsi="Georgia" w:cs="Calibri"/>
                <w:color w:val="404040" w:themeColor="text1" w:themeTint="BF"/>
                <w:sz w:val="20"/>
              </w:rPr>
              <w:t xml:space="preserve"> September </w:t>
            </w:r>
            <w:r w:rsidR="00904E51" w:rsidRPr="00851867">
              <w:rPr>
                <w:rFonts w:ascii="Georgia" w:hAnsi="Georgia" w:cs="Calibri"/>
                <w:color w:val="404040" w:themeColor="text1" w:themeTint="BF"/>
                <w:sz w:val="20"/>
              </w:rPr>
              <w:t>2020</w:t>
            </w:r>
          </w:p>
        </w:tc>
      </w:tr>
    </w:tbl>
    <w:p w14:paraId="0BA3A301" w14:textId="77777777" w:rsidR="00C45343" w:rsidRDefault="000F51FA" w:rsidP="00E85EF6">
      <w:pPr>
        <w:pStyle w:val="Heading2"/>
        <w:spacing w:before="0"/>
      </w:pPr>
      <w:r>
        <w:br w:type="page"/>
      </w:r>
      <w:r w:rsidR="00D5010F">
        <w:lastRenderedPageBreak/>
        <w:t>Board of Directors</w:t>
      </w:r>
    </w:p>
    <w:p w14:paraId="1FB1035B" w14:textId="77777777" w:rsidR="000F51FA" w:rsidRDefault="000F51FA" w:rsidP="000F51FA">
      <w:pPr>
        <w:jc w:val="both"/>
        <w:rPr>
          <w:rFonts w:ascii="Georgia" w:hAnsi="Georgia" w:cs="Calibri"/>
          <w:b/>
          <w:color w:val="404040" w:themeColor="text1" w:themeTint="BF"/>
          <w:sz w:val="20"/>
        </w:rPr>
      </w:pPr>
    </w:p>
    <w:p w14:paraId="64DA710E" w14:textId="77777777" w:rsidR="000F51FA" w:rsidRDefault="000F51FA" w:rsidP="000F51FA">
      <w:pPr>
        <w:autoSpaceDE w:val="0"/>
        <w:autoSpaceDN w:val="0"/>
        <w:adjustRightInd w:val="0"/>
        <w:rPr>
          <w:rFonts w:ascii="Georgia" w:hAnsi="Georgia" w:cs="Calibri"/>
          <w:b/>
          <w:color w:val="404040" w:themeColor="text1" w:themeTint="BF"/>
          <w:sz w:val="20"/>
        </w:rPr>
      </w:pPr>
      <w:r w:rsidRPr="007F1DA2">
        <w:rPr>
          <w:rFonts w:ascii="Georgia" w:hAnsi="Georgia" w:cs="Calibri"/>
          <w:b/>
          <w:color w:val="404040" w:themeColor="text1" w:themeTint="BF"/>
          <w:sz w:val="20"/>
        </w:rPr>
        <w:t>John Rennocks (Chairman)</w:t>
      </w:r>
    </w:p>
    <w:p w14:paraId="2B300C5D" w14:textId="77777777" w:rsidR="000F51FA" w:rsidRPr="007F1DA2" w:rsidRDefault="000F51FA" w:rsidP="000F51FA">
      <w:pPr>
        <w:autoSpaceDE w:val="0"/>
        <w:autoSpaceDN w:val="0"/>
        <w:adjustRightInd w:val="0"/>
        <w:rPr>
          <w:rFonts w:ascii="Georgia" w:hAnsi="Georgia" w:cs="Calibri"/>
          <w:b/>
          <w:color w:val="404040" w:themeColor="text1" w:themeTint="BF"/>
          <w:sz w:val="20"/>
        </w:rPr>
      </w:pPr>
    </w:p>
    <w:p w14:paraId="42F220CE" w14:textId="0129BA00" w:rsidR="00E42A95" w:rsidRDefault="004E0FAD" w:rsidP="00E42A95">
      <w:pPr>
        <w:pStyle w:val="BluefieldBody"/>
      </w:pPr>
      <w:r>
        <w:t xml:space="preserve">John Rennocks </w:t>
      </w:r>
      <w:r w:rsidR="00965668">
        <w:t xml:space="preserve">was appointed as non-executive Chairman on </w:t>
      </w:r>
      <w:r w:rsidR="00965668" w:rsidRPr="00F42D41">
        <w:t>12 June 2013</w:t>
      </w:r>
      <w:r w:rsidR="00965668">
        <w:t xml:space="preserve"> and </w:t>
      </w:r>
      <w:r>
        <w:t xml:space="preserve">is Chairman of </w:t>
      </w:r>
      <w:proofErr w:type="spellStart"/>
      <w:r>
        <w:t>Utilico</w:t>
      </w:r>
      <w:proofErr w:type="spellEnd"/>
      <w:r>
        <w:t xml:space="preserve"> Emerging Markets, an investor in infrastructure and related assets in emerging markets and AFC Energy plc, a developer and manufacturer of alkaline fuel cells. </w:t>
      </w:r>
      <w:r w:rsidRPr="000C6B0F">
        <w:t>He has broad experience in emerging energy sources, suppo</w:t>
      </w:r>
      <w:r>
        <w:t xml:space="preserve">rt services and manufacturing.  </w:t>
      </w:r>
      <w:r w:rsidRPr="000C6B0F">
        <w:t xml:space="preserve">Mr Rennocks previously served as a non-executive </w:t>
      </w:r>
      <w:r>
        <w:t xml:space="preserve">director of </w:t>
      </w:r>
      <w:proofErr w:type="spellStart"/>
      <w:r>
        <w:t>Greenko</w:t>
      </w:r>
      <w:proofErr w:type="spellEnd"/>
      <w:r>
        <w:t xml:space="preserve"> Group plc, a developer and operator of hydro and wind power plants in India, non-executive </w:t>
      </w:r>
      <w:r w:rsidRPr="000C6B0F">
        <w:t>deputy chairman of Inmarsat plc</w:t>
      </w:r>
      <w:r>
        <w:t xml:space="preserve">, </w:t>
      </w:r>
      <w:r w:rsidRPr="000C6B0F">
        <w:t xml:space="preserve">a non-executive director of Foreign &amp; Colonial Investment Trust plc, as well as several other public and private companies, and as Executive Director-Finance for Smith &amp; Nephew plc, </w:t>
      </w:r>
      <w:proofErr w:type="spellStart"/>
      <w:r w:rsidRPr="000C6B0F">
        <w:t>Powergen</w:t>
      </w:r>
      <w:proofErr w:type="spellEnd"/>
      <w:r w:rsidRPr="000C6B0F">
        <w:t xml:space="preserve"> plc and British Steel plc/Corus Group plc.  Mr Rennocks is a Fellow of the Institute of Chartered Accountants of England and Wales.</w:t>
      </w:r>
    </w:p>
    <w:p w14:paraId="52A72C8C" w14:textId="77777777" w:rsidR="004E0FAD" w:rsidRDefault="004E0FAD" w:rsidP="00E42A95">
      <w:pPr>
        <w:pStyle w:val="BluefieldBody"/>
        <w:rPr>
          <w:rFonts w:cs="Calibri"/>
        </w:rPr>
      </w:pPr>
    </w:p>
    <w:p w14:paraId="5DE164F6" w14:textId="77777777" w:rsidR="00E42A95" w:rsidRDefault="000F51FA" w:rsidP="00E42A95">
      <w:pPr>
        <w:pStyle w:val="BluefieldBody"/>
        <w:rPr>
          <w:rFonts w:cs="Calibri"/>
          <w:b/>
        </w:rPr>
      </w:pPr>
      <w:r w:rsidRPr="000C6B0F">
        <w:rPr>
          <w:rFonts w:cs="Calibri"/>
          <w:b/>
        </w:rPr>
        <w:t>John Scott (Senior Independent Director)</w:t>
      </w:r>
    </w:p>
    <w:p w14:paraId="2AEB2150" w14:textId="77777777" w:rsidR="00E42A95" w:rsidRDefault="00E42A95" w:rsidP="00E42A95">
      <w:pPr>
        <w:pStyle w:val="BluefieldBody"/>
        <w:rPr>
          <w:rFonts w:cs="Calibri"/>
        </w:rPr>
      </w:pPr>
    </w:p>
    <w:p w14:paraId="57256C99" w14:textId="52096342" w:rsidR="00933250" w:rsidRPr="00933250" w:rsidRDefault="00933250" w:rsidP="00933250">
      <w:pPr>
        <w:jc w:val="both"/>
        <w:rPr>
          <w:rFonts w:ascii="Georgia" w:hAnsi="Georgia"/>
          <w:color w:val="404040" w:themeColor="text1" w:themeTint="BF"/>
          <w:sz w:val="20"/>
          <w:szCs w:val="20"/>
        </w:rPr>
      </w:pPr>
      <w:r w:rsidRPr="00933250">
        <w:rPr>
          <w:rFonts w:ascii="Georgia" w:hAnsi="Georgia"/>
          <w:color w:val="404040" w:themeColor="text1" w:themeTint="BF"/>
          <w:sz w:val="20"/>
          <w:szCs w:val="20"/>
        </w:rPr>
        <w:t xml:space="preserve">John Scott </w:t>
      </w:r>
      <w:r w:rsidR="00965668" w:rsidRPr="00965668">
        <w:rPr>
          <w:rFonts w:ascii="Georgia" w:hAnsi="Georgia"/>
          <w:color w:val="404040" w:themeColor="text1" w:themeTint="BF"/>
          <w:sz w:val="20"/>
          <w:szCs w:val="20"/>
        </w:rPr>
        <w:t xml:space="preserve">was appointed as a non-executive director of the Company on </w:t>
      </w:r>
      <w:r w:rsidR="00965668" w:rsidRPr="00F42D41">
        <w:rPr>
          <w:rFonts w:ascii="Georgia" w:hAnsi="Georgia"/>
          <w:color w:val="404040" w:themeColor="text1" w:themeTint="BF"/>
          <w:sz w:val="20"/>
          <w:szCs w:val="20"/>
        </w:rPr>
        <w:t>12 June 2013</w:t>
      </w:r>
      <w:r w:rsidR="00965668" w:rsidRPr="000C6B0F">
        <w:t xml:space="preserve"> </w:t>
      </w:r>
      <w:r w:rsidR="005C7206" w:rsidRPr="005C7206">
        <w:rPr>
          <w:rFonts w:ascii="Georgia" w:hAnsi="Georgia"/>
          <w:color w:val="404040" w:themeColor="text1" w:themeTint="BF"/>
          <w:sz w:val="20"/>
          <w:szCs w:val="20"/>
        </w:rPr>
        <w:t xml:space="preserve">and </w:t>
      </w:r>
      <w:r w:rsidRPr="00933250">
        <w:rPr>
          <w:rFonts w:ascii="Georgia" w:hAnsi="Georgia"/>
          <w:color w:val="404040" w:themeColor="text1" w:themeTint="BF"/>
          <w:sz w:val="20"/>
          <w:szCs w:val="20"/>
        </w:rPr>
        <w:t xml:space="preserve">is a former investment banker who spent 20 years with Lazard and is currently a director of several investment trusts.  Mr Scott has been Chairman of </w:t>
      </w:r>
      <w:proofErr w:type="spellStart"/>
      <w:r w:rsidRPr="00933250">
        <w:rPr>
          <w:rFonts w:ascii="Georgia" w:hAnsi="Georgia"/>
          <w:color w:val="404040" w:themeColor="text1" w:themeTint="BF"/>
          <w:sz w:val="20"/>
          <w:szCs w:val="20"/>
        </w:rPr>
        <w:t>Impax</w:t>
      </w:r>
      <w:proofErr w:type="spellEnd"/>
      <w:r w:rsidRPr="00933250">
        <w:rPr>
          <w:rFonts w:ascii="Georgia" w:hAnsi="Georgia"/>
          <w:color w:val="404040" w:themeColor="text1" w:themeTint="BF"/>
          <w:sz w:val="20"/>
          <w:szCs w:val="20"/>
        </w:rPr>
        <w:t xml:space="preserve"> Environmental Markets plc since May 2014 and Chairman of Alpha Insu</w:t>
      </w:r>
      <w:r w:rsidR="00294EA8">
        <w:rPr>
          <w:rFonts w:ascii="Georgia" w:hAnsi="Georgia"/>
          <w:color w:val="404040" w:themeColor="text1" w:themeTint="BF"/>
          <w:sz w:val="20"/>
          <w:szCs w:val="20"/>
        </w:rPr>
        <w:t>rance Analysts since April 2013. I</w:t>
      </w:r>
      <w:r w:rsidRPr="00933250">
        <w:rPr>
          <w:rFonts w:ascii="Georgia" w:hAnsi="Georgia"/>
          <w:color w:val="404040" w:themeColor="text1" w:themeTint="BF"/>
          <w:sz w:val="20"/>
          <w:szCs w:val="20"/>
        </w:rPr>
        <w:t xml:space="preserve">n May </w:t>
      </w:r>
      <w:r w:rsidR="00596471">
        <w:rPr>
          <w:rFonts w:ascii="Georgia" w:hAnsi="Georgia"/>
          <w:color w:val="404040" w:themeColor="text1" w:themeTint="BF"/>
          <w:sz w:val="20"/>
          <w:szCs w:val="20"/>
        </w:rPr>
        <w:t>201</w:t>
      </w:r>
      <w:r w:rsidR="004E1D20">
        <w:rPr>
          <w:rFonts w:ascii="Georgia" w:hAnsi="Georgia"/>
          <w:color w:val="404040" w:themeColor="text1" w:themeTint="BF"/>
          <w:sz w:val="20"/>
          <w:szCs w:val="20"/>
        </w:rPr>
        <w:t>7</w:t>
      </w:r>
      <w:r w:rsidR="00294EA8">
        <w:rPr>
          <w:rFonts w:ascii="Georgia" w:hAnsi="Georgia"/>
          <w:color w:val="404040" w:themeColor="text1" w:themeTint="BF"/>
          <w:sz w:val="20"/>
          <w:szCs w:val="20"/>
        </w:rPr>
        <w:t>,</w:t>
      </w:r>
      <w:r w:rsidRPr="00933250">
        <w:rPr>
          <w:rFonts w:ascii="Georgia" w:hAnsi="Georgia"/>
          <w:color w:val="404040" w:themeColor="text1" w:themeTint="BF"/>
          <w:sz w:val="20"/>
          <w:szCs w:val="20"/>
        </w:rPr>
        <w:t xml:space="preserve"> he was appointed Chairman of Jupiter Emerging and Frontiers Income Trust. In June </w:t>
      </w:r>
      <w:r w:rsidR="004E1D20">
        <w:rPr>
          <w:rFonts w:ascii="Georgia" w:hAnsi="Georgia"/>
          <w:color w:val="404040" w:themeColor="text1" w:themeTint="BF"/>
          <w:sz w:val="20"/>
          <w:szCs w:val="20"/>
        </w:rPr>
        <w:t>2017</w:t>
      </w:r>
      <w:r w:rsidR="00294EA8">
        <w:rPr>
          <w:rFonts w:ascii="Georgia" w:hAnsi="Georgia"/>
          <w:color w:val="404040" w:themeColor="text1" w:themeTint="BF"/>
          <w:sz w:val="20"/>
          <w:szCs w:val="20"/>
        </w:rPr>
        <w:t>,</w:t>
      </w:r>
      <w:r w:rsidRPr="00933250">
        <w:rPr>
          <w:rFonts w:ascii="Georgia" w:hAnsi="Georgia"/>
          <w:color w:val="404040" w:themeColor="text1" w:themeTint="BF"/>
          <w:sz w:val="20"/>
          <w:szCs w:val="20"/>
        </w:rPr>
        <w:t xml:space="preserve"> he retired as Chairman of Scottish Mortgage Investment Trust PLC after 8 years and, until the company’s sale in March 2013, he was Deputy Chairman of </w:t>
      </w:r>
      <w:proofErr w:type="spellStart"/>
      <w:r w:rsidRPr="00933250">
        <w:rPr>
          <w:rFonts w:ascii="Georgia" w:hAnsi="Georgia"/>
          <w:color w:val="404040" w:themeColor="text1" w:themeTint="BF"/>
          <w:sz w:val="20"/>
          <w:szCs w:val="20"/>
        </w:rPr>
        <w:t>Endace</w:t>
      </w:r>
      <w:proofErr w:type="spellEnd"/>
      <w:r w:rsidRPr="00933250">
        <w:rPr>
          <w:rFonts w:ascii="Georgia" w:hAnsi="Georgia"/>
          <w:color w:val="404040" w:themeColor="text1" w:themeTint="BF"/>
          <w:sz w:val="20"/>
          <w:szCs w:val="20"/>
        </w:rPr>
        <w:t xml:space="preserve"> Ltd. of New Zealand.  He has an MA in Economics from Cambridge Un</w:t>
      </w:r>
      <w:r w:rsidR="00294EA8">
        <w:rPr>
          <w:rFonts w:ascii="Georgia" w:hAnsi="Georgia"/>
          <w:color w:val="404040" w:themeColor="text1" w:themeTint="BF"/>
          <w:sz w:val="20"/>
          <w:szCs w:val="20"/>
        </w:rPr>
        <w:t>iversity and an MBA from INSEAD. H</w:t>
      </w:r>
      <w:r w:rsidRPr="00933250">
        <w:rPr>
          <w:rFonts w:ascii="Georgia" w:hAnsi="Georgia"/>
          <w:color w:val="404040" w:themeColor="text1" w:themeTint="BF"/>
          <w:sz w:val="20"/>
          <w:szCs w:val="20"/>
        </w:rPr>
        <w:t xml:space="preserve">e is also a Fellow of the Chartered Insurance Institute. </w:t>
      </w:r>
    </w:p>
    <w:p w14:paraId="0855803D" w14:textId="77777777" w:rsidR="00E42A95" w:rsidRDefault="00E42A95" w:rsidP="00E42A95">
      <w:pPr>
        <w:pStyle w:val="BluefieldBody"/>
        <w:rPr>
          <w:rFonts w:cs="Calibri"/>
          <w:b/>
        </w:rPr>
      </w:pPr>
    </w:p>
    <w:p w14:paraId="53254773" w14:textId="77777777" w:rsidR="00E42A95" w:rsidRDefault="000F51FA" w:rsidP="00E42A95">
      <w:pPr>
        <w:pStyle w:val="BluefieldBody"/>
        <w:rPr>
          <w:rFonts w:cs="Calibri"/>
          <w:b/>
        </w:rPr>
      </w:pPr>
      <w:r w:rsidRPr="007F1DA2">
        <w:rPr>
          <w:rFonts w:cs="Calibri"/>
          <w:b/>
        </w:rPr>
        <w:t>Paul Le Page</w:t>
      </w:r>
      <w:r>
        <w:rPr>
          <w:rFonts w:cs="Calibri"/>
          <w:b/>
        </w:rPr>
        <w:t xml:space="preserve"> (</w:t>
      </w:r>
      <w:r w:rsidRPr="007F1DA2">
        <w:rPr>
          <w:rFonts w:cs="Calibri"/>
          <w:b/>
        </w:rPr>
        <w:t>Chairman</w:t>
      </w:r>
      <w:r>
        <w:rPr>
          <w:rFonts w:cs="Calibri"/>
          <w:b/>
        </w:rPr>
        <w:t xml:space="preserve"> of the Audit Committee)</w:t>
      </w:r>
    </w:p>
    <w:p w14:paraId="5832F5D2" w14:textId="77777777" w:rsidR="00E42A95" w:rsidRDefault="00E42A95" w:rsidP="00E42A95">
      <w:pPr>
        <w:pStyle w:val="BluefieldBody"/>
        <w:rPr>
          <w:rFonts w:cs="Calibri"/>
          <w:b/>
        </w:rPr>
      </w:pPr>
    </w:p>
    <w:p w14:paraId="79BB927D" w14:textId="6A205A3F" w:rsidR="00927785" w:rsidRDefault="00927785" w:rsidP="001B5ADA">
      <w:pPr>
        <w:pStyle w:val="BluefieldBody"/>
      </w:pPr>
      <w:r w:rsidRPr="00D30418">
        <w:t xml:space="preserve">Paul Le Page was appointed as a non-executive director of the Company on 12 June 2013 and </w:t>
      </w:r>
      <w:r w:rsidR="00D82150">
        <w:t xml:space="preserve">is a former executive Director and Senior Portfolio Manager of FRM Investment Management Limited, a subsidiary of Man Group, and holds non-executive directorships at a number of London Stock Exchange listed investment funds. Mr. Le Page is Audit Committee Chair of UK Mortgages Limited </w:t>
      </w:r>
      <w:r w:rsidR="00E2430A">
        <w:t xml:space="preserve">and RTW Venture Fund Limited </w:t>
      </w:r>
      <w:r w:rsidR="00D82150">
        <w:t xml:space="preserve">and was previously Audit Committee Chair of Thames River Multi Hedge PCC Limited and </w:t>
      </w:r>
      <w:proofErr w:type="spellStart"/>
      <w:r w:rsidR="00D82150">
        <w:t>Cazenove</w:t>
      </w:r>
      <w:proofErr w:type="spellEnd"/>
      <w:r w:rsidR="00D82150">
        <w:t xml:space="preserve"> Absolute Equity Limited. Mr. Le Page has 16 years’ Audit Committee experience within the closed end investment fund sector and has a broad-based knowledge of the global investment industry and product structures. </w:t>
      </w:r>
      <w:r w:rsidR="001B5ADA">
        <w:t>Mr Le Page graduated from University College London and later received an MBA from Heriot Watt University</w:t>
      </w:r>
      <w:r w:rsidR="000D3218">
        <w:t xml:space="preserve"> </w:t>
      </w:r>
      <w:r w:rsidR="001B5ADA">
        <w:t>in Electrical and Electronic Engineering and qualified as a Chartered Electrical Engineer whilst leading the development of robotic immunoassay equipment.  He obtained an MBA from Heriot Watt University in 1999 which he used to switch from industrial R&amp;D to investment research</w:t>
      </w:r>
    </w:p>
    <w:p w14:paraId="39549DFD" w14:textId="77777777" w:rsidR="00E42A95" w:rsidRPr="002B698F" w:rsidRDefault="00E42A95" w:rsidP="00E42A95">
      <w:pPr>
        <w:pStyle w:val="BluefieldBody"/>
        <w:rPr>
          <w:rFonts w:cs="Calibri"/>
        </w:rPr>
      </w:pPr>
    </w:p>
    <w:p w14:paraId="7E3DB811" w14:textId="77777777" w:rsidR="00E42A95" w:rsidRPr="002B698F" w:rsidRDefault="000F51FA" w:rsidP="00E42A95">
      <w:pPr>
        <w:pStyle w:val="BluefieldBody"/>
        <w:rPr>
          <w:rFonts w:cs="Calibri"/>
          <w:b/>
        </w:rPr>
      </w:pPr>
      <w:r w:rsidRPr="002B698F">
        <w:rPr>
          <w:rFonts w:cs="Calibri"/>
          <w:b/>
        </w:rPr>
        <w:t>Laurence McNairn</w:t>
      </w:r>
    </w:p>
    <w:p w14:paraId="20CB571E" w14:textId="77777777" w:rsidR="00E42A95" w:rsidRPr="002B698F" w:rsidRDefault="00E42A95" w:rsidP="00E42A95">
      <w:pPr>
        <w:pStyle w:val="BluefieldBody"/>
        <w:rPr>
          <w:rFonts w:cs="Calibri"/>
        </w:rPr>
      </w:pPr>
    </w:p>
    <w:p w14:paraId="4385F261" w14:textId="77777777" w:rsidR="00156EA8" w:rsidRPr="00156EA8" w:rsidRDefault="00156EA8" w:rsidP="00156EA8">
      <w:pPr>
        <w:jc w:val="both"/>
        <w:rPr>
          <w:rFonts w:ascii="Georgia" w:hAnsi="Georgia"/>
          <w:color w:val="404040" w:themeColor="text1" w:themeTint="BF"/>
          <w:sz w:val="20"/>
          <w:szCs w:val="20"/>
        </w:rPr>
      </w:pPr>
      <w:r w:rsidRPr="00156EA8">
        <w:rPr>
          <w:rFonts w:ascii="Georgia" w:hAnsi="Georgia"/>
          <w:color w:val="404040" w:themeColor="text1" w:themeTint="BF"/>
          <w:sz w:val="20"/>
          <w:szCs w:val="20"/>
        </w:rPr>
        <w:t>Laurence McNairn was appointed as a non-executive director of the Company on 1 July 2013.He was a founding director and co-owner of Heritage International Fund Managers Limited from 2006 where he was responsible for the operational delivery and client relationship management for a number of key relationships. Prior to his time with the Heritage Group Laurence was a director of Guernsey International Fund Managers Limited, a Baring Asset Management Group company. During his career with Heritage and Barings he held board appointments with a number of prominent Fund Management groups with particular focus on private equity, infrastructure, property and alternative investment funds. Prior to his career in fund management and administration Laurence was the Finance Director of an industrial electronics manufacturing company which was a subsidiary of a UK plc. Prior to this he worked in professional practice with KPMG. He is a member of the Institute of Chartered Accountants of Scotland and holds a degree in Accountancy and Operational Research from Strathclyde University.</w:t>
      </w:r>
    </w:p>
    <w:p w14:paraId="6D236630" w14:textId="74B027A2" w:rsidR="0042181A" w:rsidRDefault="0042181A" w:rsidP="00975A57">
      <w:pPr>
        <w:jc w:val="both"/>
        <w:rPr>
          <w:rFonts w:ascii="Georgia" w:hAnsi="Georgia"/>
          <w:color w:val="404040" w:themeColor="text1" w:themeTint="BF"/>
          <w:sz w:val="20"/>
          <w:szCs w:val="20"/>
        </w:rPr>
      </w:pPr>
    </w:p>
    <w:p w14:paraId="24ED7919" w14:textId="53AC2D82" w:rsidR="00E2430A" w:rsidRDefault="00E2430A" w:rsidP="00975A57">
      <w:pPr>
        <w:jc w:val="both"/>
        <w:rPr>
          <w:rFonts w:ascii="Georgia" w:hAnsi="Georgia"/>
          <w:color w:val="404040" w:themeColor="text1" w:themeTint="BF"/>
          <w:sz w:val="20"/>
          <w:szCs w:val="20"/>
        </w:rPr>
      </w:pPr>
    </w:p>
    <w:p w14:paraId="0F5AC479" w14:textId="3AC6B7E2" w:rsidR="00E2430A" w:rsidRDefault="00E2430A" w:rsidP="00975A57">
      <w:pPr>
        <w:jc w:val="both"/>
        <w:rPr>
          <w:rFonts w:ascii="Georgia" w:hAnsi="Georgia"/>
          <w:color w:val="404040" w:themeColor="text1" w:themeTint="BF"/>
          <w:sz w:val="20"/>
          <w:szCs w:val="20"/>
        </w:rPr>
      </w:pPr>
    </w:p>
    <w:p w14:paraId="74892381" w14:textId="6B6264B3" w:rsidR="00E2430A" w:rsidRDefault="00E2430A" w:rsidP="00975A57">
      <w:pPr>
        <w:jc w:val="both"/>
        <w:rPr>
          <w:rFonts w:ascii="Georgia" w:hAnsi="Georgia"/>
          <w:color w:val="404040" w:themeColor="text1" w:themeTint="BF"/>
          <w:sz w:val="20"/>
          <w:szCs w:val="20"/>
        </w:rPr>
      </w:pPr>
    </w:p>
    <w:p w14:paraId="38BE04FD" w14:textId="4494176F" w:rsidR="00E2430A" w:rsidRDefault="00E2430A" w:rsidP="00975A57">
      <w:pPr>
        <w:jc w:val="both"/>
        <w:rPr>
          <w:rFonts w:ascii="Georgia" w:hAnsi="Georgia"/>
          <w:color w:val="404040" w:themeColor="text1" w:themeTint="BF"/>
          <w:sz w:val="20"/>
          <w:szCs w:val="20"/>
        </w:rPr>
      </w:pPr>
    </w:p>
    <w:p w14:paraId="0053DEA9" w14:textId="79094DC1" w:rsidR="00E2430A" w:rsidRDefault="00E2430A" w:rsidP="00975A57">
      <w:pPr>
        <w:jc w:val="both"/>
        <w:rPr>
          <w:rFonts w:ascii="Georgia" w:hAnsi="Georgia"/>
          <w:color w:val="404040" w:themeColor="text1" w:themeTint="BF"/>
          <w:sz w:val="20"/>
          <w:szCs w:val="20"/>
        </w:rPr>
      </w:pPr>
    </w:p>
    <w:p w14:paraId="74F8E264" w14:textId="0292A9E0" w:rsidR="00E2430A" w:rsidRDefault="00E2430A" w:rsidP="00975A57">
      <w:pPr>
        <w:jc w:val="both"/>
        <w:rPr>
          <w:rFonts w:ascii="Georgia" w:hAnsi="Georgia"/>
          <w:color w:val="404040" w:themeColor="text1" w:themeTint="BF"/>
          <w:sz w:val="20"/>
          <w:szCs w:val="20"/>
        </w:rPr>
      </w:pPr>
    </w:p>
    <w:p w14:paraId="4F8B9E50" w14:textId="77777777" w:rsidR="00E2430A" w:rsidRDefault="00E2430A" w:rsidP="00975A57">
      <w:pPr>
        <w:jc w:val="both"/>
        <w:rPr>
          <w:rFonts w:ascii="Georgia" w:hAnsi="Georgia"/>
          <w:color w:val="404040" w:themeColor="text1" w:themeTint="BF"/>
          <w:sz w:val="20"/>
          <w:szCs w:val="20"/>
        </w:rPr>
      </w:pPr>
    </w:p>
    <w:p w14:paraId="64C39DEB" w14:textId="2B352B93" w:rsidR="00156EA8" w:rsidRDefault="00156EA8" w:rsidP="00156EA8">
      <w:pPr>
        <w:pStyle w:val="Heading2"/>
        <w:spacing w:before="0"/>
      </w:pPr>
      <w:r>
        <w:lastRenderedPageBreak/>
        <w:t>Board of Directors (continued)</w:t>
      </w:r>
    </w:p>
    <w:p w14:paraId="064B7B3F" w14:textId="77777777" w:rsidR="00156EA8" w:rsidRDefault="00156EA8" w:rsidP="00D82150">
      <w:pPr>
        <w:jc w:val="both"/>
        <w:rPr>
          <w:rFonts w:ascii="Georgia" w:hAnsi="Georgia"/>
          <w:color w:val="404040" w:themeColor="text1" w:themeTint="BF"/>
          <w:sz w:val="20"/>
          <w:szCs w:val="20"/>
        </w:rPr>
      </w:pPr>
    </w:p>
    <w:p w14:paraId="0EB44B05" w14:textId="77777777" w:rsidR="00E2430A" w:rsidRPr="002B698F" w:rsidRDefault="00E2430A" w:rsidP="00E2430A">
      <w:pPr>
        <w:pStyle w:val="BluefieldBody"/>
        <w:rPr>
          <w:rFonts w:cs="Calibri"/>
          <w:b/>
        </w:rPr>
      </w:pPr>
      <w:r>
        <w:rPr>
          <w:rFonts w:cs="Calibri"/>
          <w:b/>
        </w:rPr>
        <w:t>Meriel Lenfestey</w:t>
      </w:r>
    </w:p>
    <w:p w14:paraId="35AEB84A" w14:textId="77777777" w:rsidR="00E2430A" w:rsidRPr="002B698F" w:rsidRDefault="00E2430A" w:rsidP="00E2430A">
      <w:pPr>
        <w:pStyle w:val="BluefieldBody"/>
        <w:rPr>
          <w:rFonts w:cs="Calibri"/>
        </w:rPr>
      </w:pPr>
    </w:p>
    <w:p w14:paraId="4CAEE873" w14:textId="6841F2C7" w:rsidR="00D82150" w:rsidRDefault="00E2430A" w:rsidP="00D82150">
      <w:pPr>
        <w:jc w:val="both"/>
      </w:pPr>
      <w:r>
        <w:rPr>
          <w:rFonts w:ascii="Georgia" w:hAnsi="Georgia"/>
          <w:color w:val="404040" w:themeColor="text1" w:themeTint="BF"/>
          <w:sz w:val="20"/>
          <w:szCs w:val="20"/>
        </w:rPr>
        <w:t>Meriel Lenfestey</w:t>
      </w:r>
      <w:r w:rsidRPr="002B698F">
        <w:rPr>
          <w:rFonts w:ascii="Georgia" w:hAnsi="Georgia"/>
          <w:color w:val="404040" w:themeColor="text1" w:themeTint="BF"/>
          <w:sz w:val="20"/>
          <w:szCs w:val="20"/>
        </w:rPr>
        <w:t xml:space="preserve"> was appointed as a non-executive director of the Company on 1 </w:t>
      </w:r>
      <w:r>
        <w:rPr>
          <w:rFonts w:ascii="Georgia" w:hAnsi="Georgia"/>
          <w:color w:val="404040" w:themeColor="text1" w:themeTint="BF"/>
          <w:sz w:val="20"/>
          <w:szCs w:val="20"/>
        </w:rPr>
        <w:t>April 2019.</w:t>
      </w:r>
      <w:r w:rsidRPr="002B698F">
        <w:rPr>
          <w:rFonts w:ascii="Georgia" w:hAnsi="Georgia"/>
          <w:color w:val="404040" w:themeColor="text1" w:themeTint="BF"/>
          <w:sz w:val="20"/>
          <w:szCs w:val="20"/>
        </w:rPr>
        <w:t xml:space="preserve"> </w:t>
      </w:r>
      <w:r w:rsidRPr="00163085">
        <w:rPr>
          <w:rFonts w:ascii="Georgia" w:hAnsi="Georgia"/>
          <w:color w:val="404040" w:themeColor="text1" w:themeTint="BF"/>
          <w:sz w:val="20"/>
          <w:szCs w:val="20"/>
        </w:rPr>
        <w:t xml:space="preserve">Ms Lenfestey founded Flow Interactive in 1997, a London based Customer Experience Consultancy providing creative strategic and tactical expertise across all sectors embracing digital transformation. Since exiting the business in 2016 she has held a portfolio of non-executive director and advisory roles across Energy, Telecoms, Transport, </w:t>
      </w:r>
      <w:r>
        <w:rPr>
          <w:rFonts w:ascii="Georgia" w:hAnsi="Georgia"/>
          <w:color w:val="404040" w:themeColor="text1" w:themeTint="BF"/>
          <w:sz w:val="20"/>
          <w:szCs w:val="20"/>
        </w:rPr>
        <w:t xml:space="preserve">Infrastructure, </w:t>
      </w:r>
      <w:r w:rsidRPr="00163085">
        <w:rPr>
          <w:rFonts w:ascii="Georgia" w:hAnsi="Georgia"/>
          <w:color w:val="404040" w:themeColor="text1" w:themeTint="BF"/>
          <w:sz w:val="20"/>
          <w:szCs w:val="20"/>
        </w:rPr>
        <w:t>Technology, E-gaming, Entrepreneuria</w:t>
      </w:r>
      <w:r>
        <w:rPr>
          <w:rFonts w:ascii="Georgia" w:hAnsi="Georgia"/>
          <w:color w:val="404040" w:themeColor="text1" w:themeTint="BF"/>
          <w:sz w:val="20"/>
          <w:szCs w:val="20"/>
        </w:rPr>
        <w:t xml:space="preserve">l Support and local charities.  </w:t>
      </w:r>
      <w:r w:rsidR="00156EA8" w:rsidRPr="00163085">
        <w:rPr>
          <w:rFonts w:ascii="Georgia" w:hAnsi="Georgia"/>
          <w:color w:val="404040" w:themeColor="text1" w:themeTint="BF"/>
          <w:sz w:val="20"/>
          <w:szCs w:val="20"/>
        </w:rPr>
        <w:t xml:space="preserve">She is Chair of </w:t>
      </w:r>
      <w:proofErr w:type="spellStart"/>
      <w:r w:rsidR="00156EA8" w:rsidRPr="00163085">
        <w:rPr>
          <w:rFonts w:ascii="Georgia" w:hAnsi="Georgia"/>
          <w:color w:val="404040" w:themeColor="text1" w:themeTint="BF"/>
          <w:sz w:val="20"/>
          <w:szCs w:val="20"/>
        </w:rPr>
        <w:t>Gemserv</w:t>
      </w:r>
      <w:proofErr w:type="spellEnd"/>
      <w:r w:rsidR="00156EA8" w:rsidRPr="00163085">
        <w:rPr>
          <w:rFonts w:ascii="Georgia" w:hAnsi="Georgia"/>
          <w:color w:val="404040" w:themeColor="text1" w:themeTint="BF"/>
          <w:sz w:val="20"/>
          <w:szCs w:val="20"/>
        </w:rPr>
        <w:t>, a provider of consultancy and governance services helping the Energy and Health markets embrace technology-driven change and deliver large programmes effectively;  Senior</w:t>
      </w:r>
      <w:r w:rsidR="00156EA8">
        <w:rPr>
          <w:rFonts w:ascii="Georgia" w:hAnsi="Georgia"/>
          <w:color w:val="404040" w:themeColor="text1" w:themeTint="BF"/>
          <w:sz w:val="20"/>
          <w:szCs w:val="20"/>
        </w:rPr>
        <w:t xml:space="preserve"> </w:t>
      </w:r>
      <w:r w:rsidR="00D82150" w:rsidRPr="00163085">
        <w:rPr>
          <w:rFonts w:ascii="Georgia" w:hAnsi="Georgia"/>
          <w:color w:val="404040" w:themeColor="text1" w:themeTint="BF"/>
          <w:sz w:val="20"/>
          <w:szCs w:val="20"/>
        </w:rPr>
        <w:t xml:space="preserve">Independent Director at Jersey Telecom who are leading the world in full fibre, delivering innovative global IOT (Internet of Things) services and providing local data and voice services;  as well as holding non-executive director roles at </w:t>
      </w:r>
      <w:r>
        <w:rPr>
          <w:rFonts w:ascii="Georgia" w:hAnsi="Georgia"/>
          <w:color w:val="404040" w:themeColor="text1" w:themeTint="BF"/>
          <w:sz w:val="20"/>
          <w:szCs w:val="20"/>
        </w:rPr>
        <w:t>International public partnerships (FTSE 250 INPP) and</w:t>
      </w:r>
      <w:r w:rsidRPr="00163085">
        <w:rPr>
          <w:rFonts w:ascii="Georgia" w:hAnsi="Georgia"/>
          <w:color w:val="404040" w:themeColor="text1" w:themeTint="BF"/>
          <w:sz w:val="20"/>
          <w:szCs w:val="20"/>
        </w:rPr>
        <w:t xml:space="preserve"> </w:t>
      </w:r>
      <w:proofErr w:type="spellStart"/>
      <w:r>
        <w:rPr>
          <w:rFonts w:ascii="Georgia" w:hAnsi="Georgia"/>
          <w:color w:val="404040" w:themeColor="text1" w:themeTint="BF"/>
          <w:sz w:val="20"/>
          <w:szCs w:val="20"/>
        </w:rPr>
        <w:t>Aurigny</w:t>
      </w:r>
      <w:proofErr w:type="spellEnd"/>
      <w:r>
        <w:rPr>
          <w:rFonts w:ascii="Georgia" w:hAnsi="Georgia"/>
          <w:color w:val="404040" w:themeColor="text1" w:themeTint="BF"/>
          <w:sz w:val="20"/>
          <w:szCs w:val="20"/>
        </w:rPr>
        <w:t xml:space="preserve"> Air Services</w:t>
      </w:r>
      <w:r w:rsidR="00D82150" w:rsidRPr="00163085">
        <w:rPr>
          <w:rFonts w:ascii="Georgia" w:hAnsi="Georgia"/>
          <w:color w:val="404040" w:themeColor="text1" w:themeTint="BF"/>
          <w:sz w:val="20"/>
          <w:szCs w:val="20"/>
        </w:rPr>
        <w:t>. She has an MA in Computer Related Design from the Royal College of Art, a Financial Times Non-Executive Director Diploma and is a Fellow of the RSA.</w:t>
      </w:r>
    </w:p>
    <w:p w14:paraId="3D4E5963" w14:textId="5753A695" w:rsidR="000F51FA" w:rsidRDefault="000F51FA" w:rsidP="000F51FA">
      <w:pPr>
        <w:rPr>
          <w:rFonts w:ascii="Calibri" w:hAnsi="Calibri" w:cs="Calibri"/>
          <w:b/>
          <w:smallCaps/>
          <w:szCs w:val="28"/>
        </w:rPr>
      </w:pPr>
    </w:p>
    <w:p w14:paraId="3F2A75D3" w14:textId="68DE97EE" w:rsidR="00156EA8" w:rsidRDefault="00156EA8" w:rsidP="000F51FA">
      <w:pPr>
        <w:rPr>
          <w:rFonts w:ascii="Calibri" w:hAnsi="Calibri" w:cs="Calibri"/>
          <w:b/>
          <w:smallCaps/>
          <w:szCs w:val="28"/>
        </w:rPr>
      </w:pPr>
    </w:p>
    <w:p w14:paraId="3E777F98" w14:textId="376B2839" w:rsidR="00156EA8" w:rsidRDefault="00156EA8" w:rsidP="000F51FA">
      <w:pPr>
        <w:rPr>
          <w:rFonts w:ascii="Calibri" w:hAnsi="Calibri" w:cs="Calibri"/>
          <w:b/>
          <w:smallCaps/>
          <w:szCs w:val="28"/>
        </w:rPr>
      </w:pPr>
    </w:p>
    <w:p w14:paraId="24F2E8A7" w14:textId="13B3232A" w:rsidR="00156EA8" w:rsidRDefault="00156EA8" w:rsidP="000F51FA">
      <w:pPr>
        <w:rPr>
          <w:rFonts w:ascii="Calibri" w:hAnsi="Calibri" w:cs="Calibri"/>
          <w:b/>
          <w:smallCaps/>
          <w:szCs w:val="28"/>
        </w:rPr>
      </w:pPr>
    </w:p>
    <w:p w14:paraId="5A58C817" w14:textId="3D325E41" w:rsidR="00156EA8" w:rsidRDefault="00156EA8" w:rsidP="000F51FA">
      <w:pPr>
        <w:rPr>
          <w:rFonts w:ascii="Calibri" w:hAnsi="Calibri" w:cs="Calibri"/>
          <w:b/>
          <w:smallCaps/>
          <w:szCs w:val="28"/>
        </w:rPr>
      </w:pPr>
    </w:p>
    <w:p w14:paraId="5056B79B" w14:textId="5D81A437" w:rsidR="00156EA8" w:rsidRDefault="00156EA8" w:rsidP="000F51FA">
      <w:pPr>
        <w:rPr>
          <w:rFonts w:ascii="Calibri" w:hAnsi="Calibri" w:cs="Calibri"/>
          <w:b/>
          <w:smallCaps/>
          <w:szCs w:val="28"/>
        </w:rPr>
      </w:pPr>
    </w:p>
    <w:p w14:paraId="5185B303" w14:textId="148CBA37" w:rsidR="00156EA8" w:rsidRDefault="00156EA8" w:rsidP="000F51FA">
      <w:pPr>
        <w:rPr>
          <w:rFonts w:ascii="Calibri" w:hAnsi="Calibri" w:cs="Calibri"/>
          <w:b/>
          <w:smallCaps/>
          <w:szCs w:val="28"/>
        </w:rPr>
      </w:pPr>
    </w:p>
    <w:p w14:paraId="75D095A9" w14:textId="345078A8" w:rsidR="00156EA8" w:rsidRDefault="00156EA8" w:rsidP="000F51FA">
      <w:pPr>
        <w:rPr>
          <w:rFonts w:ascii="Calibri" w:hAnsi="Calibri" w:cs="Calibri"/>
          <w:b/>
          <w:smallCaps/>
          <w:szCs w:val="28"/>
        </w:rPr>
      </w:pPr>
    </w:p>
    <w:p w14:paraId="0E319894" w14:textId="79E377BE" w:rsidR="00156EA8" w:rsidRDefault="00156EA8" w:rsidP="000F51FA">
      <w:pPr>
        <w:rPr>
          <w:rFonts w:ascii="Calibri" w:hAnsi="Calibri" w:cs="Calibri"/>
          <w:b/>
          <w:smallCaps/>
          <w:szCs w:val="28"/>
        </w:rPr>
      </w:pPr>
    </w:p>
    <w:p w14:paraId="2675BBF2" w14:textId="6D8CDF65" w:rsidR="00156EA8" w:rsidRDefault="00156EA8" w:rsidP="000F51FA">
      <w:pPr>
        <w:rPr>
          <w:rFonts w:ascii="Calibri" w:hAnsi="Calibri" w:cs="Calibri"/>
          <w:b/>
          <w:smallCaps/>
          <w:szCs w:val="28"/>
        </w:rPr>
      </w:pPr>
    </w:p>
    <w:p w14:paraId="50630BD1" w14:textId="4C492A71" w:rsidR="00156EA8" w:rsidRDefault="00156EA8" w:rsidP="000F51FA">
      <w:pPr>
        <w:rPr>
          <w:rFonts w:ascii="Calibri" w:hAnsi="Calibri" w:cs="Calibri"/>
          <w:b/>
          <w:smallCaps/>
          <w:szCs w:val="28"/>
        </w:rPr>
      </w:pPr>
    </w:p>
    <w:p w14:paraId="2DEDFE87" w14:textId="7CBC68F3" w:rsidR="00156EA8" w:rsidRDefault="00156EA8" w:rsidP="000F51FA">
      <w:pPr>
        <w:rPr>
          <w:rFonts w:ascii="Calibri" w:hAnsi="Calibri" w:cs="Calibri"/>
          <w:b/>
          <w:smallCaps/>
          <w:szCs w:val="28"/>
        </w:rPr>
      </w:pPr>
    </w:p>
    <w:p w14:paraId="63134031" w14:textId="0B546719" w:rsidR="00156EA8" w:rsidRDefault="00156EA8" w:rsidP="000F51FA">
      <w:pPr>
        <w:rPr>
          <w:rFonts w:ascii="Calibri" w:hAnsi="Calibri" w:cs="Calibri"/>
          <w:b/>
          <w:smallCaps/>
          <w:szCs w:val="28"/>
        </w:rPr>
      </w:pPr>
    </w:p>
    <w:p w14:paraId="4003D684" w14:textId="6DF62B13" w:rsidR="00156EA8" w:rsidRDefault="00156EA8" w:rsidP="000F51FA">
      <w:pPr>
        <w:rPr>
          <w:rFonts w:ascii="Calibri" w:hAnsi="Calibri" w:cs="Calibri"/>
          <w:b/>
          <w:smallCaps/>
          <w:szCs w:val="28"/>
        </w:rPr>
      </w:pPr>
    </w:p>
    <w:p w14:paraId="17DF5C3C" w14:textId="7D1BF636" w:rsidR="00156EA8" w:rsidRDefault="00156EA8" w:rsidP="000F51FA">
      <w:pPr>
        <w:rPr>
          <w:rFonts w:ascii="Calibri" w:hAnsi="Calibri" w:cs="Calibri"/>
          <w:b/>
          <w:smallCaps/>
          <w:szCs w:val="28"/>
        </w:rPr>
      </w:pPr>
    </w:p>
    <w:p w14:paraId="34C167BC" w14:textId="13EF95D5" w:rsidR="00156EA8" w:rsidRDefault="00156EA8" w:rsidP="000F51FA">
      <w:pPr>
        <w:rPr>
          <w:rFonts w:ascii="Calibri" w:hAnsi="Calibri" w:cs="Calibri"/>
          <w:b/>
          <w:smallCaps/>
          <w:szCs w:val="28"/>
        </w:rPr>
      </w:pPr>
    </w:p>
    <w:p w14:paraId="6953C240" w14:textId="7E6E2085" w:rsidR="00156EA8" w:rsidRDefault="00156EA8" w:rsidP="000F51FA">
      <w:pPr>
        <w:rPr>
          <w:rFonts w:ascii="Calibri" w:hAnsi="Calibri" w:cs="Calibri"/>
          <w:b/>
          <w:smallCaps/>
          <w:szCs w:val="28"/>
        </w:rPr>
      </w:pPr>
    </w:p>
    <w:p w14:paraId="61E29A0E" w14:textId="44689338" w:rsidR="00156EA8" w:rsidRDefault="00156EA8" w:rsidP="000F51FA">
      <w:pPr>
        <w:rPr>
          <w:rFonts w:ascii="Calibri" w:hAnsi="Calibri" w:cs="Calibri"/>
          <w:b/>
          <w:smallCaps/>
          <w:szCs w:val="28"/>
        </w:rPr>
      </w:pPr>
    </w:p>
    <w:p w14:paraId="7AE4B2D1" w14:textId="78EFF9C6" w:rsidR="00156EA8" w:rsidRDefault="00156EA8" w:rsidP="000F51FA">
      <w:pPr>
        <w:rPr>
          <w:rFonts w:ascii="Calibri" w:hAnsi="Calibri" w:cs="Calibri"/>
          <w:b/>
          <w:smallCaps/>
          <w:szCs w:val="28"/>
        </w:rPr>
      </w:pPr>
    </w:p>
    <w:p w14:paraId="294E1F43" w14:textId="34908459" w:rsidR="00156EA8" w:rsidRDefault="00156EA8" w:rsidP="000F51FA">
      <w:pPr>
        <w:rPr>
          <w:rFonts w:ascii="Calibri" w:hAnsi="Calibri" w:cs="Calibri"/>
          <w:b/>
          <w:smallCaps/>
          <w:szCs w:val="28"/>
        </w:rPr>
      </w:pPr>
    </w:p>
    <w:p w14:paraId="27320D2B" w14:textId="14559D84" w:rsidR="00156EA8" w:rsidRDefault="00156EA8" w:rsidP="000F51FA">
      <w:pPr>
        <w:rPr>
          <w:rFonts w:ascii="Calibri" w:hAnsi="Calibri" w:cs="Calibri"/>
          <w:b/>
          <w:smallCaps/>
          <w:szCs w:val="28"/>
        </w:rPr>
      </w:pPr>
    </w:p>
    <w:p w14:paraId="33888195" w14:textId="2B5BAF32" w:rsidR="00156EA8" w:rsidRDefault="00156EA8" w:rsidP="000F51FA">
      <w:pPr>
        <w:rPr>
          <w:rFonts w:ascii="Calibri" w:hAnsi="Calibri" w:cs="Calibri"/>
          <w:b/>
          <w:smallCaps/>
          <w:szCs w:val="28"/>
        </w:rPr>
      </w:pPr>
    </w:p>
    <w:p w14:paraId="775CD379" w14:textId="36AC5007" w:rsidR="00156EA8" w:rsidRDefault="00156EA8" w:rsidP="000F51FA">
      <w:pPr>
        <w:rPr>
          <w:rFonts w:ascii="Calibri" w:hAnsi="Calibri" w:cs="Calibri"/>
          <w:b/>
          <w:smallCaps/>
          <w:szCs w:val="28"/>
        </w:rPr>
      </w:pPr>
    </w:p>
    <w:p w14:paraId="0B86F6FC" w14:textId="01F0200F" w:rsidR="00156EA8" w:rsidRDefault="00156EA8" w:rsidP="000F51FA">
      <w:pPr>
        <w:rPr>
          <w:rFonts w:ascii="Calibri" w:hAnsi="Calibri" w:cs="Calibri"/>
          <w:b/>
          <w:smallCaps/>
          <w:szCs w:val="28"/>
        </w:rPr>
      </w:pPr>
    </w:p>
    <w:p w14:paraId="740A813D" w14:textId="71FB4C0B" w:rsidR="00156EA8" w:rsidRDefault="00156EA8" w:rsidP="000F51FA">
      <w:pPr>
        <w:rPr>
          <w:rFonts w:ascii="Calibri" w:hAnsi="Calibri" w:cs="Calibri"/>
          <w:b/>
          <w:smallCaps/>
          <w:szCs w:val="28"/>
        </w:rPr>
      </w:pPr>
    </w:p>
    <w:p w14:paraId="50A13CE1" w14:textId="68B71D46" w:rsidR="00156EA8" w:rsidRDefault="00156EA8" w:rsidP="000F51FA">
      <w:pPr>
        <w:rPr>
          <w:rFonts w:ascii="Calibri" w:hAnsi="Calibri" w:cs="Calibri"/>
          <w:b/>
          <w:smallCaps/>
          <w:szCs w:val="28"/>
        </w:rPr>
      </w:pPr>
    </w:p>
    <w:p w14:paraId="53EAF5B3" w14:textId="71FCF7C8" w:rsidR="00156EA8" w:rsidRDefault="00156EA8" w:rsidP="000F51FA">
      <w:pPr>
        <w:rPr>
          <w:rFonts w:ascii="Calibri" w:hAnsi="Calibri" w:cs="Calibri"/>
          <w:b/>
          <w:smallCaps/>
          <w:szCs w:val="28"/>
        </w:rPr>
      </w:pPr>
    </w:p>
    <w:p w14:paraId="10BA9EE2" w14:textId="69B31E85" w:rsidR="00156EA8" w:rsidRDefault="00156EA8" w:rsidP="000F51FA">
      <w:pPr>
        <w:rPr>
          <w:rFonts w:ascii="Calibri" w:hAnsi="Calibri" w:cs="Calibri"/>
          <w:b/>
          <w:smallCaps/>
          <w:szCs w:val="28"/>
        </w:rPr>
      </w:pPr>
    </w:p>
    <w:p w14:paraId="17A6BFB1" w14:textId="27777E1F" w:rsidR="00156EA8" w:rsidRDefault="00156EA8" w:rsidP="000F51FA">
      <w:pPr>
        <w:rPr>
          <w:rFonts w:ascii="Calibri" w:hAnsi="Calibri" w:cs="Calibri"/>
          <w:b/>
          <w:smallCaps/>
          <w:szCs w:val="28"/>
        </w:rPr>
      </w:pPr>
    </w:p>
    <w:p w14:paraId="2E2E2E79" w14:textId="11ACB05F" w:rsidR="00156EA8" w:rsidRDefault="00156EA8" w:rsidP="000F51FA">
      <w:pPr>
        <w:rPr>
          <w:rFonts w:ascii="Calibri" w:hAnsi="Calibri" w:cs="Calibri"/>
          <w:b/>
          <w:smallCaps/>
          <w:szCs w:val="28"/>
        </w:rPr>
      </w:pPr>
    </w:p>
    <w:p w14:paraId="28F6EB9A" w14:textId="0C03A68E" w:rsidR="00156EA8" w:rsidRDefault="00156EA8" w:rsidP="000F51FA">
      <w:pPr>
        <w:rPr>
          <w:rFonts w:ascii="Calibri" w:hAnsi="Calibri" w:cs="Calibri"/>
          <w:b/>
          <w:smallCaps/>
          <w:szCs w:val="28"/>
        </w:rPr>
      </w:pPr>
    </w:p>
    <w:p w14:paraId="0319597A" w14:textId="25E32D64" w:rsidR="00156EA8" w:rsidRDefault="00156EA8" w:rsidP="000F51FA">
      <w:pPr>
        <w:rPr>
          <w:rFonts w:ascii="Calibri" w:hAnsi="Calibri" w:cs="Calibri"/>
          <w:b/>
          <w:smallCaps/>
          <w:szCs w:val="28"/>
        </w:rPr>
      </w:pPr>
    </w:p>
    <w:p w14:paraId="1751140C" w14:textId="464121C4" w:rsidR="00156EA8" w:rsidRDefault="00156EA8" w:rsidP="000F51FA">
      <w:pPr>
        <w:rPr>
          <w:rFonts w:ascii="Calibri" w:hAnsi="Calibri" w:cs="Calibri"/>
          <w:b/>
          <w:smallCaps/>
          <w:szCs w:val="28"/>
        </w:rPr>
      </w:pPr>
    </w:p>
    <w:p w14:paraId="4BB92DA6" w14:textId="74B3FBD3" w:rsidR="00156EA8" w:rsidRDefault="00156EA8" w:rsidP="000F51FA">
      <w:pPr>
        <w:rPr>
          <w:rFonts w:ascii="Calibri" w:hAnsi="Calibri" w:cs="Calibri"/>
          <w:b/>
          <w:smallCaps/>
          <w:szCs w:val="28"/>
        </w:rPr>
      </w:pPr>
    </w:p>
    <w:p w14:paraId="5B74F054" w14:textId="77777777" w:rsidR="00156EA8" w:rsidRDefault="00156EA8" w:rsidP="00156EA8">
      <w:pPr>
        <w:pStyle w:val="Heading2"/>
        <w:spacing w:before="0"/>
      </w:pPr>
      <w:r w:rsidRPr="001471B7">
        <w:lastRenderedPageBreak/>
        <w:t>Directors’ Statement of Responsibilities</w:t>
      </w:r>
    </w:p>
    <w:p w14:paraId="55D21046" w14:textId="4A51FFFB" w:rsidR="00156EA8" w:rsidRDefault="00156EA8" w:rsidP="000F51FA">
      <w:pPr>
        <w:rPr>
          <w:rFonts w:ascii="Calibri" w:hAnsi="Calibri" w:cs="Calibri"/>
          <w:b/>
          <w:smallCaps/>
          <w:szCs w:val="28"/>
        </w:rPr>
      </w:pPr>
    </w:p>
    <w:p w14:paraId="01C800FD" w14:textId="426DFD5E" w:rsidR="00E42A95" w:rsidRDefault="000F51FA" w:rsidP="00E42A95">
      <w:pPr>
        <w:pStyle w:val="BluefieldBody"/>
      </w:pPr>
      <w:r w:rsidRPr="00FA3500">
        <w:t>The Directors are</w:t>
      </w:r>
      <w:r>
        <w:t xml:space="preserve"> responsible for preparing the a</w:t>
      </w:r>
      <w:r w:rsidRPr="00FA3500">
        <w:t xml:space="preserve">nnual </w:t>
      </w:r>
      <w:r>
        <w:t>r</w:t>
      </w:r>
      <w:r w:rsidRPr="00FA3500">
        <w:t xml:space="preserve">eport and </w:t>
      </w:r>
      <w:r>
        <w:t>financial s</w:t>
      </w:r>
      <w:r w:rsidRPr="00FA3500">
        <w:t>tatements in accordance with applicable law and regulations.</w:t>
      </w:r>
    </w:p>
    <w:p w14:paraId="70DA8B1A" w14:textId="77777777" w:rsidR="00E42A95" w:rsidRDefault="00E42A95" w:rsidP="00E42A95">
      <w:pPr>
        <w:pStyle w:val="BluefieldBody"/>
      </w:pPr>
    </w:p>
    <w:p w14:paraId="0B175033" w14:textId="038B6422" w:rsidR="00E42A95" w:rsidRDefault="000F51FA" w:rsidP="00E42A95">
      <w:pPr>
        <w:pStyle w:val="BluefieldBody"/>
      </w:pPr>
      <w:r w:rsidRPr="00FA3500">
        <w:t>The</w:t>
      </w:r>
      <w:r>
        <w:t xml:space="preserve"> Law</w:t>
      </w:r>
      <w:r w:rsidRPr="00FA3500">
        <w:t xml:space="preserve"> requires the Directors to prepare </w:t>
      </w:r>
      <w:r>
        <w:t>f</w:t>
      </w:r>
      <w:r w:rsidRPr="00FA3500">
        <w:t xml:space="preserve">inancial </w:t>
      </w:r>
      <w:r>
        <w:t>s</w:t>
      </w:r>
      <w:r w:rsidRPr="00FA3500">
        <w:t xml:space="preserve">tatements for each financial year. Under the </w:t>
      </w:r>
      <w:r w:rsidR="000A5091">
        <w:t>Law</w:t>
      </w:r>
      <w:r w:rsidRPr="00FA3500">
        <w:t xml:space="preserve">, the Directors </w:t>
      </w:r>
      <w:r w:rsidR="00776C5E">
        <w:t>are required</w:t>
      </w:r>
      <w:r w:rsidRPr="00FA3500">
        <w:t xml:space="preserve"> to prepare the </w:t>
      </w:r>
      <w:r>
        <w:t>f</w:t>
      </w:r>
      <w:r w:rsidRPr="00FA3500">
        <w:t xml:space="preserve">inancial </w:t>
      </w:r>
      <w:r>
        <w:t>s</w:t>
      </w:r>
      <w:r w:rsidR="00C03451">
        <w:t xml:space="preserve">tatements in accordance with </w:t>
      </w:r>
      <w:r w:rsidRPr="00C03451">
        <w:t>IFRS</w:t>
      </w:r>
      <w:r w:rsidR="000A5091" w:rsidRPr="000A5091">
        <w:t xml:space="preserve"> </w:t>
      </w:r>
      <w:r w:rsidR="000A5091">
        <w:t xml:space="preserve">as adopted by the EU </w:t>
      </w:r>
      <w:r w:rsidR="000A5091" w:rsidRPr="00D7628E">
        <w:t xml:space="preserve">and </w:t>
      </w:r>
      <w:r w:rsidR="005A3A69">
        <w:t>applicable law</w:t>
      </w:r>
      <w:r w:rsidR="00F6422A">
        <w:t xml:space="preserve">. </w:t>
      </w:r>
      <w:r w:rsidR="00583C77">
        <w:t xml:space="preserve">Under the Law, the Directors must not approve the financial statements unless they are satisfied that they give a true and fair view of the state of affairs of the Company and of its profit or loss for that period. </w:t>
      </w:r>
      <w:r w:rsidRPr="00FA3500">
        <w:t xml:space="preserve">In preparing these </w:t>
      </w:r>
      <w:r>
        <w:t>f</w:t>
      </w:r>
      <w:r w:rsidRPr="00FA3500">
        <w:t xml:space="preserve">inancial </w:t>
      </w:r>
      <w:r>
        <w:t>s</w:t>
      </w:r>
      <w:r w:rsidRPr="00FA3500">
        <w:t xml:space="preserve">tatements, </w:t>
      </w:r>
      <w:r>
        <w:t xml:space="preserve">the </w:t>
      </w:r>
      <w:r w:rsidRPr="00FA3500">
        <w:t>Directors</w:t>
      </w:r>
      <w:r>
        <w:t xml:space="preserve"> are required to</w:t>
      </w:r>
      <w:r w:rsidRPr="00FA3500">
        <w:t>:</w:t>
      </w:r>
    </w:p>
    <w:p w14:paraId="186C605D" w14:textId="77777777" w:rsidR="000F51FA" w:rsidRPr="00FA3500" w:rsidRDefault="000F51FA" w:rsidP="000F51FA">
      <w:pPr>
        <w:jc w:val="both"/>
        <w:rPr>
          <w:rFonts w:ascii="Georgia" w:hAnsi="Georgia" w:cs="Calibri"/>
          <w:color w:val="404040" w:themeColor="text1" w:themeTint="BF"/>
          <w:sz w:val="20"/>
        </w:rPr>
      </w:pPr>
    </w:p>
    <w:p w14:paraId="10B98D3B" w14:textId="77777777" w:rsidR="00E42A95" w:rsidRDefault="000F51FA" w:rsidP="00E42A95">
      <w:pPr>
        <w:pStyle w:val="Bluefieldbullets10pt"/>
      </w:pPr>
      <w:r>
        <w:t>s</w:t>
      </w:r>
      <w:r w:rsidRPr="00FA3500">
        <w:t>elect suitable accounting policies and then apply them consistently;</w:t>
      </w:r>
    </w:p>
    <w:p w14:paraId="396BC1D0" w14:textId="0AED650E" w:rsidR="00E42A95" w:rsidRDefault="000F51FA" w:rsidP="00E42A95">
      <w:pPr>
        <w:pStyle w:val="Bluefieldbullets10pt"/>
      </w:pPr>
      <w:r>
        <w:t>m</w:t>
      </w:r>
      <w:r w:rsidRPr="00FA3500">
        <w:t>ake judgments and estimates that are reasonable</w:t>
      </w:r>
      <w:r w:rsidR="00776C5E">
        <w:t>, relevant and reliable</w:t>
      </w:r>
      <w:r w:rsidRPr="00FA3500">
        <w:t>;</w:t>
      </w:r>
    </w:p>
    <w:p w14:paraId="75F716EF" w14:textId="4E896BB8" w:rsidR="00E42A95" w:rsidRDefault="000F51FA" w:rsidP="00E42A95">
      <w:pPr>
        <w:pStyle w:val="Bluefieldbullets10pt"/>
      </w:pPr>
      <w:r>
        <w:t>s</w:t>
      </w:r>
      <w:r w:rsidRPr="00FA3500">
        <w:t xml:space="preserve">tate whether applicable accounting standards have been followed, subject to any material departures disclosed and explained in the </w:t>
      </w:r>
      <w:r>
        <w:t>financial s</w:t>
      </w:r>
      <w:r w:rsidR="00776C5E">
        <w:t xml:space="preserve">tatements; </w:t>
      </w:r>
    </w:p>
    <w:p w14:paraId="02ED0D7E" w14:textId="3AFBF19F" w:rsidR="000212DD" w:rsidRPr="000212DD" w:rsidRDefault="000212DD" w:rsidP="000212DD">
      <w:pPr>
        <w:pStyle w:val="Bluefieldbullets10pt"/>
        <w:rPr>
          <w:lang w:eastAsia="en-GB"/>
        </w:rPr>
      </w:pPr>
      <w:r w:rsidRPr="000212DD">
        <w:rPr>
          <w:lang w:eastAsia="en-GB"/>
        </w:rPr>
        <w:t xml:space="preserve">assess the Company’s ability to continue as a going concern, disclosing, as applicable, matters related to going concern; and </w:t>
      </w:r>
    </w:p>
    <w:p w14:paraId="720B36AD" w14:textId="5229307A" w:rsidR="000212DD" w:rsidRPr="000212DD" w:rsidRDefault="000212DD" w:rsidP="000212DD">
      <w:pPr>
        <w:pStyle w:val="Bluefieldbullets10pt"/>
        <w:rPr>
          <w:lang w:eastAsia="en-GB"/>
        </w:rPr>
      </w:pPr>
      <w:r w:rsidRPr="000212DD">
        <w:rPr>
          <w:lang w:eastAsia="en-GB"/>
        </w:rPr>
        <w:t xml:space="preserve">use the going concern basis of accounting unless they either intend to liquidate the Company or to cease operations, or have no realistic alternative but to do so. </w:t>
      </w:r>
    </w:p>
    <w:p w14:paraId="579AC5F4" w14:textId="70C7F0E2" w:rsidR="00E42A95" w:rsidRDefault="00E42A95" w:rsidP="00E42A95">
      <w:pPr>
        <w:pStyle w:val="BluefieldBody"/>
      </w:pPr>
    </w:p>
    <w:p w14:paraId="3DA725CF" w14:textId="4D385E7F" w:rsidR="0098169D" w:rsidRDefault="0098169D" w:rsidP="00E42A95">
      <w:pPr>
        <w:pStyle w:val="BluefieldBody"/>
      </w:pPr>
      <w:r>
        <w:t>The Directors are responsible for keeping proper accounting records</w:t>
      </w:r>
      <w:r w:rsidR="00776C5E">
        <w:t xml:space="preserve"> that are sufficient to show and explain the Company’s transactions and</w:t>
      </w:r>
      <w:r>
        <w:t xml:space="preserve"> disclose with reasonable accuracy at any time, the financial position of the Company and enable them to ensure that the financial statements comply with the Law. They are responsible for such internal control as they determine is necessary to enable the preparation of financial statements that are free from material misstatement, whether due to fraud or error, and have general responsibility for taking such steps as are reasonably open to them to safeguard the assets of the Company and to prevent and detect fraud and other irregularities.</w:t>
      </w:r>
    </w:p>
    <w:p w14:paraId="54AED576" w14:textId="77777777" w:rsidR="0098169D" w:rsidRDefault="0098169D" w:rsidP="00E42A95">
      <w:pPr>
        <w:pStyle w:val="BluefieldBody"/>
      </w:pPr>
    </w:p>
    <w:p w14:paraId="6F6F7261" w14:textId="42E48AD5" w:rsidR="00E42A95" w:rsidRDefault="007221D9" w:rsidP="00E42A95">
      <w:pPr>
        <w:pStyle w:val="BluefieldBody"/>
      </w:pPr>
      <w:r>
        <w:t>S</w:t>
      </w:r>
      <w:r w:rsidRPr="007221D9">
        <w:t>o far as each Director is aware, there is no relevant audit information of which the Company’s Auditor is unaware, and each Director has taken all the steps that he ought to have taken as a Director in order to make himself aware of any relevant audit information and to establish that the Company’s Auditor is aware of that information. This confirmation is given and should be interpreted in accordance with the provisions of section 249 of the Law.</w:t>
      </w:r>
    </w:p>
    <w:p w14:paraId="2183E8BA" w14:textId="77777777" w:rsidR="00E42A95" w:rsidRDefault="00E42A95" w:rsidP="00E42A95">
      <w:pPr>
        <w:pStyle w:val="BluefieldBody"/>
      </w:pPr>
    </w:p>
    <w:p w14:paraId="5C83FA37" w14:textId="58D7BC53" w:rsidR="00E42A95" w:rsidRDefault="000F51FA" w:rsidP="00E42A95">
      <w:pPr>
        <w:pStyle w:val="BluefieldBody"/>
      </w:pPr>
      <w:r w:rsidRPr="00FA3500">
        <w:t>The Directors are responsible for the maintenance and integrity of the corporate and financial information included on the Company’s website</w:t>
      </w:r>
      <w:r w:rsidR="00F6422A">
        <w:t>, and for the preparation and dissemination of Financial Statements</w:t>
      </w:r>
      <w:r w:rsidRPr="00FA3500">
        <w:t xml:space="preserve">. Legislation in Guernsey governing the preparation and dissemination of financial statements may differ from legislation in other jurisdictions. </w:t>
      </w:r>
    </w:p>
    <w:p w14:paraId="4E22F73B" w14:textId="77777777" w:rsidR="00E42A95" w:rsidRDefault="00E42A95" w:rsidP="00E42A95">
      <w:pPr>
        <w:pStyle w:val="BluefieldBody"/>
      </w:pPr>
    </w:p>
    <w:p w14:paraId="2E7377D0" w14:textId="77777777" w:rsidR="00530C94" w:rsidRPr="005474DA" w:rsidRDefault="00530C94" w:rsidP="00530C94">
      <w:pPr>
        <w:jc w:val="both"/>
        <w:rPr>
          <w:rFonts w:ascii="Georgia" w:hAnsi="Georgia" w:cs="Calibri"/>
          <w:color w:val="404040" w:themeColor="text1" w:themeTint="BF"/>
          <w:sz w:val="20"/>
        </w:rPr>
      </w:pPr>
      <w:r w:rsidRPr="005474DA">
        <w:rPr>
          <w:rFonts w:ascii="Georgia" w:hAnsi="Georgia" w:cs="Calibri"/>
          <w:color w:val="404040" w:themeColor="text1" w:themeTint="BF"/>
          <w:sz w:val="20"/>
        </w:rPr>
        <w:t>By order of the Board</w:t>
      </w:r>
    </w:p>
    <w:p w14:paraId="01F9F100" w14:textId="77777777" w:rsidR="000F51FA" w:rsidRDefault="000F51FA" w:rsidP="000F51F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0"/>
        <w:gridCol w:w="3170"/>
      </w:tblGrid>
      <w:tr w:rsidR="0078238F" w:rsidRPr="005474DA" w14:paraId="5B610A59" w14:textId="77777777" w:rsidTr="00156EA8">
        <w:tc>
          <w:tcPr>
            <w:tcW w:w="6190" w:type="dxa"/>
          </w:tcPr>
          <w:p w14:paraId="6C9F4831" w14:textId="77777777" w:rsidR="0078238F" w:rsidRDefault="0078238F" w:rsidP="00AC1776">
            <w:pPr>
              <w:jc w:val="both"/>
              <w:rPr>
                <w:rFonts w:ascii="Georgia" w:hAnsi="Georgia" w:cs="Calibri"/>
                <w:b/>
                <w:color w:val="404040" w:themeColor="text1" w:themeTint="BF"/>
                <w:sz w:val="20"/>
              </w:rPr>
            </w:pPr>
          </w:p>
          <w:p w14:paraId="35A16CAD" w14:textId="77777777" w:rsidR="0078238F" w:rsidRDefault="0078238F" w:rsidP="00AC1776">
            <w:pPr>
              <w:jc w:val="both"/>
              <w:rPr>
                <w:rFonts w:ascii="Georgia" w:hAnsi="Georgia" w:cs="Calibri"/>
                <w:b/>
                <w:color w:val="404040" w:themeColor="text1" w:themeTint="BF"/>
                <w:sz w:val="20"/>
              </w:rPr>
            </w:pPr>
          </w:p>
          <w:p w14:paraId="0CD2F068" w14:textId="77777777" w:rsidR="0078238F" w:rsidRPr="008A4930" w:rsidRDefault="0078238F" w:rsidP="00AC1776">
            <w:pPr>
              <w:jc w:val="both"/>
              <w:rPr>
                <w:rFonts w:ascii="Georgia" w:hAnsi="Georgia" w:cs="Calibri"/>
                <w:b/>
                <w:color w:val="404040" w:themeColor="text1" w:themeTint="BF"/>
                <w:sz w:val="20"/>
              </w:rPr>
            </w:pPr>
            <w:r w:rsidRPr="008A4930">
              <w:rPr>
                <w:rFonts w:ascii="Georgia" w:hAnsi="Georgia" w:cs="Calibri"/>
                <w:b/>
                <w:color w:val="404040" w:themeColor="text1" w:themeTint="BF"/>
                <w:sz w:val="20"/>
              </w:rPr>
              <w:t>Paul Le Page</w:t>
            </w:r>
          </w:p>
        </w:tc>
        <w:tc>
          <w:tcPr>
            <w:tcW w:w="3170" w:type="dxa"/>
          </w:tcPr>
          <w:p w14:paraId="135D8B2B" w14:textId="77777777" w:rsidR="0078238F" w:rsidRDefault="0078238F" w:rsidP="00AC1776">
            <w:pPr>
              <w:jc w:val="both"/>
              <w:rPr>
                <w:rFonts w:ascii="Georgia" w:hAnsi="Georgia" w:cs="Calibri"/>
                <w:b/>
                <w:color w:val="404040" w:themeColor="text1" w:themeTint="BF"/>
                <w:sz w:val="20"/>
              </w:rPr>
            </w:pPr>
          </w:p>
          <w:p w14:paraId="06B0ABBE" w14:textId="77777777" w:rsidR="0078238F" w:rsidRDefault="0078238F" w:rsidP="00AC1776">
            <w:pPr>
              <w:jc w:val="both"/>
              <w:rPr>
                <w:rFonts w:ascii="Georgia" w:hAnsi="Georgia" w:cs="Calibri"/>
                <w:b/>
                <w:color w:val="404040" w:themeColor="text1" w:themeTint="BF"/>
                <w:sz w:val="20"/>
              </w:rPr>
            </w:pPr>
          </w:p>
          <w:p w14:paraId="42B95790" w14:textId="77777777" w:rsidR="0078238F" w:rsidRPr="008A4930" w:rsidRDefault="0078238F" w:rsidP="00AC1776">
            <w:pPr>
              <w:jc w:val="both"/>
              <w:rPr>
                <w:rFonts w:ascii="Georgia" w:hAnsi="Georgia" w:cs="Calibri"/>
                <w:b/>
                <w:color w:val="404040" w:themeColor="text1" w:themeTint="BF"/>
                <w:sz w:val="20"/>
              </w:rPr>
            </w:pPr>
            <w:r>
              <w:rPr>
                <w:rFonts w:ascii="Georgia" w:hAnsi="Georgia" w:cs="Calibri"/>
                <w:b/>
                <w:color w:val="404040" w:themeColor="text1" w:themeTint="BF"/>
                <w:sz w:val="20"/>
              </w:rPr>
              <w:t>Laurence McNairn</w:t>
            </w:r>
          </w:p>
        </w:tc>
      </w:tr>
      <w:tr w:rsidR="0078238F" w:rsidRPr="005474DA" w14:paraId="0222E49C" w14:textId="77777777" w:rsidTr="00156EA8">
        <w:tc>
          <w:tcPr>
            <w:tcW w:w="6190" w:type="dxa"/>
          </w:tcPr>
          <w:p w14:paraId="34D6ECC6" w14:textId="77777777" w:rsidR="0078238F" w:rsidRPr="005474DA" w:rsidRDefault="0078238F" w:rsidP="00AC1776">
            <w:pPr>
              <w:jc w:val="both"/>
              <w:rPr>
                <w:rFonts w:ascii="Georgia" w:hAnsi="Georgia" w:cs="Calibri"/>
                <w:color w:val="404040" w:themeColor="text1" w:themeTint="BF"/>
                <w:sz w:val="20"/>
              </w:rPr>
            </w:pPr>
            <w:r w:rsidRPr="005474DA">
              <w:rPr>
                <w:rFonts w:ascii="Georgia" w:hAnsi="Georgia" w:cs="Calibri"/>
                <w:color w:val="404040" w:themeColor="text1" w:themeTint="BF"/>
                <w:sz w:val="20"/>
              </w:rPr>
              <w:t>Director</w:t>
            </w:r>
          </w:p>
        </w:tc>
        <w:tc>
          <w:tcPr>
            <w:tcW w:w="3170" w:type="dxa"/>
          </w:tcPr>
          <w:p w14:paraId="344625BF" w14:textId="77777777" w:rsidR="0078238F" w:rsidRPr="005474DA" w:rsidRDefault="0078238F" w:rsidP="00AC1776">
            <w:pPr>
              <w:jc w:val="both"/>
              <w:rPr>
                <w:rFonts w:ascii="Georgia" w:hAnsi="Georgia" w:cs="Calibri"/>
                <w:color w:val="404040" w:themeColor="text1" w:themeTint="BF"/>
                <w:sz w:val="20"/>
              </w:rPr>
            </w:pPr>
            <w:r w:rsidRPr="005474DA">
              <w:rPr>
                <w:rFonts w:ascii="Georgia" w:hAnsi="Georgia" w:cs="Calibri"/>
                <w:color w:val="404040" w:themeColor="text1" w:themeTint="BF"/>
                <w:sz w:val="20"/>
              </w:rPr>
              <w:t>Director</w:t>
            </w:r>
          </w:p>
        </w:tc>
      </w:tr>
      <w:tr w:rsidR="0078238F" w:rsidRPr="005474DA" w14:paraId="764BB687" w14:textId="77777777" w:rsidTr="00156EA8">
        <w:tc>
          <w:tcPr>
            <w:tcW w:w="6190" w:type="dxa"/>
          </w:tcPr>
          <w:p w14:paraId="0FA8EE72" w14:textId="63BA9F4B" w:rsidR="0078238F" w:rsidRPr="00851867" w:rsidRDefault="00851867" w:rsidP="00E61051">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866BB5" w:rsidRPr="00851867">
              <w:rPr>
                <w:rFonts w:ascii="Georgia" w:hAnsi="Georgia" w:cs="Calibri"/>
                <w:color w:val="404040" w:themeColor="text1" w:themeTint="BF"/>
                <w:sz w:val="20"/>
              </w:rPr>
              <w:t xml:space="preserve"> September</w:t>
            </w:r>
            <w:r w:rsidR="00066627" w:rsidRPr="00851867">
              <w:rPr>
                <w:rFonts w:ascii="Georgia" w:hAnsi="Georgia" w:cs="Calibri"/>
                <w:color w:val="404040" w:themeColor="text1" w:themeTint="BF"/>
                <w:sz w:val="20"/>
              </w:rPr>
              <w:t xml:space="preserve"> </w:t>
            </w:r>
            <w:r w:rsidR="00904E51" w:rsidRPr="00851867">
              <w:rPr>
                <w:rFonts w:ascii="Georgia" w:hAnsi="Georgia" w:cs="Calibri"/>
                <w:color w:val="404040" w:themeColor="text1" w:themeTint="BF"/>
                <w:sz w:val="20"/>
              </w:rPr>
              <w:t>2020</w:t>
            </w:r>
          </w:p>
        </w:tc>
        <w:tc>
          <w:tcPr>
            <w:tcW w:w="3170" w:type="dxa"/>
          </w:tcPr>
          <w:p w14:paraId="5ED0409D" w14:textId="18AD7EF0" w:rsidR="0078238F" w:rsidRPr="00851867" w:rsidRDefault="00851867" w:rsidP="00975A57">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CF2D86" w:rsidRPr="00851867">
              <w:rPr>
                <w:rFonts w:ascii="Georgia" w:hAnsi="Georgia" w:cs="Calibri"/>
                <w:color w:val="404040" w:themeColor="text1" w:themeTint="BF"/>
                <w:sz w:val="20"/>
              </w:rPr>
              <w:t xml:space="preserve"> </w:t>
            </w:r>
            <w:r w:rsidR="00866BB5" w:rsidRPr="00851867">
              <w:rPr>
                <w:rFonts w:ascii="Georgia" w:hAnsi="Georgia" w:cs="Calibri"/>
                <w:color w:val="404040" w:themeColor="text1" w:themeTint="BF"/>
                <w:sz w:val="20"/>
              </w:rPr>
              <w:t>Septem</w:t>
            </w:r>
            <w:r w:rsidR="00CF2D86" w:rsidRPr="00851867">
              <w:rPr>
                <w:rFonts w:ascii="Georgia" w:hAnsi="Georgia" w:cs="Calibri"/>
                <w:color w:val="404040" w:themeColor="text1" w:themeTint="BF"/>
                <w:sz w:val="20"/>
              </w:rPr>
              <w:t>ber</w:t>
            </w:r>
            <w:r w:rsidR="00066627" w:rsidRPr="00851867">
              <w:rPr>
                <w:rFonts w:ascii="Georgia" w:hAnsi="Georgia" w:cs="Calibri"/>
                <w:color w:val="404040" w:themeColor="text1" w:themeTint="BF"/>
                <w:sz w:val="20"/>
              </w:rPr>
              <w:t xml:space="preserve"> </w:t>
            </w:r>
            <w:r w:rsidR="00904E51" w:rsidRPr="00851867">
              <w:rPr>
                <w:rFonts w:ascii="Georgia" w:hAnsi="Georgia" w:cs="Calibri"/>
                <w:color w:val="404040" w:themeColor="text1" w:themeTint="BF"/>
                <w:sz w:val="20"/>
              </w:rPr>
              <w:t>2020</w:t>
            </w:r>
          </w:p>
        </w:tc>
      </w:tr>
      <w:tr w:rsidR="007E0C9E" w:rsidRPr="008A4930" w14:paraId="0D1FCA73" w14:textId="77777777" w:rsidTr="00156EA8">
        <w:tc>
          <w:tcPr>
            <w:tcW w:w="6190" w:type="dxa"/>
          </w:tcPr>
          <w:p w14:paraId="51A63DAC" w14:textId="77777777" w:rsidR="007E0C9E" w:rsidRPr="008A4930" w:rsidRDefault="007E0C9E" w:rsidP="00E6609B">
            <w:pPr>
              <w:jc w:val="both"/>
              <w:rPr>
                <w:rFonts w:ascii="Georgia" w:hAnsi="Georgia" w:cs="Calibri"/>
                <w:b/>
                <w:color w:val="404040" w:themeColor="text1" w:themeTint="BF"/>
                <w:sz w:val="20"/>
              </w:rPr>
            </w:pPr>
          </w:p>
        </w:tc>
        <w:tc>
          <w:tcPr>
            <w:tcW w:w="3170" w:type="dxa"/>
          </w:tcPr>
          <w:p w14:paraId="7198C739" w14:textId="77777777" w:rsidR="007E0C9E" w:rsidRPr="008A4930" w:rsidRDefault="007E0C9E" w:rsidP="00E6609B">
            <w:pPr>
              <w:jc w:val="both"/>
              <w:rPr>
                <w:rFonts w:ascii="Georgia" w:hAnsi="Georgia" w:cs="Calibri"/>
                <w:b/>
                <w:color w:val="404040" w:themeColor="text1" w:themeTint="BF"/>
                <w:sz w:val="20"/>
              </w:rPr>
            </w:pPr>
          </w:p>
        </w:tc>
      </w:tr>
      <w:tr w:rsidR="007E0C9E" w:rsidRPr="005474DA" w14:paraId="15E655E9" w14:textId="77777777" w:rsidTr="00156EA8">
        <w:tc>
          <w:tcPr>
            <w:tcW w:w="6190" w:type="dxa"/>
          </w:tcPr>
          <w:p w14:paraId="17A65142" w14:textId="77777777" w:rsidR="007E0C9E" w:rsidRPr="005474DA" w:rsidRDefault="007E0C9E" w:rsidP="00E6609B">
            <w:pPr>
              <w:jc w:val="both"/>
              <w:rPr>
                <w:rFonts w:ascii="Georgia" w:hAnsi="Georgia" w:cs="Calibri"/>
                <w:color w:val="404040" w:themeColor="text1" w:themeTint="BF"/>
                <w:sz w:val="20"/>
              </w:rPr>
            </w:pPr>
          </w:p>
        </w:tc>
        <w:tc>
          <w:tcPr>
            <w:tcW w:w="3170" w:type="dxa"/>
          </w:tcPr>
          <w:p w14:paraId="6287FC49" w14:textId="77777777" w:rsidR="007E0C9E" w:rsidRPr="005474DA" w:rsidRDefault="007E0C9E" w:rsidP="00E6609B">
            <w:pPr>
              <w:jc w:val="both"/>
              <w:rPr>
                <w:rFonts w:ascii="Georgia" w:hAnsi="Georgia" w:cs="Calibri"/>
                <w:color w:val="404040" w:themeColor="text1" w:themeTint="BF"/>
                <w:sz w:val="20"/>
              </w:rPr>
            </w:pPr>
          </w:p>
        </w:tc>
      </w:tr>
    </w:tbl>
    <w:p w14:paraId="1FDAC798" w14:textId="77777777" w:rsidR="000F51FA" w:rsidRPr="001471B7" w:rsidRDefault="000F51FA" w:rsidP="00E85EF6">
      <w:pPr>
        <w:pStyle w:val="Heading2"/>
        <w:spacing w:before="0"/>
        <w:rPr>
          <w:color w:val="auto"/>
        </w:rPr>
      </w:pPr>
      <w:r>
        <w:br w:type="page"/>
      </w:r>
      <w:r>
        <w:rPr>
          <w:color w:val="auto"/>
        </w:rPr>
        <w:lastRenderedPageBreak/>
        <w:t>Responsibility Statement of the Directors in Respect of the Annual Report</w:t>
      </w:r>
    </w:p>
    <w:p w14:paraId="2727E6BD" w14:textId="77777777" w:rsidR="000F51FA" w:rsidRDefault="000F51FA" w:rsidP="000F51FA">
      <w:pPr>
        <w:jc w:val="both"/>
        <w:rPr>
          <w:rFonts w:ascii="Georgia" w:hAnsi="Georgia" w:cs="Calibri"/>
          <w:color w:val="404040" w:themeColor="text1" w:themeTint="BF"/>
          <w:sz w:val="20"/>
        </w:rPr>
      </w:pPr>
    </w:p>
    <w:p w14:paraId="40CBB64E" w14:textId="4BAD54AA" w:rsidR="00E42A95" w:rsidRPr="003766E0" w:rsidRDefault="000F51FA" w:rsidP="00E42A95">
      <w:pPr>
        <w:pStyle w:val="BluefieldBody"/>
      </w:pPr>
      <w:r w:rsidRPr="005474DA">
        <w:t xml:space="preserve">Each of the Directors, whose names are set out on </w:t>
      </w:r>
      <w:r w:rsidRPr="002042B2">
        <w:t>page</w:t>
      </w:r>
      <w:r w:rsidR="00583C77" w:rsidRPr="002042B2">
        <w:t>s</w:t>
      </w:r>
      <w:r w:rsidRPr="002042B2">
        <w:t xml:space="preserve"> </w:t>
      </w:r>
      <w:r w:rsidR="002042B2" w:rsidRPr="002042B2">
        <w:t>86</w:t>
      </w:r>
      <w:r w:rsidR="00583C77" w:rsidRPr="002042B2">
        <w:t xml:space="preserve"> and </w:t>
      </w:r>
      <w:r w:rsidR="002042B2">
        <w:t>87</w:t>
      </w:r>
      <w:r w:rsidR="00EF23B3" w:rsidRPr="003766E0">
        <w:t xml:space="preserve"> </w:t>
      </w:r>
      <w:r w:rsidRPr="003766E0">
        <w:t xml:space="preserve">in the </w:t>
      </w:r>
      <w:r w:rsidR="00A51D0B" w:rsidRPr="003766E0">
        <w:t>Board</w:t>
      </w:r>
      <w:r w:rsidRPr="003766E0">
        <w:t xml:space="preserve"> of Directors section of the annual report, confirms that to the best of their knowledge that:</w:t>
      </w:r>
    </w:p>
    <w:p w14:paraId="621D996A" w14:textId="77777777" w:rsidR="000F51FA" w:rsidRPr="003766E0" w:rsidRDefault="000F51FA" w:rsidP="000F51FA">
      <w:pPr>
        <w:jc w:val="both"/>
        <w:rPr>
          <w:rFonts w:ascii="Georgia" w:hAnsi="Georgia" w:cs="Calibri"/>
          <w:color w:val="404040" w:themeColor="text1" w:themeTint="BF"/>
          <w:sz w:val="20"/>
        </w:rPr>
      </w:pPr>
    </w:p>
    <w:p w14:paraId="24935180" w14:textId="031B9846" w:rsidR="008D24DD" w:rsidRPr="003766E0" w:rsidRDefault="008D24DD" w:rsidP="008D24DD">
      <w:pPr>
        <w:pStyle w:val="Bluefieldbullets10pt"/>
      </w:pPr>
      <w:r w:rsidRPr="003766E0">
        <w:t>the financial statements, prepared in accordance with IFRS, give a true and fair view of the assets, liabilities, financial position and profit or loss of the</w:t>
      </w:r>
      <w:r w:rsidR="00F6422A" w:rsidRPr="003766E0">
        <w:t xml:space="preserve"> Company</w:t>
      </w:r>
      <w:r w:rsidRPr="003766E0">
        <w:t xml:space="preserve">; </w:t>
      </w:r>
    </w:p>
    <w:p w14:paraId="42AA54BF" w14:textId="37CEB346" w:rsidR="008D24DD" w:rsidRPr="003766E0" w:rsidRDefault="008D24DD" w:rsidP="008D24DD">
      <w:pPr>
        <w:pStyle w:val="Bluefieldbullets10pt"/>
      </w:pPr>
      <w:r w:rsidRPr="003766E0">
        <w:t>the Management Report (comprising Chairman’s Statement, Strategic Report</w:t>
      </w:r>
      <w:r w:rsidR="00A51D0B" w:rsidRPr="003766E0">
        <w:t xml:space="preserve">, Report of the Directors </w:t>
      </w:r>
      <w:r w:rsidRPr="003766E0">
        <w:t xml:space="preserve"> and Report of the Investment Adviser) includes a fair review of the development and performance of the business </w:t>
      </w:r>
      <w:r w:rsidR="000A5091" w:rsidRPr="003766E0">
        <w:t>and the position of the Company</w:t>
      </w:r>
      <w:r w:rsidR="00D81233" w:rsidRPr="003766E0">
        <w:t xml:space="preserve"> together wit</w:t>
      </w:r>
      <w:r w:rsidR="00FA7AA6" w:rsidRPr="003766E0">
        <w:t>h a description of the principal</w:t>
      </w:r>
      <w:r w:rsidR="00D81233" w:rsidRPr="003766E0">
        <w:t xml:space="preserve"> risks and uncertainties faced on </w:t>
      </w:r>
      <w:r w:rsidR="00D81233" w:rsidRPr="000D3422">
        <w:t xml:space="preserve">pages </w:t>
      </w:r>
      <w:r w:rsidR="00441E89" w:rsidRPr="00441E89">
        <w:t>23</w:t>
      </w:r>
      <w:r w:rsidR="00D81233" w:rsidRPr="00441E89">
        <w:t xml:space="preserve"> to </w:t>
      </w:r>
      <w:r w:rsidR="00441E89" w:rsidRPr="00441E89">
        <w:t>33</w:t>
      </w:r>
      <w:r w:rsidRPr="00441E89">
        <w:t>;</w:t>
      </w:r>
      <w:r w:rsidRPr="003766E0">
        <w:t xml:space="preserve"> and</w:t>
      </w:r>
    </w:p>
    <w:p w14:paraId="638EFABE" w14:textId="51F33408" w:rsidR="00E42A95" w:rsidRDefault="000F51FA" w:rsidP="005417F3">
      <w:pPr>
        <w:pStyle w:val="Bluefieldbullets10pt"/>
        <w:numPr>
          <w:ilvl w:val="0"/>
          <w:numId w:val="0"/>
        </w:numPr>
      </w:pPr>
      <w:r w:rsidRPr="005474DA">
        <w:t>Having taken advice from the Audit Committ</w:t>
      </w:r>
      <w:r>
        <w:t>ee, the Directors consider the a</w:t>
      </w:r>
      <w:r w:rsidRPr="005474DA">
        <w:t xml:space="preserve">nnual </w:t>
      </w:r>
      <w:r>
        <w:t>r</w:t>
      </w:r>
      <w:r w:rsidRPr="005474DA">
        <w:t xml:space="preserve">eport and </w:t>
      </w:r>
      <w:r>
        <w:t>financial s</w:t>
      </w:r>
      <w:r w:rsidR="005A3A69">
        <w:t>tatements, taken as a whole, i</w:t>
      </w:r>
      <w:r w:rsidRPr="005474DA">
        <w:t xml:space="preserve">s fair, balanced and understandable and that it provides the information necessary for </w:t>
      </w:r>
      <w:r w:rsidR="00576E30">
        <w:t>S</w:t>
      </w:r>
      <w:r w:rsidRPr="005474DA">
        <w:t xml:space="preserve">hareholders to assess the </w:t>
      </w:r>
      <w:r w:rsidR="00353C33">
        <w:t>Company</w:t>
      </w:r>
      <w:r w:rsidRPr="005474DA">
        <w:t>’s p</w:t>
      </w:r>
      <w:r w:rsidR="005A3A69">
        <w:t>osition, performance</w:t>
      </w:r>
      <w:r w:rsidRPr="005474DA">
        <w:t>, business model and strategy.</w:t>
      </w:r>
    </w:p>
    <w:p w14:paraId="7F363618" w14:textId="77777777" w:rsidR="000F51FA" w:rsidRPr="005474DA" w:rsidRDefault="000F51FA" w:rsidP="000F51FA">
      <w:pPr>
        <w:jc w:val="both"/>
        <w:rPr>
          <w:rFonts w:ascii="Georgia" w:hAnsi="Georgia" w:cs="Calibri"/>
          <w:color w:val="404040" w:themeColor="text1" w:themeTint="BF"/>
          <w:sz w:val="20"/>
        </w:rPr>
      </w:pPr>
    </w:p>
    <w:p w14:paraId="5DC62636" w14:textId="77777777" w:rsidR="000F51FA" w:rsidRPr="005474DA" w:rsidRDefault="000F51FA" w:rsidP="000F51FA">
      <w:pPr>
        <w:jc w:val="both"/>
        <w:rPr>
          <w:rFonts w:ascii="Georgia" w:hAnsi="Georgia" w:cs="Calibri"/>
          <w:color w:val="404040" w:themeColor="text1" w:themeTint="BF"/>
          <w:sz w:val="20"/>
        </w:rPr>
      </w:pPr>
    </w:p>
    <w:p w14:paraId="15B4CA40" w14:textId="77777777" w:rsidR="000F51FA" w:rsidRPr="005474DA" w:rsidRDefault="000F51FA" w:rsidP="000F51FA">
      <w:pPr>
        <w:jc w:val="both"/>
        <w:rPr>
          <w:rFonts w:ascii="Georgia" w:hAnsi="Georgia" w:cs="Calibri"/>
          <w:color w:val="404040" w:themeColor="text1" w:themeTint="BF"/>
          <w:sz w:val="20"/>
        </w:rPr>
      </w:pPr>
      <w:r w:rsidRPr="005474DA">
        <w:rPr>
          <w:rFonts w:ascii="Georgia" w:hAnsi="Georgia" w:cs="Calibri"/>
          <w:color w:val="404040" w:themeColor="text1" w:themeTint="BF"/>
          <w:sz w:val="20"/>
        </w:rPr>
        <w:t>By order of the Board</w:t>
      </w:r>
    </w:p>
    <w:p w14:paraId="53BFAA8D" w14:textId="77777777" w:rsidR="000F51FA" w:rsidRPr="005474DA" w:rsidRDefault="000F51FA" w:rsidP="000F51FA">
      <w:pPr>
        <w:jc w:val="both"/>
        <w:rPr>
          <w:rFonts w:ascii="Georgia" w:hAnsi="Georgia" w:cs="Calibri"/>
          <w:color w:val="404040" w:themeColor="text1" w:themeTint="BF"/>
          <w:sz w:val="20"/>
        </w:rPr>
      </w:pPr>
    </w:p>
    <w:p w14:paraId="7AFED0FD" w14:textId="77777777" w:rsidR="000F51FA" w:rsidRPr="005474DA" w:rsidRDefault="000F51FA" w:rsidP="000F51FA">
      <w:pPr>
        <w:jc w:val="both"/>
        <w:rPr>
          <w:rFonts w:ascii="Georgia" w:hAnsi="Georgia" w:cs="Calibri"/>
          <w:color w:val="404040" w:themeColor="text1" w:themeTint="BF"/>
          <w:sz w:val="20"/>
        </w:rPr>
      </w:pPr>
    </w:p>
    <w:p w14:paraId="1CA47E16" w14:textId="77777777" w:rsidR="000F51FA" w:rsidRPr="005474DA" w:rsidRDefault="000F51FA" w:rsidP="000F51FA">
      <w:pPr>
        <w:jc w:val="both"/>
        <w:rPr>
          <w:rFonts w:ascii="Georgia" w:hAnsi="Georgia" w:cs="Calibri"/>
          <w:color w:val="404040" w:themeColor="text1" w:themeTint="BF"/>
          <w:sz w:val="20"/>
        </w:rPr>
      </w:pPr>
    </w:p>
    <w:p w14:paraId="6D85D55A" w14:textId="77777777" w:rsidR="000F51FA" w:rsidRPr="005474DA" w:rsidRDefault="000F51FA" w:rsidP="000F51FA">
      <w:pPr>
        <w:jc w:val="both"/>
        <w:rPr>
          <w:rFonts w:ascii="Georgia" w:hAnsi="Georgia" w:cs="Calibri"/>
          <w:color w:val="404040" w:themeColor="text1" w:themeTint="BF"/>
          <w:sz w:val="20"/>
        </w:rPr>
      </w:pPr>
    </w:p>
    <w:p w14:paraId="4256C2D9" w14:textId="77777777" w:rsidR="000F51FA" w:rsidRPr="005474DA" w:rsidRDefault="000F51FA" w:rsidP="000F51FA">
      <w:pPr>
        <w:jc w:val="both"/>
        <w:rPr>
          <w:rFonts w:ascii="Georgia" w:hAnsi="Georgia" w:cs="Calibri"/>
          <w:color w:val="404040" w:themeColor="text1" w:themeTint="B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0"/>
        <w:gridCol w:w="3170"/>
      </w:tblGrid>
      <w:tr w:rsidR="0078238F" w:rsidRPr="005474DA" w14:paraId="7F990257" w14:textId="77777777">
        <w:tc>
          <w:tcPr>
            <w:tcW w:w="6345" w:type="dxa"/>
          </w:tcPr>
          <w:p w14:paraId="157DE111" w14:textId="77777777" w:rsidR="0078238F" w:rsidRDefault="0078238F" w:rsidP="00AC1776">
            <w:pPr>
              <w:jc w:val="both"/>
              <w:rPr>
                <w:rFonts w:ascii="Georgia" w:hAnsi="Georgia" w:cs="Calibri"/>
                <w:b/>
                <w:color w:val="404040" w:themeColor="text1" w:themeTint="BF"/>
                <w:sz w:val="20"/>
              </w:rPr>
            </w:pPr>
          </w:p>
          <w:p w14:paraId="193001AD" w14:textId="77777777" w:rsidR="0078238F" w:rsidRDefault="0078238F" w:rsidP="00AC1776">
            <w:pPr>
              <w:jc w:val="both"/>
              <w:rPr>
                <w:rFonts w:ascii="Georgia" w:hAnsi="Georgia" w:cs="Calibri"/>
                <w:b/>
                <w:color w:val="404040" w:themeColor="text1" w:themeTint="BF"/>
                <w:sz w:val="20"/>
              </w:rPr>
            </w:pPr>
          </w:p>
          <w:p w14:paraId="61BCFBAC" w14:textId="77777777" w:rsidR="0078238F" w:rsidRPr="008A4930" w:rsidRDefault="0078238F" w:rsidP="00AC1776">
            <w:pPr>
              <w:jc w:val="both"/>
              <w:rPr>
                <w:rFonts w:ascii="Georgia" w:hAnsi="Georgia" w:cs="Calibri"/>
                <w:b/>
                <w:color w:val="404040" w:themeColor="text1" w:themeTint="BF"/>
                <w:sz w:val="20"/>
              </w:rPr>
            </w:pPr>
            <w:r w:rsidRPr="008A4930">
              <w:rPr>
                <w:rFonts w:ascii="Georgia" w:hAnsi="Georgia" w:cs="Calibri"/>
                <w:b/>
                <w:color w:val="404040" w:themeColor="text1" w:themeTint="BF"/>
                <w:sz w:val="20"/>
              </w:rPr>
              <w:t>Paul Le Page</w:t>
            </w:r>
          </w:p>
        </w:tc>
        <w:tc>
          <w:tcPr>
            <w:tcW w:w="3231" w:type="dxa"/>
          </w:tcPr>
          <w:p w14:paraId="2A0FEDAC" w14:textId="77777777" w:rsidR="0078238F" w:rsidRDefault="0078238F" w:rsidP="00AC1776">
            <w:pPr>
              <w:jc w:val="both"/>
              <w:rPr>
                <w:rFonts w:ascii="Georgia" w:hAnsi="Georgia" w:cs="Calibri"/>
                <w:b/>
                <w:color w:val="404040" w:themeColor="text1" w:themeTint="BF"/>
                <w:sz w:val="20"/>
              </w:rPr>
            </w:pPr>
          </w:p>
          <w:p w14:paraId="401DA073" w14:textId="77777777" w:rsidR="0078238F" w:rsidRDefault="0078238F" w:rsidP="00AC1776">
            <w:pPr>
              <w:jc w:val="both"/>
              <w:rPr>
                <w:rFonts w:ascii="Georgia" w:hAnsi="Georgia" w:cs="Calibri"/>
                <w:b/>
                <w:color w:val="404040" w:themeColor="text1" w:themeTint="BF"/>
                <w:sz w:val="20"/>
              </w:rPr>
            </w:pPr>
          </w:p>
          <w:p w14:paraId="4BA121C3" w14:textId="77777777" w:rsidR="0078238F" w:rsidRPr="008A4930" w:rsidRDefault="0078238F" w:rsidP="00AC1776">
            <w:pPr>
              <w:jc w:val="both"/>
              <w:rPr>
                <w:rFonts w:ascii="Georgia" w:hAnsi="Georgia" w:cs="Calibri"/>
                <w:b/>
                <w:color w:val="404040" w:themeColor="text1" w:themeTint="BF"/>
                <w:sz w:val="20"/>
              </w:rPr>
            </w:pPr>
            <w:r>
              <w:rPr>
                <w:rFonts w:ascii="Georgia" w:hAnsi="Georgia" w:cs="Calibri"/>
                <w:b/>
                <w:color w:val="404040" w:themeColor="text1" w:themeTint="BF"/>
                <w:sz w:val="20"/>
              </w:rPr>
              <w:t>Laurence McNairn</w:t>
            </w:r>
          </w:p>
        </w:tc>
      </w:tr>
      <w:tr w:rsidR="0078238F" w:rsidRPr="005474DA" w14:paraId="31C4B5E8" w14:textId="77777777">
        <w:tc>
          <w:tcPr>
            <w:tcW w:w="6345" w:type="dxa"/>
          </w:tcPr>
          <w:p w14:paraId="2BFBAEE8" w14:textId="77777777" w:rsidR="0078238F" w:rsidRPr="00851867" w:rsidRDefault="0078238F" w:rsidP="00AC1776">
            <w:pPr>
              <w:jc w:val="both"/>
              <w:rPr>
                <w:rFonts w:ascii="Georgia" w:hAnsi="Georgia" w:cs="Calibri"/>
                <w:color w:val="404040" w:themeColor="text1" w:themeTint="BF"/>
                <w:sz w:val="20"/>
              </w:rPr>
            </w:pPr>
            <w:r w:rsidRPr="00851867">
              <w:rPr>
                <w:rFonts w:ascii="Georgia" w:hAnsi="Georgia" w:cs="Calibri"/>
                <w:color w:val="404040" w:themeColor="text1" w:themeTint="BF"/>
                <w:sz w:val="20"/>
              </w:rPr>
              <w:t>Director</w:t>
            </w:r>
          </w:p>
        </w:tc>
        <w:tc>
          <w:tcPr>
            <w:tcW w:w="3231" w:type="dxa"/>
          </w:tcPr>
          <w:p w14:paraId="7171B1F3" w14:textId="77777777" w:rsidR="0078238F" w:rsidRPr="00851867" w:rsidRDefault="0078238F" w:rsidP="00AC1776">
            <w:pPr>
              <w:jc w:val="both"/>
              <w:rPr>
                <w:rFonts w:ascii="Georgia" w:hAnsi="Georgia" w:cs="Calibri"/>
                <w:color w:val="404040" w:themeColor="text1" w:themeTint="BF"/>
                <w:sz w:val="20"/>
              </w:rPr>
            </w:pPr>
            <w:r w:rsidRPr="00851867">
              <w:rPr>
                <w:rFonts w:ascii="Georgia" w:hAnsi="Georgia" w:cs="Calibri"/>
                <w:color w:val="404040" w:themeColor="text1" w:themeTint="BF"/>
                <w:sz w:val="20"/>
              </w:rPr>
              <w:t>Director</w:t>
            </w:r>
          </w:p>
        </w:tc>
      </w:tr>
      <w:tr w:rsidR="0078238F" w:rsidRPr="005474DA" w14:paraId="14082887" w14:textId="77777777">
        <w:tc>
          <w:tcPr>
            <w:tcW w:w="6345" w:type="dxa"/>
          </w:tcPr>
          <w:p w14:paraId="62835E38" w14:textId="77F27BBC" w:rsidR="0078238F" w:rsidRPr="00851867" w:rsidRDefault="00851867" w:rsidP="00975A57">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CF2D86" w:rsidRPr="00851867">
              <w:rPr>
                <w:rFonts w:ascii="Georgia" w:hAnsi="Georgia" w:cs="Calibri"/>
                <w:color w:val="404040" w:themeColor="text1" w:themeTint="BF"/>
                <w:sz w:val="20"/>
              </w:rPr>
              <w:t xml:space="preserve"> </w:t>
            </w:r>
            <w:r w:rsidR="00866BB5" w:rsidRPr="00851867">
              <w:rPr>
                <w:rFonts w:ascii="Georgia" w:hAnsi="Georgia" w:cs="Calibri"/>
                <w:color w:val="404040" w:themeColor="text1" w:themeTint="BF"/>
                <w:sz w:val="20"/>
              </w:rPr>
              <w:t>Septem</w:t>
            </w:r>
            <w:r w:rsidR="00CF2D86" w:rsidRPr="00851867">
              <w:rPr>
                <w:rFonts w:ascii="Georgia" w:hAnsi="Georgia" w:cs="Calibri"/>
                <w:color w:val="404040" w:themeColor="text1" w:themeTint="BF"/>
                <w:sz w:val="20"/>
              </w:rPr>
              <w:t>ber</w:t>
            </w:r>
            <w:r w:rsidR="00C17E51" w:rsidRPr="00851867">
              <w:rPr>
                <w:rFonts w:ascii="Georgia" w:hAnsi="Georgia" w:cs="Calibri"/>
                <w:color w:val="404040" w:themeColor="text1" w:themeTint="BF"/>
                <w:sz w:val="20"/>
              </w:rPr>
              <w:t xml:space="preserve"> </w:t>
            </w:r>
            <w:r w:rsidR="00904E51" w:rsidRPr="00851867">
              <w:rPr>
                <w:rFonts w:ascii="Georgia" w:hAnsi="Georgia" w:cs="Calibri"/>
                <w:color w:val="404040" w:themeColor="text1" w:themeTint="BF"/>
                <w:sz w:val="20"/>
              </w:rPr>
              <w:t>2020</w:t>
            </w:r>
          </w:p>
        </w:tc>
        <w:tc>
          <w:tcPr>
            <w:tcW w:w="3231" w:type="dxa"/>
          </w:tcPr>
          <w:p w14:paraId="64C27B7C" w14:textId="32041E62" w:rsidR="0078238F" w:rsidRPr="00851867" w:rsidRDefault="00851867" w:rsidP="00975A57">
            <w:pPr>
              <w:jc w:val="both"/>
              <w:rPr>
                <w:rFonts w:ascii="Georgia" w:hAnsi="Georgia" w:cs="Calibri"/>
                <w:color w:val="404040" w:themeColor="text1" w:themeTint="BF"/>
                <w:sz w:val="20"/>
              </w:rPr>
            </w:pPr>
            <w:r w:rsidRPr="00851867">
              <w:rPr>
                <w:rFonts w:ascii="Georgia" w:hAnsi="Georgia" w:cs="Calibri"/>
                <w:color w:val="404040" w:themeColor="text1" w:themeTint="BF"/>
                <w:sz w:val="20"/>
              </w:rPr>
              <w:t>21</w:t>
            </w:r>
            <w:r w:rsidR="00CF2D86" w:rsidRPr="00851867">
              <w:rPr>
                <w:rFonts w:ascii="Georgia" w:hAnsi="Georgia" w:cs="Calibri"/>
                <w:color w:val="404040" w:themeColor="text1" w:themeTint="BF"/>
                <w:sz w:val="20"/>
              </w:rPr>
              <w:t xml:space="preserve"> </w:t>
            </w:r>
            <w:r w:rsidR="00866BB5" w:rsidRPr="00851867">
              <w:rPr>
                <w:rFonts w:ascii="Georgia" w:hAnsi="Georgia" w:cs="Calibri"/>
                <w:color w:val="404040" w:themeColor="text1" w:themeTint="BF"/>
                <w:sz w:val="20"/>
              </w:rPr>
              <w:t>Septem</w:t>
            </w:r>
            <w:r w:rsidR="00CF2D86" w:rsidRPr="00851867">
              <w:rPr>
                <w:rFonts w:ascii="Georgia" w:hAnsi="Georgia" w:cs="Calibri"/>
                <w:color w:val="404040" w:themeColor="text1" w:themeTint="BF"/>
                <w:sz w:val="20"/>
              </w:rPr>
              <w:t>ber</w:t>
            </w:r>
            <w:r w:rsidR="00C17E51" w:rsidRPr="00851867">
              <w:rPr>
                <w:rFonts w:ascii="Georgia" w:hAnsi="Georgia" w:cs="Calibri"/>
                <w:color w:val="404040" w:themeColor="text1" w:themeTint="BF"/>
                <w:sz w:val="20"/>
              </w:rPr>
              <w:t xml:space="preserve"> </w:t>
            </w:r>
            <w:r w:rsidR="00904E51" w:rsidRPr="00851867">
              <w:rPr>
                <w:rFonts w:ascii="Georgia" w:hAnsi="Georgia" w:cs="Calibri"/>
                <w:color w:val="404040" w:themeColor="text1" w:themeTint="BF"/>
                <w:sz w:val="20"/>
              </w:rPr>
              <w:t>2020</w:t>
            </w:r>
          </w:p>
        </w:tc>
      </w:tr>
      <w:tr w:rsidR="000F51FA" w:rsidRPr="005474DA" w14:paraId="2C1CA5D4" w14:textId="77777777">
        <w:tc>
          <w:tcPr>
            <w:tcW w:w="6345" w:type="dxa"/>
          </w:tcPr>
          <w:p w14:paraId="18078CC6" w14:textId="77777777" w:rsidR="000F51FA" w:rsidRPr="008A4930" w:rsidRDefault="000F51FA" w:rsidP="00DF7545">
            <w:pPr>
              <w:jc w:val="both"/>
              <w:rPr>
                <w:rFonts w:ascii="Georgia" w:hAnsi="Georgia" w:cs="Calibri"/>
                <w:b/>
                <w:color w:val="404040" w:themeColor="text1" w:themeTint="BF"/>
                <w:sz w:val="20"/>
              </w:rPr>
            </w:pPr>
          </w:p>
        </w:tc>
        <w:tc>
          <w:tcPr>
            <w:tcW w:w="3231" w:type="dxa"/>
          </w:tcPr>
          <w:p w14:paraId="74B05793" w14:textId="77777777" w:rsidR="000F51FA" w:rsidRPr="008A4930" w:rsidRDefault="000F51FA" w:rsidP="00DF7545">
            <w:pPr>
              <w:jc w:val="both"/>
              <w:rPr>
                <w:rFonts w:ascii="Georgia" w:hAnsi="Georgia" w:cs="Calibri"/>
                <w:b/>
                <w:color w:val="404040" w:themeColor="text1" w:themeTint="BF"/>
                <w:sz w:val="20"/>
              </w:rPr>
            </w:pPr>
          </w:p>
        </w:tc>
      </w:tr>
      <w:tr w:rsidR="000F51FA" w:rsidRPr="005474DA" w14:paraId="45E4CD21" w14:textId="77777777">
        <w:tc>
          <w:tcPr>
            <w:tcW w:w="6345" w:type="dxa"/>
          </w:tcPr>
          <w:p w14:paraId="62128091" w14:textId="77777777" w:rsidR="000F51FA" w:rsidRPr="005474DA" w:rsidRDefault="000F51FA" w:rsidP="00DF7545">
            <w:pPr>
              <w:jc w:val="both"/>
              <w:rPr>
                <w:rFonts w:ascii="Georgia" w:hAnsi="Georgia" w:cs="Calibri"/>
                <w:color w:val="404040" w:themeColor="text1" w:themeTint="BF"/>
                <w:sz w:val="20"/>
              </w:rPr>
            </w:pPr>
          </w:p>
        </w:tc>
        <w:tc>
          <w:tcPr>
            <w:tcW w:w="3231" w:type="dxa"/>
          </w:tcPr>
          <w:p w14:paraId="7ADB309C" w14:textId="77777777" w:rsidR="000F51FA" w:rsidRPr="005474DA" w:rsidRDefault="000F51FA" w:rsidP="00DF7545">
            <w:pPr>
              <w:jc w:val="both"/>
              <w:rPr>
                <w:rFonts w:ascii="Georgia" w:hAnsi="Georgia" w:cs="Calibri"/>
                <w:color w:val="404040" w:themeColor="text1" w:themeTint="BF"/>
                <w:sz w:val="20"/>
              </w:rPr>
            </w:pPr>
          </w:p>
        </w:tc>
      </w:tr>
      <w:tr w:rsidR="000F51FA" w:rsidRPr="005474DA" w14:paraId="68D30FBA" w14:textId="77777777">
        <w:tc>
          <w:tcPr>
            <w:tcW w:w="6345" w:type="dxa"/>
          </w:tcPr>
          <w:p w14:paraId="759E3996" w14:textId="77777777" w:rsidR="000F51FA" w:rsidRPr="005474DA" w:rsidRDefault="000F51FA" w:rsidP="00DF7545">
            <w:pPr>
              <w:jc w:val="both"/>
              <w:rPr>
                <w:rFonts w:ascii="Georgia" w:hAnsi="Georgia" w:cs="Calibri"/>
                <w:color w:val="404040" w:themeColor="text1" w:themeTint="BF"/>
                <w:sz w:val="20"/>
              </w:rPr>
            </w:pPr>
          </w:p>
        </w:tc>
        <w:tc>
          <w:tcPr>
            <w:tcW w:w="3231" w:type="dxa"/>
          </w:tcPr>
          <w:p w14:paraId="52141E16" w14:textId="77777777" w:rsidR="000F51FA" w:rsidRPr="005474DA" w:rsidRDefault="000F51FA" w:rsidP="00DF7545">
            <w:pPr>
              <w:jc w:val="both"/>
              <w:rPr>
                <w:rFonts w:ascii="Georgia" w:hAnsi="Georgia" w:cs="Calibri"/>
                <w:color w:val="404040" w:themeColor="text1" w:themeTint="BF"/>
                <w:sz w:val="20"/>
              </w:rPr>
            </w:pPr>
          </w:p>
        </w:tc>
      </w:tr>
    </w:tbl>
    <w:p w14:paraId="040F3554" w14:textId="77777777" w:rsidR="000F51FA" w:rsidRPr="005474DA" w:rsidRDefault="000F51FA" w:rsidP="000F51FA">
      <w:pPr>
        <w:jc w:val="both"/>
        <w:rPr>
          <w:rFonts w:ascii="Georgia" w:hAnsi="Georgia" w:cs="Calibri"/>
          <w:color w:val="404040" w:themeColor="text1" w:themeTint="BF"/>
          <w:sz w:val="20"/>
        </w:rPr>
      </w:pPr>
    </w:p>
    <w:p w14:paraId="567D9A6D" w14:textId="77777777" w:rsidR="000F51FA" w:rsidRPr="005474DA" w:rsidRDefault="000F51FA" w:rsidP="000F51FA">
      <w:pPr>
        <w:jc w:val="both"/>
        <w:rPr>
          <w:rFonts w:ascii="Georgia" w:hAnsi="Georgia" w:cs="Calibri"/>
          <w:color w:val="404040" w:themeColor="text1" w:themeTint="BF"/>
          <w:sz w:val="20"/>
        </w:rPr>
      </w:pPr>
    </w:p>
    <w:p w14:paraId="48C40303" w14:textId="7B81826F" w:rsidR="00A11354" w:rsidRDefault="00A11354" w:rsidP="00A11354"/>
    <w:p w14:paraId="3275CFF1" w14:textId="327FEF09" w:rsidR="00A11354" w:rsidRDefault="00A11354" w:rsidP="00A11354"/>
    <w:p w14:paraId="7101F89E" w14:textId="60C8DC8A" w:rsidR="00A11354" w:rsidRDefault="00A11354" w:rsidP="00A11354"/>
    <w:p w14:paraId="14C18BCD" w14:textId="31B2F379" w:rsidR="00A11354" w:rsidRDefault="00A11354" w:rsidP="00A11354"/>
    <w:p w14:paraId="3933384F" w14:textId="5D97F876" w:rsidR="00A11354" w:rsidRDefault="00A11354" w:rsidP="00A11354"/>
    <w:p w14:paraId="2A23A9A0" w14:textId="46CB43A8" w:rsidR="00A11354" w:rsidRDefault="00A11354" w:rsidP="00A11354"/>
    <w:p w14:paraId="7EEF6CDA" w14:textId="68C1DEEC" w:rsidR="00A11354" w:rsidRDefault="00A11354" w:rsidP="00A11354"/>
    <w:p w14:paraId="7091F207" w14:textId="41E56261" w:rsidR="00A11354" w:rsidRDefault="00A11354" w:rsidP="00A11354"/>
    <w:p w14:paraId="17FBF4D7" w14:textId="640F9ECC" w:rsidR="00A11354" w:rsidRDefault="00A11354" w:rsidP="00A11354"/>
    <w:p w14:paraId="464BE0EF" w14:textId="4AD0D4EA" w:rsidR="00A11354" w:rsidRDefault="00A11354" w:rsidP="00A11354"/>
    <w:p w14:paraId="4884EE52" w14:textId="729F01BE" w:rsidR="00A11354" w:rsidRDefault="00A11354" w:rsidP="00A11354"/>
    <w:p w14:paraId="5912CA50" w14:textId="32233898" w:rsidR="00A11354" w:rsidRDefault="00A11354" w:rsidP="00A11354"/>
    <w:p w14:paraId="0C3EFAC9" w14:textId="74F43B62" w:rsidR="00137419" w:rsidRDefault="00137419" w:rsidP="00A11354"/>
    <w:p w14:paraId="58972758" w14:textId="77777777" w:rsidR="00137419" w:rsidRDefault="00137419" w:rsidP="00A11354"/>
    <w:p w14:paraId="36ED0E17" w14:textId="7337602D" w:rsidR="00A11354" w:rsidRDefault="00A11354" w:rsidP="00A11354"/>
    <w:p w14:paraId="2E71993B" w14:textId="593F503E" w:rsidR="00A11354" w:rsidRDefault="00A11354" w:rsidP="00A11354"/>
    <w:p w14:paraId="6CF64C69" w14:textId="69D14B78" w:rsidR="00A11354" w:rsidRDefault="00A11354" w:rsidP="00A11354"/>
    <w:p w14:paraId="1D493567" w14:textId="77777777" w:rsidR="00A11354" w:rsidRPr="00A11354" w:rsidRDefault="00A11354" w:rsidP="00A11354"/>
    <w:p w14:paraId="2A6B6155" w14:textId="470B61CD" w:rsidR="00C45343" w:rsidRDefault="000F51FA" w:rsidP="00E85EF6">
      <w:pPr>
        <w:pStyle w:val="Heading2"/>
        <w:spacing w:before="0"/>
      </w:pPr>
      <w:r>
        <w:lastRenderedPageBreak/>
        <w:t>Report of the Audit Committee</w:t>
      </w:r>
    </w:p>
    <w:p w14:paraId="7481CF38" w14:textId="77777777" w:rsidR="000F51FA" w:rsidRPr="001471B7" w:rsidRDefault="000F51FA" w:rsidP="000F51FA">
      <w:pPr>
        <w:pStyle w:val="body"/>
        <w:rPr>
          <w:b/>
          <w:color w:val="auto"/>
        </w:rPr>
      </w:pPr>
    </w:p>
    <w:p w14:paraId="32F79347" w14:textId="49693EDA" w:rsidR="00E42A95" w:rsidRPr="00F11307" w:rsidRDefault="00B54D0C" w:rsidP="00E85EF6">
      <w:pPr>
        <w:jc w:val="both"/>
        <w:rPr>
          <w:rFonts w:cs="Calibri"/>
        </w:rPr>
      </w:pPr>
      <w:r w:rsidRPr="00E85EF6">
        <w:rPr>
          <w:rFonts w:ascii="Georgia" w:hAnsi="Georgia" w:cs="Calibri"/>
          <w:color w:val="404040" w:themeColor="text1" w:themeTint="BF"/>
          <w:sz w:val="20"/>
        </w:rPr>
        <w:t xml:space="preserve">The Audit Committee, chaired by </w:t>
      </w:r>
      <w:r w:rsidR="00B05D19" w:rsidRPr="00E85EF6">
        <w:rPr>
          <w:rFonts w:ascii="Georgia" w:hAnsi="Georgia" w:cs="Calibri"/>
          <w:color w:val="404040" w:themeColor="text1" w:themeTint="BF"/>
          <w:sz w:val="20"/>
        </w:rPr>
        <w:t>Paul Le Page and comprising</w:t>
      </w:r>
      <w:r w:rsidRPr="00E85EF6">
        <w:rPr>
          <w:rFonts w:ascii="Georgia" w:hAnsi="Georgia" w:cs="Calibri"/>
          <w:color w:val="404040" w:themeColor="text1" w:themeTint="BF"/>
          <w:sz w:val="20"/>
        </w:rPr>
        <w:t xml:space="preserve"> all of the Directors set out on </w:t>
      </w:r>
      <w:r w:rsidRPr="00C5121E">
        <w:rPr>
          <w:rFonts w:ascii="Georgia" w:hAnsi="Georgia" w:cs="Calibri"/>
          <w:color w:val="404040" w:themeColor="text1" w:themeTint="BF"/>
          <w:sz w:val="20"/>
        </w:rPr>
        <w:t xml:space="preserve">page </w:t>
      </w:r>
      <w:r w:rsidR="009255EF" w:rsidRPr="00C5121E">
        <w:rPr>
          <w:rFonts w:ascii="Georgia" w:hAnsi="Georgia" w:cs="Calibri"/>
          <w:color w:val="404040" w:themeColor="text1" w:themeTint="BF"/>
          <w:sz w:val="20"/>
        </w:rPr>
        <w:t>3</w:t>
      </w:r>
      <w:r w:rsidRPr="00C5121E">
        <w:rPr>
          <w:rFonts w:ascii="Georgia" w:hAnsi="Georgia" w:cs="Calibri"/>
          <w:color w:val="404040" w:themeColor="text1" w:themeTint="BF"/>
          <w:sz w:val="20"/>
        </w:rPr>
        <w:t>,</w:t>
      </w:r>
      <w:r w:rsidRPr="00E85EF6">
        <w:rPr>
          <w:rFonts w:ascii="Georgia" w:hAnsi="Georgia" w:cs="Calibri"/>
          <w:color w:val="404040" w:themeColor="text1" w:themeTint="BF"/>
          <w:sz w:val="20"/>
        </w:rPr>
        <w:t xml:space="preserve"> operates within clearly defined terms of reference (which are available from the Company’s website</w:t>
      </w:r>
      <w:r w:rsidR="00FC0419">
        <w:rPr>
          <w:rFonts w:ascii="Georgia" w:hAnsi="Georgia" w:cs="Calibri"/>
          <w:color w:val="404040" w:themeColor="text1" w:themeTint="BF"/>
          <w:sz w:val="20"/>
        </w:rPr>
        <w:t>, www.bluefieldsif.com</w:t>
      </w:r>
      <w:r w:rsidRPr="00E85EF6">
        <w:rPr>
          <w:rFonts w:ascii="Georgia" w:hAnsi="Georgia" w:cs="Calibri"/>
          <w:color w:val="404040" w:themeColor="text1" w:themeTint="BF"/>
          <w:sz w:val="20"/>
        </w:rPr>
        <w:t>) and in</w:t>
      </w:r>
      <w:r w:rsidR="00FC0419">
        <w:rPr>
          <w:rFonts w:ascii="Georgia" w:hAnsi="Georgia" w:cs="Calibri"/>
          <w:color w:val="404040" w:themeColor="text1" w:themeTint="BF"/>
          <w:sz w:val="20"/>
        </w:rPr>
        <w:t>cludes all matters indicated by</w:t>
      </w:r>
      <w:r w:rsidRPr="00E85EF6">
        <w:rPr>
          <w:rFonts w:ascii="Georgia" w:hAnsi="Georgia" w:cs="Calibri"/>
          <w:color w:val="404040" w:themeColor="text1" w:themeTint="BF"/>
          <w:sz w:val="20"/>
        </w:rPr>
        <w:t xml:space="preserve"> Rule 7.1</w:t>
      </w:r>
      <w:r w:rsidR="00FC0419">
        <w:rPr>
          <w:rFonts w:ascii="Georgia" w:hAnsi="Georgia" w:cs="Calibri"/>
          <w:color w:val="404040" w:themeColor="text1" w:themeTint="BF"/>
          <w:sz w:val="20"/>
        </w:rPr>
        <w:t xml:space="preserve"> of the UK FCA’s DTRs</w:t>
      </w:r>
      <w:r w:rsidRPr="00E85EF6">
        <w:rPr>
          <w:rFonts w:ascii="Georgia" w:hAnsi="Georgia" w:cs="Calibri"/>
          <w:color w:val="404040" w:themeColor="text1" w:themeTint="BF"/>
          <w:sz w:val="20"/>
        </w:rPr>
        <w:t xml:space="preserve"> and the AIC </w:t>
      </w:r>
      <w:r w:rsidRPr="000B67DA">
        <w:rPr>
          <w:rFonts w:ascii="Georgia" w:hAnsi="Georgia" w:cs="Calibri"/>
          <w:color w:val="404040" w:themeColor="text1" w:themeTint="BF"/>
          <w:sz w:val="20"/>
        </w:rPr>
        <w:t>Code. Appointments to the</w:t>
      </w:r>
      <w:r w:rsidR="0047102B" w:rsidRPr="000B67DA">
        <w:rPr>
          <w:rFonts w:ascii="Georgia" w:hAnsi="Georgia" w:cs="Calibri"/>
          <w:color w:val="404040" w:themeColor="text1" w:themeTint="BF"/>
          <w:sz w:val="20"/>
        </w:rPr>
        <w:t xml:space="preserve"> Audit</w:t>
      </w:r>
      <w:r w:rsidRPr="000B67DA">
        <w:rPr>
          <w:rFonts w:ascii="Georgia" w:hAnsi="Georgia" w:cs="Calibri"/>
          <w:color w:val="404040" w:themeColor="text1" w:themeTint="BF"/>
          <w:sz w:val="20"/>
        </w:rPr>
        <w:t xml:space="preserve"> Committee shall be for a period of up to three years, extendable for one</w:t>
      </w:r>
      <w:r w:rsidR="000B67DA">
        <w:rPr>
          <w:rFonts w:ascii="Georgia" w:hAnsi="Georgia" w:cs="Calibri"/>
          <w:color w:val="404040" w:themeColor="text1" w:themeTint="BF"/>
          <w:sz w:val="20"/>
        </w:rPr>
        <w:t xml:space="preserve"> or</w:t>
      </w:r>
      <w:r w:rsidRPr="000B67DA">
        <w:rPr>
          <w:rFonts w:ascii="Georgia" w:hAnsi="Georgia" w:cs="Calibri"/>
          <w:color w:val="404040" w:themeColor="text1" w:themeTint="BF"/>
          <w:sz w:val="20"/>
        </w:rPr>
        <w:t xml:space="preserve"> further three</w:t>
      </w:r>
      <w:r w:rsidR="00963319" w:rsidRPr="000B67DA">
        <w:rPr>
          <w:rFonts w:ascii="Georgia" w:hAnsi="Georgia" w:cs="Calibri"/>
          <w:color w:val="404040" w:themeColor="text1" w:themeTint="BF"/>
          <w:sz w:val="20"/>
        </w:rPr>
        <w:t xml:space="preserve"> </w:t>
      </w:r>
      <w:r w:rsidRPr="000B67DA">
        <w:rPr>
          <w:rFonts w:ascii="Georgia" w:hAnsi="Georgia" w:cs="Calibri"/>
          <w:color w:val="404040" w:themeColor="text1" w:themeTint="BF"/>
          <w:sz w:val="20"/>
        </w:rPr>
        <w:t>year period</w:t>
      </w:r>
      <w:r w:rsidR="000B67DA">
        <w:rPr>
          <w:rFonts w:ascii="Georgia" w:hAnsi="Georgia" w:cs="Calibri"/>
          <w:color w:val="404040" w:themeColor="text1" w:themeTint="BF"/>
          <w:sz w:val="20"/>
        </w:rPr>
        <w:t>s</w:t>
      </w:r>
      <w:r w:rsidRPr="000B67DA">
        <w:rPr>
          <w:rFonts w:ascii="Georgia" w:hAnsi="Georgia" w:cs="Calibri"/>
          <w:color w:val="404040" w:themeColor="text1" w:themeTint="BF"/>
          <w:sz w:val="20"/>
        </w:rPr>
        <w:t xml:space="preserve">. </w:t>
      </w:r>
      <w:r w:rsidR="004C3333" w:rsidRPr="000B67DA">
        <w:rPr>
          <w:rFonts w:ascii="Georgia" w:hAnsi="Georgia" w:cs="Calibri"/>
          <w:color w:val="404040" w:themeColor="text1" w:themeTint="BF"/>
          <w:sz w:val="20"/>
        </w:rPr>
        <w:t>It is also</w:t>
      </w:r>
      <w:r w:rsidR="004C3333" w:rsidRPr="00E85EF6">
        <w:rPr>
          <w:rFonts w:ascii="Georgia" w:hAnsi="Georgia" w:cs="Calibri"/>
          <w:color w:val="404040" w:themeColor="text1" w:themeTint="BF"/>
          <w:sz w:val="20"/>
        </w:rPr>
        <w:t xml:space="preserve"> the formal forum through which the Auditor will report to the Board of Directors.</w:t>
      </w:r>
    </w:p>
    <w:p w14:paraId="5ED9CF0D" w14:textId="77777777" w:rsidR="00E42A95" w:rsidRDefault="00E42A95" w:rsidP="00E42A95">
      <w:pPr>
        <w:pStyle w:val="BluefieldBody"/>
      </w:pPr>
    </w:p>
    <w:p w14:paraId="64E911C4" w14:textId="2E93DD4E" w:rsidR="00E42A95" w:rsidRDefault="000F51FA" w:rsidP="00E42A95">
      <w:pPr>
        <w:pStyle w:val="BluefieldBody"/>
      </w:pPr>
      <w:r w:rsidRPr="007C014B">
        <w:t>The Audit Committee meet</w:t>
      </w:r>
      <w:r w:rsidR="004947A2">
        <w:t>s</w:t>
      </w:r>
      <w:r w:rsidRPr="007C014B">
        <w:t xml:space="preserve"> no less than twice a year, and at suc</w:t>
      </w:r>
      <w:r w:rsidR="0047102B">
        <w:t xml:space="preserve">h other times as the </w:t>
      </w:r>
      <w:r w:rsidR="005A7E1E">
        <w:t xml:space="preserve">Audit </w:t>
      </w:r>
      <w:r w:rsidR="0047102B">
        <w:t xml:space="preserve">Committee </w:t>
      </w:r>
      <w:r w:rsidRPr="007C014B">
        <w:t>shall require, and meet</w:t>
      </w:r>
      <w:r w:rsidR="004947A2">
        <w:t>s</w:t>
      </w:r>
      <w:r w:rsidRPr="007C014B">
        <w:t xml:space="preserve"> the </w:t>
      </w:r>
      <w:r>
        <w:t>A</w:t>
      </w:r>
      <w:r w:rsidRPr="007C014B">
        <w:t xml:space="preserve">uditor at least twice a year. Any member of the Audit Committee may request that a meeting be convened by the </w:t>
      </w:r>
      <w:r w:rsidR="00963319">
        <w:t>c</w:t>
      </w:r>
      <w:r w:rsidRPr="007C014B">
        <w:t xml:space="preserve">ompany </w:t>
      </w:r>
      <w:r w:rsidR="009A750A">
        <w:t>s</w:t>
      </w:r>
      <w:r w:rsidRPr="007C014B">
        <w:t xml:space="preserve">ecretary. The </w:t>
      </w:r>
      <w:r>
        <w:t>A</w:t>
      </w:r>
      <w:r w:rsidRPr="007C014B">
        <w:t>uditor may request that a meeting be convened if they deem it necessary.</w:t>
      </w:r>
      <w:r>
        <w:t xml:space="preserve"> Any Director who is not a member of the Audit Committee, the Administrator and representatives of the Investment Adviser shall be invited to attend the meetings as the Directors deem appropriate.</w:t>
      </w:r>
    </w:p>
    <w:p w14:paraId="5C5B898F" w14:textId="77777777" w:rsidR="00E42A95" w:rsidRDefault="00E42A95" w:rsidP="00E42A95">
      <w:pPr>
        <w:pStyle w:val="BluefieldBody"/>
      </w:pPr>
    </w:p>
    <w:p w14:paraId="3EB9085E" w14:textId="62405D5A" w:rsidR="00E42A95" w:rsidRDefault="000F51FA" w:rsidP="00E42A95">
      <w:pPr>
        <w:pStyle w:val="BluefieldBody"/>
      </w:pPr>
      <w:r w:rsidRPr="007C014B">
        <w:t>The Board has taken note of the requirement that at least one member of the Committee should have recent and relevant financial experience and is satisfied that the Committee is properly constituted in that respect, with</w:t>
      </w:r>
      <w:r w:rsidR="004C3333">
        <w:t xml:space="preserve"> </w:t>
      </w:r>
      <w:r w:rsidR="00BD5724">
        <w:t>two</w:t>
      </w:r>
      <w:r w:rsidR="004C3333">
        <w:t xml:space="preserve"> of</w:t>
      </w:r>
      <w:r w:rsidRPr="007C014B">
        <w:t xml:space="preserve"> its member</w:t>
      </w:r>
      <w:r w:rsidR="004C3333">
        <w:t>s</w:t>
      </w:r>
      <w:r w:rsidRPr="007C014B">
        <w:t xml:space="preserve"> </w:t>
      </w:r>
      <w:r w:rsidR="00BD5724">
        <w:t>who are</w:t>
      </w:r>
      <w:r w:rsidRPr="007C014B">
        <w:t xml:space="preserve"> chartered accountant</w:t>
      </w:r>
      <w:r w:rsidR="00BD5724">
        <w:t xml:space="preserve">s and </w:t>
      </w:r>
      <w:r w:rsidR="00106B0B">
        <w:t>three</w:t>
      </w:r>
      <w:r w:rsidR="00BD5724">
        <w:t xml:space="preserve"> members with an investment background</w:t>
      </w:r>
      <w:r w:rsidRPr="007C014B">
        <w:t>.</w:t>
      </w:r>
    </w:p>
    <w:p w14:paraId="5B82DAAF" w14:textId="77777777" w:rsidR="000F51FA" w:rsidRPr="007C014B" w:rsidRDefault="000F51FA" w:rsidP="000F51FA">
      <w:pPr>
        <w:jc w:val="both"/>
        <w:rPr>
          <w:rFonts w:ascii="Georgia" w:hAnsi="Georgia" w:cs="Calibri"/>
          <w:color w:val="404040" w:themeColor="text1" w:themeTint="BF"/>
          <w:sz w:val="20"/>
        </w:rPr>
      </w:pPr>
    </w:p>
    <w:p w14:paraId="460C51ED" w14:textId="77777777" w:rsidR="000F51FA" w:rsidRPr="007C014B" w:rsidRDefault="000F51FA" w:rsidP="000F51FA">
      <w:pPr>
        <w:jc w:val="both"/>
        <w:rPr>
          <w:rFonts w:ascii="Georgia" w:hAnsi="Georgia" w:cs="Calibri"/>
          <w:b/>
          <w:color w:val="404040" w:themeColor="text1" w:themeTint="BF"/>
          <w:sz w:val="20"/>
        </w:rPr>
      </w:pPr>
      <w:r w:rsidRPr="007C014B">
        <w:rPr>
          <w:rFonts w:ascii="Georgia" w:hAnsi="Georgia" w:cs="Calibri"/>
          <w:b/>
          <w:color w:val="404040" w:themeColor="text1" w:themeTint="BF"/>
          <w:sz w:val="20"/>
        </w:rPr>
        <w:t>Responsibilities</w:t>
      </w:r>
    </w:p>
    <w:p w14:paraId="61AFCF95" w14:textId="77777777" w:rsidR="000F51FA" w:rsidRPr="007C014B" w:rsidRDefault="000F51FA" w:rsidP="000F51FA">
      <w:pPr>
        <w:jc w:val="both"/>
        <w:rPr>
          <w:rFonts w:ascii="Georgia" w:hAnsi="Georgia" w:cs="Calibri"/>
          <w:color w:val="404040" w:themeColor="text1" w:themeTint="BF"/>
          <w:sz w:val="20"/>
        </w:rPr>
      </w:pPr>
    </w:p>
    <w:p w14:paraId="30BB62D8" w14:textId="77777777" w:rsidR="000F51FA" w:rsidRPr="007C014B" w:rsidRDefault="000F51FA" w:rsidP="000F51FA">
      <w:pPr>
        <w:jc w:val="both"/>
        <w:rPr>
          <w:rFonts w:ascii="Georgia" w:hAnsi="Georgia" w:cs="Calibri"/>
          <w:color w:val="404040" w:themeColor="text1" w:themeTint="BF"/>
          <w:sz w:val="20"/>
        </w:rPr>
      </w:pPr>
      <w:r w:rsidRPr="007C014B">
        <w:rPr>
          <w:rFonts w:ascii="Georgia" w:hAnsi="Georgia" w:cs="Calibri"/>
          <w:color w:val="404040" w:themeColor="text1" w:themeTint="BF"/>
          <w:sz w:val="20"/>
        </w:rPr>
        <w:t>The main duties of the Audit Committee are:</w:t>
      </w:r>
    </w:p>
    <w:p w14:paraId="1FCBB889" w14:textId="77777777" w:rsidR="000F51FA" w:rsidRPr="007C014B" w:rsidRDefault="000F51FA" w:rsidP="000F51FA">
      <w:pPr>
        <w:jc w:val="both"/>
        <w:rPr>
          <w:rFonts w:ascii="Georgia" w:hAnsi="Georgia" w:cs="Calibri"/>
          <w:color w:val="404040" w:themeColor="text1" w:themeTint="BF"/>
          <w:sz w:val="20"/>
        </w:rPr>
      </w:pPr>
    </w:p>
    <w:p w14:paraId="65731EDB" w14:textId="22FD7079" w:rsidR="00E42A95" w:rsidRDefault="000F51FA" w:rsidP="00E42A95">
      <w:pPr>
        <w:pStyle w:val="Bluefieldbullets10pt"/>
      </w:pPr>
      <w:r w:rsidRPr="007C014B">
        <w:t xml:space="preserve">monitoring the integrity of the financial statements of the </w:t>
      </w:r>
      <w:r w:rsidR="00353C33">
        <w:t>Company</w:t>
      </w:r>
      <w:r w:rsidRPr="007C014B">
        <w:t xml:space="preserve"> and any formal announcements relating to the Company’s financial performance</w:t>
      </w:r>
      <w:r w:rsidR="002B79BD">
        <w:t xml:space="preserve"> and</w:t>
      </w:r>
      <w:r w:rsidRPr="007C014B">
        <w:t xml:space="preserve"> reviewing significant financial reporting judgements contained in them;</w:t>
      </w:r>
    </w:p>
    <w:p w14:paraId="0C73B584" w14:textId="77777777" w:rsidR="00E42A95" w:rsidRDefault="000F51FA" w:rsidP="00E42A95">
      <w:pPr>
        <w:pStyle w:val="Bluefieldbullets10pt"/>
      </w:pPr>
      <w:r w:rsidRPr="007C014B">
        <w:t xml:space="preserve">reporting to the Board on the appropriateness of </w:t>
      </w:r>
      <w:r w:rsidR="000F0348">
        <w:t>the Board’s</w:t>
      </w:r>
      <w:r w:rsidRPr="007C014B">
        <w:t xml:space="preserve"> accounting policies and practices including critical judgement areas;</w:t>
      </w:r>
    </w:p>
    <w:p w14:paraId="4E074964" w14:textId="6FCFF4B6" w:rsidR="00E42A95" w:rsidRDefault="000F51FA" w:rsidP="00E42A95">
      <w:pPr>
        <w:pStyle w:val="Bluefieldbullets10pt"/>
      </w:pPr>
      <w:r w:rsidRPr="007C014B">
        <w:tab/>
        <w:t xml:space="preserve">reviewing the </w:t>
      </w:r>
      <w:r>
        <w:t xml:space="preserve">valuation </w:t>
      </w:r>
      <w:r w:rsidRPr="007C014B">
        <w:t xml:space="preserve">of the </w:t>
      </w:r>
      <w:r w:rsidR="00353C33">
        <w:t>Company</w:t>
      </w:r>
      <w:r w:rsidRPr="007C014B">
        <w:t xml:space="preserve">’s investments prepared by the Investment Adviser, and making a recommendation to the Board on the valuation of the </w:t>
      </w:r>
      <w:r w:rsidR="00353C33">
        <w:t>Company</w:t>
      </w:r>
      <w:r w:rsidRPr="007C014B">
        <w:t>’s investments;</w:t>
      </w:r>
    </w:p>
    <w:p w14:paraId="08976343" w14:textId="77777777" w:rsidR="00E42A95" w:rsidRDefault="000F51FA" w:rsidP="00E42A95">
      <w:pPr>
        <w:pStyle w:val="Bluefieldbullets10pt"/>
      </w:pPr>
      <w:r w:rsidRPr="007C014B">
        <w:t xml:space="preserve">meeting regularly with the </w:t>
      </w:r>
      <w:r>
        <w:t>A</w:t>
      </w:r>
      <w:r w:rsidRPr="007C014B">
        <w:t xml:space="preserve">uditor to review their proposed audit plan and the subsequent audit report and assess the effectiveness of the </w:t>
      </w:r>
      <w:r>
        <w:t>a</w:t>
      </w:r>
      <w:r w:rsidRPr="007C014B">
        <w:t>udit process and the levels of fees paid in respect of both audit and non-audit work;</w:t>
      </w:r>
    </w:p>
    <w:p w14:paraId="32C7C454" w14:textId="77777777" w:rsidR="00E42A95" w:rsidRDefault="000F51FA" w:rsidP="00E42A95">
      <w:pPr>
        <w:pStyle w:val="Bluefieldbullets10pt"/>
      </w:pPr>
      <w:r w:rsidRPr="007C014B">
        <w:t xml:space="preserve">making recommendations to the Board in relation to the appointment, re-appointment or removal of the </w:t>
      </w:r>
      <w:r>
        <w:t>A</w:t>
      </w:r>
      <w:r w:rsidRPr="007C014B">
        <w:t>uditor and approving their remuneration and the terms of their engagement;</w:t>
      </w:r>
    </w:p>
    <w:p w14:paraId="34C38CD4" w14:textId="77777777" w:rsidR="00E42A95" w:rsidRDefault="000F51FA" w:rsidP="00E42A95">
      <w:pPr>
        <w:pStyle w:val="Bluefieldbullets10pt"/>
      </w:pPr>
      <w:r w:rsidRPr="007C014B">
        <w:tab/>
        <w:t xml:space="preserve">monitoring and reviewing annually the </w:t>
      </w:r>
      <w:r>
        <w:t>A</w:t>
      </w:r>
      <w:r w:rsidRPr="007C014B">
        <w:t>uditor’s independence, objectivity, expertise, resources, qualification and non-audit work;</w:t>
      </w:r>
    </w:p>
    <w:p w14:paraId="4CFE7157" w14:textId="77777777" w:rsidR="00E42A95" w:rsidRDefault="000F51FA" w:rsidP="00E42A95">
      <w:pPr>
        <w:pStyle w:val="Bluefieldbullets10pt"/>
      </w:pPr>
      <w:r w:rsidRPr="007C014B">
        <w:t>considering annually whether there is a need for the Company to have its own internal audit function;</w:t>
      </w:r>
    </w:p>
    <w:p w14:paraId="584EE5A7" w14:textId="77777777" w:rsidR="00E42A95" w:rsidRDefault="000F51FA" w:rsidP="00E42A95">
      <w:pPr>
        <w:pStyle w:val="Bluefieldbullets10pt"/>
      </w:pPr>
      <w:r w:rsidRPr="007C014B">
        <w:t xml:space="preserve">keeping under review the effectiveness of the accounting and internal control systems of the Company; </w:t>
      </w:r>
    </w:p>
    <w:p w14:paraId="77971597" w14:textId="77777777" w:rsidR="00963319" w:rsidRDefault="00963319" w:rsidP="00963319">
      <w:pPr>
        <w:pStyle w:val="Bluefieldbullets10pt"/>
      </w:pPr>
      <w:r w:rsidRPr="007C014B">
        <w:t xml:space="preserve">reviewing and considering the UK Code, the AIC Code, the FRC Guidance on Audit Committees and the Company’s institutional investors’ commitment </w:t>
      </w:r>
      <w:r>
        <w:t>to the UK Stewardship code; and</w:t>
      </w:r>
    </w:p>
    <w:p w14:paraId="7A24461A" w14:textId="77777777" w:rsidR="00963319" w:rsidRDefault="00963319" w:rsidP="00963319">
      <w:pPr>
        <w:pStyle w:val="Bluefieldbullets10pt"/>
      </w:pPr>
      <w:r w:rsidRPr="007C014B">
        <w:t>reviewing the risks facing the Company and monitoring the risk matrix.</w:t>
      </w:r>
    </w:p>
    <w:p w14:paraId="65CD29B5" w14:textId="77777777" w:rsidR="00E42A95" w:rsidRDefault="00E42A95" w:rsidP="00E42A95">
      <w:pPr>
        <w:ind w:left="454"/>
        <w:jc w:val="both"/>
        <w:rPr>
          <w:rFonts w:asciiTheme="minorHAnsi" w:hAnsiTheme="minorHAnsi"/>
        </w:rPr>
      </w:pPr>
    </w:p>
    <w:p w14:paraId="0AC5F021" w14:textId="77777777" w:rsidR="00C45343" w:rsidRDefault="004C3333" w:rsidP="00E85EF6">
      <w:pPr>
        <w:pStyle w:val="Heading2"/>
        <w:spacing w:before="0"/>
      </w:pPr>
      <w:r>
        <w:br w:type="page"/>
      </w:r>
      <w:r w:rsidR="000F51FA">
        <w:lastRenderedPageBreak/>
        <w:t>Report of the Audit Committee (continued)</w:t>
      </w:r>
    </w:p>
    <w:p w14:paraId="6699E0A0" w14:textId="77777777" w:rsidR="000F51FA" w:rsidRDefault="000F51FA" w:rsidP="000F51FA">
      <w:pPr>
        <w:jc w:val="both"/>
        <w:rPr>
          <w:rFonts w:ascii="Georgia" w:hAnsi="Georgia" w:cs="Calibri"/>
          <w:color w:val="404040" w:themeColor="text1" w:themeTint="BF"/>
          <w:sz w:val="20"/>
        </w:rPr>
      </w:pPr>
    </w:p>
    <w:p w14:paraId="384B54A2" w14:textId="77777777" w:rsidR="000F51FA" w:rsidRPr="007C014B" w:rsidRDefault="000F51FA" w:rsidP="000F51FA">
      <w:pPr>
        <w:jc w:val="both"/>
        <w:rPr>
          <w:rFonts w:ascii="Georgia" w:hAnsi="Georgia" w:cs="Calibri"/>
          <w:b/>
          <w:color w:val="404040" w:themeColor="text1" w:themeTint="BF"/>
          <w:sz w:val="20"/>
        </w:rPr>
      </w:pPr>
      <w:r w:rsidRPr="007C014B">
        <w:rPr>
          <w:rFonts w:ascii="Georgia" w:hAnsi="Georgia" w:cs="Calibri"/>
          <w:b/>
          <w:color w:val="404040" w:themeColor="text1" w:themeTint="BF"/>
          <w:sz w:val="20"/>
        </w:rPr>
        <w:t>Responsibilities</w:t>
      </w:r>
      <w:r>
        <w:rPr>
          <w:rFonts w:ascii="Georgia" w:hAnsi="Georgia" w:cs="Calibri"/>
          <w:b/>
          <w:color w:val="404040" w:themeColor="text1" w:themeTint="BF"/>
          <w:sz w:val="20"/>
        </w:rPr>
        <w:t xml:space="preserve"> (continued)</w:t>
      </w:r>
    </w:p>
    <w:p w14:paraId="43F0E93B" w14:textId="123D0B23" w:rsidR="000F51FA" w:rsidRPr="00E5607F" w:rsidRDefault="000F51FA" w:rsidP="000F51FA">
      <w:pPr>
        <w:jc w:val="both"/>
        <w:rPr>
          <w:rFonts w:asciiTheme="minorHAnsi" w:hAnsiTheme="minorHAnsi"/>
          <w:highlight w:val="yellow"/>
        </w:rPr>
      </w:pPr>
    </w:p>
    <w:p w14:paraId="0C3067E2" w14:textId="77777777" w:rsidR="000F51FA" w:rsidRPr="001D2401" w:rsidRDefault="000F51FA" w:rsidP="00E85EF6">
      <w:pPr>
        <w:pStyle w:val="BluefieldBody"/>
      </w:pPr>
      <w:r w:rsidRPr="00F11307">
        <w:t xml:space="preserve">The Audit Committee is required to report formally to the Board on its findings after each meeting on all matters within its duties and responsibilities. </w:t>
      </w:r>
    </w:p>
    <w:p w14:paraId="380E0EB6" w14:textId="77777777" w:rsidR="000F51FA" w:rsidRPr="002423E4" w:rsidRDefault="000F51FA" w:rsidP="00E85EF6">
      <w:pPr>
        <w:pStyle w:val="BluefieldBody"/>
      </w:pPr>
    </w:p>
    <w:p w14:paraId="0E572C25" w14:textId="4FBBBBF0" w:rsidR="000F51FA" w:rsidRPr="00E85EF6" w:rsidRDefault="000F51FA" w:rsidP="00E85EF6">
      <w:pPr>
        <w:pStyle w:val="BluefieldBody"/>
      </w:pPr>
      <w:r w:rsidRPr="00E85EF6">
        <w:t xml:space="preserve">The Auditor is invited to attend the Audit Committee meetings as the </w:t>
      </w:r>
      <w:r w:rsidR="001E2FAB">
        <w:t>Board</w:t>
      </w:r>
      <w:r w:rsidRPr="00E85EF6">
        <w:t xml:space="preserve"> deem</w:t>
      </w:r>
      <w:r w:rsidR="001E2FAB">
        <w:t>s</w:t>
      </w:r>
      <w:r w:rsidRPr="00E85EF6">
        <w:t xml:space="preserve"> appropriate and at which they have the opportunity to meet with the Committee without representatives of the Investment Adviser or the Administrator being present at least once per year.</w:t>
      </w:r>
    </w:p>
    <w:p w14:paraId="41453A9E" w14:textId="77777777" w:rsidR="000F51FA" w:rsidRPr="00E5607F" w:rsidRDefault="000F51FA" w:rsidP="000F51FA">
      <w:pPr>
        <w:jc w:val="both"/>
        <w:rPr>
          <w:rFonts w:asciiTheme="minorHAnsi" w:hAnsiTheme="minorHAnsi"/>
        </w:rPr>
      </w:pPr>
    </w:p>
    <w:p w14:paraId="17E69B90" w14:textId="77777777" w:rsidR="000F51FA" w:rsidRPr="006A59A8" w:rsidRDefault="000F51FA" w:rsidP="000F51FA">
      <w:pPr>
        <w:jc w:val="both"/>
        <w:rPr>
          <w:rFonts w:ascii="Georgia" w:hAnsi="Georgia" w:cs="Calibri"/>
          <w:b/>
          <w:color w:val="404040" w:themeColor="text1" w:themeTint="BF"/>
          <w:sz w:val="20"/>
        </w:rPr>
      </w:pPr>
      <w:r w:rsidRPr="006A59A8">
        <w:rPr>
          <w:rFonts w:ascii="Georgia" w:hAnsi="Georgia" w:cs="Calibri"/>
          <w:b/>
          <w:color w:val="404040" w:themeColor="text1" w:themeTint="BF"/>
          <w:sz w:val="20"/>
        </w:rPr>
        <w:t>Financial Reporting</w:t>
      </w:r>
    </w:p>
    <w:p w14:paraId="04EAA6D4" w14:textId="77777777" w:rsidR="000F51FA" w:rsidRPr="006A59A8" w:rsidRDefault="000F51FA" w:rsidP="000F51FA">
      <w:pPr>
        <w:jc w:val="both"/>
        <w:rPr>
          <w:rFonts w:ascii="Georgia" w:hAnsi="Georgia" w:cs="Calibri"/>
          <w:color w:val="404040" w:themeColor="text1" w:themeTint="BF"/>
          <w:sz w:val="20"/>
        </w:rPr>
      </w:pPr>
    </w:p>
    <w:p w14:paraId="390EB961" w14:textId="51CBDF86" w:rsidR="000F51FA" w:rsidRPr="00E85EF6" w:rsidRDefault="000F51FA" w:rsidP="00E85EF6">
      <w:pPr>
        <w:pStyle w:val="BluefieldBody"/>
      </w:pPr>
      <w:r w:rsidRPr="00F11307">
        <w:t xml:space="preserve">The primary role of the </w:t>
      </w:r>
      <w:r w:rsidRPr="001D2401">
        <w:t>Audit Committee in relation to the financial reporting is to review with the Administrator, Investment Adviser and the Auditor the appro</w:t>
      </w:r>
      <w:r w:rsidRPr="002423E4">
        <w:t>priateness of the interim and annual financial statements, concentrating on, amongst other matters:</w:t>
      </w:r>
    </w:p>
    <w:p w14:paraId="04EA9815" w14:textId="77777777" w:rsidR="000F51FA" w:rsidRPr="006A59A8" w:rsidRDefault="000F51FA" w:rsidP="000F51FA">
      <w:pPr>
        <w:jc w:val="both"/>
        <w:rPr>
          <w:rFonts w:ascii="Georgia" w:hAnsi="Georgia" w:cs="Calibri"/>
          <w:color w:val="404040" w:themeColor="text1" w:themeTint="BF"/>
          <w:sz w:val="20"/>
        </w:rPr>
      </w:pPr>
    </w:p>
    <w:p w14:paraId="36D908F0" w14:textId="77777777" w:rsidR="00E42A95" w:rsidRDefault="000F51FA" w:rsidP="00E42A95">
      <w:pPr>
        <w:pStyle w:val="Bluefieldbullets10pt"/>
      </w:pPr>
      <w:r w:rsidRPr="006A59A8">
        <w:tab/>
        <w:t>the quality and acceptability of accounting policies and practices;</w:t>
      </w:r>
    </w:p>
    <w:p w14:paraId="3F38B894" w14:textId="77777777" w:rsidR="00E42A95" w:rsidRDefault="000F51FA" w:rsidP="00E42A95">
      <w:pPr>
        <w:pStyle w:val="Bluefieldbullets10pt"/>
      </w:pPr>
      <w:r w:rsidRPr="006A59A8">
        <w:tab/>
        <w:t>the clarity of the disclosures and compliance with financial reporting standards and relevant financial and governance reporting requirements;</w:t>
      </w:r>
    </w:p>
    <w:p w14:paraId="7E0DD3FD" w14:textId="77777777" w:rsidR="00E42A95" w:rsidRDefault="000F51FA" w:rsidP="00E42A95">
      <w:pPr>
        <w:pStyle w:val="Bluefieldbullets10pt"/>
      </w:pPr>
      <w:r w:rsidRPr="006A59A8">
        <w:tab/>
        <w:t xml:space="preserve">material areas in which significant judgements have been applied or there has been discussion with the </w:t>
      </w:r>
      <w:r>
        <w:t>A</w:t>
      </w:r>
      <w:r w:rsidRPr="006A59A8">
        <w:t>uditor;</w:t>
      </w:r>
    </w:p>
    <w:p w14:paraId="738A8306" w14:textId="6590AAA7" w:rsidR="00E42A95" w:rsidRDefault="000F51FA" w:rsidP="00E42A95">
      <w:pPr>
        <w:pStyle w:val="Bluefieldbullets10pt"/>
      </w:pPr>
      <w:r w:rsidRPr="006A59A8">
        <w:tab/>
        <w:t xml:space="preserve">whether the </w:t>
      </w:r>
      <w:r>
        <w:t>a</w:t>
      </w:r>
      <w:r w:rsidRPr="006A59A8">
        <w:t xml:space="preserve">nnual </w:t>
      </w:r>
      <w:r>
        <w:t>r</w:t>
      </w:r>
      <w:r w:rsidRPr="006A59A8">
        <w:t xml:space="preserve">eport and </w:t>
      </w:r>
      <w:r>
        <w:t>financial s</w:t>
      </w:r>
      <w:r w:rsidRPr="006A59A8">
        <w:t>tatements, taken as a whole, is fair, balanced and understandable and provides</w:t>
      </w:r>
      <w:r w:rsidR="005E56E1">
        <w:t xml:space="preserve"> the information necessary for S</w:t>
      </w:r>
      <w:r w:rsidRPr="006A59A8">
        <w:t xml:space="preserve">hareholders to assess the </w:t>
      </w:r>
      <w:r w:rsidR="00353C33">
        <w:t>Company</w:t>
      </w:r>
      <w:r w:rsidRPr="006A59A8">
        <w:t>’s performance, business model and strategy; and</w:t>
      </w:r>
    </w:p>
    <w:p w14:paraId="23D16F99" w14:textId="5A2BE13D" w:rsidR="00E42A95" w:rsidRDefault="000F51FA" w:rsidP="00E42A95">
      <w:pPr>
        <w:pStyle w:val="Bluefieldbullets10pt"/>
      </w:pPr>
      <w:r w:rsidRPr="006A59A8">
        <w:tab/>
        <w:t xml:space="preserve">any correspondence from regulators in relation to the </w:t>
      </w:r>
      <w:r w:rsidR="00353C33">
        <w:t>Company</w:t>
      </w:r>
      <w:r w:rsidRPr="006A59A8">
        <w:t xml:space="preserve">’s financial reporting. </w:t>
      </w:r>
    </w:p>
    <w:p w14:paraId="34B30225" w14:textId="77777777" w:rsidR="000F51FA" w:rsidRPr="006A59A8" w:rsidRDefault="000F51FA" w:rsidP="000F51FA">
      <w:pPr>
        <w:jc w:val="both"/>
        <w:rPr>
          <w:rFonts w:ascii="Georgia" w:hAnsi="Georgia" w:cs="Calibri"/>
          <w:color w:val="404040" w:themeColor="text1" w:themeTint="BF"/>
          <w:sz w:val="20"/>
        </w:rPr>
      </w:pPr>
    </w:p>
    <w:p w14:paraId="52661CCF" w14:textId="4D779870" w:rsidR="000F51FA" w:rsidRPr="006A59A8" w:rsidRDefault="000F51FA" w:rsidP="000F51FA">
      <w:pPr>
        <w:jc w:val="both"/>
        <w:rPr>
          <w:rFonts w:ascii="Georgia" w:hAnsi="Georgia" w:cs="Calibri"/>
          <w:color w:val="404040" w:themeColor="text1" w:themeTint="BF"/>
          <w:sz w:val="20"/>
        </w:rPr>
      </w:pPr>
      <w:r w:rsidRPr="006A59A8">
        <w:rPr>
          <w:rFonts w:ascii="Georgia" w:hAnsi="Georgia" w:cs="Calibri"/>
          <w:color w:val="404040" w:themeColor="text1" w:themeTint="BF"/>
          <w:sz w:val="20"/>
        </w:rPr>
        <w:t xml:space="preserve">To aid its review, the Audit Committee considers reports from the Administrator and Investment </w:t>
      </w:r>
      <w:r>
        <w:rPr>
          <w:rFonts w:ascii="Georgia" w:hAnsi="Georgia" w:cs="Calibri"/>
          <w:color w:val="404040" w:themeColor="text1" w:themeTint="BF"/>
          <w:sz w:val="20"/>
        </w:rPr>
        <w:t>Adviser</w:t>
      </w:r>
      <w:r w:rsidRPr="006A59A8">
        <w:rPr>
          <w:rFonts w:ascii="Georgia" w:hAnsi="Georgia" w:cs="Calibri"/>
          <w:color w:val="404040" w:themeColor="text1" w:themeTint="BF"/>
          <w:sz w:val="20"/>
        </w:rPr>
        <w:t xml:space="preserve"> and also reports from the </w:t>
      </w:r>
      <w:r>
        <w:rPr>
          <w:rFonts w:ascii="Georgia" w:hAnsi="Georgia" w:cs="Calibri"/>
          <w:color w:val="404040" w:themeColor="text1" w:themeTint="BF"/>
          <w:sz w:val="20"/>
        </w:rPr>
        <w:t>Auditor</w:t>
      </w:r>
      <w:r w:rsidR="00963319">
        <w:rPr>
          <w:rFonts w:ascii="Georgia" w:hAnsi="Georgia" w:cs="Calibri"/>
          <w:color w:val="404040" w:themeColor="text1" w:themeTint="BF"/>
          <w:sz w:val="20"/>
        </w:rPr>
        <w:t xml:space="preserve"> on the outcomes of their half </w:t>
      </w:r>
      <w:r w:rsidRPr="006A59A8">
        <w:rPr>
          <w:rFonts w:ascii="Georgia" w:hAnsi="Georgia" w:cs="Calibri"/>
          <w:color w:val="404040" w:themeColor="text1" w:themeTint="BF"/>
          <w:sz w:val="20"/>
        </w:rPr>
        <w:t xml:space="preserve">year review and annual audit. </w:t>
      </w:r>
      <w:r w:rsidR="00006EFD">
        <w:rPr>
          <w:rFonts w:ascii="Georgia" w:hAnsi="Georgia" w:cs="Calibri"/>
          <w:color w:val="404040" w:themeColor="text1" w:themeTint="BF"/>
          <w:sz w:val="20"/>
        </w:rPr>
        <w:t>Like the Auditor, the</w:t>
      </w:r>
      <w:r w:rsidRPr="006A59A8">
        <w:rPr>
          <w:rFonts w:ascii="Georgia" w:hAnsi="Georgia" w:cs="Calibri"/>
          <w:color w:val="404040" w:themeColor="text1" w:themeTint="BF"/>
          <w:sz w:val="20"/>
        </w:rPr>
        <w:t xml:space="preserve"> Audit Committee </w:t>
      </w:r>
      <w:r w:rsidR="00006EFD">
        <w:rPr>
          <w:rFonts w:ascii="Georgia" w:hAnsi="Georgia" w:cs="Calibri"/>
          <w:color w:val="404040" w:themeColor="text1" w:themeTint="BF"/>
          <w:sz w:val="20"/>
        </w:rPr>
        <w:t>seeks to display</w:t>
      </w:r>
      <w:r w:rsidRPr="006A59A8">
        <w:rPr>
          <w:rFonts w:ascii="Georgia" w:hAnsi="Georgia" w:cs="Calibri"/>
          <w:color w:val="404040" w:themeColor="text1" w:themeTint="BF"/>
          <w:sz w:val="20"/>
        </w:rPr>
        <w:t xml:space="preserve"> the necessary professional scepticism their role requires.</w:t>
      </w:r>
    </w:p>
    <w:p w14:paraId="326C0319" w14:textId="77777777" w:rsidR="000F51FA" w:rsidRPr="006A59A8" w:rsidRDefault="000F51FA" w:rsidP="000F51FA">
      <w:pPr>
        <w:jc w:val="both"/>
        <w:rPr>
          <w:rFonts w:ascii="Georgia" w:hAnsi="Georgia" w:cs="Calibri"/>
          <w:color w:val="404040" w:themeColor="text1" w:themeTint="BF"/>
          <w:sz w:val="20"/>
        </w:rPr>
      </w:pPr>
    </w:p>
    <w:p w14:paraId="74BF9E03" w14:textId="77777777" w:rsidR="000F51FA" w:rsidRPr="00612751" w:rsidRDefault="000F51FA" w:rsidP="000F51FA">
      <w:pPr>
        <w:jc w:val="both"/>
        <w:rPr>
          <w:rFonts w:ascii="Georgia" w:hAnsi="Georgia" w:cs="Calibri"/>
          <w:b/>
          <w:color w:val="404040" w:themeColor="text1" w:themeTint="BF"/>
          <w:sz w:val="20"/>
        </w:rPr>
      </w:pPr>
      <w:r w:rsidRPr="00612751">
        <w:rPr>
          <w:rFonts w:ascii="Georgia" w:hAnsi="Georgia" w:cs="Calibri"/>
          <w:b/>
          <w:color w:val="404040" w:themeColor="text1" w:themeTint="BF"/>
          <w:sz w:val="20"/>
        </w:rPr>
        <w:t>Meetings</w:t>
      </w:r>
    </w:p>
    <w:p w14:paraId="761DC150" w14:textId="77777777" w:rsidR="000F51FA" w:rsidRPr="006A59A8" w:rsidRDefault="000F51FA" w:rsidP="000F51FA">
      <w:pPr>
        <w:jc w:val="both"/>
        <w:rPr>
          <w:rFonts w:ascii="Georgia" w:hAnsi="Georgia" w:cs="Calibri"/>
          <w:color w:val="404040" w:themeColor="text1" w:themeTint="BF"/>
          <w:sz w:val="20"/>
        </w:rPr>
      </w:pPr>
    </w:p>
    <w:p w14:paraId="6E8E0D60" w14:textId="1C503833" w:rsidR="000F51FA" w:rsidRPr="006A59A8" w:rsidRDefault="000F51FA" w:rsidP="000F51FA">
      <w:pPr>
        <w:jc w:val="both"/>
        <w:rPr>
          <w:rFonts w:ascii="Georgia" w:hAnsi="Georgia" w:cs="Calibri"/>
          <w:color w:val="404040" w:themeColor="text1" w:themeTint="BF"/>
          <w:sz w:val="20"/>
        </w:rPr>
      </w:pPr>
      <w:r w:rsidRPr="006A59A8">
        <w:rPr>
          <w:rFonts w:ascii="Georgia" w:hAnsi="Georgia" w:cs="Calibri"/>
          <w:color w:val="404040" w:themeColor="text1" w:themeTint="BF"/>
          <w:sz w:val="20"/>
        </w:rPr>
        <w:t xml:space="preserve">The Committee has met </w:t>
      </w:r>
      <w:r w:rsidRPr="005A2E9B">
        <w:rPr>
          <w:rFonts w:ascii="Georgia" w:hAnsi="Georgia" w:cs="Calibri"/>
          <w:color w:val="404040" w:themeColor="text1" w:themeTint="BF"/>
          <w:sz w:val="20"/>
        </w:rPr>
        <w:t xml:space="preserve">formally on </w:t>
      </w:r>
      <w:r w:rsidR="00963319" w:rsidRPr="005A2E9B">
        <w:rPr>
          <w:rFonts w:ascii="Georgia" w:hAnsi="Georgia" w:cs="Calibri"/>
          <w:color w:val="404040" w:themeColor="text1" w:themeTint="BF"/>
          <w:sz w:val="20"/>
        </w:rPr>
        <w:t>6</w:t>
      </w:r>
      <w:r w:rsidR="0054073B" w:rsidRPr="005A2E9B">
        <w:rPr>
          <w:rFonts w:ascii="Georgia" w:hAnsi="Georgia" w:cs="Calibri"/>
          <w:color w:val="404040" w:themeColor="text1" w:themeTint="BF"/>
          <w:sz w:val="20"/>
        </w:rPr>
        <w:t xml:space="preserve"> </w:t>
      </w:r>
      <w:r w:rsidRPr="005A2E9B">
        <w:rPr>
          <w:rFonts w:ascii="Georgia" w:hAnsi="Georgia" w:cs="Calibri"/>
          <w:color w:val="404040" w:themeColor="text1" w:themeTint="BF"/>
          <w:sz w:val="20"/>
        </w:rPr>
        <w:t>occasions</w:t>
      </w:r>
      <w:r w:rsidRPr="006A59A8">
        <w:rPr>
          <w:rFonts w:ascii="Georgia" w:hAnsi="Georgia" w:cs="Calibri"/>
          <w:color w:val="404040" w:themeColor="text1" w:themeTint="BF"/>
          <w:sz w:val="20"/>
        </w:rPr>
        <w:t xml:space="preserve"> </w:t>
      </w:r>
      <w:r w:rsidR="00B05D19">
        <w:rPr>
          <w:rFonts w:ascii="Georgia" w:hAnsi="Georgia" w:cs="Calibri"/>
          <w:color w:val="404040" w:themeColor="text1" w:themeTint="BF"/>
          <w:sz w:val="20"/>
        </w:rPr>
        <w:t>in the year covered by</w:t>
      </w:r>
      <w:r w:rsidRPr="006A59A8">
        <w:rPr>
          <w:rFonts w:ascii="Georgia" w:hAnsi="Georgia" w:cs="Calibri"/>
          <w:color w:val="404040" w:themeColor="text1" w:themeTint="BF"/>
          <w:sz w:val="20"/>
        </w:rPr>
        <w:t xml:space="preserve"> this report. The matters discussed </w:t>
      </w:r>
      <w:r w:rsidR="002D4087">
        <w:rPr>
          <w:rFonts w:ascii="Georgia" w:hAnsi="Georgia" w:cs="Calibri"/>
          <w:color w:val="404040" w:themeColor="text1" w:themeTint="BF"/>
          <w:sz w:val="20"/>
        </w:rPr>
        <w:t xml:space="preserve">and challenged </w:t>
      </w:r>
      <w:r w:rsidRPr="006A59A8">
        <w:rPr>
          <w:rFonts w:ascii="Georgia" w:hAnsi="Georgia" w:cs="Calibri"/>
          <w:color w:val="404040" w:themeColor="text1" w:themeTint="BF"/>
          <w:sz w:val="20"/>
        </w:rPr>
        <w:t>at those meetings were:</w:t>
      </w:r>
    </w:p>
    <w:p w14:paraId="5AA40AB1" w14:textId="77777777" w:rsidR="000F51FA" w:rsidRPr="006A59A8" w:rsidRDefault="000F51FA" w:rsidP="000F51FA">
      <w:pPr>
        <w:jc w:val="both"/>
        <w:rPr>
          <w:rFonts w:ascii="Georgia" w:hAnsi="Georgia" w:cs="Calibri"/>
          <w:color w:val="404040" w:themeColor="text1" w:themeTint="BF"/>
          <w:sz w:val="20"/>
        </w:rPr>
      </w:pPr>
    </w:p>
    <w:p w14:paraId="623B1B04" w14:textId="77777777" w:rsidR="00E42A95" w:rsidRPr="001B56EC" w:rsidRDefault="000F51FA" w:rsidP="00E42A95">
      <w:pPr>
        <w:pStyle w:val="Bluefieldbullets10pt"/>
      </w:pPr>
      <w:r w:rsidRPr="001B56EC">
        <w:t>consideration and agreement of the terms of reference of the Audit Committee for approval by the Board;</w:t>
      </w:r>
    </w:p>
    <w:p w14:paraId="108845D1" w14:textId="4623A29D" w:rsidR="00E42A95" w:rsidRPr="001B56EC" w:rsidRDefault="000F51FA" w:rsidP="00E42A95">
      <w:pPr>
        <w:pStyle w:val="Bluefieldbullets10pt"/>
      </w:pPr>
      <w:r w:rsidRPr="001B56EC">
        <w:t xml:space="preserve">review of the </w:t>
      </w:r>
      <w:r w:rsidR="00353C33">
        <w:t>Company</w:t>
      </w:r>
      <w:r w:rsidRPr="001B56EC">
        <w:t>’s risk matrix;</w:t>
      </w:r>
    </w:p>
    <w:p w14:paraId="56EB22D7" w14:textId="77777777" w:rsidR="00E42A95" w:rsidRPr="001B56EC" w:rsidRDefault="000F51FA" w:rsidP="00E42A95">
      <w:pPr>
        <w:pStyle w:val="Bluefieldbullets10pt"/>
      </w:pPr>
      <w:r w:rsidRPr="001B56EC">
        <w:tab/>
        <w:t>review of the accounting policies and format of the financial statements;</w:t>
      </w:r>
    </w:p>
    <w:p w14:paraId="15A469A0" w14:textId="77777777" w:rsidR="000F51FA" w:rsidRPr="005F2433" w:rsidRDefault="000F51FA" w:rsidP="000F51FA">
      <w:pPr>
        <w:pStyle w:val="ListParagraph"/>
        <w:rPr>
          <w:rFonts w:ascii="Georgia" w:hAnsi="Georgia" w:cs="Calibri"/>
          <w:color w:val="404040" w:themeColor="text1" w:themeTint="BF"/>
          <w:sz w:val="20"/>
        </w:rPr>
      </w:pPr>
    </w:p>
    <w:p w14:paraId="5F74D898" w14:textId="77777777" w:rsidR="00C45343" w:rsidRPr="005F2433" w:rsidRDefault="004C3333" w:rsidP="00E85EF6">
      <w:pPr>
        <w:pStyle w:val="Heading2"/>
        <w:spacing w:before="0"/>
      </w:pPr>
      <w:r w:rsidRPr="005F2433">
        <w:br w:type="page"/>
      </w:r>
      <w:r w:rsidR="000F51FA" w:rsidRPr="005F2433">
        <w:lastRenderedPageBreak/>
        <w:t>Report of the Audit Committee (continued)</w:t>
      </w:r>
    </w:p>
    <w:p w14:paraId="20A62546" w14:textId="77777777" w:rsidR="000F51FA" w:rsidRPr="005F2433" w:rsidRDefault="000F51FA" w:rsidP="000F51FA">
      <w:pPr>
        <w:jc w:val="both"/>
        <w:rPr>
          <w:rFonts w:ascii="Georgia" w:hAnsi="Georgia" w:cs="Calibri"/>
          <w:color w:val="404040" w:themeColor="text1" w:themeTint="BF"/>
          <w:sz w:val="20"/>
        </w:rPr>
      </w:pPr>
    </w:p>
    <w:p w14:paraId="20F0B10B" w14:textId="77777777" w:rsidR="000F51FA" w:rsidRPr="005F2433" w:rsidRDefault="000F51FA" w:rsidP="000F51FA">
      <w:pPr>
        <w:jc w:val="both"/>
        <w:rPr>
          <w:rFonts w:ascii="Georgia" w:hAnsi="Georgia" w:cs="Calibri"/>
          <w:b/>
          <w:color w:val="404040" w:themeColor="text1" w:themeTint="BF"/>
          <w:sz w:val="20"/>
        </w:rPr>
      </w:pPr>
      <w:r w:rsidRPr="005F2433">
        <w:rPr>
          <w:rFonts w:ascii="Georgia" w:hAnsi="Georgia" w:cs="Calibri"/>
          <w:b/>
          <w:color w:val="404040" w:themeColor="text1" w:themeTint="BF"/>
          <w:sz w:val="20"/>
        </w:rPr>
        <w:t>Meetings (continued)</w:t>
      </w:r>
    </w:p>
    <w:p w14:paraId="4CC4B8D4" w14:textId="77777777" w:rsidR="000F51FA" w:rsidRPr="005F2433" w:rsidRDefault="000F51FA" w:rsidP="000F51FA">
      <w:pPr>
        <w:jc w:val="both"/>
        <w:rPr>
          <w:rFonts w:ascii="Georgia" w:hAnsi="Georgia" w:cs="Calibri"/>
          <w:color w:val="404040" w:themeColor="text1" w:themeTint="BF"/>
          <w:sz w:val="20"/>
        </w:rPr>
      </w:pPr>
    </w:p>
    <w:p w14:paraId="31F381F2" w14:textId="7784E875" w:rsidR="00E42A95" w:rsidRPr="001B56EC" w:rsidRDefault="000F51FA" w:rsidP="00E42A95">
      <w:pPr>
        <w:pStyle w:val="Bluefieldbullets10pt"/>
      </w:pPr>
      <w:r w:rsidRPr="001B56EC">
        <w:t>review and approval of the audit plan of the Auditor and timetable for the interim and annual financial statements;</w:t>
      </w:r>
    </w:p>
    <w:p w14:paraId="65CCEE17" w14:textId="19EC2F90" w:rsidR="00E42A95" w:rsidRPr="001B56EC" w:rsidRDefault="000F51FA" w:rsidP="00E42A95">
      <w:pPr>
        <w:pStyle w:val="Bluefieldbullets10pt"/>
      </w:pPr>
      <w:r w:rsidRPr="001B56EC">
        <w:t>review</w:t>
      </w:r>
      <w:r w:rsidR="002B79BD">
        <w:t xml:space="preserve"> of</w:t>
      </w:r>
      <w:r w:rsidRPr="001B56EC">
        <w:t xml:space="preserve"> the valuation policy and methodology of the </w:t>
      </w:r>
      <w:r w:rsidR="00353C33">
        <w:t>Company</w:t>
      </w:r>
      <w:r w:rsidRPr="001B56EC">
        <w:t>’s investments applied in the interim and annual financial statements;</w:t>
      </w:r>
    </w:p>
    <w:p w14:paraId="01D6C5A5" w14:textId="0D61D24C" w:rsidR="00E42A95" w:rsidRPr="001B56EC" w:rsidRDefault="000F51FA" w:rsidP="00E42A95">
      <w:pPr>
        <w:pStyle w:val="Bluefieldbullets10pt"/>
      </w:pPr>
      <w:r w:rsidRPr="001B56EC">
        <w:t>detailed review of the</w:t>
      </w:r>
      <w:r w:rsidR="004C3333" w:rsidRPr="001B56EC">
        <w:t xml:space="preserve"> interim and</w:t>
      </w:r>
      <w:r w:rsidRPr="001B56EC">
        <w:t xml:space="preserve"> annual report and financial statements; </w:t>
      </w:r>
    </w:p>
    <w:p w14:paraId="276903E4" w14:textId="4825668B" w:rsidR="00E42A95" w:rsidRDefault="000F51FA" w:rsidP="00E42A95">
      <w:pPr>
        <w:pStyle w:val="Bluefieldbullets10pt"/>
      </w:pPr>
      <w:r w:rsidRPr="001B56EC">
        <w:t>assessment of the effectiveness of the external a</w:t>
      </w:r>
      <w:r w:rsidR="00A51D0B">
        <w:t>udit process as described below; and</w:t>
      </w:r>
    </w:p>
    <w:p w14:paraId="02C6F71C" w14:textId="208E52A0" w:rsidR="00B30D85" w:rsidRPr="001B56EC" w:rsidRDefault="00B30D85" w:rsidP="00E42A95">
      <w:pPr>
        <w:pStyle w:val="Bluefieldbullets10pt"/>
      </w:pPr>
      <w:r>
        <w:t xml:space="preserve">a review of the process used to </w:t>
      </w:r>
      <w:r w:rsidR="00F6422A">
        <w:t>determine the viability of the C</w:t>
      </w:r>
      <w:r>
        <w:t>ompany</w:t>
      </w:r>
      <w:r w:rsidR="00A51D0B">
        <w:t>.</w:t>
      </w:r>
    </w:p>
    <w:p w14:paraId="260296E9" w14:textId="77777777" w:rsidR="000F51FA" w:rsidRPr="005F2433" w:rsidRDefault="000F51FA" w:rsidP="000F51FA">
      <w:pPr>
        <w:jc w:val="both"/>
        <w:rPr>
          <w:rFonts w:ascii="Georgia" w:hAnsi="Georgia" w:cs="Calibri"/>
          <w:color w:val="404040" w:themeColor="text1" w:themeTint="BF"/>
          <w:sz w:val="20"/>
        </w:rPr>
      </w:pPr>
    </w:p>
    <w:p w14:paraId="38978E6D" w14:textId="77777777" w:rsidR="000F51FA" w:rsidRPr="005F2433" w:rsidRDefault="000F51FA" w:rsidP="000F51FA">
      <w:pPr>
        <w:jc w:val="both"/>
        <w:rPr>
          <w:rFonts w:ascii="Georgia" w:hAnsi="Georgia" w:cs="Calibri"/>
          <w:color w:val="404040" w:themeColor="text1" w:themeTint="BF"/>
          <w:sz w:val="20"/>
        </w:rPr>
      </w:pPr>
      <w:r w:rsidRPr="005F2433">
        <w:rPr>
          <w:rFonts w:ascii="Georgia" w:hAnsi="Georgia" w:cs="Calibri"/>
          <w:color w:val="404040" w:themeColor="text1" w:themeTint="BF"/>
          <w:sz w:val="20"/>
        </w:rPr>
        <w:t xml:space="preserve">The Audit Committee </w:t>
      </w:r>
      <w:r w:rsidR="0047102B" w:rsidRPr="005F2433">
        <w:rPr>
          <w:rFonts w:ascii="Georgia" w:hAnsi="Georgia" w:cs="Calibri"/>
          <w:color w:val="404040" w:themeColor="text1" w:themeTint="BF"/>
          <w:sz w:val="20"/>
        </w:rPr>
        <w:t>c</w:t>
      </w:r>
      <w:r w:rsidRPr="005F2433">
        <w:rPr>
          <w:rFonts w:ascii="Georgia" w:hAnsi="Georgia" w:cs="Calibri"/>
          <w:color w:val="404040" w:themeColor="text1" w:themeTint="BF"/>
          <w:sz w:val="20"/>
        </w:rPr>
        <w:t>hairman or other members of the Audit Committee appointed for the purpose, shall attend each AGM of the Company, prepared to respond to any shareholder questions on the Audit Committee’s activities.</w:t>
      </w:r>
    </w:p>
    <w:p w14:paraId="293FCCC8" w14:textId="77777777" w:rsidR="000F51FA" w:rsidRPr="005F2433" w:rsidRDefault="000F51FA" w:rsidP="000F51FA">
      <w:pPr>
        <w:jc w:val="both"/>
        <w:rPr>
          <w:rFonts w:ascii="Georgia" w:hAnsi="Georgia" w:cs="Calibri"/>
          <w:color w:val="404040" w:themeColor="text1" w:themeTint="BF"/>
          <w:sz w:val="20"/>
        </w:rPr>
      </w:pPr>
    </w:p>
    <w:p w14:paraId="0F9FDEB0" w14:textId="77777777" w:rsidR="000F51FA" w:rsidRPr="007236B9" w:rsidRDefault="000F51FA" w:rsidP="000F51FA">
      <w:pPr>
        <w:jc w:val="both"/>
        <w:rPr>
          <w:rFonts w:ascii="Georgia" w:hAnsi="Georgia" w:cs="Calibri"/>
          <w:b/>
          <w:color w:val="404040" w:themeColor="text1" w:themeTint="BF"/>
          <w:sz w:val="20"/>
        </w:rPr>
      </w:pPr>
      <w:r w:rsidRPr="007236B9">
        <w:rPr>
          <w:rFonts w:ascii="Georgia" w:hAnsi="Georgia" w:cs="Calibri"/>
          <w:b/>
          <w:color w:val="404040" w:themeColor="text1" w:themeTint="BF"/>
          <w:sz w:val="20"/>
        </w:rPr>
        <w:t>Primary Area of Judgement</w:t>
      </w:r>
    </w:p>
    <w:p w14:paraId="032ECB1A" w14:textId="77777777" w:rsidR="000F51FA" w:rsidRPr="007236B9" w:rsidRDefault="000F51FA" w:rsidP="000F51FA">
      <w:pPr>
        <w:jc w:val="both"/>
        <w:rPr>
          <w:rFonts w:ascii="Georgia" w:hAnsi="Georgia" w:cs="Calibri"/>
          <w:color w:val="404040" w:themeColor="text1" w:themeTint="BF"/>
          <w:sz w:val="20"/>
        </w:rPr>
      </w:pPr>
    </w:p>
    <w:p w14:paraId="35324AA9" w14:textId="73842EB9" w:rsidR="000F51FA" w:rsidRPr="007236B9" w:rsidRDefault="000F51FA" w:rsidP="000F51FA">
      <w:pPr>
        <w:jc w:val="both"/>
        <w:rPr>
          <w:rFonts w:ascii="Georgia" w:hAnsi="Georgia" w:cs="Calibri"/>
          <w:color w:val="404040" w:themeColor="text1" w:themeTint="BF"/>
          <w:sz w:val="20"/>
        </w:rPr>
      </w:pPr>
      <w:r w:rsidRPr="007236B9">
        <w:rPr>
          <w:rFonts w:ascii="Georgia" w:hAnsi="Georgia" w:cs="Calibri"/>
          <w:color w:val="404040" w:themeColor="text1" w:themeTint="BF"/>
          <w:sz w:val="20"/>
        </w:rPr>
        <w:t xml:space="preserve">The Audit Committee determined that the key risk of misstatement of the </w:t>
      </w:r>
      <w:r w:rsidR="007236B9" w:rsidRPr="007236B9">
        <w:rPr>
          <w:rFonts w:ascii="Georgia" w:hAnsi="Georgia" w:cs="Calibri"/>
          <w:color w:val="404040" w:themeColor="text1" w:themeTint="BF"/>
          <w:sz w:val="20"/>
        </w:rPr>
        <w:t>Company’s</w:t>
      </w:r>
      <w:r w:rsidRPr="007236B9">
        <w:rPr>
          <w:rFonts w:ascii="Georgia" w:hAnsi="Georgia" w:cs="Calibri"/>
          <w:color w:val="404040" w:themeColor="text1" w:themeTint="BF"/>
          <w:sz w:val="20"/>
        </w:rPr>
        <w:t xml:space="preserve"> financial statements is the fair value of the investments</w:t>
      </w:r>
      <w:r w:rsidR="00EC36C1">
        <w:rPr>
          <w:rFonts w:ascii="Georgia" w:hAnsi="Georgia" w:cs="Calibri"/>
          <w:color w:val="404040" w:themeColor="text1" w:themeTint="BF"/>
          <w:sz w:val="20"/>
        </w:rPr>
        <w:t xml:space="preserve"> held b</w:t>
      </w:r>
      <w:r w:rsidR="00D00406">
        <w:rPr>
          <w:rFonts w:ascii="Georgia" w:hAnsi="Georgia" w:cs="Calibri"/>
          <w:color w:val="404040" w:themeColor="text1" w:themeTint="BF"/>
          <w:sz w:val="20"/>
        </w:rPr>
        <w:t xml:space="preserve">y the Company </w:t>
      </w:r>
      <w:r w:rsidRPr="007236B9">
        <w:rPr>
          <w:rFonts w:ascii="Georgia" w:hAnsi="Georgia" w:cs="Calibri"/>
          <w:color w:val="404040" w:themeColor="text1" w:themeTint="BF"/>
          <w:sz w:val="20"/>
        </w:rPr>
        <w:t xml:space="preserve">in the context of the high degree of judgement involved in the assumptions and estimates underlying the discounted </w:t>
      </w:r>
      <w:r w:rsidR="00A379B0">
        <w:rPr>
          <w:rFonts w:ascii="Georgia" w:hAnsi="Georgia" w:cs="Calibri"/>
          <w:color w:val="404040" w:themeColor="text1" w:themeTint="BF"/>
          <w:sz w:val="20"/>
        </w:rPr>
        <w:t xml:space="preserve">cash </w:t>
      </w:r>
      <w:r w:rsidR="00857DD7" w:rsidRPr="007236B9">
        <w:rPr>
          <w:rFonts w:ascii="Georgia" w:hAnsi="Georgia" w:cs="Calibri"/>
          <w:color w:val="404040" w:themeColor="text1" w:themeTint="BF"/>
          <w:sz w:val="20"/>
        </w:rPr>
        <w:t>flow</w:t>
      </w:r>
      <w:r w:rsidRPr="007236B9">
        <w:rPr>
          <w:rFonts w:ascii="Georgia" w:hAnsi="Georgia" w:cs="Calibri"/>
          <w:color w:val="404040" w:themeColor="text1" w:themeTint="BF"/>
          <w:sz w:val="20"/>
        </w:rPr>
        <w:t xml:space="preserve"> calculations.</w:t>
      </w:r>
    </w:p>
    <w:p w14:paraId="6567014C" w14:textId="77777777" w:rsidR="000F51FA" w:rsidRPr="007236B9" w:rsidRDefault="000F51FA" w:rsidP="000F51FA">
      <w:pPr>
        <w:jc w:val="both"/>
        <w:rPr>
          <w:rFonts w:ascii="Georgia" w:hAnsi="Georgia" w:cs="Calibri"/>
          <w:color w:val="404040" w:themeColor="text1" w:themeTint="BF"/>
          <w:sz w:val="20"/>
        </w:rPr>
      </w:pPr>
    </w:p>
    <w:p w14:paraId="3BA9B187" w14:textId="4630BFAC" w:rsidR="000F51FA" w:rsidRPr="007236B9" w:rsidRDefault="000F51FA" w:rsidP="000F51FA">
      <w:pPr>
        <w:jc w:val="both"/>
        <w:rPr>
          <w:rFonts w:ascii="Georgia" w:hAnsi="Georgia" w:cs="Calibri"/>
          <w:color w:val="404040" w:themeColor="text1" w:themeTint="BF"/>
          <w:sz w:val="20"/>
        </w:rPr>
      </w:pPr>
      <w:r w:rsidRPr="007236B9">
        <w:rPr>
          <w:rFonts w:ascii="Georgia" w:hAnsi="Georgia" w:cs="Calibri"/>
          <w:color w:val="404040" w:themeColor="text1" w:themeTint="BF"/>
          <w:sz w:val="20"/>
        </w:rPr>
        <w:t xml:space="preserve">As outlined in Note </w:t>
      </w:r>
      <w:r w:rsidR="00894FC4" w:rsidRPr="006401E7">
        <w:rPr>
          <w:rFonts w:ascii="Georgia" w:hAnsi="Georgia" w:cs="Calibri"/>
          <w:color w:val="404040" w:themeColor="text1" w:themeTint="BF"/>
          <w:sz w:val="20"/>
        </w:rPr>
        <w:t>8</w:t>
      </w:r>
      <w:r w:rsidRPr="007236B9">
        <w:rPr>
          <w:rFonts w:ascii="Georgia" w:hAnsi="Georgia" w:cs="Calibri"/>
          <w:color w:val="404040" w:themeColor="text1" w:themeTint="BF"/>
          <w:sz w:val="20"/>
        </w:rPr>
        <w:t xml:space="preserve"> of the </w:t>
      </w:r>
      <w:r w:rsidR="007236B9" w:rsidRPr="007236B9">
        <w:rPr>
          <w:rFonts w:ascii="Georgia" w:hAnsi="Georgia" w:cs="Calibri"/>
          <w:color w:val="404040" w:themeColor="text1" w:themeTint="BF"/>
          <w:sz w:val="20"/>
        </w:rPr>
        <w:t>f</w:t>
      </w:r>
      <w:r w:rsidRPr="007236B9">
        <w:rPr>
          <w:rFonts w:ascii="Georgia" w:hAnsi="Georgia" w:cs="Calibri"/>
          <w:color w:val="404040" w:themeColor="text1" w:themeTint="BF"/>
          <w:sz w:val="20"/>
        </w:rPr>
        <w:t>inancial statements, the fair value o</w:t>
      </w:r>
      <w:r w:rsidR="00B05D19" w:rsidRPr="007236B9">
        <w:rPr>
          <w:rFonts w:ascii="Georgia" w:hAnsi="Georgia" w:cs="Calibri"/>
          <w:color w:val="404040" w:themeColor="text1" w:themeTint="BF"/>
          <w:sz w:val="20"/>
        </w:rPr>
        <w:t xml:space="preserve">f </w:t>
      </w:r>
      <w:r w:rsidR="007236B9" w:rsidRPr="007236B9">
        <w:rPr>
          <w:rFonts w:ascii="Georgia" w:hAnsi="Georgia" w:cs="Calibri"/>
          <w:color w:val="404040" w:themeColor="text1" w:themeTint="BF"/>
          <w:sz w:val="20"/>
        </w:rPr>
        <w:t xml:space="preserve">the BSIFIL’s </w:t>
      </w:r>
      <w:r w:rsidR="00B05D19" w:rsidRPr="007236B9">
        <w:rPr>
          <w:rFonts w:ascii="Georgia" w:hAnsi="Georgia" w:cs="Calibri"/>
          <w:color w:val="404040" w:themeColor="text1" w:themeTint="BF"/>
          <w:sz w:val="20"/>
        </w:rPr>
        <w:t xml:space="preserve">investments </w:t>
      </w:r>
      <w:r w:rsidR="007236B9">
        <w:rPr>
          <w:rFonts w:ascii="Georgia" w:hAnsi="Georgia" w:cs="Calibri"/>
          <w:color w:val="404040" w:themeColor="text1" w:themeTint="BF"/>
          <w:sz w:val="20"/>
        </w:rPr>
        <w:t xml:space="preserve">(Directors’ Valuation) </w:t>
      </w:r>
      <w:r w:rsidR="00B05D19" w:rsidRPr="007236B9">
        <w:rPr>
          <w:rFonts w:ascii="Georgia" w:hAnsi="Georgia" w:cs="Calibri"/>
          <w:color w:val="404040" w:themeColor="text1" w:themeTint="BF"/>
          <w:sz w:val="20"/>
        </w:rPr>
        <w:t xml:space="preserve">as at 30 June </w:t>
      </w:r>
      <w:r w:rsidR="00904E51">
        <w:rPr>
          <w:rFonts w:ascii="Georgia" w:hAnsi="Georgia" w:cs="Calibri"/>
          <w:color w:val="404040" w:themeColor="text1" w:themeTint="BF"/>
          <w:sz w:val="20"/>
        </w:rPr>
        <w:t>2020</w:t>
      </w:r>
      <w:r w:rsidRPr="007236B9">
        <w:rPr>
          <w:rFonts w:ascii="Georgia" w:hAnsi="Georgia" w:cs="Calibri"/>
          <w:color w:val="404040" w:themeColor="text1" w:themeTint="BF"/>
          <w:sz w:val="20"/>
        </w:rPr>
        <w:t xml:space="preserve"> </w:t>
      </w:r>
      <w:r w:rsidRPr="002B79BD">
        <w:rPr>
          <w:rFonts w:ascii="Georgia" w:hAnsi="Georgia" w:cs="Calibri"/>
          <w:color w:val="404040" w:themeColor="text1" w:themeTint="BF"/>
          <w:sz w:val="20"/>
        </w:rPr>
        <w:t xml:space="preserve">was </w:t>
      </w:r>
      <w:r w:rsidR="00B05D19" w:rsidRPr="002B79BD">
        <w:rPr>
          <w:rFonts w:ascii="Georgia" w:hAnsi="Georgia" w:cs="Calibri"/>
          <w:color w:val="404040" w:themeColor="text1" w:themeTint="BF"/>
          <w:sz w:val="20"/>
        </w:rPr>
        <w:t>£</w:t>
      </w:r>
      <w:r w:rsidR="004D6788">
        <w:rPr>
          <w:rFonts w:ascii="Georgia" w:hAnsi="Georgia" w:cs="Calibri"/>
          <w:color w:val="404040" w:themeColor="text1" w:themeTint="BF"/>
          <w:sz w:val="20"/>
        </w:rPr>
        <w:t>624,268,573</w:t>
      </w:r>
      <w:r w:rsidR="001B1447">
        <w:rPr>
          <w:rFonts w:ascii="Georgia" w:hAnsi="Georgia" w:cs="Calibri"/>
          <w:color w:val="404040" w:themeColor="text1" w:themeTint="BF"/>
          <w:sz w:val="20"/>
        </w:rPr>
        <w:t xml:space="preserve"> </w:t>
      </w:r>
      <w:r w:rsidR="00B05D19" w:rsidRPr="002B79BD">
        <w:rPr>
          <w:rFonts w:ascii="Georgia" w:hAnsi="Georgia" w:cs="Calibri"/>
          <w:color w:val="404040" w:themeColor="text1" w:themeTint="BF"/>
          <w:sz w:val="20"/>
        </w:rPr>
        <w:t>(</w:t>
      </w:r>
      <w:r w:rsidR="00904E51">
        <w:rPr>
          <w:rFonts w:ascii="Georgia" w:hAnsi="Georgia" w:cs="Calibri"/>
          <w:color w:val="404040" w:themeColor="text1" w:themeTint="BF"/>
          <w:sz w:val="20"/>
        </w:rPr>
        <w:t>2019</w:t>
      </w:r>
      <w:r w:rsidR="00B05D19" w:rsidRPr="007236B9">
        <w:rPr>
          <w:rFonts w:ascii="Georgia" w:hAnsi="Georgia" w:cs="Calibri"/>
          <w:color w:val="404040" w:themeColor="text1" w:themeTint="BF"/>
          <w:sz w:val="20"/>
        </w:rPr>
        <w:t xml:space="preserve">: </w:t>
      </w:r>
      <w:r w:rsidR="006C04E0" w:rsidRPr="007236B9">
        <w:rPr>
          <w:rFonts w:ascii="Georgia" w:hAnsi="Georgia" w:cs="Calibri"/>
          <w:color w:val="404040" w:themeColor="text1" w:themeTint="BF"/>
          <w:sz w:val="20"/>
        </w:rPr>
        <w:t>£</w:t>
      </w:r>
      <w:r w:rsidR="00741AE1">
        <w:rPr>
          <w:rFonts w:ascii="Georgia" w:hAnsi="Georgia" w:cs="Calibri"/>
          <w:color w:val="404040" w:themeColor="text1" w:themeTint="BF"/>
          <w:sz w:val="20"/>
        </w:rPr>
        <w:t>622,055,477</w:t>
      </w:r>
      <w:r w:rsidR="00B05D19" w:rsidRPr="007236B9">
        <w:rPr>
          <w:rFonts w:ascii="Georgia" w:hAnsi="Georgia" w:cs="Calibri"/>
          <w:color w:val="404040" w:themeColor="text1" w:themeTint="BF"/>
          <w:sz w:val="20"/>
        </w:rPr>
        <w:t>)</w:t>
      </w:r>
      <w:r w:rsidRPr="007236B9">
        <w:rPr>
          <w:rFonts w:ascii="Georgia" w:hAnsi="Georgia" w:cs="Calibri"/>
          <w:color w:val="404040" w:themeColor="text1" w:themeTint="BF"/>
          <w:sz w:val="20"/>
        </w:rPr>
        <w:t xml:space="preserve">. Market quotations are not available for these investments </w:t>
      </w:r>
      <w:r w:rsidR="00770ED1" w:rsidRPr="007236B9">
        <w:rPr>
          <w:rFonts w:ascii="Georgia" w:hAnsi="Georgia" w:cs="Calibri"/>
          <w:color w:val="404040" w:themeColor="text1" w:themeTint="BF"/>
          <w:sz w:val="20"/>
        </w:rPr>
        <w:t xml:space="preserve">so </w:t>
      </w:r>
      <w:r w:rsidRPr="007236B9">
        <w:rPr>
          <w:rFonts w:ascii="Georgia" w:hAnsi="Georgia" w:cs="Calibri"/>
          <w:color w:val="404040" w:themeColor="text1" w:themeTint="BF"/>
          <w:sz w:val="20"/>
        </w:rPr>
        <w:t xml:space="preserve">their valuation is undertaken using a discounted </w:t>
      </w:r>
      <w:r w:rsidR="00A379B0">
        <w:rPr>
          <w:rFonts w:ascii="Georgia" w:hAnsi="Georgia" w:cs="Calibri"/>
          <w:color w:val="404040" w:themeColor="text1" w:themeTint="BF"/>
          <w:sz w:val="20"/>
        </w:rPr>
        <w:t xml:space="preserve">cash </w:t>
      </w:r>
      <w:r w:rsidR="00857DD7" w:rsidRPr="007236B9">
        <w:rPr>
          <w:rFonts w:ascii="Georgia" w:hAnsi="Georgia" w:cs="Calibri"/>
          <w:color w:val="404040" w:themeColor="text1" w:themeTint="BF"/>
          <w:sz w:val="20"/>
        </w:rPr>
        <w:t>flow</w:t>
      </w:r>
      <w:r w:rsidRPr="007236B9">
        <w:rPr>
          <w:rFonts w:ascii="Georgia" w:hAnsi="Georgia" w:cs="Calibri"/>
          <w:color w:val="404040" w:themeColor="text1" w:themeTint="BF"/>
          <w:sz w:val="20"/>
        </w:rPr>
        <w:t xml:space="preserve"> methodology. </w:t>
      </w:r>
      <w:r w:rsidR="00770ED1" w:rsidRPr="007236B9">
        <w:rPr>
          <w:rFonts w:ascii="Georgia" w:hAnsi="Georgia" w:cs="Calibri"/>
          <w:color w:val="404040" w:themeColor="text1" w:themeTint="BF"/>
          <w:sz w:val="20"/>
        </w:rPr>
        <w:t xml:space="preserve">The Directors have also considered transactions in similar assets </w:t>
      </w:r>
      <w:r w:rsidR="00494871">
        <w:rPr>
          <w:rFonts w:ascii="Georgia" w:hAnsi="Georgia" w:cs="Calibri"/>
          <w:color w:val="404040" w:themeColor="text1" w:themeTint="BF"/>
          <w:sz w:val="20"/>
        </w:rPr>
        <w:t>and used these to infer the discount rate</w:t>
      </w:r>
      <w:r w:rsidR="00770ED1" w:rsidRPr="007236B9">
        <w:rPr>
          <w:rFonts w:ascii="Georgia" w:hAnsi="Georgia" w:cs="Calibri"/>
          <w:color w:val="404040" w:themeColor="text1" w:themeTint="BF"/>
          <w:sz w:val="20"/>
        </w:rPr>
        <w:t xml:space="preserve">. </w:t>
      </w:r>
      <w:r w:rsidRPr="007236B9">
        <w:rPr>
          <w:rFonts w:ascii="Georgia" w:hAnsi="Georgia" w:cs="Calibri"/>
          <w:color w:val="404040" w:themeColor="text1" w:themeTint="BF"/>
          <w:sz w:val="20"/>
        </w:rPr>
        <w:t xml:space="preserve">Significant inputs such as the discount rate, rate of inflation and the amount of electricity the solar assets are expected to produce are subjective and include certain assumptions. As a result, this requires a series of judgements to be made as explained in </w:t>
      </w:r>
      <w:r w:rsidRPr="006401E7">
        <w:rPr>
          <w:rFonts w:ascii="Georgia" w:hAnsi="Georgia" w:cs="Calibri"/>
          <w:color w:val="404040" w:themeColor="text1" w:themeTint="BF"/>
          <w:sz w:val="20"/>
        </w:rPr>
        <w:t xml:space="preserve">Note </w:t>
      </w:r>
      <w:r w:rsidR="00894FC4" w:rsidRPr="006401E7">
        <w:rPr>
          <w:rFonts w:ascii="Georgia" w:hAnsi="Georgia" w:cs="Calibri"/>
          <w:color w:val="404040" w:themeColor="text1" w:themeTint="BF"/>
          <w:sz w:val="20"/>
        </w:rPr>
        <w:t>8</w:t>
      </w:r>
      <w:r w:rsidRPr="006401E7">
        <w:rPr>
          <w:rFonts w:ascii="Georgia" w:hAnsi="Georgia" w:cs="Calibri"/>
          <w:color w:val="404040" w:themeColor="text1" w:themeTint="BF"/>
          <w:sz w:val="20"/>
        </w:rPr>
        <w:t xml:space="preserve"> in</w:t>
      </w:r>
      <w:r w:rsidRPr="007236B9">
        <w:rPr>
          <w:rFonts w:ascii="Georgia" w:hAnsi="Georgia" w:cs="Calibri"/>
          <w:color w:val="404040" w:themeColor="text1" w:themeTint="BF"/>
          <w:sz w:val="20"/>
        </w:rPr>
        <w:t xml:space="preserve"> the financial statements.</w:t>
      </w:r>
    </w:p>
    <w:p w14:paraId="780C579D" w14:textId="77777777" w:rsidR="000F51FA" w:rsidRPr="007236B9" w:rsidRDefault="000F51FA" w:rsidP="000F51FA">
      <w:pPr>
        <w:jc w:val="both"/>
        <w:rPr>
          <w:rFonts w:ascii="Georgia" w:hAnsi="Georgia" w:cs="Calibri"/>
          <w:color w:val="404040" w:themeColor="text1" w:themeTint="BF"/>
          <w:sz w:val="20"/>
        </w:rPr>
      </w:pPr>
    </w:p>
    <w:p w14:paraId="29C09660" w14:textId="5F1764B6" w:rsidR="00B54D0C" w:rsidRDefault="003B2174" w:rsidP="00B54D0C">
      <w:pPr>
        <w:jc w:val="both"/>
        <w:rPr>
          <w:rFonts w:ascii="Georgia" w:hAnsi="Georgia" w:cs="Calibri"/>
          <w:color w:val="404040" w:themeColor="text1" w:themeTint="BF"/>
          <w:sz w:val="20"/>
        </w:rPr>
      </w:pPr>
      <w:r w:rsidRPr="003B2174">
        <w:rPr>
          <w:rFonts w:ascii="Georgia" w:hAnsi="Georgia" w:cs="Calibri"/>
          <w:color w:val="404040" w:themeColor="text1" w:themeTint="BF"/>
          <w:sz w:val="20"/>
        </w:rPr>
        <w:t>The valuation of the BSIFIL’s portfolio of solar assets (Director</w:t>
      </w:r>
      <w:r w:rsidR="008A0D18">
        <w:rPr>
          <w:rFonts w:ascii="Georgia" w:hAnsi="Georgia" w:cs="Calibri"/>
          <w:color w:val="404040" w:themeColor="text1" w:themeTint="BF"/>
          <w:sz w:val="20"/>
        </w:rPr>
        <w:t xml:space="preserve">s’ Valuation) as at 30 June </w:t>
      </w:r>
      <w:r w:rsidR="00904E51">
        <w:rPr>
          <w:rFonts w:ascii="Georgia" w:hAnsi="Georgia" w:cs="Calibri"/>
          <w:color w:val="404040" w:themeColor="text1" w:themeTint="BF"/>
          <w:sz w:val="20"/>
        </w:rPr>
        <w:t>2020</w:t>
      </w:r>
      <w:r w:rsidRPr="003B2174">
        <w:rPr>
          <w:rFonts w:ascii="Georgia" w:hAnsi="Georgia" w:cs="Calibri"/>
          <w:color w:val="404040" w:themeColor="text1" w:themeTint="BF"/>
          <w:sz w:val="20"/>
        </w:rPr>
        <w:t xml:space="preserve"> has been determined by the Board based on information provided by the Investment Adviser</w:t>
      </w:r>
      <w:r w:rsidR="00636745">
        <w:rPr>
          <w:rFonts w:ascii="Georgia" w:hAnsi="Georgia" w:cs="Calibri"/>
          <w:color w:val="404040" w:themeColor="text1" w:themeTint="BF"/>
          <w:sz w:val="20"/>
        </w:rPr>
        <w:t>.</w:t>
      </w:r>
    </w:p>
    <w:p w14:paraId="6B51497E" w14:textId="77777777" w:rsidR="003B2174" w:rsidRPr="007236B9" w:rsidRDefault="003B2174" w:rsidP="00B54D0C">
      <w:pPr>
        <w:jc w:val="both"/>
        <w:rPr>
          <w:rFonts w:ascii="Georgia" w:hAnsi="Georgia" w:cs="Calibri"/>
          <w:color w:val="404040" w:themeColor="text1" w:themeTint="BF"/>
          <w:sz w:val="20"/>
        </w:rPr>
      </w:pPr>
    </w:p>
    <w:p w14:paraId="5C55A91B" w14:textId="07DEC9D4" w:rsidR="002C76E7" w:rsidRPr="005F2433" w:rsidRDefault="002C76E7" w:rsidP="002C76E7">
      <w:pPr>
        <w:pStyle w:val="BluefieldBody"/>
      </w:pPr>
      <w:r w:rsidRPr="007236B9">
        <w:t>The Audit Committee also reviewed and suggested facto</w:t>
      </w:r>
      <w:r w:rsidR="007236B9" w:rsidRPr="007236B9">
        <w:t>rs that could impact BSIFIL</w:t>
      </w:r>
      <w:r w:rsidRPr="007236B9">
        <w:t>’s portfolio valuation and its related sensitivities to the carrying value of the investments as required in accordance with IPEV Valuation Guidelines.</w:t>
      </w:r>
    </w:p>
    <w:p w14:paraId="5D454E8B" w14:textId="77777777" w:rsidR="002C76E7" w:rsidRDefault="002C76E7" w:rsidP="000F51FA">
      <w:pPr>
        <w:jc w:val="both"/>
        <w:rPr>
          <w:rFonts w:ascii="Georgia" w:hAnsi="Georgia" w:cs="Calibri"/>
          <w:color w:val="404040" w:themeColor="text1" w:themeTint="BF"/>
          <w:sz w:val="20"/>
        </w:rPr>
      </w:pPr>
    </w:p>
    <w:p w14:paraId="2E52BE11" w14:textId="77777777" w:rsidR="00EC36C1" w:rsidRDefault="00EC36C1" w:rsidP="00EC36C1">
      <w:pPr>
        <w:jc w:val="both"/>
        <w:rPr>
          <w:rFonts w:ascii="Georgia" w:hAnsi="Georgia"/>
          <w:b/>
          <w:color w:val="404040" w:themeColor="text1" w:themeTint="BF"/>
          <w:sz w:val="20"/>
          <w:szCs w:val="20"/>
        </w:rPr>
      </w:pPr>
    </w:p>
    <w:p w14:paraId="56FC2006" w14:textId="77777777" w:rsidR="00CA0362" w:rsidRDefault="00CA0362" w:rsidP="00EC36C1">
      <w:pPr>
        <w:jc w:val="both"/>
        <w:rPr>
          <w:rFonts w:ascii="Georgia" w:hAnsi="Georgia"/>
          <w:b/>
          <w:color w:val="404040" w:themeColor="text1" w:themeTint="BF"/>
          <w:sz w:val="20"/>
          <w:szCs w:val="20"/>
        </w:rPr>
      </w:pPr>
    </w:p>
    <w:p w14:paraId="21656185" w14:textId="77777777" w:rsidR="00CA0362" w:rsidRDefault="00CA0362" w:rsidP="00EC36C1">
      <w:pPr>
        <w:jc w:val="both"/>
        <w:rPr>
          <w:rFonts w:ascii="Georgia" w:hAnsi="Georgia"/>
          <w:b/>
          <w:color w:val="404040" w:themeColor="text1" w:themeTint="BF"/>
          <w:sz w:val="20"/>
          <w:szCs w:val="20"/>
        </w:rPr>
      </w:pPr>
    </w:p>
    <w:p w14:paraId="495AEEE7" w14:textId="77777777" w:rsidR="00CA0362" w:rsidRDefault="00CA0362" w:rsidP="00EC36C1">
      <w:pPr>
        <w:jc w:val="both"/>
        <w:rPr>
          <w:rFonts w:ascii="Georgia" w:hAnsi="Georgia"/>
          <w:b/>
          <w:color w:val="404040" w:themeColor="text1" w:themeTint="BF"/>
          <w:sz w:val="20"/>
          <w:szCs w:val="20"/>
        </w:rPr>
      </w:pPr>
    </w:p>
    <w:p w14:paraId="408BE79D" w14:textId="77777777" w:rsidR="00CA0362" w:rsidRDefault="00CA0362" w:rsidP="00EC36C1">
      <w:pPr>
        <w:jc w:val="both"/>
        <w:rPr>
          <w:rFonts w:ascii="Georgia" w:hAnsi="Georgia"/>
          <w:b/>
          <w:color w:val="404040" w:themeColor="text1" w:themeTint="BF"/>
          <w:sz w:val="20"/>
          <w:szCs w:val="20"/>
        </w:rPr>
      </w:pPr>
    </w:p>
    <w:p w14:paraId="524147C1" w14:textId="77777777" w:rsidR="00CA0362" w:rsidRDefault="00CA0362" w:rsidP="00EC36C1">
      <w:pPr>
        <w:jc w:val="both"/>
        <w:rPr>
          <w:rFonts w:ascii="Georgia" w:hAnsi="Georgia"/>
          <w:b/>
          <w:color w:val="404040" w:themeColor="text1" w:themeTint="BF"/>
          <w:sz w:val="20"/>
          <w:szCs w:val="20"/>
        </w:rPr>
      </w:pPr>
    </w:p>
    <w:p w14:paraId="2D6A8929" w14:textId="77777777" w:rsidR="00CA0362" w:rsidRDefault="00CA0362" w:rsidP="00EC36C1">
      <w:pPr>
        <w:jc w:val="both"/>
        <w:rPr>
          <w:rFonts w:ascii="Georgia" w:hAnsi="Georgia"/>
          <w:b/>
          <w:color w:val="404040" w:themeColor="text1" w:themeTint="BF"/>
          <w:sz w:val="20"/>
          <w:szCs w:val="20"/>
        </w:rPr>
      </w:pPr>
    </w:p>
    <w:p w14:paraId="6B1CBFC3" w14:textId="77777777" w:rsidR="00CA0362" w:rsidRDefault="00CA0362" w:rsidP="00EC36C1">
      <w:pPr>
        <w:jc w:val="both"/>
        <w:rPr>
          <w:rFonts w:ascii="Georgia" w:hAnsi="Georgia"/>
          <w:b/>
          <w:color w:val="404040" w:themeColor="text1" w:themeTint="BF"/>
          <w:sz w:val="20"/>
          <w:szCs w:val="20"/>
        </w:rPr>
      </w:pPr>
    </w:p>
    <w:p w14:paraId="48F57BD3" w14:textId="22F8942D" w:rsidR="00CA0362" w:rsidRDefault="00CA0362" w:rsidP="00EC36C1">
      <w:pPr>
        <w:jc w:val="both"/>
        <w:rPr>
          <w:rFonts w:ascii="Georgia" w:hAnsi="Georgia"/>
          <w:b/>
          <w:color w:val="404040" w:themeColor="text1" w:themeTint="BF"/>
          <w:sz w:val="20"/>
          <w:szCs w:val="20"/>
        </w:rPr>
      </w:pPr>
    </w:p>
    <w:p w14:paraId="35594137" w14:textId="77777777" w:rsidR="00137419" w:rsidRDefault="00137419" w:rsidP="00EC36C1">
      <w:pPr>
        <w:jc w:val="both"/>
        <w:rPr>
          <w:rFonts w:ascii="Georgia" w:hAnsi="Georgia"/>
          <w:b/>
          <w:color w:val="404040" w:themeColor="text1" w:themeTint="BF"/>
          <w:sz w:val="20"/>
          <w:szCs w:val="20"/>
        </w:rPr>
      </w:pPr>
    </w:p>
    <w:p w14:paraId="0C9C1B5B" w14:textId="77777777" w:rsidR="00CA0362" w:rsidRDefault="00CA0362" w:rsidP="00EC36C1">
      <w:pPr>
        <w:jc w:val="both"/>
        <w:rPr>
          <w:rFonts w:ascii="Georgia" w:hAnsi="Georgia"/>
          <w:b/>
          <w:color w:val="404040" w:themeColor="text1" w:themeTint="BF"/>
          <w:sz w:val="20"/>
          <w:szCs w:val="20"/>
        </w:rPr>
      </w:pPr>
    </w:p>
    <w:p w14:paraId="5BD23365" w14:textId="77777777" w:rsidR="00CA0362" w:rsidRDefault="00CA0362" w:rsidP="00EC36C1">
      <w:pPr>
        <w:jc w:val="both"/>
        <w:rPr>
          <w:rFonts w:ascii="Georgia" w:hAnsi="Georgia"/>
          <w:b/>
          <w:color w:val="404040" w:themeColor="text1" w:themeTint="BF"/>
          <w:sz w:val="20"/>
          <w:szCs w:val="20"/>
        </w:rPr>
      </w:pPr>
    </w:p>
    <w:p w14:paraId="2A0A9285" w14:textId="77777777" w:rsidR="00CA0362" w:rsidRDefault="00CA0362" w:rsidP="00EC36C1">
      <w:pPr>
        <w:jc w:val="both"/>
        <w:rPr>
          <w:rFonts w:ascii="Georgia" w:hAnsi="Georgia"/>
          <w:b/>
          <w:color w:val="404040" w:themeColor="text1" w:themeTint="BF"/>
          <w:sz w:val="20"/>
          <w:szCs w:val="20"/>
        </w:rPr>
      </w:pPr>
    </w:p>
    <w:p w14:paraId="72A3B036" w14:textId="77777777" w:rsidR="00CA0362" w:rsidRDefault="00CA0362" w:rsidP="00EC36C1">
      <w:pPr>
        <w:jc w:val="both"/>
        <w:rPr>
          <w:rFonts w:ascii="Georgia" w:hAnsi="Georgia"/>
          <w:b/>
          <w:color w:val="404040" w:themeColor="text1" w:themeTint="BF"/>
          <w:sz w:val="20"/>
          <w:szCs w:val="20"/>
        </w:rPr>
      </w:pPr>
    </w:p>
    <w:p w14:paraId="0CABF4CB" w14:textId="77777777" w:rsidR="00CA0362" w:rsidRDefault="00CA0362" w:rsidP="00EC36C1">
      <w:pPr>
        <w:jc w:val="both"/>
        <w:rPr>
          <w:rFonts w:ascii="Georgia" w:hAnsi="Georgia"/>
          <w:b/>
          <w:color w:val="404040" w:themeColor="text1" w:themeTint="BF"/>
          <w:sz w:val="20"/>
          <w:szCs w:val="20"/>
        </w:rPr>
      </w:pPr>
    </w:p>
    <w:p w14:paraId="3BDAB5E3" w14:textId="77777777" w:rsidR="00CA0362" w:rsidRDefault="00CA0362" w:rsidP="00EC36C1">
      <w:pPr>
        <w:jc w:val="both"/>
        <w:rPr>
          <w:rFonts w:ascii="Georgia" w:hAnsi="Georgia"/>
          <w:b/>
          <w:color w:val="404040" w:themeColor="text1" w:themeTint="BF"/>
          <w:sz w:val="20"/>
          <w:szCs w:val="20"/>
        </w:rPr>
      </w:pPr>
    </w:p>
    <w:p w14:paraId="7BE4189A" w14:textId="77777777" w:rsidR="00EC36C1" w:rsidRDefault="00EC36C1" w:rsidP="00EC36C1">
      <w:pPr>
        <w:jc w:val="both"/>
        <w:rPr>
          <w:rFonts w:ascii="Georgia" w:hAnsi="Georgia"/>
          <w:b/>
          <w:color w:val="404040" w:themeColor="text1" w:themeTint="BF"/>
          <w:sz w:val="20"/>
          <w:szCs w:val="20"/>
        </w:rPr>
      </w:pPr>
    </w:p>
    <w:p w14:paraId="7890CC38" w14:textId="77777777" w:rsidR="00EC36C1" w:rsidRPr="00152D05" w:rsidRDefault="00EC36C1" w:rsidP="00EC36C1">
      <w:pPr>
        <w:jc w:val="both"/>
        <w:rPr>
          <w:rFonts w:ascii="Georgia" w:hAnsi="Georgia"/>
          <w:b/>
          <w:color w:val="404040" w:themeColor="text1" w:themeTint="BF"/>
          <w:sz w:val="20"/>
          <w:szCs w:val="20"/>
        </w:rPr>
      </w:pPr>
    </w:p>
    <w:p w14:paraId="0AD7A707" w14:textId="145C89AA" w:rsidR="00C45343" w:rsidRPr="005F2433" w:rsidRDefault="00EC36C1" w:rsidP="00E85EF6">
      <w:pPr>
        <w:pStyle w:val="Heading2"/>
        <w:spacing w:before="0"/>
      </w:pPr>
      <w:r>
        <w:lastRenderedPageBreak/>
        <w:t>R</w:t>
      </w:r>
      <w:r w:rsidR="000F51FA" w:rsidRPr="005F2433">
        <w:t>eport of the Audit Committee (continued)</w:t>
      </w:r>
    </w:p>
    <w:p w14:paraId="5A220289" w14:textId="77777777" w:rsidR="00E42A95" w:rsidRDefault="00E42A95" w:rsidP="00E42A95">
      <w:pPr>
        <w:pStyle w:val="BluefieldBody"/>
      </w:pPr>
    </w:p>
    <w:p w14:paraId="65C81D08" w14:textId="77777777" w:rsidR="000F51FA" w:rsidRPr="00325ACE" w:rsidRDefault="00E42A95" w:rsidP="000F51FA">
      <w:pPr>
        <w:jc w:val="both"/>
        <w:rPr>
          <w:rFonts w:ascii="Georgia" w:hAnsi="Georgia" w:cs="Calibri"/>
          <w:b/>
          <w:color w:val="404040" w:themeColor="text1" w:themeTint="BF"/>
          <w:sz w:val="20"/>
        </w:rPr>
      </w:pPr>
      <w:r w:rsidRPr="00E42A95">
        <w:rPr>
          <w:rFonts w:ascii="Georgia" w:hAnsi="Georgia" w:cs="Calibri"/>
          <w:b/>
          <w:color w:val="404040" w:themeColor="text1" w:themeTint="BF"/>
          <w:sz w:val="20"/>
        </w:rPr>
        <w:t>Risk Management</w:t>
      </w:r>
    </w:p>
    <w:p w14:paraId="490E9EE3" w14:textId="77777777" w:rsidR="000F51FA" w:rsidRPr="00282361" w:rsidRDefault="000F51FA" w:rsidP="000F51FA">
      <w:pPr>
        <w:jc w:val="both"/>
        <w:rPr>
          <w:rFonts w:ascii="Georgia" w:hAnsi="Georgia" w:cs="Calibri"/>
          <w:b/>
          <w:color w:val="404040" w:themeColor="text1" w:themeTint="BF"/>
          <w:sz w:val="20"/>
        </w:rPr>
      </w:pPr>
    </w:p>
    <w:p w14:paraId="50F24248" w14:textId="208CA20F" w:rsidR="000F51FA" w:rsidRPr="00951770" w:rsidRDefault="000F51FA" w:rsidP="000F51FA">
      <w:pPr>
        <w:jc w:val="both"/>
        <w:rPr>
          <w:rFonts w:ascii="Georgia" w:hAnsi="Georgia" w:cs="Calibri"/>
          <w:color w:val="404040" w:themeColor="text1" w:themeTint="BF"/>
          <w:sz w:val="20"/>
        </w:rPr>
      </w:pPr>
      <w:r w:rsidRPr="00951770">
        <w:rPr>
          <w:rFonts w:ascii="Georgia" w:hAnsi="Georgia" w:cs="Calibri"/>
          <w:color w:val="404040" w:themeColor="text1" w:themeTint="BF"/>
          <w:sz w:val="20"/>
        </w:rPr>
        <w:t xml:space="preserve">The Company’s risk assessment process and the way in which significant business risks are managed is a key area of focus for the Committee. The work of the Audit Committee is driven primarily by the </w:t>
      </w:r>
      <w:r w:rsidR="00353C33">
        <w:rPr>
          <w:rFonts w:ascii="Georgia" w:hAnsi="Georgia" w:cs="Calibri"/>
          <w:color w:val="404040" w:themeColor="text1" w:themeTint="BF"/>
          <w:sz w:val="20"/>
        </w:rPr>
        <w:t>Company</w:t>
      </w:r>
      <w:r w:rsidRPr="00951770">
        <w:rPr>
          <w:rFonts w:ascii="Georgia" w:hAnsi="Georgia" w:cs="Calibri"/>
          <w:color w:val="404040" w:themeColor="text1" w:themeTint="BF"/>
          <w:sz w:val="20"/>
        </w:rPr>
        <w:t xml:space="preserve">’s assessment of its principal risks and uncertainties as set out on </w:t>
      </w:r>
      <w:r w:rsidRPr="00C5121E">
        <w:rPr>
          <w:rFonts w:ascii="Georgia" w:hAnsi="Georgia" w:cs="Calibri"/>
          <w:color w:val="404040" w:themeColor="text1" w:themeTint="BF"/>
          <w:sz w:val="20"/>
        </w:rPr>
        <w:t xml:space="preserve">pages </w:t>
      </w:r>
      <w:r w:rsidR="00C5121E" w:rsidRPr="00C5121E">
        <w:rPr>
          <w:rFonts w:ascii="Georgia" w:hAnsi="Georgia" w:cs="Calibri"/>
          <w:color w:val="404040" w:themeColor="text1" w:themeTint="BF"/>
          <w:sz w:val="20"/>
        </w:rPr>
        <w:t>23</w:t>
      </w:r>
      <w:r w:rsidR="005C01CA" w:rsidRPr="00C5121E">
        <w:rPr>
          <w:rFonts w:ascii="Georgia" w:hAnsi="Georgia" w:cs="Calibri"/>
          <w:color w:val="404040" w:themeColor="text1" w:themeTint="BF"/>
          <w:sz w:val="20"/>
        </w:rPr>
        <w:t xml:space="preserve"> </w:t>
      </w:r>
      <w:r w:rsidR="00860D99" w:rsidRPr="00C5121E">
        <w:rPr>
          <w:rFonts w:ascii="Georgia" w:hAnsi="Georgia" w:cs="Calibri"/>
          <w:color w:val="404040" w:themeColor="text1" w:themeTint="BF"/>
          <w:sz w:val="20"/>
        </w:rPr>
        <w:t xml:space="preserve">to </w:t>
      </w:r>
      <w:r w:rsidR="00C5121E">
        <w:rPr>
          <w:rFonts w:ascii="Georgia" w:hAnsi="Georgia" w:cs="Calibri"/>
          <w:color w:val="404040" w:themeColor="text1" w:themeTint="BF"/>
          <w:sz w:val="20"/>
        </w:rPr>
        <w:t>33</w:t>
      </w:r>
      <w:r w:rsidR="005C01CA" w:rsidRPr="00346022" w:rsidDel="005C01CA">
        <w:rPr>
          <w:rFonts w:ascii="Georgia" w:hAnsi="Georgia" w:cs="Calibri"/>
          <w:color w:val="404040" w:themeColor="text1" w:themeTint="BF"/>
          <w:sz w:val="20"/>
        </w:rPr>
        <w:t xml:space="preserve"> </w:t>
      </w:r>
      <w:r w:rsidR="001035DC">
        <w:rPr>
          <w:rFonts w:ascii="Georgia" w:hAnsi="Georgia" w:cs="Calibri"/>
          <w:color w:val="404040" w:themeColor="text1" w:themeTint="BF"/>
          <w:sz w:val="20"/>
        </w:rPr>
        <w:t>of the Strategic</w:t>
      </w:r>
      <w:r w:rsidRPr="00951770">
        <w:rPr>
          <w:rFonts w:ascii="Georgia" w:hAnsi="Georgia" w:cs="Calibri"/>
          <w:color w:val="404040" w:themeColor="text1" w:themeTint="BF"/>
          <w:sz w:val="20"/>
        </w:rPr>
        <w:t xml:space="preserve"> Report, and it receives reports from the Investment </w:t>
      </w:r>
      <w:r>
        <w:rPr>
          <w:rFonts w:ascii="Georgia" w:hAnsi="Georgia" w:cs="Calibri"/>
          <w:color w:val="404040" w:themeColor="text1" w:themeTint="BF"/>
          <w:sz w:val="20"/>
        </w:rPr>
        <w:t xml:space="preserve">Adviser </w:t>
      </w:r>
      <w:r w:rsidRPr="00951770">
        <w:rPr>
          <w:rFonts w:ascii="Georgia" w:hAnsi="Georgia" w:cs="Calibri"/>
          <w:color w:val="404040" w:themeColor="text1" w:themeTint="BF"/>
          <w:sz w:val="20"/>
        </w:rPr>
        <w:t xml:space="preserve">and Administrator on the </w:t>
      </w:r>
      <w:r w:rsidR="00353C33">
        <w:rPr>
          <w:rFonts w:ascii="Georgia" w:hAnsi="Georgia" w:cs="Calibri"/>
          <w:color w:val="404040" w:themeColor="text1" w:themeTint="BF"/>
          <w:sz w:val="20"/>
        </w:rPr>
        <w:t>Company</w:t>
      </w:r>
      <w:r w:rsidRPr="00951770">
        <w:rPr>
          <w:rFonts w:ascii="Georgia" w:hAnsi="Georgia" w:cs="Calibri"/>
          <w:color w:val="404040" w:themeColor="text1" w:themeTint="BF"/>
          <w:sz w:val="20"/>
        </w:rPr>
        <w:t>’s risk evaluation process and reviews changes to significant risks identified.</w:t>
      </w:r>
    </w:p>
    <w:p w14:paraId="78E5997F" w14:textId="77777777" w:rsidR="00777B93" w:rsidRDefault="00777B93" w:rsidP="00777B93">
      <w:pPr>
        <w:jc w:val="both"/>
        <w:rPr>
          <w:rFonts w:ascii="Georgia" w:hAnsi="Georgia" w:cs="Calibri"/>
          <w:b/>
          <w:color w:val="404040" w:themeColor="text1" w:themeTint="BF"/>
          <w:sz w:val="20"/>
        </w:rPr>
      </w:pPr>
    </w:p>
    <w:p w14:paraId="1B3E9912" w14:textId="77777777" w:rsidR="00777B93" w:rsidRDefault="00777B93" w:rsidP="00777B93">
      <w:pPr>
        <w:jc w:val="both"/>
        <w:rPr>
          <w:rFonts w:ascii="Georgia" w:hAnsi="Georgia" w:cs="Calibri"/>
          <w:b/>
          <w:color w:val="404040" w:themeColor="text1" w:themeTint="BF"/>
          <w:sz w:val="20"/>
        </w:rPr>
      </w:pPr>
      <w:r w:rsidRPr="00282361">
        <w:rPr>
          <w:rFonts w:ascii="Georgia" w:hAnsi="Georgia" w:cs="Calibri"/>
          <w:b/>
          <w:color w:val="404040" w:themeColor="text1" w:themeTint="BF"/>
          <w:sz w:val="20"/>
        </w:rPr>
        <w:t xml:space="preserve">Internal </w:t>
      </w:r>
      <w:r w:rsidR="0068295D">
        <w:rPr>
          <w:rFonts w:ascii="Georgia" w:hAnsi="Georgia" w:cs="Calibri"/>
          <w:b/>
          <w:color w:val="404040" w:themeColor="text1" w:themeTint="BF"/>
          <w:sz w:val="20"/>
        </w:rPr>
        <w:t>A</w:t>
      </w:r>
      <w:r w:rsidRPr="00282361">
        <w:rPr>
          <w:rFonts w:ascii="Georgia" w:hAnsi="Georgia" w:cs="Calibri"/>
          <w:b/>
          <w:color w:val="404040" w:themeColor="text1" w:themeTint="BF"/>
          <w:sz w:val="20"/>
        </w:rPr>
        <w:t>udit</w:t>
      </w:r>
    </w:p>
    <w:p w14:paraId="4B830BCC" w14:textId="77777777" w:rsidR="00777B93" w:rsidRPr="00282361" w:rsidRDefault="00777B93" w:rsidP="00777B93">
      <w:pPr>
        <w:tabs>
          <w:tab w:val="left" w:pos="411"/>
        </w:tabs>
        <w:jc w:val="both"/>
        <w:rPr>
          <w:rFonts w:ascii="Georgia" w:hAnsi="Georgia" w:cs="Calibri"/>
          <w:b/>
          <w:color w:val="404040" w:themeColor="text1" w:themeTint="BF"/>
          <w:sz w:val="20"/>
        </w:rPr>
      </w:pPr>
      <w:r>
        <w:rPr>
          <w:rFonts w:ascii="Georgia" w:hAnsi="Georgia" w:cs="Calibri"/>
          <w:b/>
          <w:color w:val="404040" w:themeColor="text1" w:themeTint="BF"/>
          <w:sz w:val="20"/>
        </w:rPr>
        <w:tab/>
      </w:r>
    </w:p>
    <w:p w14:paraId="7D687D27" w14:textId="77777777" w:rsidR="00777B93" w:rsidRDefault="00777B93" w:rsidP="00777B93">
      <w:pPr>
        <w:pStyle w:val="BluefieldBody"/>
      </w:pPr>
      <w:r w:rsidRPr="00951770">
        <w:t>The Audit Committee considers at least once a year whether or not there is a need for an internal audit function. Currently it does not consider there to be a need for an internal audit function, given that there are no employees in the Company and all outsourced functions are with parties who have their own internal controls and procedures.</w:t>
      </w:r>
    </w:p>
    <w:p w14:paraId="2C963E86" w14:textId="77777777" w:rsidR="00777B93" w:rsidRPr="00951770" w:rsidRDefault="00777B93" w:rsidP="00777B93">
      <w:pPr>
        <w:jc w:val="both"/>
        <w:rPr>
          <w:rFonts w:ascii="Georgia" w:hAnsi="Georgia" w:cs="Calibri"/>
          <w:color w:val="404040" w:themeColor="text1" w:themeTint="BF"/>
          <w:sz w:val="20"/>
        </w:rPr>
      </w:pPr>
    </w:p>
    <w:p w14:paraId="1AE9702D" w14:textId="77777777" w:rsidR="00777B93" w:rsidRDefault="00777B93" w:rsidP="00777B93">
      <w:pPr>
        <w:jc w:val="both"/>
        <w:rPr>
          <w:rFonts w:ascii="Georgia" w:hAnsi="Georgia" w:cs="Calibri"/>
          <w:b/>
          <w:color w:val="404040" w:themeColor="text1" w:themeTint="BF"/>
          <w:sz w:val="20"/>
        </w:rPr>
      </w:pPr>
      <w:r w:rsidRPr="00282361">
        <w:rPr>
          <w:rFonts w:ascii="Georgia" w:hAnsi="Georgia" w:cs="Calibri"/>
          <w:b/>
          <w:color w:val="404040" w:themeColor="text1" w:themeTint="BF"/>
          <w:sz w:val="20"/>
        </w:rPr>
        <w:t>External Audit</w:t>
      </w:r>
    </w:p>
    <w:p w14:paraId="08812B7E" w14:textId="77777777" w:rsidR="00777B93" w:rsidRPr="00282361" w:rsidRDefault="00777B93" w:rsidP="00777B93">
      <w:pPr>
        <w:jc w:val="both"/>
        <w:rPr>
          <w:rFonts w:ascii="Georgia" w:hAnsi="Georgia" w:cs="Calibri"/>
          <w:b/>
          <w:color w:val="404040" w:themeColor="text1" w:themeTint="BF"/>
          <w:sz w:val="20"/>
        </w:rPr>
      </w:pPr>
    </w:p>
    <w:p w14:paraId="5E6E3CA4" w14:textId="77777777" w:rsidR="00777B93" w:rsidRDefault="00777B93" w:rsidP="00777B93">
      <w:pPr>
        <w:pStyle w:val="BluefieldBody"/>
      </w:pPr>
      <w:r>
        <w:t xml:space="preserve">KPMG </w:t>
      </w:r>
      <w:r w:rsidRPr="00951770">
        <w:t xml:space="preserve">has been the Company’s external Auditor since the Company’s inception. </w:t>
      </w:r>
    </w:p>
    <w:p w14:paraId="46193E70" w14:textId="77777777" w:rsidR="00777B93" w:rsidRDefault="00777B93" w:rsidP="00777B93">
      <w:pPr>
        <w:pStyle w:val="BluefieldBody"/>
      </w:pPr>
    </w:p>
    <w:p w14:paraId="517D26E1" w14:textId="67F03034" w:rsidR="00777B93" w:rsidRDefault="00777B93" w:rsidP="00777B93">
      <w:pPr>
        <w:pStyle w:val="BluefieldBody"/>
      </w:pPr>
      <w:r w:rsidRPr="00951770">
        <w:t xml:space="preserve">The Auditor is required to rotate the audit partner every five years. </w:t>
      </w:r>
      <w:r w:rsidRPr="00126B7F">
        <w:t>The current partner is in his</w:t>
      </w:r>
      <w:r w:rsidR="00C059CA">
        <w:t xml:space="preserve"> fourth</w:t>
      </w:r>
      <w:r w:rsidR="005C01CA" w:rsidRPr="00126B7F">
        <w:t xml:space="preserve"> </w:t>
      </w:r>
      <w:r w:rsidRPr="00126B7F">
        <w:t>year of tenure.</w:t>
      </w:r>
      <w:r w:rsidRPr="00951770">
        <w:t xml:space="preserve"> There are no contractual obligations restricting the choice of external auditor and the Company will </w:t>
      </w:r>
      <w:r w:rsidR="007F3159">
        <w:t xml:space="preserve">consider </w:t>
      </w:r>
      <w:r w:rsidRPr="00951770">
        <w:t>put</w:t>
      </w:r>
      <w:r w:rsidR="007F3159">
        <w:t>ting</w:t>
      </w:r>
      <w:r w:rsidRPr="00951770">
        <w:t xml:space="preserve"> the audit services contract out to tender at least every ten years. In line with the FRC’s recommendations on audit tendering, this will be considered further when the audit </w:t>
      </w:r>
      <w:r>
        <w:t xml:space="preserve">partner </w:t>
      </w:r>
      <w:r w:rsidRPr="00951770">
        <w:t xml:space="preserve">rotates every five years. Under </w:t>
      </w:r>
      <w:r>
        <w:t>the Companies</w:t>
      </w:r>
      <w:r w:rsidRPr="00951770">
        <w:t xml:space="preserve"> </w:t>
      </w:r>
      <w:r>
        <w:t>L</w:t>
      </w:r>
      <w:r w:rsidRPr="00951770">
        <w:t>aw</w:t>
      </w:r>
      <w:r w:rsidR="00494871">
        <w:t>,</w:t>
      </w:r>
      <w:r w:rsidRPr="00951770">
        <w:t xml:space="preserve"> the reappointment of the external Auditor is subject to shareholder approval at the </w:t>
      </w:r>
      <w:r>
        <w:t>AGM</w:t>
      </w:r>
      <w:r w:rsidRPr="00951770">
        <w:t>.</w:t>
      </w:r>
    </w:p>
    <w:p w14:paraId="4949578F" w14:textId="77777777" w:rsidR="00777B93" w:rsidRDefault="00777B93" w:rsidP="00777B93">
      <w:pPr>
        <w:pStyle w:val="BluefieldBody"/>
      </w:pPr>
    </w:p>
    <w:p w14:paraId="1DB0F047" w14:textId="09A94D25" w:rsidR="00284FDE" w:rsidRDefault="00777B93" w:rsidP="00284FDE">
      <w:pPr>
        <w:pStyle w:val="BluefieldBody"/>
      </w:pPr>
      <w:r w:rsidRPr="00282361">
        <w:t xml:space="preserve">The objectivity of the Auditor is reviewed by the Audit </w:t>
      </w:r>
      <w:r w:rsidR="00AC5E9C">
        <w:t>Committee</w:t>
      </w:r>
      <w:r w:rsidR="00C14202" w:rsidRPr="00282361">
        <w:t xml:space="preserve"> which</w:t>
      </w:r>
      <w:r w:rsidRPr="00282361">
        <w:t xml:space="preserve"> also reviews the terms under which the external Auditor may be appointed to perform non-audit services. The Audit Committee reviews the scope and results of the audit, its cost effectiveness and the independence and objectivity of the </w:t>
      </w:r>
      <w:r>
        <w:t>A</w:t>
      </w:r>
      <w:r w:rsidRPr="00282361">
        <w:t xml:space="preserve">uditor, with particular regard </w:t>
      </w:r>
      <w:r>
        <w:t>to any non-audit work that the A</w:t>
      </w:r>
      <w:r w:rsidRPr="00282361">
        <w:t xml:space="preserve">uditor may undertake. In order to safeguard </w:t>
      </w:r>
      <w:r>
        <w:t>A</w:t>
      </w:r>
      <w:r w:rsidRPr="00282361">
        <w:t xml:space="preserve">uditor independence and objectivity, the Audit Committee ensures that any other advisory </w:t>
      </w:r>
      <w:r w:rsidR="00284FDE" w:rsidRPr="00282361">
        <w:t>and/or consulting ser</w:t>
      </w:r>
      <w:r w:rsidR="00284FDE">
        <w:t>vices provided by the external A</w:t>
      </w:r>
      <w:r w:rsidR="00284FDE" w:rsidRPr="00282361">
        <w:t>uditor do not conflict with its statutory audit responsibilities.</w:t>
      </w:r>
      <w:r w:rsidR="00284FDE">
        <w:t xml:space="preserve"> </w:t>
      </w:r>
      <w:r w:rsidR="00284FDE" w:rsidRPr="00282361">
        <w:t>Advisory and/or consulting services will generally only cover reviews of interim financial statements, tax compliance and capital raising work. Any non-audit services conducted by the Auditor outside of these areas will require the consent of the Audit Committee before being initiated.</w:t>
      </w:r>
    </w:p>
    <w:p w14:paraId="27FE99C7" w14:textId="77777777" w:rsidR="00284FDE" w:rsidRDefault="00284FDE" w:rsidP="00284FDE">
      <w:pPr>
        <w:pStyle w:val="BluefieldBody"/>
      </w:pPr>
    </w:p>
    <w:p w14:paraId="51F5DE0B" w14:textId="0B12A41F" w:rsidR="00777B93" w:rsidRDefault="00284FDE" w:rsidP="00777B93">
      <w:pPr>
        <w:pStyle w:val="BluefieldBody"/>
      </w:pPr>
      <w:r w:rsidRPr="00282361">
        <w:t xml:space="preserve">The external Auditor may not undertake any work for the </w:t>
      </w:r>
      <w:r w:rsidR="00EC36C1">
        <w:t>Company</w:t>
      </w:r>
      <w:r w:rsidRPr="00282361">
        <w:t xml:space="preserve"> in respect of the following matters</w:t>
      </w:r>
      <w:r>
        <w:t xml:space="preserve">: </w:t>
      </w:r>
      <w:r w:rsidRPr="00282361">
        <w:t>preparat</w:t>
      </w:r>
      <w:r w:rsidR="00395CBA">
        <w:t>ion of the financial statements; provision of investment advice;</w:t>
      </w:r>
      <w:r w:rsidRPr="00282361">
        <w:t xml:space="preserve"> taking management decisions</w:t>
      </w:r>
      <w:r w:rsidR="00395CBA">
        <w:t>;</w:t>
      </w:r>
      <w:r w:rsidRPr="00282361">
        <w:t xml:space="preserve"> advocacy work in adversarial situations</w:t>
      </w:r>
      <w:r w:rsidR="00395CBA">
        <w:t>; provision of tax and tax compliance services; promotion of, dealing in, or underwriting the Company’s shares; provision of payroll services; design or implementation of inter</w:t>
      </w:r>
      <w:r w:rsidR="00965668">
        <w:t>n</w:t>
      </w:r>
      <w:r w:rsidR="00395CBA">
        <w:t>al control or risk management or financial information technology systems, provision of valuation services, provision of services related to internal audit; and provision of certain human resources functions.</w:t>
      </w:r>
    </w:p>
    <w:p w14:paraId="573BF5C0" w14:textId="77777777" w:rsidR="00EC36C1" w:rsidRDefault="00EC36C1">
      <w:pPr>
        <w:rPr>
          <w:rFonts w:cs="Calibri"/>
          <w:b/>
          <w:color w:val="404040" w:themeColor="text1" w:themeTint="BF"/>
          <w:sz w:val="20"/>
        </w:rPr>
      </w:pPr>
    </w:p>
    <w:p w14:paraId="60542A08" w14:textId="77777777" w:rsidR="00284FDE" w:rsidRDefault="00284FDE">
      <w:pPr>
        <w:rPr>
          <w:rFonts w:ascii="Georgia" w:hAnsi="Georgia" w:cs="Calibri"/>
          <w:b/>
          <w:color w:val="404040" w:themeColor="text1" w:themeTint="BF"/>
          <w:sz w:val="20"/>
        </w:rPr>
      </w:pPr>
      <w:r>
        <w:rPr>
          <w:rFonts w:cs="Calibri"/>
          <w:b/>
          <w:color w:val="404040" w:themeColor="text1" w:themeTint="BF"/>
          <w:sz w:val="20"/>
        </w:rPr>
        <w:br w:type="page"/>
      </w:r>
    </w:p>
    <w:p w14:paraId="17DD4D2D" w14:textId="77777777" w:rsidR="00C45343" w:rsidRDefault="00E75B0E" w:rsidP="00E85EF6">
      <w:pPr>
        <w:pStyle w:val="Heading2"/>
        <w:spacing w:before="0"/>
      </w:pPr>
      <w:r>
        <w:lastRenderedPageBreak/>
        <w:t>Report of the Audit Committee (continued)</w:t>
      </w:r>
    </w:p>
    <w:p w14:paraId="1FE669C7" w14:textId="77777777" w:rsidR="0000419E" w:rsidRDefault="0000419E" w:rsidP="00E85EF6">
      <w:pPr>
        <w:jc w:val="both"/>
        <w:rPr>
          <w:rFonts w:ascii="Georgia" w:hAnsi="Georgia" w:cs="Calibri"/>
          <w:b/>
          <w:color w:val="404040" w:themeColor="text1" w:themeTint="BF"/>
          <w:sz w:val="20"/>
        </w:rPr>
      </w:pPr>
    </w:p>
    <w:p w14:paraId="6574B422" w14:textId="77777777" w:rsidR="00777B93" w:rsidRDefault="00777B93" w:rsidP="00E85EF6">
      <w:pPr>
        <w:jc w:val="both"/>
        <w:rPr>
          <w:rFonts w:cs="Calibri"/>
          <w:b/>
        </w:rPr>
      </w:pPr>
      <w:r w:rsidRPr="00282361">
        <w:rPr>
          <w:rFonts w:ascii="Georgia" w:hAnsi="Georgia" w:cs="Calibri"/>
          <w:b/>
          <w:color w:val="404040" w:themeColor="text1" w:themeTint="BF"/>
          <w:sz w:val="20"/>
        </w:rPr>
        <w:t>External Audit</w:t>
      </w:r>
      <w:r>
        <w:rPr>
          <w:rFonts w:ascii="Georgia" w:hAnsi="Georgia" w:cs="Calibri"/>
          <w:b/>
          <w:color w:val="404040" w:themeColor="text1" w:themeTint="BF"/>
          <w:sz w:val="20"/>
        </w:rPr>
        <w:t xml:space="preserve"> (continued)</w:t>
      </w:r>
    </w:p>
    <w:p w14:paraId="492F6913" w14:textId="77777777" w:rsidR="00E42A95" w:rsidRDefault="00E42A95" w:rsidP="00E42A95">
      <w:pPr>
        <w:pStyle w:val="BluefieldBody"/>
      </w:pPr>
    </w:p>
    <w:p w14:paraId="3ADEC6E2" w14:textId="7C885DBD" w:rsidR="00E42A95" w:rsidRDefault="000F51FA" w:rsidP="00E42A95">
      <w:pPr>
        <w:pStyle w:val="BluefieldBody"/>
      </w:pPr>
      <w:r w:rsidRPr="00A54161">
        <w:t xml:space="preserve">The Committee reviews the scope and results of the audit, its cost effectiveness and the independence and objectivity of the Auditor, with particular regard to the level of non-audit fees. During the </w:t>
      </w:r>
      <w:r w:rsidR="009A2F8D" w:rsidRPr="00A54161">
        <w:t>year</w:t>
      </w:r>
      <w:r w:rsidR="0047102B" w:rsidRPr="00A54161">
        <w:t xml:space="preserve">, KPMG was </w:t>
      </w:r>
      <w:r w:rsidR="007F2A60">
        <w:t xml:space="preserve">also </w:t>
      </w:r>
      <w:r w:rsidR="0047102B" w:rsidRPr="00A54161">
        <w:t xml:space="preserve">engaged </w:t>
      </w:r>
      <w:r w:rsidR="007F2A60">
        <w:t>to provide a</w:t>
      </w:r>
      <w:r w:rsidR="00BD5724" w:rsidRPr="00A54161">
        <w:t xml:space="preserve"> </w:t>
      </w:r>
      <w:r w:rsidRPr="00A54161">
        <w:t>review</w:t>
      </w:r>
      <w:r w:rsidR="007B34D6" w:rsidRPr="00A54161">
        <w:t xml:space="preserve"> of the </w:t>
      </w:r>
      <w:r w:rsidR="00353C33">
        <w:t>Company</w:t>
      </w:r>
      <w:r w:rsidR="007B34D6" w:rsidRPr="00A54161">
        <w:t xml:space="preserve">’s </w:t>
      </w:r>
      <w:r w:rsidR="009A2F8D" w:rsidRPr="00A54161">
        <w:t>interim information</w:t>
      </w:r>
      <w:r w:rsidR="00C059CA">
        <w:t>.</w:t>
      </w:r>
      <w:r w:rsidRPr="00A54161">
        <w:t xml:space="preserve"> Total fees paid amounted to £</w:t>
      </w:r>
      <w:r w:rsidR="00434775">
        <w:t>150,822</w:t>
      </w:r>
      <w:r w:rsidR="004C4EA4">
        <w:t xml:space="preserve"> </w:t>
      </w:r>
      <w:r w:rsidRPr="00A54161">
        <w:t>for the</w:t>
      </w:r>
      <w:r w:rsidR="009A2F8D" w:rsidRPr="00A54161">
        <w:t xml:space="preserve"> year</w:t>
      </w:r>
      <w:r w:rsidRPr="00A54161">
        <w:t xml:space="preserve"> ended 30 June </w:t>
      </w:r>
      <w:r w:rsidR="00904E51">
        <w:t>2020</w:t>
      </w:r>
      <w:r w:rsidR="009A2F8D" w:rsidRPr="00A54161">
        <w:t xml:space="preserve"> (30 June </w:t>
      </w:r>
      <w:r w:rsidR="00904E51">
        <w:t>2019</w:t>
      </w:r>
      <w:r w:rsidR="009A2F8D" w:rsidRPr="00A54161">
        <w:t xml:space="preserve">: </w:t>
      </w:r>
      <w:r w:rsidR="006C04E0" w:rsidRPr="00A54161">
        <w:t>£</w:t>
      </w:r>
      <w:r w:rsidR="00741AE1">
        <w:t>116,814</w:t>
      </w:r>
      <w:r w:rsidR="009A2F8D" w:rsidRPr="00A54161">
        <w:t>)</w:t>
      </w:r>
      <w:r w:rsidRPr="00A54161">
        <w:t xml:space="preserve"> of </w:t>
      </w:r>
      <w:r w:rsidRPr="00654C74">
        <w:t>which £</w:t>
      </w:r>
      <w:r w:rsidR="00434775">
        <w:t>133,744</w:t>
      </w:r>
      <w:r w:rsidR="00654C74" w:rsidRPr="00654C74">
        <w:t xml:space="preserve"> </w:t>
      </w:r>
      <w:r w:rsidRPr="00A54161">
        <w:t xml:space="preserve">related to audit and audit related services to the </w:t>
      </w:r>
      <w:r w:rsidR="00353C33">
        <w:t>Company</w:t>
      </w:r>
      <w:r w:rsidRPr="00A54161">
        <w:t xml:space="preserve"> </w:t>
      </w:r>
      <w:r w:rsidR="009A2F8D" w:rsidRPr="00A54161">
        <w:t xml:space="preserve">(30 June </w:t>
      </w:r>
      <w:r w:rsidR="00904E51">
        <w:t>2019</w:t>
      </w:r>
      <w:r w:rsidR="009A2F8D" w:rsidRPr="00A54161">
        <w:t xml:space="preserve">: </w:t>
      </w:r>
      <w:r w:rsidR="0047102B" w:rsidRPr="00A54161">
        <w:t>£</w:t>
      </w:r>
      <w:r w:rsidR="00741AE1">
        <w:t>94,406</w:t>
      </w:r>
      <w:r w:rsidR="009A2F8D" w:rsidRPr="00A54161">
        <w:t xml:space="preserve">) </w:t>
      </w:r>
      <w:r w:rsidRPr="00654C74">
        <w:t>and £</w:t>
      </w:r>
      <w:r w:rsidR="00434775">
        <w:t>17,078</w:t>
      </w:r>
      <w:r w:rsidRPr="00654C74">
        <w:t xml:space="preserve"> in</w:t>
      </w:r>
      <w:r w:rsidRPr="00A54161">
        <w:t xml:space="preserve"> respect of non-audit services</w:t>
      </w:r>
      <w:r w:rsidR="009A2F8D" w:rsidRPr="00A54161">
        <w:t xml:space="preserve"> (30 June </w:t>
      </w:r>
      <w:r w:rsidR="00904E51">
        <w:t>2019</w:t>
      </w:r>
      <w:r w:rsidR="009A2F8D" w:rsidRPr="00A54161">
        <w:t xml:space="preserve">: </w:t>
      </w:r>
      <w:r w:rsidR="00D84BC4" w:rsidRPr="00A54161">
        <w:t>£</w:t>
      </w:r>
      <w:r w:rsidR="00741AE1">
        <w:t>22,253</w:t>
      </w:r>
      <w:r w:rsidR="009A2F8D" w:rsidRPr="00A54161">
        <w:t>)</w:t>
      </w:r>
      <w:r w:rsidRPr="00A54161">
        <w:t>.</w:t>
      </w:r>
    </w:p>
    <w:p w14:paraId="0F80A2CC" w14:textId="77777777" w:rsidR="00E42A95" w:rsidRDefault="00E42A95" w:rsidP="00E42A95">
      <w:pPr>
        <w:pStyle w:val="BluefieldBody"/>
      </w:pPr>
    </w:p>
    <w:p w14:paraId="54F225A7" w14:textId="3F051C7F" w:rsidR="00E42A95" w:rsidRDefault="000F51FA" w:rsidP="00E42A95">
      <w:pPr>
        <w:pStyle w:val="BluefieldBody"/>
      </w:pPr>
      <w:r w:rsidRPr="00282361">
        <w:t>Notwithstanding such services,</w:t>
      </w:r>
      <w:r w:rsidR="006912F0">
        <w:t xml:space="preserve"> which have ar</w:t>
      </w:r>
      <w:r w:rsidR="009A2F8D">
        <w:t>isen</w:t>
      </w:r>
      <w:r w:rsidRPr="00282361">
        <w:t xml:space="preserve"> </w:t>
      </w:r>
      <w:r w:rsidR="006912F0">
        <w:t xml:space="preserve">in connection with </w:t>
      </w:r>
      <w:r w:rsidR="005B42BD">
        <w:t>review of the interim financial statements</w:t>
      </w:r>
      <w:r w:rsidR="002D4087">
        <w:t>,</w:t>
      </w:r>
      <w:r w:rsidR="005B42BD">
        <w:t xml:space="preserve"> </w:t>
      </w:r>
      <w:r w:rsidRPr="00282361">
        <w:t xml:space="preserve">the Audit Committee considers </w:t>
      </w:r>
      <w:r>
        <w:t xml:space="preserve">KPMG </w:t>
      </w:r>
      <w:r w:rsidRPr="00282361">
        <w:t>to be independent of the Company and that the provision of such non-audit services is not a threat to the objectivity and independence of the conduct of the audit as appropriate safeguards are in place.</w:t>
      </w:r>
    </w:p>
    <w:p w14:paraId="689B64B0" w14:textId="77777777" w:rsidR="00E42A95" w:rsidRDefault="00E42A95" w:rsidP="00E42A95">
      <w:pPr>
        <w:pStyle w:val="BluefieldBody"/>
      </w:pPr>
    </w:p>
    <w:p w14:paraId="2C7298CB" w14:textId="77777777" w:rsidR="00E42A95" w:rsidRDefault="00C441B5" w:rsidP="00E42A95">
      <w:pPr>
        <w:pStyle w:val="BluefieldBody"/>
      </w:pPr>
      <w:r w:rsidRPr="00282361">
        <w:t xml:space="preserve">To fulfil its responsibility regarding the independence of the Auditor, the Audit Committee </w:t>
      </w:r>
      <w:r>
        <w:t>has</w:t>
      </w:r>
      <w:r w:rsidRPr="00282361">
        <w:t xml:space="preserve"> consider</w:t>
      </w:r>
      <w:r>
        <w:t>ed</w:t>
      </w:r>
      <w:r w:rsidRPr="00282361">
        <w:t>:</w:t>
      </w:r>
    </w:p>
    <w:p w14:paraId="435C69F4" w14:textId="77777777" w:rsidR="00C441B5" w:rsidRPr="00282361" w:rsidRDefault="00C441B5" w:rsidP="00C441B5">
      <w:pPr>
        <w:jc w:val="both"/>
        <w:rPr>
          <w:rFonts w:ascii="Georgia" w:hAnsi="Georgia" w:cs="Calibri"/>
          <w:color w:val="404040" w:themeColor="text1" w:themeTint="BF"/>
          <w:sz w:val="20"/>
        </w:rPr>
      </w:pPr>
    </w:p>
    <w:p w14:paraId="4B59970C" w14:textId="77777777" w:rsidR="00E42A95" w:rsidRDefault="00C441B5" w:rsidP="00E42A95">
      <w:pPr>
        <w:pStyle w:val="Bluefieldbullets10pt"/>
      </w:pPr>
      <w:r w:rsidRPr="00282361">
        <w:t>discussions with or reports from the Auditor describing its arrangements to identify, report and manage any conflicts of interest; and</w:t>
      </w:r>
    </w:p>
    <w:p w14:paraId="4704864B" w14:textId="77777777" w:rsidR="00E42A95" w:rsidRDefault="00C441B5" w:rsidP="00E42A95">
      <w:pPr>
        <w:pStyle w:val="Bluefieldbullets10pt"/>
      </w:pPr>
      <w:r w:rsidRPr="00282361">
        <w:t>the extent of non-audit services provided by the Auditor and arrangements for ensuring the independence and objectivity and robust</w:t>
      </w:r>
      <w:r>
        <w:t>ness and perceptiveness of the A</w:t>
      </w:r>
      <w:r w:rsidRPr="00282361">
        <w:t xml:space="preserve">uditor and their handling of key accounting and audit judgements. </w:t>
      </w:r>
    </w:p>
    <w:p w14:paraId="1A81C57C" w14:textId="1BE99F9B" w:rsidR="00777B93" w:rsidRPr="00282361" w:rsidRDefault="00777B93" w:rsidP="00777B93">
      <w:pPr>
        <w:jc w:val="both"/>
        <w:rPr>
          <w:rFonts w:ascii="Georgia" w:hAnsi="Georgia" w:cs="Calibri"/>
          <w:color w:val="404040" w:themeColor="text1" w:themeTint="BF"/>
          <w:sz w:val="20"/>
        </w:rPr>
      </w:pPr>
      <w:r w:rsidRPr="00282361">
        <w:rPr>
          <w:rFonts w:ascii="Georgia" w:hAnsi="Georgia" w:cs="Calibri"/>
          <w:color w:val="404040" w:themeColor="text1" w:themeTint="BF"/>
          <w:sz w:val="20"/>
        </w:rPr>
        <w:t xml:space="preserve">To assess the effectiveness of the Auditor, the Committee </w:t>
      </w:r>
      <w:r>
        <w:rPr>
          <w:rFonts w:ascii="Georgia" w:hAnsi="Georgia" w:cs="Calibri"/>
          <w:color w:val="404040" w:themeColor="text1" w:themeTint="BF"/>
          <w:sz w:val="20"/>
        </w:rPr>
        <w:t>has</w:t>
      </w:r>
      <w:r w:rsidRPr="00282361">
        <w:rPr>
          <w:rFonts w:ascii="Georgia" w:hAnsi="Georgia" w:cs="Calibri"/>
          <w:color w:val="404040" w:themeColor="text1" w:themeTint="BF"/>
          <w:sz w:val="20"/>
        </w:rPr>
        <w:t xml:space="preserve"> review</w:t>
      </w:r>
      <w:r>
        <w:rPr>
          <w:rFonts w:ascii="Georgia" w:hAnsi="Georgia" w:cs="Calibri"/>
          <w:color w:val="404040" w:themeColor="text1" w:themeTint="BF"/>
          <w:sz w:val="20"/>
        </w:rPr>
        <w:t>ed</w:t>
      </w:r>
      <w:r w:rsidR="00B93130">
        <w:rPr>
          <w:rFonts w:ascii="Georgia" w:hAnsi="Georgia" w:cs="Calibri"/>
          <w:color w:val="404040" w:themeColor="text1" w:themeTint="BF"/>
          <w:sz w:val="20"/>
        </w:rPr>
        <w:t xml:space="preserve"> and challenged</w:t>
      </w:r>
      <w:r w:rsidRPr="00282361">
        <w:rPr>
          <w:rFonts w:ascii="Georgia" w:hAnsi="Georgia" w:cs="Calibri"/>
          <w:color w:val="404040" w:themeColor="text1" w:themeTint="BF"/>
          <w:sz w:val="20"/>
        </w:rPr>
        <w:t>:</w:t>
      </w:r>
    </w:p>
    <w:p w14:paraId="7F81E761" w14:textId="77777777" w:rsidR="00777B93" w:rsidRPr="00282361" w:rsidRDefault="00777B93" w:rsidP="00777B93">
      <w:pPr>
        <w:jc w:val="both"/>
        <w:rPr>
          <w:rFonts w:ascii="Georgia" w:hAnsi="Georgia" w:cs="Calibri"/>
          <w:color w:val="404040" w:themeColor="text1" w:themeTint="BF"/>
          <w:sz w:val="20"/>
        </w:rPr>
      </w:pPr>
    </w:p>
    <w:p w14:paraId="3596836D" w14:textId="77777777" w:rsidR="00777B93" w:rsidRDefault="00777B93" w:rsidP="00777B93">
      <w:pPr>
        <w:pStyle w:val="Bluefieldbullets10pt"/>
      </w:pPr>
      <w:r w:rsidRPr="00282361">
        <w:t>the Auditor’s fulfilment of the agreed audit plan and variations from it;</w:t>
      </w:r>
    </w:p>
    <w:p w14:paraId="6A3CCAEE" w14:textId="77777777" w:rsidR="00777B93" w:rsidRDefault="00777B93" w:rsidP="00777B93">
      <w:pPr>
        <w:pStyle w:val="Bluefieldbullets10pt"/>
      </w:pPr>
      <w:r w:rsidRPr="00282361">
        <w:t xml:space="preserve">discussions or reports highlighting the major issues that arose during the course of the audit; </w:t>
      </w:r>
    </w:p>
    <w:p w14:paraId="3942009A" w14:textId="77777777" w:rsidR="00777B93" w:rsidRDefault="00777B93" w:rsidP="00777B93">
      <w:pPr>
        <w:pStyle w:val="Bluefieldbullets10pt"/>
      </w:pPr>
      <w:r w:rsidRPr="00282361">
        <w:t>feedback from other service providers evaluating the performance of the audit team;</w:t>
      </w:r>
    </w:p>
    <w:p w14:paraId="341DDC41" w14:textId="77777777" w:rsidR="00777B93" w:rsidRDefault="00777B93" w:rsidP="00777B93">
      <w:pPr>
        <w:pStyle w:val="Bluefieldbullets10pt"/>
      </w:pPr>
      <w:r w:rsidRPr="00282361">
        <w:t>arrangements for ensuring independence and objectivity; and</w:t>
      </w:r>
    </w:p>
    <w:p w14:paraId="789767F3" w14:textId="77777777" w:rsidR="00777B93" w:rsidRDefault="00777B93" w:rsidP="00777B93">
      <w:pPr>
        <w:pStyle w:val="Bluefieldbullets10pt"/>
      </w:pPr>
      <w:r w:rsidRPr="00233B33">
        <w:t>robustness of the Auditor in handling key accounting and audit judgements.</w:t>
      </w:r>
    </w:p>
    <w:p w14:paraId="637BDA46" w14:textId="77777777" w:rsidR="00777B93" w:rsidRDefault="00777B93" w:rsidP="00777B93">
      <w:pPr>
        <w:jc w:val="both"/>
        <w:rPr>
          <w:rFonts w:ascii="Georgia" w:hAnsi="Georgia" w:cs="Calibri"/>
          <w:color w:val="404040" w:themeColor="text1" w:themeTint="BF"/>
          <w:sz w:val="20"/>
        </w:rPr>
      </w:pPr>
    </w:p>
    <w:p w14:paraId="21719928" w14:textId="2B128C99" w:rsidR="00777B93" w:rsidRDefault="00777B93" w:rsidP="00777B93">
      <w:pPr>
        <w:pStyle w:val="BluefieldBody"/>
      </w:pPr>
      <w:r w:rsidRPr="009B404E">
        <w:t xml:space="preserve">The Audit Committee is satisfied with </w:t>
      </w:r>
      <w:r>
        <w:t xml:space="preserve">KPMG’s </w:t>
      </w:r>
      <w:r w:rsidRPr="009B404E">
        <w:t>effectiveness and independence as Auditor</w:t>
      </w:r>
      <w:r w:rsidR="00426FB3">
        <w:t>,</w:t>
      </w:r>
      <w:r w:rsidRPr="009B404E">
        <w:t xml:space="preserve"> having considered the degree of diligence and professional scepticism demonstrated by them. </w:t>
      </w:r>
      <w:r w:rsidRPr="00774778">
        <w:t>Having carried out the review described above and having satisfied itself that the Auditor remains independent and effective, the Audit Committee has recommended to the Board that KPMG be reappointed as Auditor</w:t>
      </w:r>
      <w:r w:rsidR="00C14202">
        <w:t xml:space="preserve"> </w:t>
      </w:r>
      <w:r w:rsidR="00EE4A2E">
        <w:t>for the year ending 30 June 2021</w:t>
      </w:r>
      <w:r w:rsidRPr="00774778">
        <w:t>.</w:t>
      </w:r>
    </w:p>
    <w:p w14:paraId="1E0D5253" w14:textId="77777777" w:rsidR="00777B93" w:rsidRDefault="00777B93" w:rsidP="00777B93">
      <w:pPr>
        <w:pStyle w:val="BluefieldBody"/>
      </w:pPr>
    </w:p>
    <w:p w14:paraId="001BF5E0" w14:textId="77777777" w:rsidR="00777B93" w:rsidRDefault="00777B93" w:rsidP="00777B93">
      <w:pPr>
        <w:pStyle w:val="BluefieldBody"/>
      </w:pPr>
      <w:r w:rsidRPr="009B404E">
        <w:t xml:space="preserve">The Chairman of the Audit Committee will be available at the </w:t>
      </w:r>
      <w:r>
        <w:t>AGM</w:t>
      </w:r>
      <w:r w:rsidRPr="009B404E">
        <w:t xml:space="preserve"> to answer any questions about the work of the Committee.</w:t>
      </w:r>
    </w:p>
    <w:p w14:paraId="4BB43CEF" w14:textId="77777777" w:rsidR="00777B93" w:rsidRPr="009B404E" w:rsidRDefault="00777B93" w:rsidP="00777B93">
      <w:pPr>
        <w:ind w:left="765"/>
        <w:jc w:val="both"/>
        <w:rPr>
          <w:rFonts w:ascii="Georgia" w:hAnsi="Georgia" w:cs="Calibri"/>
          <w:color w:val="404040" w:themeColor="text1" w:themeTint="BF"/>
          <w:sz w:val="20"/>
        </w:rPr>
      </w:pPr>
    </w:p>
    <w:p w14:paraId="5C927D42" w14:textId="77777777" w:rsidR="00777B93" w:rsidRPr="009B404E" w:rsidRDefault="00777B93" w:rsidP="00777B93">
      <w:pPr>
        <w:jc w:val="both"/>
        <w:rPr>
          <w:rFonts w:ascii="Georgia" w:hAnsi="Georgia" w:cs="Calibri"/>
          <w:color w:val="404040" w:themeColor="text1" w:themeTint="BF"/>
          <w:sz w:val="20"/>
        </w:rPr>
      </w:pPr>
      <w:r w:rsidRPr="009B404E">
        <w:rPr>
          <w:rFonts w:ascii="Georgia" w:hAnsi="Georgia" w:cs="Calibri"/>
          <w:color w:val="404040" w:themeColor="text1" w:themeTint="BF"/>
          <w:sz w:val="20"/>
        </w:rPr>
        <w:t>On behalf of the Audit Committee</w:t>
      </w:r>
    </w:p>
    <w:p w14:paraId="7ADC2C6F" w14:textId="77777777" w:rsidR="00777B93" w:rsidRPr="009B404E" w:rsidRDefault="00777B93" w:rsidP="00777B93">
      <w:pPr>
        <w:ind w:left="765"/>
        <w:jc w:val="both"/>
        <w:rPr>
          <w:rFonts w:ascii="Georgia" w:hAnsi="Georgia" w:cs="Calibri"/>
          <w:color w:val="404040" w:themeColor="text1" w:themeTint="BF"/>
          <w:sz w:val="20"/>
        </w:rPr>
      </w:pPr>
    </w:p>
    <w:p w14:paraId="6BA187E5" w14:textId="77777777" w:rsidR="00777B93" w:rsidRPr="009B404E" w:rsidRDefault="00777B93" w:rsidP="00777B93">
      <w:pPr>
        <w:ind w:left="765"/>
        <w:jc w:val="both"/>
        <w:rPr>
          <w:rFonts w:ascii="Georgia" w:hAnsi="Georgia" w:cs="Calibri"/>
          <w:color w:val="404040" w:themeColor="text1" w:themeTint="BF"/>
          <w:sz w:val="20"/>
        </w:rPr>
      </w:pPr>
    </w:p>
    <w:p w14:paraId="2EE759D9" w14:textId="77777777" w:rsidR="00777B93" w:rsidRPr="009B404E" w:rsidRDefault="00777B93" w:rsidP="00777B93">
      <w:pPr>
        <w:ind w:left="765"/>
        <w:jc w:val="both"/>
        <w:rPr>
          <w:rFonts w:ascii="Georgia" w:hAnsi="Georgia" w:cs="Calibri"/>
          <w:color w:val="404040" w:themeColor="text1" w:themeTint="BF"/>
          <w:sz w:val="20"/>
        </w:rPr>
      </w:pPr>
    </w:p>
    <w:p w14:paraId="7C6EA4D5" w14:textId="77777777" w:rsidR="00777B93" w:rsidRPr="00430E02" w:rsidRDefault="00777B93" w:rsidP="00777B93">
      <w:pPr>
        <w:jc w:val="both"/>
        <w:rPr>
          <w:rFonts w:ascii="Georgia" w:hAnsi="Georgia" w:cs="Calibri"/>
          <w:b/>
          <w:color w:val="404040" w:themeColor="text1" w:themeTint="BF"/>
          <w:sz w:val="20"/>
        </w:rPr>
      </w:pPr>
      <w:r w:rsidRPr="00430E02">
        <w:rPr>
          <w:rFonts w:ascii="Georgia" w:hAnsi="Georgia" w:cs="Calibri"/>
          <w:b/>
          <w:color w:val="404040" w:themeColor="text1" w:themeTint="BF"/>
          <w:sz w:val="20"/>
        </w:rPr>
        <w:t>Paul Le Page</w:t>
      </w:r>
    </w:p>
    <w:p w14:paraId="3BB678C3" w14:textId="77777777" w:rsidR="00777B93" w:rsidRPr="009B404E" w:rsidRDefault="00777B93" w:rsidP="00777B93">
      <w:pPr>
        <w:pStyle w:val="body"/>
      </w:pPr>
      <w:r w:rsidRPr="009B404E">
        <w:t>Chairman of the Audit Committee</w:t>
      </w:r>
    </w:p>
    <w:p w14:paraId="6243B491" w14:textId="03992DEF" w:rsidR="004774FC" w:rsidRDefault="00851867" w:rsidP="00777B93">
      <w:pPr>
        <w:pStyle w:val="body"/>
      </w:pPr>
      <w:r w:rsidRPr="00851867">
        <w:t>21</w:t>
      </w:r>
      <w:r w:rsidR="00CF2D86" w:rsidRPr="00851867">
        <w:t xml:space="preserve"> </w:t>
      </w:r>
      <w:r w:rsidR="004C4EA4" w:rsidRPr="00851867">
        <w:t>Septem</w:t>
      </w:r>
      <w:r w:rsidR="00CF2D86" w:rsidRPr="00851867">
        <w:t>ber</w:t>
      </w:r>
      <w:r w:rsidR="00777B93" w:rsidRPr="00851867">
        <w:t xml:space="preserve"> </w:t>
      </w:r>
      <w:r w:rsidR="00904E51" w:rsidRPr="00851867">
        <w:t>2020</w:t>
      </w:r>
    </w:p>
    <w:p w14:paraId="72683D92" w14:textId="77777777" w:rsidR="00A734EC" w:rsidRDefault="00A734EC" w:rsidP="00777B93">
      <w:pPr>
        <w:pStyle w:val="body"/>
      </w:pPr>
    </w:p>
    <w:p w14:paraId="5A7315CF" w14:textId="77777777" w:rsidR="00777B93" w:rsidRPr="009B404E" w:rsidRDefault="00777B93" w:rsidP="00777B93">
      <w:pPr>
        <w:pStyle w:val="body"/>
      </w:pPr>
    </w:p>
    <w:p w14:paraId="0C189F10" w14:textId="77777777" w:rsidR="00284FDE" w:rsidRDefault="00284FDE">
      <w:bookmarkStart w:id="44" w:name="_Toc254209587"/>
      <w:r>
        <w:br w:type="page"/>
      </w:r>
    </w:p>
    <w:p w14:paraId="279ADBC4" w14:textId="77777777" w:rsidR="00C45343" w:rsidRPr="00F567C5" w:rsidRDefault="000F51FA" w:rsidP="00E85EF6">
      <w:pPr>
        <w:pStyle w:val="Heading2"/>
        <w:spacing w:before="0"/>
        <w:rPr>
          <w:color w:val="404040" w:themeColor="text1" w:themeTint="BF"/>
        </w:rPr>
      </w:pPr>
      <w:r w:rsidRPr="00F567C5">
        <w:rPr>
          <w:color w:val="404040" w:themeColor="text1" w:themeTint="BF"/>
        </w:rPr>
        <w:lastRenderedPageBreak/>
        <w:t xml:space="preserve">Independent Auditor’s Report </w:t>
      </w:r>
      <w:bookmarkEnd w:id="44"/>
    </w:p>
    <w:p w14:paraId="67E2AF1C" w14:textId="77777777" w:rsidR="00A7744F" w:rsidRPr="00F567C5" w:rsidRDefault="00A7744F" w:rsidP="008E60B7">
      <w:pPr>
        <w:spacing w:after="120"/>
        <w:rPr>
          <w:rFonts w:ascii="Arial" w:hAnsi="Arial" w:cs="Arial"/>
          <w:color w:val="FF0000"/>
          <w:sz w:val="22"/>
          <w:szCs w:val="22"/>
          <w:lang w:val="en-US"/>
        </w:rPr>
      </w:pPr>
      <w:r w:rsidRPr="00F567C5">
        <w:rPr>
          <w:rFonts w:ascii="KPMG Extralight" w:eastAsia="Tw Cen MT" w:hAnsi="KPMG Extralight" w:cs="Arial"/>
          <w:bCs/>
          <w:color w:val="073763"/>
          <w:sz w:val="22"/>
          <w:szCs w:val="22"/>
          <w:lang w:val="en-US"/>
        </w:rPr>
        <w:t>I</w:t>
      </w:r>
      <w:r w:rsidRPr="00F567C5">
        <w:rPr>
          <w:rFonts w:ascii="KPMG Extralight" w:eastAsia="Tw Cen MT" w:hAnsi="KPMG Extralight" w:cs="Arial"/>
          <w:bCs/>
          <w:color w:val="073763"/>
          <w:lang w:val="en-US"/>
        </w:rPr>
        <w:t>ndependent Auditor’s Report to the Members of Bluefield Solar Income Fund Limited</w:t>
      </w:r>
    </w:p>
    <w:p w14:paraId="7E64A5C0" w14:textId="77777777" w:rsidR="00A7744F" w:rsidRPr="00F567C5" w:rsidRDefault="00A7744F" w:rsidP="00A7744F">
      <w:pPr>
        <w:autoSpaceDE w:val="0"/>
        <w:autoSpaceDN w:val="0"/>
        <w:adjustRightInd w:val="0"/>
        <w:jc w:val="both"/>
        <w:rPr>
          <w:rFonts w:ascii="Univers 45 Light" w:eastAsia="Tw Cen MT" w:hAnsi="Univers 45 Light" w:cs="Arial"/>
          <w:lang w:val="en-US"/>
        </w:rPr>
      </w:pPr>
    </w:p>
    <w:p w14:paraId="608D5229" w14:textId="77777777" w:rsidR="0015510D" w:rsidRPr="00F567C5" w:rsidRDefault="0015510D" w:rsidP="0015510D">
      <w:pPr>
        <w:autoSpaceDE w:val="0"/>
        <w:autoSpaceDN w:val="0"/>
        <w:adjustRightInd w:val="0"/>
        <w:jc w:val="both"/>
        <w:rPr>
          <w:rFonts w:ascii="Arial" w:hAnsi="Arial" w:cs="Arial"/>
          <w:i/>
          <w:iCs/>
          <w:color w:val="244061" w:themeColor="accent1" w:themeShade="80"/>
          <w:sz w:val="22"/>
          <w:szCs w:val="20"/>
        </w:rPr>
      </w:pPr>
      <w:r w:rsidRPr="00F567C5">
        <w:rPr>
          <w:rFonts w:ascii="Arial" w:hAnsi="Arial" w:cs="Arial"/>
          <w:i/>
          <w:iCs/>
          <w:color w:val="244061" w:themeColor="accent1" w:themeShade="80"/>
          <w:sz w:val="22"/>
          <w:szCs w:val="20"/>
        </w:rPr>
        <w:t>Our opinion is unmodified</w:t>
      </w:r>
    </w:p>
    <w:p w14:paraId="1885B05D" w14:textId="2B2E9C1A" w:rsidR="0015510D" w:rsidRPr="00F567C5" w:rsidRDefault="0015510D" w:rsidP="0015510D">
      <w:pPr>
        <w:pStyle w:val="KAMKNormal"/>
        <w:spacing w:before="130" w:after="130"/>
        <w:jc w:val="both"/>
        <w:rPr>
          <w:rFonts w:ascii="Arial" w:eastAsiaTheme="minorHAnsi" w:hAnsi="Arial" w:cs="Arial"/>
          <w:color w:val="auto"/>
          <w:sz w:val="20"/>
          <w:szCs w:val="20"/>
        </w:rPr>
      </w:pPr>
      <w:r w:rsidRPr="00F567C5">
        <w:rPr>
          <w:rFonts w:ascii="Arial" w:eastAsiaTheme="minorHAnsi" w:hAnsi="Arial" w:cs="Arial"/>
          <w:color w:val="auto"/>
          <w:sz w:val="20"/>
          <w:szCs w:val="20"/>
        </w:rPr>
        <w:t>We have au</w:t>
      </w:r>
      <w:r w:rsidR="00A812B2">
        <w:rPr>
          <w:rFonts w:ascii="Arial" w:eastAsiaTheme="minorHAnsi" w:hAnsi="Arial" w:cs="Arial"/>
          <w:color w:val="auto"/>
          <w:sz w:val="20"/>
          <w:szCs w:val="20"/>
        </w:rPr>
        <w:t xml:space="preserve">dited the financial statements </w:t>
      </w:r>
      <w:r w:rsidRPr="00F567C5">
        <w:rPr>
          <w:rFonts w:ascii="Arial" w:eastAsiaTheme="minorHAnsi" w:hAnsi="Arial" w:cs="Arial"/>
          <w:color w:val="auto"/>
          <w:sz w:val="20"/>
          <w:szCs w:val="20"/>
        </w:rPr>
        <w:t xml:space="preserve">of Bluefield Solar Income Fund Limited (the “Company”), which comprise the statement of financial position as at 30 June </w:t>
      </w:r>
      <w:r w:rsidR="00904E51" w:rsidRPr="00F567C5">
        <w:rPr>
          <w:rFonts w:ascii="Arial" w:eastAsiaTheme="minorHAnsi" w:hAnsi="Arial" w:cs="Arial"/>
          <w:color w:val="auto"/>
          <w:sz w:val="20"/>
          <w:szCs w:val="20"/>
        </w:rPr>
        <w:t>2020</w:t>
      </w:r>
      <w:r w:rsidRPr="00F567C5">
        <w:rPr>
          <w:rFonts w:ascii="Arial" w:eastAsiaTheme="minorHAnsi" w:hAnsi="Arial" w:cs="Arial"/>
          <w:color w:val="auto"/>
          <w:sz w:val="20"/>
          <w:szCs w:val="20"/>
        </w:rPr>
        <w:t xml:space="preserve">, the statements of comprehensive income, changes in equity and cash flows for the year then ended and notes, comprising significant accounting policies and other explanatory information. </w:t>
      </w:r>
    </w:p>
    <w:p w14:paraId="5BCBADC9" w14:textId="77777777" w:rsidR="0015510D" w:rsidRPr="00F567C5" w:rsidRDefault="0015510D" w:rsidP="0015510D">
      <w:pPr>
        <w:autoSpaceDE w:val="0"/>
        <w:autoSpaceDN w:val="0"/>
        <w:adjustRightInd w:val="0"/>
        <w:jc w:val="both"/>
        <w:rPr>
          <w:rFonts w:ascii="Arial" w:hAnsi="Arial" w:cs="Arial"/>
          <w:color w:val="244061" w:themeColor="accent1" w:themeShade="80"/>
          <w:sz w:val="22"/>
          <w:szCs w:val="20"/>
        </w:rPr>
      </w:pPr>
      <w:r w:rsidRPr="00F567C5">
        <w:rPr>
          <w:rFonts w:ascii="Arial" w:hAnsi="Arial" w:cs="Arial"/>
          <w:color w:val="244061" w:themeColor="accent1" w:themeShade="80"/>
          <w:sz w:val="22"/>
          <w:szCs w:val="20"/>
        </w:rPr>
        <w:t>In our opinion, the accompanying financial statements:</w:t>
      </w:r>
    </w:p>
    <w:p w14:paraId="2FD6D53B" w14:textId="02047998" w:rsidR="0015510D" w:rsidRPr="00F567C5" w:rsidRDefault="0015510D" w:rsidP="000916C2">
      <w:pPr>
        <w:pStyle w:val="KAMKNormal"/>
        <w:numPr>
          <w:ilvl w:val="0"/>
          <w:numId w:val="21"/>
        </w:numPr>
        <w:spacing w:before="130" w:after="130"/>
        <w:jc w:val="both"/>
        <w:rPr>
          <w:rFonts w:ascii="Arial" w:hAnsi="Arial" w:cs="Arial"/>
          <w:sz w:val="20"/>
          <w:szCs w:val="20"/>
        </w:rPr>
      </w:pPr>
      <w:r w:rsidRPr="00F567C5">
        <w:rPr>
          <w:rFonts w:ascii="Arial" w:hAnsi="Arial" w:cs="Arial"/>
          <w:sz w:val="20"/>
          <w:szCs w:val="20"/>
        </w:rPr>
        <w:t xml:space="preserve">give a true and fair view of the financial position of the Company as at 30 June </w:t>
      </w:r>
      <w:r w:rsidR="00904E51" w:rsidRPr="00F567C5">
        <w:rPr>
          <w:rFonts w:ascii="Arial" w:hAnsi="Arial" w:cs="Arial"/>
          <w:sz w:val="20"/>
          <w:szCs w:val="20"/>
        </w:rPr>
        <w:t>2020</w:t>
      </w:r>
      <w:r w:rsidRPr="00F567C5">
        <w:rPr>
          <w:rFonts w:ascii="Arial" w:hAnsi="Arial" w:cs="Arial"/>
          <w:sz w:val="20"/>
          <w:szCs w:val="20"/>
        </w:rPr>
        <w:t xml:space="preserve">, and of the Company’s financial performance and the cash flows for the year then ended; </w:t>
      </w:r>
    </w:p>
    <w:p w14:paraId="5FBF10C6" w14:textId="710A9E0F" w:rsidR="0015510D" w:rsidRPr="00F567C5" w:rsidRDefault="0015510D" w:rsidP="000916C2">
      <w:pPr>
        <w:pStyle w:val="KAMKNormal"/>
        <w:numPr>
          <w:ilvl w:val="0"/>
          <w:numId w:val="21"/>
        </w:numPr>
        <w:spacing w:before="130" w:after="130"/>
        <w:jc w:val="both"/>
        <w:rPr>
          <w:rFonts w:ascii="Arial" w:hAnsi="Arial" w:cs="Arial"/>
          <w:sz w:val="20"/>
          <w:szCs w:val="20"/>
        </w:rPr>
      </w:pPr>
      <w:r w:rsidRPr="00F567C5">
        <w:rPr>
          <w:rFonts w:ascii="Arial" w:hAnsi="Arial" w:cs="Arial"/>
          <w:sz w:val="20"/>
          <w:szCs w:val="20"/>
        </w:rPr>
        <w:t>are prepared in accordance with Internationa</w:t>
      </w:r>
      <w:r w:rsidR="00210427">
        <w:rPr>
          <w:rFonts w:ascii="Arial" w:hAnsi="Arial" w:cs="Arial"/>
          <w:sz w:val="20"/>
          <w:szCs w:val="20"/>
        </w:rPr>
        <w:t xml:space="preserve">l Financial Reporting Standards </w:t>
      </w:r>
      <w:r w:rsidRPr="00F567C5">
        <w:rPr>
          <w:rFonts w:ascii="Arial" w:hAnsi="Arial" w:cs="Arial"/>
          <w:sz w:val="20"/>
          <w:szCs w:val="20"/>
        </w:rPr>
        <w:t>as adopted by the EU; and</w:t>
      </w:r>
    </w:p>
    <w:p w14:paraId="3FF35BB0" w14:textId="77777777" w:rsidR="0015510D" w:rsidRPr="00F567C5" w:rsidRDefault="0015510D" w:rsidP="000916C2">
      <w:pPr>
        <w:pStyle w:val="KAMKNormal"/>
        <w:numPr>
          <w:ilvl w:val="0"/>
          <w:numId w:val="21"/>
        </w:numPr>
        <w:spacing w:before="130" w:after="130"/>
        <w:jc w:val="both"/>
        <w:rPr>
          <w:rFonts w:ascii="Arial" w:hAnsi="Arial" w:cs="Arial"/>
          <w:sz w:val="20"/>
          <w:szCs w:val="20"/>
        </w:rPr>
      </w:pPr>
      <w:r w:rsidRPr="00F567C5">
        <w:rPr>
          <w:rFonts w:ascii="Arial" w:hAnsi="Arial" w:cs="Arial"/>
          <w:sz w:val="20"/>
          <w:szCs w:val="20"/>
        </w:rPr>
        <w:t>comply with the Companies (Guernsey) Law, 2008.</w:t>
      </w:r>
    </w:p>
    <w:p w14:paraId="76114E05" w14:textId="77777777" w:rsidR="0015510D" w:rsidRPr="00497407" w:rsidRDefault="0015510D" w:rsidP="0015510D">
      <w:pPr>
        <w:pStyle w:val="KAMKNormal"/>
        <w:spacing w:before="130" w:after="130"/>
        <w:jc w:val="both"/>
        <w:rPr>
          <w:rFonts w:ascii="Arial" w:hAnsi="Arial" w:cs="Arial"/>
          <w:b/>
          <w:bCs/>
          <w:i/>
          <w:iCs/>
          <w:sz w:val="20"/>
          <w:szCs w:val="20"/>
          <w:highlight w:val="yellow"/>
        </w:rPr>
      </w:pPr>
    </w:p>
    <w:p w14:paraId="10EB02EA" w14:textId="77777777" w:rsidR="0015510D" w:rsidRPr="00F567C5" w:rsidRDefault="0015510D" w:rsidP="0015510D">
      <w:pPr>
        <w:autoSpaceDE w:val="0"/>
        <w:autoSpaceDN w:val="0"/>
        <w:adjustRightInd w:val="0"/>
        <w:jc w:val="both"/>
        <w:rPr>
          <w:rFonts w:ascii="Arial" w:hAnsi="Arial" w:cs="Arial"/>
          <w:i/>
          <w:iCs/>
          <w:color w:val="244061" w:themeColor="accent1" w:themeShade="80"/>
          <w:sz w:val="22"/>
          <w:szCs w:val="20"/>
        </w:rPr>
      </w:pPr>
      <w:r w:rsidRPr="00F567C5">
        <w:rPr>
          <w:rFonts w:ascii="Arial" w:hAnsi="Arial" w:cs="Arial"/>
          <w:i/>
          <w:iCs/>
          <w:color w:val="244061" w:themeColor="accent1" w:themeShade="80"/>
          <w:sz w:val="22"/>
          <w:szCs w:val="20"/>
        </w:rPr>
        <w:t>Basis for Opinion</w:t>
      </w:r>
    </w:p>
    <w:p w14:paraId="22DB9078" w14:textId="77777777" w:rsidR="0015510D" w:rsidRPr="00497407" w:rsidRDefault="0015510D" w:rsidP="0015510D">
      <w:pPr>
        <w:autoSpaceDE w:val="0"/>
        <w:autoSpaceDN w:val="0"/>
        <w:adjustRightInd w:val="0"/>
        <w:jc w:val="both"/>
        <w:rPr>
          <w:rFonts w:ascii="Arial" w:hAnsi="Arial" w:cs="Arial"/>
          <w:i/>
          <w:iCs/>
          <w:color w:val="244061" w:themeColor="accent1" w:themeShade="80"/>
          <w:sz w:val="20"/>
          <w:szCs w:val="20"/>
          <w:highlight w:val="yellow"/>
        </w:rPr>
      </w:pPr>
    </w:p>
    <w:p w14:paraId="6D13ADFD" w14:textId="1469CA5F" w:rsidR="0015510D" w:rsidRDefault="00F567C5" w:rsidP="0015510D">
      <w:pPr>
        <w:autoSpaceDE w:val="0"/>
        <w:autoSpaceDN w:val="0"/>
        <w:adjustRightInd w:val="0"/>
        <w:jc w:val="both"/>
        <w:rPr>
          <w:rFonts w:ascii="Arial" w:hAnsi="Arial" w:cs="Arial"/>
          <w:sz w:val="20"/>
          <w:szCs w:val="20"/>
        </w:rPr>
      </w:pPr>
      <w:r w:rsidRPr="00F567C5">
        <w:rPr>
          <w:rFonts w:ascii="Arial" w:hAnsi="Arial" w:cs="Arial"/>
          <w:sz w:val="20"/>
          <w:szCs w:val="20"/>
        </w:rPr>
        <w:t>We conducted our audit in accordance with International Standards on Auditing (UK) (“ISAs (UK)”) and applicable law. Our responsibilities are described below. We have fulfilled our ethical responsibilities under, and are independent of the Company in accordance with, UK ethical requirements including FRC Ethical Standards, as applied to listed entities. We believe that the audit evidence we have obtained is a sufficient and appropriate basis for our opinion</w:t>
      </w:r>
      <w:r w:rsidR="009E24AE">
        <w:rPr>
          <w:rFonts w:ascii="Arial" w:hAnsi="Arial" w:cs="Arial"/>
          <w:sz w:val="20"/>
          <w:szCs w:val="20"/>
        </w:rPr>
        <w:t>.</w:t>
      </w:r>
    </w:p>
    <w:p w14:paraId="7E64A4DD" w14:textId="77777777" w:rsidR="00F567C5" w:rsidRPr="00497407" w:rsidRDefault="00F567C5" w:rsidP="0015510D">
      <w:pPr>
        <w:autoSpaceDE w:val="0"/>
        <w:autoSpaceDN w:val="0"/>
        <w:adjustRightInd w:val="0"/>
        <w:jc w:val="both"/>
        <w:rPr>
          <w:rFonts w:ascii="Arial" w:hAnsi="Arial" w:cs="Arial"/>
          <w:i/>
          <w:iCs/>
          <w:color w:val="244061" w:themeColor="accent1" w:themeShade="80"/>
          <w:sz w:val="20"/>
          <w:szCs w:val="20"/>
          <w:highlight w:val="yellow"/>
        </w:rPr>
      </w:pPr>
    </w:p>
    <w:p w14:paraId="2706C4B0" w14:textId="77777777" w:rsidR="0015510D" w:rsidRPr="00F567C5" w:rsidRDefault="0015510D" w:rsidP="0015510D">
      <w:pPr>
        <w:autoSpaceDE w:val="0"/>
        <w:autoSpaceDN w:val="0"/>
        <w:adjustRightInd w:val="0"/>
        <w:jc w:val="both"/>
        <w:rPr>
          <w:rFonts w:ascii="Arial" w:hAnsi="Arial" w:cs="Arial"/>
          <w:i/>
          <w:iCs/>
          <w:color w:val="244061" w:themeColor="accent1" w:themeShade="80"/>
          <w:sz w:val="22"/>
          <w:szCs w:val="20"/>
        </w:rPr>
      </w:pPr>
      <w:r w:rsidRPr="00F567C5">
        <w:rPr>
          <w:rFonts w:ascii="Arial" w:hAnsi="Arial" w:cs="Arial"/>
          <w:i/>
          <w:iCs/>
          <w:color w:val="244061" w:themeColor="accent1" w:themeShade="80"/>
          <w:sz w:val="22"/>
          <w:szCs w:val="20"/>
        </w:rPr>
        <w:t>Key Audit Matters: our assessment of the risks of material misstatement</w:t>
      </w:r>
    </w:p>
    <w:p w14:paraId="49B45E7E" w14:textId="77777777" w:rsidR="0015510D" w:rsidRPr="00F567C5" w:rsidRDefault="0015510D" w:rsidP="0015510D">
      <w:pPr>
        <w:autoSpaceDE w:val="0"/>
        <w:autoSpaceDN w:val="0"/>
        <w:adjustRightInd w:val="0"/>
        <w:jc w:val="both"/>
        <w:rPr>
          <w:rFonts w:ascii="Arial" w:hAnsi="Arial" w:cs="Arial"/>
          <w:i/>
          <w:iCs/>
          <w:color w:val="244061" w:themeColor="accent1" w:themeShade="80"/>
          <w:sz w:val="20"/>
          <w:szCs w:val="20"/>
        </w:rPr>
      </w:pPr>
    </w:p>
    <w:p w14:paraId="2799D759" w14:textId="545BCA85" w:rsidR="0015510D" w:rsidRPr="00F567C5" w:rsidRDefault="0015510D" w:rsidP="0015510D">
      <w:pPr>
        <w:pStyle w:val="Heading3"/>
        <w:spacing w:before="130" w:after="130"/>
        <w:ind w:left="1" w:right="113"/>
        <w:jc w:val="both"/>
        <w:rPr>
          <w:rFonts w:ascii="Arial" w:eastAsiaTheme="minorHAnsi" w:hAnsi="Arial" w:cs="Arial"/>
          <w:b w:val="0"/>
          <w:sz w:val="20"/>
          <w:szCs w:val="20"/>
          <w:lang w:val="en-US"/>
        </w:rPr>
      </w:pPr>
      <w:r w:rsidRPr="00F567C5">
        <w:rPr>
          <w:rFonts w:ascii="Arial" w:eastAsiaTheme="minorHAnsi" w:hAnsi="Arial" w:cs="Arial"/>
          <w:b w:val="0"/>
          <w:sz w:val="20"/>
          <w:szCs w:val="20"/>
          <w:lang w:val="en-US"/>
        </w:rPr>
        <w:t>Key audit matters are those matters that, in our professional judgment, were of most si</w:t>
      </w:r>
      <w:r w:rsidR="00210427">
        <w:rPr>
          <w:rFonts w:ascii="Arial" w:eastAsiaTheme="minorHAnsi" w:hAnsi="Arial" w:cs="Arial"/>
          <w:b w:val="0"/>
          <w:sz w:val="20"/>
          <w:szCs w:val="20"/>
          <w:lang w:val="en-US"/>
        </w:rPr>
        <w:t>gnificance in the audit of the financial s</w:t>
      </w:r>
      <w:r w:rsidRPr="00F567C5">
        <w:rPr>
          <w:rFonts w:ascii="Arial" w:eastAsiaTheme="minorHAnsi" w:hAnsi="Arial" w:cs="Arial"/>
          <w:b w:val="0"/>
          <w:sz w:val="20"/>
          <w:szCs w:val="20"/>
          <w:lang w:val="en-US"/>
        </w:rPr>
        <w:t>tatements and include the most significant assessed risks of material misstatement (whether or not due to fraud) identified by us, including those which had the greatest effect on: the overall audit strategy; the allocation of resources in the audit; and directing the efforts of the engagement team.  These matters were addressed in t</w:t>
      </w:r>
      <w:r w:rsidR="00210427">
        <w:rPr>
          <w:rFonts w:ascii="Arial" w:eastAsiaTheme="minorHAnsi" w:hAnsi="Arial" w:cs="Arial"/>
          <w:b w:val="0"/>
          <w:sz w:val="20"/>
          <w:szCs w:val="20"/>
          <w:lang w:val="en-US"/>
        </w:rPr>
        <w:t>he context of our audit of the financial s</w:t>
      </w:r>
      <w:r w:rsidRPr="00F567C5">
        <w:rPr>
          <w:rFonts w:ascii="Arial" w:eastAsiaTheme="minorHAnsi" w:hAnsi="Arial" w:cs="Arial"/>
          <w:b w:val="0"/>
          <w:sz w:val="20"/>
          <w:szCs w:val="20"/>
          <w:lang w:val="en-US"/>
        </w:rPr>
        <w:t xml:space="preserve">tatements as a whole, and in forming our opinion thereon, and we do not provide a separate opinion on these matters.  In arriving at our audit opinion above, the key audit matter was as follows (unchanged from </w:t>
      </w:r>
      <w:r w:rsidR="00904E51" w:rsidRPr="00F567C5">
        <w:rPr>
          <w:rFonts w:ascii="Arial" w:eastAsiaTheme="minorHAnsi" w:hAnsi="Arial" w:cs="Arial"/>
          <w:b w:val="0"/>
          <w:sz w:val="20"/>
          <w:szCs w:val="20"/>
          <w:lang w:val="en-US"/>
        </w:rPr>
        <w:t>2019</w:t>
      </w:r>
      <w:r w:rsidRPr="00F567C5">
        <w:rPr>
          <w:rFonts w:ascii="Arial" w:eastAsiaTheme="minorHAnsi" w:hAnsi="Arial" w:cs="Arial"/>
          <w:b w:val="0"/>
          <w:sz w:val="20"/>
          <w:szCs w:val="20"/>
          <w:lang w:val="en-US"/>
        </w:rPr>
        <w:t>):</w:t>
      </w:r>
    </w:p>
    <w:p w14:paraId="2AEA3574" w14:textId="77777777" w:rsidR="00101779" w:rsidRPr="00497407" w:rsidRDefault="00101779"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76116DFE" w14:textId="77777777" w:rsidR="00101779" w:rsidRPr="00497407" w:rsidRDefault="00101779"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15B594B9" w14:textId="77777777" w:rsidR="00101779" w:rsidRPr="00497407" w:rsidRDefault="00101779"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07263BE1" w14:textId="77777777" w:rsidR="00101779" w:rsidRPr="00497407" w:rsidRDefault="00101779"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4A477BA9"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335FD365"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7E3D8ABA"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19FFF4E3"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0B6270ED"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5A92DA03"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067AE767" w14:textId="77777777" w:rsidR="00157574" w:rsidRPr="00497407" w:rsidRDefault="00157574"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340BFFBC" w14:textId="77777777" w:rsidR="00157574" w:rsidRPr="00497407" w:rsidRDefault="00157574"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4EC27B7B" w14:textId="77777777" w:rsidR="008E60B7" w:rsidRPr="00497407" w:rsidRDefault="008E60B7" w:rsidP="00101779">
      <w:pPr>
        <w:overflowPunct w:val="0"/>
        <w:autoSpaceDE w:val="0"/>
        <w:autoSpaceDN w:val="0"/>
        <w:adjustRightInd w:val="0"/>
        <w:spacing w:before="130" w:after="130"/>
        <w:ind w:left="1" w:right="113"/>
        <w:jc w:val="both"/>
        <w:textAlignment w:val="baseline"/>
        <w:outlineLvl w:val="2"/>
        <w:rPr>
          <w:rFonts w:ascii="Arial" w:eastAsia="Tw Cen MT" w:hAnsi="Arial" w:cs="Arial"/>
          <w:sz w:val="18"/>
          <w:szCs w:val="18"/>
          <w:highlight w:val="yellow"/>
          <w:lang w:val="en-US"/>
        </w:rPr>
      </w:pPr>
    </w:p>
    <w:p w14:paraId="76FDE3AB" w14:textId="300F432D" w:rsidR="00190F52" w:rsidRPr="00A25569" w:rsidRDefault="00E10F74" w:rsidP="00E10F74">
      <w:pPr>
        <w:pStyle w:val="Heading2"/>
        <w:spacing w:before="0"/>
        <w:rPr>
          <w:color w:val="404040" w:themeColor="text1" w:themeTint="BF"/>
        </w:rPr>
      </w:pPr>
      <w:r w:rsidRPr="00A25569">
        <w:rPr>
          <w:color w:val="404040" w:themeColor="text1" w:themeTint="BF"/>
        </w:rPr>
        <w:lastRenderedPageBreak/>
        <w:t>Independent Auditor’s Report (continued)</w:t>
      </w:r>
    </w:p>
    <w:tbl>
      <w:tblPr>
        <w:tblW w:w="9360" w:type="dxa"/>
        <w:tblBorders>
          <w:top w:val="single" w:sz="6" w:space="0" w:color="4F81BD" w:themeColor="accent1"/>
          <w:bottom w:val="single" w:sz="6" w:space="0" w:color="4F81BD" w:themeColor="accent1"/>
          <w:insideH w:val="single" w:sz="6" w:space="0" w:color="4F81BD" w:themeColor="accent1"/>
        </w:tblBorders>
        <w:tblLook w:val="04A0" w:firstRow="1" w:lastRow="0" w:firstColumn="1" w:lastColumn="0" w:noHBand="0" w:noVBand="1"/>
      </w:tblPr>
      <w:tblGrid>
        <w:gridCol w:w="3119"/>
        <w:gridCol w:w="2835"/>
        <w:gridCol w:w="3406"/>
      </w:tblGrid>
      <w:tr w:rsidR="00A25569" w:rsidRPr="00497407" w14:paraId="0F92E56F" w14:textId="77777777" w:rsidTr="00A25569">
        <w:trPr>
          <w:cantSplit/>
          <w:trHeight w:val="556"/>
          <w:tblHeader/>
        </w:trPr>
        <w:tc>
          <w:tcPr>
            <w:tcW w:w="3119" w:type="dxa"/>
            <w:shd w:val="clear" w:color="auto" w:fill="0066CC"/>
          </w:tcPr>
          <w:p w14:paraId="65F7E4AD" w14:textId="1710111A" w:rsidR="00A25569" w:rsidRPr="008C0A0F" w:rsidRDefault="00A25569" w:rsidP="00A25569">
            <w:pPr>
              <w:autoSpaceDE w:val="0"/>
              <w:autoSpaceDN w:val="0"/>
              <w:adjustRightInd w:val="0"/>
              <w:rPr>
                <w:rFonts w:ascii="Arial" w:hAnsi="Arial" w:cs="Arial"/>
                <w:i/>
                <w:iCs/>
                <w:color w:val="FFFFFF" w:themeColor="background1"/>
                <w:sz w:val="16"/>
              </w:rPr>
            </w:pPr>
            <w:r w:rsidRPr="008C0A0F">
              <w:rPr>
                <w:rFonts w:ascii="Arial" w:hAnsi="Arial" w:cs="Arial"/>
                <w:i/>
                <w:iCs/>
                <w:color w:val="FFFFFF" w:themeColor="background1"/>
                <w:sz w:val="16"/>
              </w:rPr>
              <w:t>Valuation of financial assets held at fair value through profit or loss</w:t>
            </w:r>
          </w:p>
        </w:tc>
        <w:tc>
          <w:tcPr>
            <w:tcW w:w="2835" w:type="dxa"/>
            <w:shd w:val="clear" w:color="auto" w:fill="0066CC"/>
            <w:vAlign w:val="center"/>
          </w:tcPr>
          <w:p w14:paraId="28B00E7F" w14:textId="229C6C6A" w:rsidR="00A25569" w:rsidRPr="008C0A0F" w:rsidRDefault="00A25569" w:rsidP="00921098">
            <w:pPr>
              <w:autoSpaceDE w:val="0"/>
              <w:autoSpaceDN w:val="0"/>
              <w:adjustRightInd w:val="0"/>
              <w:jc w:val="center"/>
              <w:rPr>
                <w:rFonts w:ascii="Arial" w:hAnsi="Arial" w:cs="Arial"/>
                <w:i/>
                <w:iCs/>
                <w:color w:val="FFFFFF" w:themeColor="background1"/>
                <w:sz w:val="16"/>
              </w:rPr>
            </w:pPr>
            <w:r w:rsidRPr="008C0A0F">
              <w:rPr>
                <w:rFonts w:ascii="Arial" w:hAnsi="Arial" w:cs="Arial"/>
                <w:i/>
                <w:iCs/>
                <w:color w:val="FFFFFF" w:themeColor="background1"/>
                <w:sz w:val="16"/>
              </w:rPr>
              <w:t>The risk</w:t>
            </w:r>
          </w:p>
        </w:tc>
        <w:tc>
          <w:tcPr>
            <w:tcW w:w="3406" w:type="dxa"/>
            <w:shd w:val="clear" w:color="auto" w:fill="0066CC"/>
            <w:vAlign w:val="center"/>
          </w:tcPr>
          <w:p w14:paraId="0528F6DB" w14:textId="77777777" w:rsidR="00A25569" w:rsidRPr="008C0A0F" w:rsidRDefault="00A25569" w:rsidP="00921098">
            <w:pPr>
              <w:autoSpaceDE w:val="0"/>
              <w:autoSpaceDN w:val="0"/>
              <w:adjustRightInd w:val="0"/>
              <w:jc w:val="center"/>
              <w:rPr>
                <w:rFonts w:ascii="Arial" w:hAnsi="Arial" w:cs="Arial"/>
                <w:i/>
                <w:iCs/>
                <w:color w:val="FFFFFF" w:themeColor="background1"/>
                <w:sz w:val="16"/>
              </w:rPr>
            </w:pPr>
            <w:r w:rsidRPr="008C0A0F">
              <w:rPr>
                <w:rFonts w:ascii="Arial" w:hAnsi="Arial" w:cs="Arial"/>
                <w:i/>
                <w:iCs/>
                <w:color w:val="FFFFFF" w:themeColor="background1"/>
                <w:sz w:val="16"/>
              </w:rPr>
              <w:t>Our response</w:t>
            </w:r>
          </w:p>
        </w:tc>
      </w:tr>
      <w:tr w:rsidR="00A25569" w:rsidRPr="00497407" w14:paraId="74E0C4F2" w14:textId="77777777" w:rsidTr="00A25569">
        <w:trPr>
          <w:cantSplit/>
          <w:trHeight w:val="12504"/>
        </w:trPr>
        <w:tc>
          <w:tcPr>
            <w:tcW w:w="3119" w:type="dxa"/>
          </w:tcPr>
          <w:p w14:paraId="4B080DBA" w14:textId="77777777" w:rsidR="00A25569" w:rsidRPr="008C0A0F" w:rsidRDefault="00A25569" w:rsidP="00A25569">
            <w:pPr>
              <w:autoSpaceDE w:val="0"/>
              <w:autoSpaceDN w:val="0"/>
              <w:adjustRightInd w:val="0"/>
              <w:jc w:val="both"/>
              <w:rPr>
                <w:rFonts w:ascii="Arial" w:hAnsi="Arial" w:cs="Arial"/>
                <w:i/>
                <w:iCs/>
                <w:sz w:val="16"/>
                <w:szCs w:val="18"/>
                <w:highlight w:val="yellow"/>
              </w:rPr>
            </w:pPr>
          </w:p>
          <w:p w14:paraId="0A625406" w14:textId="564048BE" w:rsidR="00A25569" w:rsidRPr="008C0A0F" w:rsidRDefault="00A25569" w:rsidP="00A25569">
            <w:pPr>
              <w:pStyle w:val="clmsnormaltable-borderedstyles-46b4289e-0109-58fc-3470-e3c8dc13e2b4"/>
              <w:rPr>
                <w:sz w:val="16"/>
              </w:rPr>
            </w:pPr>
            <w:r w:rsidRPr="008C0A0F">
              <w:rPr>
                <w:sz w:val="16"/>
              </w:rPr>
              <w:t>£432,426,000; (2019: £435,736,000)</w:t>
            </w:r>
          </w:p>
          <w:p w14:paraId="793E20E0" w14:textId="6F9020B2" w:rsidR="00A25569" w:rsidRPr="008C0A0F" w:rsidRDefault="00A25569" w:rsidP="00A25569">
            <w:pPr>
              <w:pStyle w:val="clmsnormaltable-borderedstyles-46b4289e-0109-58fc-3470-e3c8dc13e2b4"/>
              <w:rPr>
                <w:sz w:val="16"/>
              </w:rPr>
            </w:pPr>
            <w:r w:rsidRPr="008C0A0F">
              <w:rPr>
                <w:sz w:val="16"/>
              </w:rPr>
              <w:t>Refer to the Report of the Audit Committee on pages 90 to 94, note 2 (j) accounting policy and note 8 disclosures.</w:t>
            </w:r>
          </w:p>
          <w:p w14:paraId="6C13AB6A" w14:textId="492C7EC4" w:rsidR="00A25569" w:rsidRPr="008C0A0F" w:rsidRDefault="00A25569" w:rsidP="00A25569">
            <w:pPr>
              <w:autoSpaceDE w:val="0"/>
              <w:autoSpaceDN w:val="0"/>
              <w:adjustRightInd w:val="0"/>
              <w:jc w:val="both"/>
              <w:rPr>
                <w:rFonts w:ascii="Arial" w:hAnsi="Arial" w:cs="Arial"/>
                <w:i/>
                <w:iCs/>
                <w:sz w:val="16"/>
                <w:szCs w:val="18"/>
                <w:highlight w:val="yellow"/>
                <w:lang w:val="en-US"/>
              </w:rPr>
            </w:pPr>
          </w:p>
        </w:tc>
        <w:tc>
          <w:tcPr>
            <w:tcW w:w="2835" w:type="dxa"/>
          </w:tcPr>
          <w:p w14:paraId="11789DCE" w14:textId="720CB1F3" w:rsidR="00A25569" w:rsidRPr="008C0A0F" w:rsidRDefault="00A25569" w:rsidP="00A25569">
            <w:pPr>
              <w:autoSpaceDE w:val="0"/>
              <w:autoSpaceDN w:val="0"/>
              <w:adjustRightInd w:val="0"/>
              <w:jc w:val="both"/>
              <w:rPr>
                <w:rFonts w:ascii="Arial" w:hAnsi="Arial" w:cs="Arial"/>
                <w:i/>
                <w:iCs/>
                <w:sz w:val="16"/>
                <w:szCs w:val="18"/>
                <w:highlight w:val="yellow"/>
              </w:rPr>
            </w:pPr>
          </w:p>
          <w:p w14:paraId="2F10C3B9" w14:textId="150E9259"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Basis:</w:t>
            </w:r>
          </w:p>
          <w:p w14:paraId="31316C5F" w14:textId="1AB7D190" w:rsidR="00A25569" w:rsidRPr="008C0A0F" w:rsidRDefault="00A25569" w:rsidP="00A25569">
            <w:pPr>
              <w:pStyle w:val="clmsnormaltable-borderedstyles-46b4289e-0109-58fc-3470-e3c8dc13e2b4"/>
              <w:rPr>
                <w:sz w:val="16"/>
              </w:rPr>
            </w:pPr>
            <w:r w:rsidRPr="008C0A0F">
              <w:rPr>
                <w:sz w:val="16"/>
              </w:rPr>
              <w:t>The Company’s investment in its immediate subsidiary is carried at fair value through profit or loss and represents a significant proportion of the Company’s net assets (2020: 99.8%; 2019: 99.8%). The fair value of the immediate subsidiary, which reflects its net assets value, predominantly comprises of the fair value (£624,269,000) of underlying special purpose vehicle solar project investments (“SPVs”) and the immediate subsidiary level debt (see note 8).</w:t>
            </w:r>
          </w:p>
          <w:p w14:paraId="50173C05" w14:textId="2F01F5F1" w:rsidR="00A25569" w:rsidRPr="008C0A0F" w:rsidRDefault="00A25569" w:rsidP="00A25569">
            <w:pPr>
              <w:pStyle w:val="clmsnormaltable-borderedstyles-46b4289e-0109-58fc-3470-e3c8dc13e2b4"/>
              <w:rPr>
                <w:sz w:val="16"/>
              </w:rPr>
            </w:pPr>
            <w:r w:rsidRPr="008C0A0F">
              <w:rPr>
                <w:sz w:val="16"/>
              </w:rPr>
              <w:t>The fair value of the SPVs has been determined using the income approach, discounting the future cash flows of underlying solar projects (the “Valuations”), for which there is no liquid market. The Valuations incorporate certain assumptions including discount rate, electricity price forecasts, useful economic life and other macro-economic assumptions.</w:t>
            </w:r>
          </w:p>
          <w:p w14:paraId="26667EE8" w14:textId="77777777" w:rsidR="00A25569" w:rsidRPr="008C0A0F" w:rsidRDefault="00A25569" w:rsidP="00A25569">
            <w:pPr>
              <w:pStyle w:val="clmsnormaltable-borderedstyles-46b4289e-0109-58fc-3470-e3c8dc13e2b4"/>
              <w:rPr>
                <w:sz w:val="16"/>
              </w:rPr>
            </w:pPr>
            <w:r w:rsidRPr="008C0A0F">
              <w:rPr>
                <w:sz w:val="16"/>
              </w:rPr>
              <w:t>In determining the discount rate used in the Valuations, the relevant long term government bond yields, cost of debt, specific asset risk and evidence of recent market transactions are considered.</w:t>
            </w:r>
          </w:p>
          <w:p w14:paraId="451F641F" w14:textId="77777777" w:rsidR="00A25569" w:rsidRPr="008C0A0F" w:rsidRDefault="00A25569" w:rsidP="00A25569">
            <w:pPr>
              <w:pStyle w:val="clmsnormaltable-borderedstyles-46b4289e-0109-58fc-3470-e3c8dc13e2b4"/>
              <w:rPr>
                <w:sz w:val="16"/>
              </w:rPr>
            </w:pPr>
            <w:r w:rsidRPr="008C0A0F">
              <w:rPr>
                <w:sz w:val="16"/>
              </w:rPr>
              <w:t xml:space="preserve">The Valuations are adjusted for other specific assets and liabilities of the SPVs. </w:t>
            </w:r>
          </w:p>
          <w:p w14:paraId="6050CAEF" w14:textId="7944D818"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Risk:</w:t>
            </w:r>
          </w:p>
          <w:p w14:paraId="16860C37" w14:textId="166D2097" w:rsidR="00A25569" w:rsidRPr="008C0A0F" w:rsidRDefault="00A25569" w:rsidP="00A25569">
            <w:pPr>
              <w:pStyle w:val="clmsnormaltable-borderedstyles-46b4289e-0109-58fc-3470-e3c8dc13e2b4"/>
              <w:rPr>
                <w:sz w:val="16"/>
              </w:rPr>
            </w:pPr>
            <w:r w:rsidRPr="008C0A0F">
              <w:rPr>
                <w:sz w:val="16"/>
              </w:rPr>
              <w:t>The Valuations represent both a risk of fraud and error associated with estimating the timing and amounts of long term forecast cash flows alongside the selection and application of appropriate assumptions and the impact COVID-19 has had on those assumptions. Changes to long term forecast cash flows and/or the selection and application of different assumptions may result in a materially different valuation of financial assets held at fair value through profit or loss.</w:t>
            </w:r>
          </w:p>
          <w:p w14:paraId="42B213B8" w14:textId="1938B1FC" w:rsidR="00A25569" w:rsidRPr="008C0A0F" w:rsidRDefault="00A25569" w:rsidP="00A25569">
            <w:pPr>
              <w:autoSpaceDE w:val="0"/>
              <w:autoSpaceDN w:val="0"/>
              <w:adjustRightInd w:val="0"/>
              <w:jc w:val="both"/>
              <w:rPr>
                <w:rFonts w:ascii="Arial" w:hAnsi="Arial" w:cs="Arial"/>
                <w:i/>
                <w:iCs/>
                <w:sz w:val="16"/>
                <w:szCs w:val="18"/>
                <w:highlight w:val="yellow"/>
                <w:lang w:val="en-US"/>
              </w:rPr>
            </w:pPr>
          </w:p>
        </w:tc>
        <w:tc>
          <w:tcPr>
            <w:tcW w:w="3406" w:type="dxa"/>
          </w:tcPr>
          <w:p w14:paraId="21DE696D" w14:textId="77777777" w:rsidR="00A25569" w:rsidRPr="008C0A0F" w:rsidRDefault="00A25569" w:rsidP="00A25569">
            <w:pPr>
              <w:pStyle w:val="clmsnormaltable-borderedstyles-46b4289e-0109-58fc-3470-e3c8dc13e2b4"/>
              <w:rPr>
                <w:sz w:val="16"/>
              </w:rPr>
            </w:pPr>
            <w:r w:rsidRPr="008C0A0F">
              <w:rPr>
                <w:rStyle w:val="clmsitalic-charstyles-46b4289e-0109-58fc-3470-e3c8dc13e2b4"/>
                <w:sz w:val="16"/>
              </w:rPr>
              <w:t>Our audit procedures included, but were not limited to:</w:t>
            </w:r>
          </w:p>
          <w:p w14:paraId="687BA507" w14:textId="77777777"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Control evaluation:</w:t>
            </w:r>
          </w:p>
          <w:p w14:paraId="6A76DB93" w14:textId="5EE521DE" w:rsidR="00A25569" w:rsidRPr="008C0A0F" w:rsidRDefault="00A25569" w:rsidP="00A25569">
            <w:pPr>
              <w:pStyle w:val="clmsnormaltable-borderedstyles-46b4289e-0109-58fc-3470-e3c8dc13e2b4"/>
              <w:rPr>
                <w:sz w:val="16"/>
              </w:rPr>
            </w:pPr>
            <w:r w:rsidRPr="008C0A0F">
              <w:rPr>
                <w:sz w:val="16"/>
              </w:rPr>
              <w:t>We assessed the design and implementation of controls over the Valuations.</w:t>
            </w:r>
          </w:p>
          <w:p w14:paraId="6CD29507" w14:textId="77777777"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Model Inputs:</w:t>
            </w:r>
          </w:p>
          <w:p w14:paraId="65AC2CB2" w14:textId="138C6C5C" w:rsidR="00A25569" w:rsidRPr="008C0A0F" w:rsidRDefault="00A25569" w:rsidP="00A25569">
            <w:pPr>
              <w:pStyle w:val="clmsnormaltable-borderedstyles-46b4289e-0109-58fc-3470-e3c8dc13e2b4"/>
              <w:rPr>
                <w:sz w:val="16"/>
              </w:rPr>
            </w:pPr>
            <w:r w:rsidRPr="008C0A0F">
              <w:rPr>
                <w:sz w:val="16"/>
              </w:rPr>
              <w:t>We assessed the key project specific inputs into the cash flow forecast, focusing on the significant changes for existing projects since the previous reporting period or from the date of acquisition for newly acquired projects, to corroborate key revenues and costs with reference to underlying contracts, agreements and management information.</w:t>
            </w:r>
          </w:p>
          <w:p w14:paraId="193B8BF2" w14:textId="77777777"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Model integrity:</w:t>
            </w:r>
          </w:p>
          <w:p w14:paraId="1C74903E" w14:textId="7A97E835" w:rsidR="00A25569" w:rsidRPr="008C0A0F" w:rsidRDefault="00A25569" w:rsidP="00A25569">
            <w:pPr>
              <w:pStyle w:val="clmsnormaltable-borderedstyles-46b4289e-0109-58fc-3470-e3c8dc13e2b4"/>
              <w:rPr>
                <w:sz w:val="16"/>
              </w:rPr>
            </w:pPr>
            <w:r w:rsidRPr="008C0A0F">
              <w:rPr>
                <w:sz w:val="16"/>
              </w:rPr>
              <w:t>For a selection of data routines, we tested the valuation model for integrity, logic and for material formula errors.</w:t>
            </w:r>
          </w:p>
          <w:p w14:paraId="3ECE5F62" w14:textId="77777777"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Benchmarking the valuation assumptions:</w:t>
            </w:r>
          </w:p>
          <w:p w14:paraId="0E2E09AC" w14:textId="04D7415D" w:rsidR="00A25569" w:rsidRPr="008C0A0F" w:rsidRDefault="00A25569" w:rsidP="00A25569">
            <w:pPr>
              <w:pStyle w:val="clmsnormaltable-borderedstyles-46b4289e-0109-58fc-3470-e3c8dc13e2b4"/>
              <w:rPr>
                <w:sz w:val="16"/>
              </w:rPr>
            </w:pPr>
            <w:r w:rsidRPr="008C0A0F">
              <w:rPr>
                <w:sz w:val="16"/>
              </w:rPr>
              <w:t>With support from our KPMG valuation specialist, using their experience in valuing similar assets, we assessed and challenged the appropriateness of the Company’s key assumptions including discount rate, useful economic life and other macro-economic assumptions  applied in the Valuations, and the impact COVID-19 has had on those assumptions, by:</w:t>
            </w:r>
          </w:p>
          <w:p w14:paraId="1735C183" w14:textId="77777777" w:rsidR="00A25569" w:rsidRPr="008C0A0F" w:rsidRDefault="00A25569" w:rsidP="00A25569">
            <w:pPr>
              <w:pStyle w:val="clmsnormaltable-borderedstyles-46b4289e-0109-58fc-3470-e3c8dc13e2b4"/>
              <w:rPr>
                <w:sz w:val="16"/>
              </w:rPr>
            </w:pPr>
            <w:r w:rsidRPr="008C0A0F">
              <w:rPr>
                <w:sz w:val="16"/>
              </w:rPr>
              <w:t>- assessing, for a risk based selection, the historical accuracy of the cash flow forecasts against actual results in order to assess their reliability; and</w:t>
            </w:r>
          </w:p>
          <w:p w14:paraId="044D70A5" w14:textId="0BD69D39" w:rsidR="00A25569" w:rsidRPr="008C0A0F" w:rsidRDefault="00A25569" w:rsidP="00A25569">
            <w:pPr>
              <w:pStyle w:val="clmsnormaltable-borderedstyles-46b4289e-0109-58fc-3470-e3c8dc13e2b4"/>
              <w:rPr>
                <w:sz w:val="16"/>
              </w:rPr>
            </w:pPr>
            <w:r w:rsidRPr="008C0A0F">
              <w:rPr>
                <w:sz w:val="16"/>
              </w:rPr>
              <w:t>- benchmarking against independent market data and relevant peer group companies, where available.</w:t>
            </w:r>
          </w:p>
          <w:p w14:paraId="29E72A4E" w14:textId="435A3E6B" w:rsidR="00A25569" w:rsidRPr="008C0A0F" w:rsidRDefault="00A25569" w:rsidP="00A25569">
            <w:pPr>
              <w:pStyle w:val="clmsnormaltable-borderedstyles-46b4289e-0109-58fc-3470-e3c8dc13e2b4"/>
              <w:rPr>
                <w:sz w:val="16"/>
              </w:rPr>
            </w:pPr>
            <w:r w:rsidRPr="008C0A0F">
              <w:rPr>
                <w:rStyle w:val="clmsbolditalic-charstyles-46b4289e-0109-58fc-3470-e3c8dc13e2b4"/>
                <w:sz w:val="16"/>
              </w:rPr>
              <w:t>Assessing transparency:</w:t>
            </w:r>
          </w:p>
          <w:p w14:paraId="2CC74CF9" w14:textId="0FF1CD77" w:rsidR="00A25569" w:rsidRPr="008C0A0F" w:rsidRDefault="00A25569" w:rsidP="00A25569">
            <w:pPr>
              <w:autoSpaceDE w:val="0"/>
              <w:autoSpaceDN w:val="0"/>
              <w:adjustRightInd w:val="0"/>
              <w:rPr>
                <w:rFonts w:ascii="Arial" w:hAnsi="Arial" w:cs="Arial"/>
                <w:b/>
                <w:bCs/>
                <w:i/>
                <w:iCs/>
                <w:color w:val="244061" w:themeColor="accent1" w:themeShade="80"/>
                <w:sz w:val="16"/>
                <w:szCs w:val="18"/>
                <w:highlight w:val="yellow"/>
              </w:rPr>
            </w:pPr>
            <w:r w:rsidRPr="008C0A0F">
              <w:rPr>
                <w:rFonts w:ascii="Arial" w:eastAsiaTheme="minorHAnsi" w:hAnsi="Arial" w:cs="Arial"/>
                <w:sz w:val="16"/>
                <w:szCs w:val="22"/>
                <w:lang w:val="en-US"/>
              </w:rPr>
              <w:t xml:space="preserve">We have considered the adequacy of the Company’s disclosures made in accordance with IFRS 13 (see note 8) including the use of estimates and judgements in arriving at fair value. </w:t>
            </w:r>
            <w:r w:rsidRPr="008C0A0F">
              <w:rPr>
                <w:rFonts w:ascii="Arial" w:eastAsiaTheme="minorHAnsi" w:hAnsi="Arial" w:cs="Arial"/>
                <w:sz w:val="16"/>
                <w:szCs w:val="22"/>
                <w:lang w:val="en-US"/>
              </w:rPr>
              <w:br/>
            </w:r>
            <w:r w:rsidRPr="008C0A0F">
              <w:rPr>
                <w:rFonts w:ascii="Arial" w:eastAsiaTheme="minorHAnsi" w:hAnsi="Arial" w:cs="Arial"/>
                <w:sz w:val="16"/>
                <w:szCs w:val="22"/>
                <w:lang w:val="en-US"/>
              </w:rPr>
              <w:br/>
              <w:t>We assessed whether the disclosures around the sensitivities to changes in assumptions reflected the risks inherent in the valuation of the SPVs.</w:t>
            </w:r>
            <w:r w:rsidRPr="008C0A0F">
              <w:rPr>
                <w:sz w:val="16"/>
              </w:rPr>
              <w:t xml:space="preserve"> </w:t>
            </w:r>
          </w:p>
        </w:tc>
      </w:tr>
    </w:tbl>
    <w:p w14:paraId="3ECE9ADA" w14:textId="53E49F8A" w:rsidR="0015510D" w:rsidRDefault="0015510D" w:rsidP="0015510D">
      <w:pPr>
        <w:rPr>
          <w:highlight w:val="yellow"/>
        </w:rPr>
      </w:pPr>
    </w:p>
    <w:p w14:paraId="68FE4752" w14:textId="6B2AB6E1" w:rsidR="00E10F74" w:rsidRPr="00814059" w:rsidRDefault="00E10F74" w:rsidP="00E10F74">
      <w:pPr>
        <w:pStyle w:val="Heading2"/>
        <w:spacing w:before="0"/>
        <w:rPr>
          <w:color w:val="404040" w:themeColor="text1" w:themeTint="BF"/>
        </w:rPr>
      </w:pPr>
      <w:r w:rsidRPr="00814059">
        <w:rPr>
          <w:color w:val="404040" w:themeColor="text1" w:themeTint="BF"/>
        </w:rPr>
        <w:lastRenderedPageBreak/>
        <w:t>Independent Auditor’s Report (continued)</w:t>
      </w:r>
    </w:p>
    <w:p w14:paraId="1B7BC9ED" w14:textId="77777777" w:rsidR="00814059" w:rsidRDefault="00814059" w:rsidP="0015510D">
      <w:pPr>
        <w:autoSpaceDE w:val="0"/>
        <w:autoSpaceDN w:val="0"/>
        <w:adjustRightInd w:val="0"/>
        <w:jc w:val="both"/>
        <w:rPr>
          <w:rFonts w:ascii="Arial" w:hAnsi="Arial" w:cs="Arial"/>
          <w:i/>
          <w:iCs/>
          <w:color w:val="244061" w:themeColor="accent1" w:themeShade="80"/>
          <w:sz w:val="22"/>
          <w:szCs w:val="22"/>
        </w:rPr>
      </w:pPr>
    </w:p>
    <w:p w14:paraId="20F06542" w14:textId="267CC419" w:rsidR="0015510D" w:rsidRPr="00814059" w:rsidRDefault="0015510D" w:rsidP="0015510D">
      <w:pPr>
        <w:autoSpaceDE w:val="0"/>
        <w:autoSpaceDN w:val="0"/>
        <w:adjustRightInd w:val="0"/>
        <w:jc w:val="both"/>
        <w:rPr>
          <w:rFonts w:ascii="Arial" w:hAnsi="Arial" w:cs="Arial"/>
          <w:i/>
          <w:iCs/>
          <w:color w:val="244061" w:themeColor="accent1" w:themeShade="80"/>
          <w:sz w:val="22"/>
          <w:szCs w:val="22"/>
        </w:rPr>
      </w:pPr>
      <w:r w:rsidRPr="00814059">
        <w:rPr>
          <w:rFonts w:ascii="Arial" w:hAnsi="Arial" w:cs="Arial"/>
          <w:i/>
          <w:iCs/>
          <w:color w:val="244061" w:themeColor="accent1" w:themeShade="80"/>
          <w:sz w:val="22"/>
          <w:szCs w:val="22"/>
        </w:rPr>
        <w:t>Our application of materiality and an overview of the scope of our audit</w:t>
      </w:r>
    </w:p>
    <w:p w14:paraId="0293F335" w14:textId="77777777" w:rsidR="0015510D" w:rsidRPr="00814059" w:rsidRDefault="0015510D" w:rsidP="0015510D">
      <w:pPr>
        <w:autoSpaceDE w:val="0"/>
        <w:autoSpaceDN w:val="0"/>
        <w:adjustRightInd w:val="0"/>
        <w:jc w:val="both"/>
        <w:rPr>
          <w:rFonts w:ascii="Arial" w:hAnsi="Arial" w:cs="Arial"/>
          <w:i/>
          <w:iCs/>
        </w:rPr>
      </w:pPr>
    </w:p>
    <w:p w14:paraId="00E5F5A0" w14:textId="1BE29F01" w:rsidR="0015510D" w:rsidRPr="00814059" w:rsidRDefault="00210427" w:rsidP="0015510D">
      <w:pPr>
        <w:pStyle w:val="NormalWeb"/>
        <w:spacing w:before="0" w:beforeAutospacing="0" w:after="120" w:afterAutospacing="0"/>
        <w:jc w:val="both"/>
        <w:rPr>
          <w:rFonts w:ascii="Arial" w:hAnsi="Arial" w:cs="Arial"/>
          <w:sz w:val="20"/>
          <w:szCs w:val="18"/>
        </w:rPr>
      </w:pPr>
      <w:r>
        <w:rPr>
          <w:rFonts w:ascii="Arial" w:hAnsi="Arial" w:cs="Arial"/>
          <w:sz w:val="20"/>
          <w:szCs w:val="18"/>
        </w:rPr>
        <w:t>Materiality for the financial s</w:t>
      </w:r>
      <w:r w:rsidR="0015510D" w:rsidRPr="00814059">
        <w:rPr>
          <w:rFonts w:ascii="Arial" w:hAnsi="Arial" w:cs="Arial"/>
          <w:sz w:val="20"/>
          <w:szCs w:val="18"/>
        </w:rPr>
        <w:t>tatemen</w:t>
      </w:r>
      <w:r w:rsidR="00292283">
        <w:rPr>
          <w:rFonts w:ascii="Arial" w:hAnsi="Arial" w:cs="Arial"/>
          <w:sz w:val="20"/>
          <w:szCs w:val="18"/>
        </w:rPr>
        <w:t>ts as a whole was set at £8,374</w:t>
      </w:r>
      <w:r w:rsidR="0015510D" w:rsidRPr="00814059">
        <w:rPr>
          <w:rFonts w:ascii="Arial" w:hAnsi="Arial" w:cs="Arial"/>
          <w:sz w:val="20"/>
          <w:szCs w:val="18"/>
        </w:rPr>
        <w:t xml:space="preserve">,000, determined with reference to a benchmark of Net Assets of </w:t>
      </w:r>
      <w:r w:rsidR="00814059" w:rsidRPr="00814059">
        <w:rPr>
          <w:rFonts w:ascii="Arial" w:hAnsi="Arial" w:cs="Arial"/>
          <w:sz w:val="20"/>
          <w:szCs w:val="18"/>
        </w:rPr>
        <w:t>£433,505,000</w:t>
      </w:r>
      <w:r w:rsidR="0015510D" w:rsidRPr="00814059">
        <w:rPr>
          <w:rFonts w:ascii="Arial" w:hAnsi="Arial" w:cs="Arial"/>
          <w:sz w:val="20"/>
          <w:szCs w:val="18"/>
        </w:rPr>
        <w:t>, of whi</w:t>
      </w:r>
      <w:r w:rsidR="00292283">
        <w:rPr>
          <w:rFonts w:ascii="Arial" w:hAnsi="Arial" w:cs="Arial"/>
          <w:sz w:val="20"/>
          <w:szCs w:val="18"/>
        </w:rPr>
        <w:t>ch it represents approximately 2</w:t>
      </w:r>
      <w:r w:rsidR="0015510D" w:rsidRPr="00814059">
        <w:rPr>
          <w:rFonts w:ascii="Arial" w:hAnsi="Arial" w:cs="Arial"/>
          <w:sz w:val="20"/>
          <w:szCs w:val="18"/>
        </w:rPr>
        <w:t>% (</w:t>
      </w:r>
      <w:r w:rsidR="00904E51" w:rsidRPr="00814059">
        <w:rPr>
          <w:rFonts w:ascii="Arial" w:hAnsi="Arial" w:cs="Arial"/>
          <w:sz w:val="20"/>
          <w:szCs w:val="18"/>
        </w:rPr>
        <w:t>2019</w:t>
      </w:r>
      <w:r w:rsidR="0015510D" w:rsidRPr="00814059">
        <w:rPr>
          <w:rFonts w:ascii="Arial" w:hAnsi="Arial" w:cs="Arial"/>
          <w:sz w:val="20"/>
          <w:szCs w:val="18"/>
        </w:rPr>
        <w:t xml:space="preserve">: 3%). </w:t>
      </w:r>
    </w:p>
    <w:p w14:paraId="110CA58A" w14:textId="0A5F93E1" w:rsidR="0015510D" w:rsidRPr="00814059" w:rsidRDefault="0015510D" w:rsidP="0015510D">
      <w:pPr>
        <w:pStyle w:val="NormalWeb"/>
        <w:spacing w:before="0" w:beforeAutospacing="0" w:after="120" w:afterAutospacing="0"/>
        <w:jc w:val="both"/>
        <w:rPr>
          <w:rFonts w:ascii="Arial" w:hAnsi="Arial" w:cs="Arial"/>
          <w:sz w:val="20"/>
          <w:szCs w:val="18"/>
        </w:rPr>
      </w:pPr>
      <w:r w:rsidRPr="00814059">
        <w:rPr>
          <w:rFonts w:ascii="Arial" w:hAnsi="Arial" w:cs="Arial"/>
          <w:sz w:val="20"/>
          <w:szCs w:val="18"/>
        </w:rPr>
        <w:t>We reported to the Audit Committee any corrected or uncorrected identified misstatements exceeding £</w:t>
      </w:r>
      <w:r w:rsidR="00814059">
        <w:rPr>
          <w:rFonts w:ascii="Arial" w:hAnsi="Arial" w:cs="Arial"/>
          <w:sz w:val="20"/>
          <w:szCs w:val="18"/>
        </w:rPr>
        <w:t>418</w:t>
      </w:r>
      <w:r w:rsidRPr="00814059">
        <w:rPr>
          <w:rFonts w:ascii="Arial" w:hAnsi="Arial" w:cs="Arial"/>
          <w:sz w:val="20"/>
          <w:szCs w:val="18"/>
        </w:rPr>
        <w:t xml:space="preserve">,000, in addition to other identified misstatements that warranted reporting on qualitative grounds.  </w:t>
      </w:r>
    </w:p>
    <w:p w14:paraId="2D376244" w14:textId="77777777" w:rsidR="0015510D" w:rsidRPr="00814059" w:rsidRDefault="0015510D" w:rsidP="0015510D">
      <w:pPr>
        <w:autoSpaceDE w:val="0"/>
        <w:autoSpaceDN w:val="0"/>
        <w:adjustRightInd w:val="0"/>
        <w:jc w:val="both"/>
        <w:rPr>
          <w:rFonts w:ascii="Arial" w:hAnsi="Arial" w:cs="Arial"/>
          <w:sz w:val="20"/>
          <w:szCs w:val="18"/>
        </w:rPr>
      </w:pPr>
      <w:r w:rsidRPr="00814059">
        <w:rPr>
          <w:rFonts w:ascii="Arial" w:hAnsi="Arial" w:cs="Arial"/>
          <w:sz w:val="20"/>
          <w:szCs w:val="18"/>
        </w:rPr>
        <w:t>Our audit of the Company was undertaken to the materiality level specified above, which has informed our identification of significant risks of material misstatement and the associated audit procedures performed in those areas as detailed above.</w:t>
      </w:r>
    </w:p>
    <w:p w14:paraId="6F07A82B" w14:textId="77777777" w:rsidR="00814059" w:rsidRPr="00814059" w:rsidRDefault="00814059" w:rsidP="00814059">
      <w:pPr>
        <w:pStyle w:val="Heading1"/>
        <w:rPr>
          <w:rFonts w:cs="Arial"/>
          <w:b w:val="0"/>
          <w:i/>
          <w:iCs/>
          <w:color w:val="244061" w:themeColor="accent1" w:themeShade="80"/>
          <w:kern w:val="0"/>
          <w:sz w:val="22"/>
          <w:szCs w:val="22"/>
        </w:rPr>
      </w:pPr>
      <w:r w:rsidRPr="00814059">
        <w:rPr>
          <w:rFonts w:cs="Arial"/>
          <w:b w:val="0"/>
          <w:iCs/>
          <w:color w:val="244061" w:themeColor="accent1" w:themeShade="80"/>
          <w:kern w:val="0"/>
          <w:sz w:val="22"/>
          <w:szCs w:val="22"/>
        </w:rPr>
        <w:t>We have nothing to report on going concern</w:t>
      </w:r>
    </w:p>
    <w:p w14:paraId="13CB70FC" w14:textId="77777777" w:rsidR="00814059" w:rsidRPr="00814059" w:rsidRDefault="00814059" w:rsidP="00814059">
      <w:pPr>
        <w:pStyle w:val="clmsnormalstyles-46b4289e-0109-58fc-3470-e3c8dc13e2b4"/>
        <w:rPr>
          <w:rFonts w:eastAsia="Times New Roman"/>
          <w:sz w:val="20"/>
          <w:szCs w:val="18"/>
          <w:lang w:val="en-GB"/>
        </w:rPr>
      </w:pPr>
      <w:r w:rsidRPr="00814059">
        <w:rPr>
          <w:rFonts w:eastAsia="Times New Roman"/>
          <w:sz w:val="20"/>
          <w:szCs w:val="18"/>
          <w:lang w:val="en-GB"/>
        </w:rPr>
        <w:t>The directors have prepared the financial statements on the going concern basis as they do not intend to liquidate the Company or to cease its operations, and as they have concluded that the Company’s financial position means that this is realistic. They have also concluded that there are no material uncertainties that could have cast significant doubt over its ability to continue as a going concern for at least a year from the date of approval of the financial statements (“the going concern period”).</w:t>
      </w:r>
    </w:p>
    <w:p w14:paraId="7EBA34A8" w14:textId="77777777" w:rsidR="00814059" w:rsidRPr="00814059" w:rsidRDefault="00814059" w:rsidP="00814059">
      <w:pPr>
        <w:pStyle w:val="clmsnormalstyles-46b4289e-0109-58fc-3470-e3c8dc13e2b4"/>
        <w:rPr>
          <w:rFonts w:eastAsia="Times New Roman"/>
          <w:sz w:val="20"/>
          <w:szCs w:val="18"/>
          <w:lang w:val="en-GB"/>
        </w:rPr>
      </w:pPr>
      <w:r w:rsidRPr="00814059">
        <w:rPr>
          <w:rFonts w:eastAsia="Times New Roman"/>
          <w:sz w:val="20"/>
          <w:szCs w:val="18"/>
          <w:lang w:val="en-GB"/>
        </w:rPr>
        <w:t>In our evaluation of the directors’ conclusions, we considered the inherent risks to the Company’s activities including where relevant the impact of the COVID-19 pandemic and the requirements of the applicable financial reporting framework.  We analysed how those risks might affect the Company’s financial resources or ability to continue operations over the going concern period, including challenging the underlying data and key assumptions used to make the assessment, and evaluated the directors’ plans for future actions in relation to their going concern assessment.</w:t>
      </w:r>
    </w:p>
    <w:p w14:paraId="48830B50" w14:textId="77777777" w:rsidR="00814059" w:rsidRPr="00814059" w:rsidRDefault="00814059" w:rsidP="00814059">
      <w:pPr>
        <w:pStyle w:val="clmsnormalstyles-46b4289e-0109-58fc-3470-e3c8dc13e2b4"/>
        <w:rPr>
          <w:rFonts w:eastAsia="Times New Roman"/>
          <w:sz w:val="20"/>
          <w:szCs w:val="18"/>
          <w:lang w:val="en-GB"/>
        </w:rPr>
      </w:pPr>
      <w:r w:rsidRPr="00814059">
        <w:rPr>
          <w:rFonts w:eastAsia="Times New Roman"/>
          <w:sz w:val="20"/>
          <w:szCs w:val="18"/>
          <w:lang w:val="en-GB"/>
        </w:rPr>
        <w:t>Based on this work, we are required to report to you if we have anything material to add or draw attention to in relation to the directors’ statement in note 2 (b) to the financial statements on the use of the going concern basis of accounting with no material uncertainties that may cast significant doubt over the Company’s use of that basis for a period of at least twelve months from the date of approval of the financial statements.  We have nothing to report in these respects.</w:t>
      </w:r>
    </w:p>
    <w:p w14:paraId="27FBB811" w14:textId="77777777" w:rsidR="00814059" w:rsidRPr="00814059" w:rsidRDefault="00814059" w:rsidP="00814059">
      <w:pPr>
        <w:pStyle w:val="Heading1"/>
        <w:rPr>
          <w:rFonts w:cs="Arial"/>
          <w:b w:val="0"/>
          <w:iCs/>
          <w:color w:val="244061" w:themeColor="accent1" w:themeShade="80"/>
          <w:kern w:val="0"/>
          <w:sz w:val="22"/>
          <w:szCs w:val="22"/>
        </w:rPr>
      </w:pPr>
      <w:r w:rsidRPr="00814059">
        <w:rPr>
          <w:rFonts w:cs="Arial"/>
          <w:b w:val="0"/>
          <w:iCs/>
          <w:color w:val="244061" w:themeColor="accent1" w:themeShade="80"/>
          <w:kern w:val="0"/>
          <w:sz w:val="22"/>
          <w:szCs w:val="22"/>
        </w:rPr>
        <w:t>Other information</w:t>
      </w:r>
    </w:p>
    <w:p w14:paraId="7ED124FC" w14:textId="77777777" w:rsidR="00814059" w:rsidRPr="00814059" w:rsidRDefault="00814059" w:rsidP="00814059">
      <w:pPr>
        <w:pStyle w:val="clmsnormalstyles-46b4289e-0109-58fc-3470-e3c8dc13e2b4"/>
        <w:rPr>
          <w:rFonts w:eastAsia="Times New Roman"/>
          <w:sz w:val="20"/>
          <w:szCs w:val="18"/>
          <w:lang w:val="en-GB"/>
        </w:rPr>
      </w:pPr>
      <w:r w:rsidRPr="00814059">
        <w:rPr>
          <w:rFonts w:eastAsia="Times New Roman"/>
          <w:sz w:val="20"/>
          <w:szCs w:val="18"/>
          <w:lang w:val="en-GB"/>
        </w:rPr>
        <w:t>The directors are responsible for the other information. The other information comprises the information included in the annual report but does not include the financial statements and our auditor's report thereon. Our opinion on the financial statements does not cover the other information and we do not express an audit opinion or any form of assurance conclusion thereon.</w:t>
      </w:r>
    </w:p>
    <w:p w14:paraId="3884DC52" w14:textId="77777777" w:rsidR="00814059" w:rsidRPr="00814059" w:rsidRDefault="00814059" w:rsidP="00814059">
      <w:pPr>
        <w:pStyle w:val="clmsnormalstyles-46b4289e-0109-58fc-3470-e3c8dc13e2b4"/>
        <w:rPr>
          <w:rFonts w:eastAsia="Times New Roman"/>
          <w:sz w:val="20"/>
          <w:szCs w:val="18"/>
          <w:lang w:val="en-GB"/>
        </w:rPr>
      </w:pPr>
      <w:r w:rsidRPr="00814059">
        <w:rPr>
          <w:rFonts w:eastAsia="Times New Roman"/>
          <w:sz w:val="20"/>
          <w:szCs w:val="18"/>
          <w:lang w:val="en-GB"/>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based on the work we have performed, we conclude that there is a material misstatement of this other information, we are required to report that fact. We have nothing to report in this regard.</w:t>
      </w:r>
    </w:p>
    <w:p w14:paraId="4000A15D" w14:textId="77777777" w:rsidR="00E10F74" w:rsidRPr="00497407" w:rsidRDefault="00E10F74" w:rsidP="00E10F74">
      <w:pPr>
        <w:jc w:val="both"/>
        <w:rPr>
          <w:rFonts w:ascii="Georgia" w:hAnsi="Georgia"/>
          <w:color w:val="404040" w:themeColor="text1" w:themeTint="BF"/>
          <w:sz w:val="20"/>
          <w:szCs w:val="20"/>
          <w:highlight w:val="yellow"/>
        </w:rPr>
      </w:pPr>
    </w:p>
    <w:p w14:paraId="733B3E28" w14:textId="77777777" w:rsidR="00E10F74" w:rsidRPr="00497407" w:rsidRDefault="00E10F74" w:rsidP="00E10F74">
      <w:pPr>
        <w:jc w:val="both"/>
        <w:rPr>
          <w:rFonts w:ascii="Georgia" w:hAnsi="Georgia"/>
          <w:color w:val="404040" w:themeColor="text1" w:themeTint="BF"/>
          <w:sz w:val="20"/>
          <w:szCs w:val="20"/>
          <w:highlight w:val="yellow"/>
        </w:rPr>
      </w:pPr>
    </w:p>
    <w:p w14:paraId="42CC6869" w14:textId="77777777" w:rsidR="00E10F74" w:rsidRPr="00497407" w:rsidRDefault="00E10F74" w:rsidP="00E10F74">
      <w:pPr>
        <w:jc w:val="both"/>
        <w:rPr>
          <w:rFonts w:ascii="Georgia" w:hAnsi="Georgia"/>
          <w:color w:val="404040" w:themeColor="text1" w:themeTint="BF"/>
          <w:sz w:val="20"/>
          <w:szCs w:val="20"/>
          <w:highlight w:val="yellow"/>
        </w:rPr>
      </w:pPr>
    </w:p>
    <w:p w14:paraId="6CFE9719" w14:textId="77777777" w:rsidR="00101779" w:rsidRPr="00497407" w:rsidRDefault="00101779" w:rsidP="00E10F74">
      <w:pPr>
        <w:jc w:val="both"/>
        <w:rPr>
          <w:rFonts w:ascii="Georgia" w:hAnsi="Georgia"/>
          <w:color w:val="404040" w:themeColor="text1" w:themeTint="BF"/>
          <w:sz w:val="20"/>
          <w:szCs w:val="20"/>
          <w:highlight w:val="yellow"/>
        </w:rPr>
      </w:pPr>
    </w:p>
    <w:p w14:paraId="7DF78E98" w14:textId="77777777" w:rsidR="00101779" w:rsidRPr="00497407" w:rsidRDefault="00101779" w:rsidP="00E10F74">
      <w:pPr>
        <w:jc w:val="both"/>
        <w:rPr>
          <w:rFonts w:ascii="Georgia" w:hAnsi="Georgia"/>
          <w:color w:val="404040" w:themeColor="text1" w:themeTint="BF"/>
          <w:sz w:val="20"/>
          <w:szCs w:val="20"/>
          <w:highlight w:val="yellow"/>
        </w:rPr>
      </w:pPr>
    </w:p>
    <w:p w14:paraId="2E045EB4" w14:textId="77777777" w:rsidR="004934E6" w:rsidRPr="00497407" w:rsidRDefault="004934E6" w:rsidP="00E10F74">
      <w:pPr>
        <w:jc w:val="both"/>
        <w:rPr>
          <w:rFonts w:ascii="Georgia" w:hAnsi="Georgia"/>
          <w:color w:val="404040" w:themeColor="text1" w:themeTint="BF"/>
          <w:sz w:val="20"/>
          <w:szCs w:val="20"/>
          <w:highlight w:val="yellow"/>
        </w:rPr>
      </w:pPr>
    </w:p>
    <w:p w14:paraId="1D264872" w14:textId="77777777" w:rsidR="00101779" w:rsidRPr="00497407" w:rsidRDefault="00101779" w:rsidP="00E10F74">
      <w:pPr>
        <w:jc w:val="both"/>
        <w:rPr>
          <w:rFonts w:ascii="Georgia" w:hAnsi="Georgia"/>
          <w:color w:val="404040" w:themeColor="text1" w:themeTint="BF"/>
          <w:sz w:val="20"/>
          <w:szCs w:val="20"/>
          <w:highlight w:val="yellow"/>
        </w:rPr>
      </w:pPr>
    </w:p>
    <w:p w14:paraId="60B5EE31" w14:textId="77777777" w:rsidR="00101779" w:rsidRPr="00497407" w:rsidRDefault="00101779" w:rsidP="00E10F74">
      <w:pPr>
        <w:jc w:val="both"/>
        <w:rPr>
          <w:rFonts w:ascii="Georgia" w:hAnsi="Georgia"/>
          <w:color w:val="404040" w:themeColor="text1" w:themeTint="BF"/>
          <w:sz w:val="20"/>
          <w:szCs w:val="20"/>
          <w:highlight w:val="yellow"/>
        </w:rPr>
      </w:pPr>
    </w:p>
    <w:p w14:paraId="3E7FB128" w14:textId="77777777" w:rsidR="00101779" w:rsidRPr="00497407" w:rsidRDefault="00101779" w:rsidP="00E10F74">
      <w:pPr>
        <w:jc w:val="both"/>
        <w:rPr>
          <w:rFonts w:ascii="Georgia" w:hAnsi="Georgia"/>
          <w:color w:val="404040" w:themeColor="text1" w:themeTint="BF"/>
          <w:sz w:val="20"/>
          <w:szCs w:val="20"/>
          <w:highlight w:val="yellow"/>
        </w:rPr>
      </w:pPr>
    </w:p>
    <w:p w14:paraId="36CE62EE" w14:textId="77777777" w:rsidR="00E10F74" w:rsidRPr="00497407" w:rsidRDefault="00E10F74" w:rsidP="00E10F74">
      <w:pPr>
        <w:jc w:val="both"/>
        <w:rPr>
          <w:rFonts w:ascii="Georgia" w:hAnsi="Georgia"/>
          <w:color w:val="404040" w:themeColor="text1" w:themeTint="BF"/>
          <w:sz w:val="20"/>
          <w:szCs w:val="20"/>
          <w:highlight w:val="yellow"/>
        </w:rPr>
      </w:pPr>
    </w:p>
    <w:p w14:paraId="400B63ED" w14:textId="77777777" w:rsidR="004934E6" w:rsidRPr="00497407" w:rsidRDefault="004934E6" w:rsidP="00E10F74">
      <w:pPr>
        <w:jc w:val="both"/>
        <w:rPr>
          <w:rFonts w:ascii="Georgia" w:hAnsi="Georgia"/>
          <w:color w:val="404040" w:themeColor="text1" w:themeTint="BF"/>
          <w:sz w:val="20"/>
          <w:szCs w:val="20"/>
          <w:highlight w:val="yellow"/>
        </w:rPr>
      </w:pPr>
    </w:p>
    <w:p w14:paraId="26B615AF" w14:textId="77777777" w:rsidR="00E10F74" w:rsidRPr="00814059" w:rsidRDefault="00E10F74" w:rsidP="00E10F74">
      <w:pPr>
        <w:pStyle w:val="Heading2"/>
        <w:spacing w:before="0"/>
        <w:rPr>
          <w:color w:val="404040" w:themeColor="text1" w:themeTint="BF"/>
        </w:rPr>
      </w:pPr>
      <w:r w:rsidRPr="00814059">
        <w:rPr>
          <w:color w:val="404040" w:themeColor="text1" w:themeTint="BF"/>
        </w:rPr>
        <w:lastRenderedPageBreak/>
        <w:t>Independent Auditor’s Report (continued)</w:t>
      </w:r>
    </w:p>
    <w:p w14:paraId="7199AC76" w14:textId="77777777" w:rsidR="00814059" w:rsidRPr="00814059" w:rsidRDefault="00814059" w:rsidP="00814059">
      <w:pPr>
        <w:autoSpaceDE w:val="0"/>
        <w:autoSpaceDN w:val="0"/>
        <w:adjustRightInd w:val="0"/>
        <w:jc w:val="both"/>
        <w:rPr>
          <w:rFonts w:ascii="Arial" w:hAnsi="Arial" w:cs="Arial"/>
          <w:i/>
          <w:iCs/>
          <w:color w:val="244061" w:themeColor="accent1" w:themeShade="80"/>
          <w:sz w:val="22"/>
          <w:szCs w:val="18"/>
        </w:rPr>
      </w:pPr>
    </w:p>
    <w:p w14:paraId="4EF838D9" w14:textId="28170B7A" w:rsidR="00814059" w:rsidRPr="002B1CFC" w:rsidRDefault="00814059" w:rsidP="00814059">
      <w:pPr>
        <w:autoSpaceDE w:val="0"/>
        <w:autoSpaceDN w:val="0"/>
        <w:adjustRightInd w:val="0"/>
        <w:jc w:val="both"/>
        <w:rPr>
          <w:rFonts w:ascii="Arial" w:hAnsi="Arial" w:cs="Arial"/>
          <w:i/>
          <w:iCs/>
          <w:color w:val="244061" w:themeColor="accent1" w:themeShade="80"/>
          <w:sz w:val="22"/>
          <w:szCs w:val="18"/>
        </w:rPr>
      </w:pPr>
      <w:r w:rsidRPr="00814059">
        <w:rPr>
          <w:rFonts w:ascii="Arial" w:hAnsi="Arial" w:cs="Arial"/>
          <w:i/>
          <w:iCs/>
          <w:color w:val="244061" w:themeColor="accent1" w:themeShade="80"/>
          <w:sz w:val="22"/>
          <w:szCs w:val="18"/>
        </w:rPr>
        <w:t xml:space="preserve">Disclosures </w:t>
      </w:r>
      <w:r w:rsidRPr="002B1CFC">
        <w:rPr>
          <w:rFonts w:ascii="Arial" w:hAnsi="Arial" w:cs="Arial"/>
          <w:i/>
          <w:iCs/>
          <w:color w:val="244061" w:themeColor="accent1" w:themeShade="80"/>
          <w:sz w:val="22"/>
          <w:szCs w:val="18"/>
        </w:rPr>
        <w:t xml:space="preserve">of </w:t>
      </w:r>
      <w:r w:rsidR="009E24AE" w:rsidRPr="002B1CFC">
        <w:rPr>
          <w:rFonts w:ascii="Arial" w:hAnsi="Arial" w:cs="Arial"/>
          <w:i/>
          <w:iCs/>
          <w:color w:val="244061" w:themeColor="accent1" w:themeShade="80"/>
          <w:sz w:val="22"/>
          <w:szCs w:val="18"/>
        </w:rPr>
        <w:t xml:space="preserve">emerging and </w:t>
      </w:r>
      <w:r w:rsidRPr="002B1CFC">
        <w:rPr>
          <w:rFonts w:ascii="Arial" w:hAnsi="Arial" w:cs="Arial"/>
          <w:i/>
          <w:iCs/>
          <w:color w:val="244061" w:themeColor="accent1" w:themeShade="80"/>
          <w:sz w:val="22"/>
          <w:szCs w:val="18"/>
        </w:rPr>
        <w:t>principal risks and longer-term viability</w:t>
      </w:r>
      <w:r w:rsidRPr="002B1CFC">
        <w:rPr>
          <w:rFonts w:ascii="Arial" w:hAnsi="Arial" w:cs="Arial"/>
          <w:i/>
          <w:iCs/>
          <w:color w:val="FF0000"/>
          <w:sz w:val="22"/>
          <w:szCs w:val="18"/>
        </w:rPr>
        <w:t xml:space="preserve"> </w:t>
      </w:r>
    </w:p>
    <w:p w14:paraId="23A9BDF1" w14:textId="77777777" w:rsidR="00814059" w:rsidRPr="002B1CFC" w:rsidRDefault="00814059" w:rsidP="00814059">
      <w:pPr>
        <w:autoSpaceDE w:val="0"/>
        <w:autoSpaceDN w:val="0"/>
        <w:adjustRightInd w:val="0"/>
        <w:jc w:val="both"/>
        <w:rPr>
          <w:rFonts w:ascii="Arial" w:hAnsi="Arial" w:cs="Arial"/>
          <w:color w:val="244061" w:themeColor="accent1" w:themeShade="80"/>
          <w:sz w:val="18"/>
          <w:szCs w:val="18"/>
        </w:rPr>
      </w:pPr>
    </w:p>
    <w:p w14:paraId="41E8899D" w14:textId="77777777" w:rsidR="00814059" w:rsidRPr="002B1CFC" w:rsidRDefault="00814059" w:rsidP="00814059">
      <w:pPr>
        <w:autoSpaceDE w:val="0"/>
        <w:autoSpaceDN w:val="0"/>
        <w:adjustRightInd w:val="0"/>
        <w:jc w:val="both"/>
        <w:rPr>
          <w:rFonts w:ascii="Arial" w:hAnsi="Arial" w:cs="Arial"/>
          <w:color w:val="000000"/>
          <w:sz w:val="20"/>
          <w:szCs w:val="18"/>
        </w:rPr>
      </w:pPr>
      <w:r w:rsidRPr="002B1CFC">
        <w:rPr>
          <w:rFonts w:ascii="Arial" w:hAnsi="Arial" w:cs="Arial"/>
          <w:color w:val="000000"/>
          <w:sz w:val="20"/>
          <w:szCs w:val="18"/>
        </w:rPr>
        <w:t>Based on the knowledge we acquired during our financial statements audit, we have nothing material to add or draw attention to in relation to:</w:t>
      </w:r>
    </w:p>
    <w:p w14:paraId="10F41551" w14:textId="77777777" w:rsidR="00814059" w:rsidRPr="002B1CFC" w:rsidRDefault="00814059" w:rsidP="00814059">
      <w:pPr>
        <w:autoSpaceDE w:val="0"/>
        <w:autoSpaceDN w:val="0"/>
        <w:adjustRightInd w:val="0"/>
        <w:jc w:val="both"/>
        <w:rPr>
          <w:rFonts w:ascii="Arial" w:hAnsi="Arial" w:cs="Arial"/>
          <w:sz w:val="20"/>
          <w:szCs w:val="18"/>
        </w:rPr>
      </w:pPr>
    </w:p>
    <w:p w14:paraId="7EE290A0" w14:textId="76411C1B" w:rsidR="00814059" w:rsidRPr="00814059" w:rsidRDefault="00814059" w:rsidP="00814059">
      <w:pPr>
        <w:pStyle w:val="ListParagraph"/>
        <w:numPr>
          <w:ilvl w:val="0"/>
          <w:numId w:val="13"/>
        </w:numPr>
        <w:autoSpaceDE w:val="0"/>
        <w:autoSpaceDN w:val="0"/>
        <w:adjustRightInd w:val="0"/>
        <w:jc w:val="both"/>
        <w:rPr>
          <w:rFonts w:ascii="Arial" w:hAnsi="Arial" w:cs="Arial"/>
          <w:color w:val="000000"/>
          <w:sz w:val="20"/>
          <w:szCs w:val="18"/>
        </w:rPr>
      </w:pPr>
      <w:r w:rsidRPr="002B1CFC">
        <w:rPr>
          <w:rFonts w:ascii="Arial" w:hAnsi="Arial" w:cs="Arial"/>
          <w:color w:val="000000"/>
          <w:sz w:val="20"/>
          <w:szCs w:val="18"/>
        </w:rPr>
        <w:t>the directors’ confirmation within the viability statement (page 30 and 31) that they have carried out a robust assessment of the</w:t>
      </w:r>
      <w:r w:rsidR="009E24AE" w:rsidRPr="002B1CFC">
        <w:rPr>
          <w:rFonts w:ascii="Arial" w:hAnsi="Arial" w:cs="Arial"/>
          <w:color w:val="000000"/>
          <w:sz w:val="20"/>
          <w:szCs w:val="18"/>
        </w:rPr>
        <w:t xml:space="preserve"> emerging and</w:t>
      </w:r>
      <w:r w:rsidRPr="002B1CFC">
        <w:rPr>
          <w:rFonts w:ascii="Arial" w:hAnsi="Arial" w:cs="Arial"/>
          <w:color w:val="000000"/>
          <w:sz w:val="20"/>
          <w:szCs w:val="18"/>
        </w:rPr>
        <w:t xml:space="preserve"> principal</w:t>
      </w:r>
      <w:r w:rsidRPr="00814059">
        <w:rPr>
          <w:rFonts w:ascii="Arial" w:hAnsi="Arial" w:cs="Arial"/>
          <w:color w:val="000000"/>
          <w:sz w:val="20"/>
          <w:szCs w:val="18"/>
        </w:rPr>
        <w:t xml:space="preserve"> risks facing the Company, including those that would threaten its business model, future performance, solvency or liquidity; </w:t>
      </w:r>
    </w:p>
    <w:p w14:paraId="54D33FE9" w14:textId="77777777" w:rsidR="00814059" w:rsidRPr="00814059" w:rsidRDefault="00814059" w:rsidP="00814059">
      <w:pPr>
        <w:pStyle w:val="ListParagraph"/>
        <w:numPr>
          <w:ilvl w:val="0"/>
          <w:numId w:val="13"/>
        </w:numPr>
        <w:autoSpaceDE w:val="0"/>
        <w:autoSpaceDN w:val="0"/>
        <w:adjustRightInd w:val="0"/>
        <w:jc w:val="both"/>
        <w:rPr>
          <w:rFonts w:ascii="Arial" w:hAnsi="Arial" w:cs="Arial"/>
          <w:color w:val="000000"/>
          <w:sz w:val="20"/>
          <w:szCs w:val="18"/>
        </w:rPr>
      </w:pPr>
      <w:r w:rsidRPr="00814059">
        <w:rPr>
          <w:rFonts w:ascii="Arial" w:hAnsi="Arial" w:cs="Arial"/>
          <w:color w:val="000000"/>
          <w:sz w:val="20"/>
          <w:szCs w:val="18"/>
        </w:rPr>
        <w:t>the Principal Risks</w:t>
      </w:r>
      <w:r w:rsidRPr="00814059">
        <w:rPr>
          <w:rFonts w:ascii="Arial" w:hAnsi="Arial" w:cs="Arial"/>
          <w:color w:val="FF0000"/>
          <w:sz w:val="20"/>
          <w:szCs w:val="18"/>
        </w:rPr>
        <w:t xml:space="preserve"> </w:t>
      </w:r>
      <w:r w:rsidRPr="00814059">
        <w:rPr>
          <w:rFonts w:ascii="Arial" w:hAnsi="Arial" w:cs="Arial"/>
          <w:color w:val="000000"/>
          <w:sz w:val="20"/>
          <w:szCs w:val="18"/>
        </w:rPr>
        <w:t>disclosures describing these risks and explaining how they are being managed or mitigated; and</w:t>
      </w:r>
    </w:p>
    <w:p w14:paraId="4747BC2A" w14:textId="494F94F5" w:rsidR="00814059" w:rsidRPr="00814059" w:rsidRDefault="00814059" w:rsidP="00814059">
      <w:pPr>
        <w:pStyle w:val="ListParagraph"/>
        <w:numPr>
          <w:ilvl w:val="0"/>
          <w:numId w:val="13"/>
        </w:numPr>
        <w:jc w:val="both"/>
        <w:rPr>
          <w:rFonts w:ascii="Georgia" w:hAnsi="Georgia"/>
          <w:color w:val="404040" w:themeColor="text1" w:themeTint="BF"/>
          <w:sz w:val="20"/>
          <w:szCs w:val="18"/>
        </w:rPr>
      </w:pPr>
      <w:r w:rsidRPr="00814059">
        <w:rPr>
          <w:rFonts w:ascii="Arial" w:hAnsi="Arial" w:cs="Arial"/>
          <w:color w:val="000000"/>
          <w:sz w:val="20"/>
          <w:szCs w:val="18"/>
        </w:rPr>
        <w:t>the directors’ explanation in the viability statement (page 30 and 31) as to how they have assessed the prospects of the Company, over what period they have done so and why they consider that period to be appropriate, and their statement as to whether they have a reasonable expectation that the Company will be able to continue in operation and meet its liabilities as they fall due over the period of their assessment, including any related disclosures drawing attention to any necessary qualifications or assumptions.</w:t>
      </w:r>
    </w:p>
    <w:p w14:paraId="361532F1" w14:textId="77777777" w:rsidR="00C429C1" w:rsidRPr="00497407" w:rsidRDefault="00C429C1" w:rsidP="00101779">
      <w:pPr>
        <w:autoSpaceDE w:val="0"/>
        <w:autoSpaceDN w:val="0"/>
        <w:adjustRightInd w:val="0"/>
        <w:jc w:val="both"/>
        <w:rPr>
          <w:rFonts w:ascii="Arial" w:eastAsia="Tw Cen MT" w:hAnsi="Arial" w:cs="Arial"/>
          <w:bCs/>
          <w:i/>
          <w:iCs/>
          <w:color w:val="073763"/>
          <w:sz w:val="28"/>
          <w:szCs w:val="28"/>
          <w:highlight w:val="yellow"/>
          <w:lang w:val="en-US"/>
        </w:rPr>
      </w:pPr>
    </w:p>
    <w:p w14:paraId="42E3412E" w14:textId="77777777" w:rsidR="0015510D" w:rsidRPr="00814059" w:rsidRDefault="0015510D" w:rsidP="0015510D">
      <w:pPr>
        <w:autoSpaceDE w:val="0"/>
        <w:autoSpaceDN w:val="0"/>
        <w:adjustRightInd w:val="0"/>
        <w:jc w:val="both"/>
        <w:rPr>
          <w:rFonts w:ascii="Arial" w:hAnsi="Arial" w:cs="Arial"/>
          <w:i/>
          <w:iCs/>
          <w:color w:val="244061" w:themeColor="accent1" w:themeShade="80"/>
          <w:sz w:val="22"/>
        </w:rPr>
      </w:pPr>
      <w:r w:rsidRPr="00814059">
        <w:rPr>
          <w:rFonts w:ascii="Arial" w:hAnsi="Arial" w:cs="Arial"/>
          <w:i/>
          <w:iCs/>
          <w:color w:val="244061" w:themeColor="accent1" w:themeShade="80"/>
          <w:sz w:val="22"/>
        </w:rPr>
        <w:t xml:space="preserve">Corporate governance disclosures </w:t>
      </w:r>
    </w:p>
    <w:p w14:paraId="23485675" w14:textId="77777777" w:rsidR="0015510D" w:rsidRPr="00814059" w:rsidRDefault="0015510D" w:rsidP="0015510D">
      <w:pPr>
        <w:autoSpaceDE w:val="0"/>
        <w:autoSpaceDN w:val="0"/>
        <w:adjustRightInd w:val="0"/>
        <w:jc w:val="both"/>
        <w:rPr>
          <w:rFonts w:ascii="Arial" w:hAnsi="Arial" w:cs="Arial"/>
          <w:sz w:val="20"/>
        </w:rPr>
      </w:pPr>
    </w:p>
    <w:p w14:paraId="29298AB1" w14:textId="77777777" w:rsidR="0015510D" w:rsidRPr="00814059" w:rsidRDefault="0015510D" w:rsidP="0015510D">
      <w:pPr>
        <w:autoSpaceDE w:val="0"/>
        <w:autoSpaceDN w:val="0"/>
        <w:adjustRightInd w:val="0"/>
        <w:jc w:val="both"/>
        <w:rPr>
          <w:rFonts w:ascii="Arial" w:hAnsi="Arial" w:cs="Arial"/>
          <w:sz w:val="20"/>
        </w:rPr>
      </w:pPr>
      <w:r w:rsidRPr="00814059">
        <w:rPr>
          <w:rFonts w:ascii="Arial" w:hAnsi="Arial" w:cs="Arial"/>
          <w:sz w:val="20"/>
        </w:rPr>
        <w:t>We are required to report to you if:</w:t>
      </w:r>
    </w:p>
    <w:p w14:paraId="39BA6704" w14:textId="77777777" w:rsidR="0015510D" w:rsidRPr="00814059" w:rsidRDefault="0015510D" w:rsidP="0015510D">
      <w:pPr>
        <w:autoSpaceDE w:val="0"/>
        <w:autoSpaceDN w:val="0"/>
        <w:adjustRightInd w:val="0"/>
        <w:jc w:val="both"/>
        <w:rPr>
          <w:rFonts w:ascii="Arial" w:hAnsi="Arial" w:cs="Arial"/>
          <w:sz w:val="20"/>
        </w:rPr>
      </w:pPr>
    </w:p>
    <w:p w14:paraId="3F0EDF91" w14:textId="77777777" w:rsidR="0015510D" w:rsidRPr="00814059" w:rsidRDefault="0015510D" w:rsidP="000916C2">
      <w:pPr>
        <w:pStyle w:val="ListParagraph"/>
        <w:numPr>
          <w:ilvl w:val="0"/>
          <w:numId w:val="13"/>
        </w:numPr>
        <w:autoSpaceDE w:val="0"/>
        <w:autoSpaceDN w:val="0"/>
        <w:adjustRightInd w:val="0"/>
        <w:jc w:val="both"/>
        <w:rPr>
          <w:rFonts w:ascii="Arial" w:hAnsi="Arial" w:cs="Arial"/>
          <w:color w:val="000000"/>
          <w:sz w:val="20"/>
        </w:rPr>
      </w:pPr>
      <w:r w:rsidRPr="00814059">
        <w:rPr>
          <w:rFonts w:ascii="Arial" w:hAnsi="Arial" w:cs="Arial"/>
          <w:color w:val="000000"/>
          <w:sz w:val="20"/>
        </w:rPr>
        <w:t xml:space="preserve">we have identified material inconsistencies between the knowledge we acquired during our financial statements audit and the directors’ statement that they consider that the annual report and financial statements taken as a whole is fair, balanced and understandable and provides the information necessary for shareholders to assess the Company’s position and performance, business model and strategy; or  </w:t>
      </w:r>
    </w:p>
    <w:p w14:paraId="38A392B8" w14:textId="77777777" w:rsidR="0015510D" w:rsidRPr="00814059" w:rsidRDefault="0015510D" w:rsidP="000916C2">
      <w:pPr>
        <w:pStyle w:val="ListParagraph"/>
        <w:numPr>
          <w:ilvl w:val="0"/>
          <w:numId w:val="13"/>
        </w:numPr>
        <w:autoSpaceDE w:val="0"/>
        <w:autoSpaceDN w:val="0"/>
        <w:adjustRightInd w:val="0"/>
        <w:jc w:val="both"/>
        <w:rPr>
          <w:rFonts w:ascii="Arial" w:hAnsi="Arial" w:cs="Arial"/>
          <w:color w:val="000000"/>
          <w:sz w:val="20"/>
        </w:rPr>
      </w:pPr>
      <w:r w:rsidRPr="00814059">
        <w:rPr>
          <w:rFonts w:ascii="Arial" w:hAnsi="Arial" w:cs="Arial"/>
          <w:color w:val="000000"/>
          <w:sz w:val="20"/>
        </w:rPr>
        <w:t>the section of the annual report describing the work of the Audit Committee does not appropriately address matters communicated by us to the Audit Committee.</w:t>
      </w:r>
    </w:p>
    <w:p w14:paraId="76407CE6" w14:textId="77777777" w:rsidR="0015510D" w:rsidRPr="00497407" w:rsidRDefault="0015510D" w:rsidP="0015510D">
      <w:pPr>
        <w:pStyle w:val="ListParagraph"/>
        <w:autoSpaceDE w:val="0"/>
        <w:autoSpaceDN w:val="0"/>
        <w:adjustRightInd w:val="0"/>
        <w:jc w:val="both"/>
        <w:rPr>
          <w:rFonts w:ascii="Arial" w:hAnsi="Arial" w:cs="Arial"/>
          <w:color w:val="000000"/>
          <w:sz w:val="20"/>
          <w:highlight w:val="yellow"/>
        </w:rPr>
      </w:pPr>
    </w:p>
    <w:p w14:paraId="23047E84" w14:textId="125156FC" w:rsidR="0015510D" w:rsidRPr="00814059" w:rsidRDefault="0015510D" w:rsidP="0015510D">
      <w:pPr>
        <w:jc w:val="both"/>
        <w:rPr>
          <w:rFonts w:ascii="Arial" w:hAnsi="Arial" w:cs="Arial"/>
          <w:sz w:val="20"/>
        </w:rPr>
      </w:pPr>
      <w:r w:rsidRPr="00814059">
        <w:rPr>
          <w:rFonts w:ascii="Arial" w:hAnsi="Arial" w:cs="Arial"/>
          <w:sz w:val="20"/>
        </w:rPr>
        <w:t>We are required to report to you if the Corporate Governance Statement does not properly disclose a departure fr</w:t>
      </w:r>
      <w:r w:rsidR="009E24AE">
        <w:rPr>
          <w:rFonts w:ascii="Arial" w:hAnsi="Arial" w:cs="Arial"/>
          <w:sz w:val="20"/>
        </w:rPr>
        <w:t xml:space="preserve">om the </w:t>
      </w:r>
      <w:r w:rsidR="00814059" w:rsidRPr="00814059">
        <w:rPr>
          <w:rFonts w:ascii="Arial" w:hAnsi="Arial" w:cs="Arial"/>
          <w:sz w:val="20"/>
        </w:rPr>
        <w:t>provisions of the</w:t>
      </w:r>
      <w:r w:rsidRPr="00814059">
        <w:rPr>
          <w:rFonts w:ascii="Arial" w:hAnsi="Arial" w:cs="Arial"/>
          <w:sz w:val="20"/>
        </w:rPr>
        <w:t xml:space="preserve"> UK Corporate Governance Code specified by the Listing Rules for our review.  </w:t>
      </w:r>
    </w:p>
    <w:p w14:paraId="327EA2CE" w14:textId="77777777" w:rsidR="00814059" w:rsidRPr="00814059" w:rsidRDefault="00814059" w:rsidP="0015510D">
      <w:pPr>
        <w:jc w:val="both"/>
        <w:rPr>
          <w:rFonts w:ascii="Arial" w:hAnsi="Arial" w:cs="Arial"/>
          <w:sz w:val="20"/>
        </w:rPr>
      </w:pPr>
    </w:p>
    <w:p w14:paraId="7E764446" w14:textId="02987704" w:rsidR="0015510D" w:rsidRPr="00814059" w:rsidRDefault="0015510D" w:rsidP="0015510D">
      <w:pPr>
        <w:jc w:val="both"/>
        <w:rPr>
          <w:rFonts w:ascii="Arial" w:hAnsi="Arial" w:cs="Arial"/>
          <w:sz w:val="20"/>
        </w:rPr>
      </w:pPr>
      <w:r w:rsidRPr="00814059">
        <w:rPr>
          <w:rFonts w:ascii="Arial" w:hAnsi="Arial" w:cs="Arial"/>
          <w:sz w:val="20"/>
        </w:rPr>
        <w:t>We have nothing to report to you in these respects.</w:t>
      </w:r>
    </w:p>
    <w:p w14:paraId="2E1A89BB" w14:textId="77777777" w:rsidR="0015510D" w:rsidRPr="00497407" w:rsidRDefault="0015510D" w:rsidP="0015510D">
      <w:pPr>
        <w:jc w:val="both"/>
        <w:rPr>
          <w:rFonts w:ascii="Arial" w:hAnsi="Arial" w:cs="Arial"/>
          <w:sz w:val="20"/>
          <w:highlight w:val="yellow"/>
        </w:rPr>
      </w:pPr>
    </w:p>
    <w:p w14:paraId="1A2625B9" w14:textId="77777777" w:rsidR="0015510D" w:rsidRPr="00814059" w:rsidRDefault="0015510D" w:rsidP="0015510D">
      <w:pPr>
        <w:autoSpaceDE w:val="0"/>
        <w:autoSpaceDN w:val="0"/>
        <w:adjustRightInd w:val="0"/>
        <w:jc w:val="both"/>
        <w:rPr>
          <w:rFonts w:ascii="Arial" w:hAnsi="Arial" w:cs="Arial"/>
          <w:i/>
          <w:iCs/>
          <w:color w:val="244061" w:themeColor="accent1" w:themeShade="80"/>
          <w:sz w:val="22"/>
          <w:szCs w:val="28"/>
        </w:rPr>
      </w:pPr>
      <w:r w:rsidRPr="00814059">
        <w:rPr>
          <w:rFonts w:ascii="Arial" w:hAnsi="Arial" w:cs="Arial"/>
          <w:i/>
          <w:iCs/>
          <w:color w:val="244061" w:themeColor="accent1" w:themeShade="80"/>
          <w:sz w:val="22"/>
          <w:szCs w:val="28"/>
        </w:rPr>
        <w:t>We have nothing to report on other matters on which we are required to report by exception</w:t>
      </w:r>
    </w:p>
    <w:p w14:paraId="4481DA16" w14:textId="77777777" w:rsidR="0015510D" w:rsidRPr="00497407" w:rsidRDefault="0015510D" w:rsidP="0015510D">
      <w:pPr>
        <w:autoSpaceDE w:val="0"/>
        <w:autoSpaceDN w:val="0"/>
        <w:adjustRightInd w:val="0"/>
        <w:jc w:val="both"/>
        <w:rPr>
          <w:sz w:val="16"/>
          <w:highlight w:val="yellow"/>
        </w:rPr>
      </w:pPr>
    </w:p>
    <w:p w14:paraId="44985A74" w14:textId="77777777" w:rsidR="0015510D" w:rsidRPr="00814059" w:rsidRDefault="0015510D" w:rsidP="0015510D">
      <w:pPr>
        <w:autoSpaceDE w:val="0"/>
        <w:autoSpaceDN w:val="0"/>
        <w:adjustRightInd w:val="0"/>
        <w:jc w:val="both"/>
        <w:rPr>
          <w:rFonts w:ascii="Arial" w:hAnsi="Arial" w:cs="Arial"/>
          <w:sz w:val="20"/>
        </w:rPr>
      </w:pPr>
      <w:r w:rsidRPr="00814059">
        <w:rPr>
          <w:rFonts w:ascii="Arial" w:hAnsi="Arial" w:cs="Arial"/>
          <w:sz w:val="20"/>
        </w:rPr>
        <w:t>We have nothing to report in respect of the following matters where the Companies (Guernsey) Law, 2008 requires us to report to you if, in our opinion:</w:t>
      </w:r>
    </w:p>
    <w:p w14:paraId="23D2F387" w14:textId="77777777" w:rsidR="0015510D" w:rsidRPr="00814059" w:rsidRDefault="0015510D" w:rsidP="0015510D">
      <w:pPr>
        <w:autoSpaceDE w:val="0"/>
        <w:autoSpaceDN w:val="0"/>
        <w:adjustRightInd w:val="0"/>
        <w:jc w:val="both"/>
        <w:rPr>
          <w:rFonts w:ascii="Arial" w:hAnsi="Arial" w:cs="Arial"/>
          <w:sz w:val="20"/>
        </w:rPr>
      </w:pPr>
    </w:p>
    <w:p w14:paraId="6ED53E48" w14:textId="77777777" w:rsidR="0015510D" w:rsidRPr="00814059" w:rsidRDefault="0015510D" w:rsidP="000916C2">
      <w:pPr>
        <w:pStyle w:val="ListParagraph"/>
        <w:numPr>
          <w:ilvl w:val="0"/>
          <w:numId w:val="14"/>
        </w:numPr>
        <w:autoSpaceDE w:val="0"/>
        <w:autoSpaceDN w:val="0"/>
        <w:adjustRightInd w:val="0"/>
        <w:jc w:val="both"/>
        <w:rPr>
          <w:rFonts w:ascii="Arial" w:hAnsi="Arial" w:cs="Arial"/>
          <w:sz w:val="20"/>
        </w:rPr>
      </w:pPr>
      <w:r w:rsidRPr="00814059">
        <w:rPr>
          <w:rFonts w:ascii="Arial" w:hAnsi="Arial" w:cs="Arial"/>
          <w:sz w:val="20"/>
        </w:rPr>
        <w:t>the Company</w:t>
      </w:r>
      <w:r w:rsidRPr="00814059">
        <w:rPr>
          <w:rFonts w:ascii="Arial" w:hAnsi="Arial" w:cs="Arial"/>
          <w:color w:val="FF0000"/>
          <w:sz w:val="20"/>
        </w:rPr>
        <w:t xml:space="preserve"> </w:t>
      </w:r>
      <w:r w:rsidRPr="00814059">
        <w:rPr>
          <w:rFonts w:ascii="Arial" w:hAnsi="Arial" w:cs="Arial"/>
          <w:sz w:val="20"/>
        </w:rPr>
        <w:t xml:space="preserve">has not kept proper accounting records; or </w:t>
      </w:r>
    </w:p>
    <w:p w14:paraId="05C351DC" w14:textId="616A7AF0" w:rsidR="0015510D" w:rsidRPr="00814059" w:rsidRDefault="00210427" w:rsidP="000916C2">
      <w:pPr>
        <w:pStyle w:val="ListParagraph"/>
        <w:numPr>
          <w:ilvl w:val="0"/>
          <w:numId w:val="14"/>
        </w:numPr>
        <w:autoSpaceDE w:val="0"/>
        <w:autoSpaceDN w:val="0"/>
        <w:adjustRightInd w:val="0"/>
        <w:jc w:val="both"/>
        <w:rPr>
          <w:rFonts w:ascii="Arial" w:hAnsi="Arial" w:cs="Arial"/>
          <w:sz w:val="20"/>
        </w:rPr>
      </w:pPr>
      <w:r>
        <w:rPr>
          <w:rFonts w:ascii="Arial" w:hAnsi="Arial" w:cs="Arial"/>
          <w:sz w:val="20"/>
        </w:rPr>
        <w:t>the financial s</w:t>
      </w:r>
      <w:r w:rsidR="0015510D" w:rsidRPr="00814059">
        <w:rPr>
          <w:rFonts w:ascii="Arial" w:hAnsi="Arial" w:cs="Arial"/>
          <w:sz w:val="20"/>
        </w:rPr>
        <w:t xml:space="preserve">tatements are not in agreement with the accounting records; or </w:t>
      </w:r>
    </w:p>
    <w:p w14:paraId="31282895" w14:textId="77777777" w:rsidR="0015510D" w:rsidRPr="00814059" w:rsidRDefault="0015510D" w:rsidP="000916C2">
      <w:pPr>
        <w:pStyle w:val="ListParagraph"/>
        <w:numPr>
          <w:ilvl w:val="0"/>
          <w:numId w:val="14"/>
        </w:numPr>
        <w:autoSpaceDE w:val="0"/>
        <w:autoSpaceDN w:val="0"/>
        <w:adjustRightInd w:val="0"/>
        <w:jc w:val="both"/>
        <w:rPr>
          <w:rFonts w:ascii="Arial" w:hAnsi="Arial" w:cs="Arial"/>
          <w:sz w:val="20"/>
        </w:rPr>
      </w:pPr>
      <w:r w:rsidRPr="00814059">
        <w:rPr>
          <w:rFonts w:ascii="Arial" w:hAnsi="Arial" w:cs="Arial"/>
          <w:sz w:val="20"/>
        </w:rPr>
        <w:t>we have not received all the information and explanations, which to the best of our knowledge and belief are necessary for the purpose of our audit.</w:t>
      </w:r>
    </w:p>
    <w:p w14:paraId="6CA9B6CA" w14:textId="77777777" w:rsidR="0015510D" w:rsidRPr="00497407" w:rsidRDefault="0015510D" w:rsidP="0015510D">
      <w:pPr>
        <w:pStyle w:val="ListParagraph"/>
        <w:autoSpaceDE w:val="0"/>
        <w:autoSpaceDN w:val="0"/>
        <w:adjustRightInd w:val="0"/>
        <w:jc w:val="both"/>
        <w:rPr>
          <w:rFonts w:ascii="Arial" w:hAnsi="Arial" w:cs="Arial"/>
          <w:sz w:val="20"/>
          <w:highlight w:val="yellow"/>
        </w:rPr>
      </w:pPr>
    </w:p>
    <w:p w14:paraId="3426D0EC"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596806FB"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5717634A"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1AD725EB"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2B1513EE"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581A4C72"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15BC603E"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59E092B1"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413C4BA1"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5587634C" w14:textId="77777777" w:rsidR="00814059" w:rsidRDefault="00814059" w:rsidP="0015510D">
      <w:pPr>
        <w:autoSpaceDE w:val="0"/>
        <w:autoSpaceDN w:val="0"/>
        <w:adjustRightInd w:val="0"/>
        <w:jc w:val="both"/>
        <w:rPr>
          <w:rFonts w:ascii="Arial" w:hAnsi="Arial" w:cs="Arial"/>
          <w:i/>
          <w:iCs/>
          <w:color w:val="244061" w:themeColor="accent1" w:themeShade="80"/>
          <w:sz w:val="22"/>
          <w:szCs w:val="28"/>
          <w:highlight w:val="yellow"/>
        </w:rPr>
      </w:pPr>
    </w:p>
    <w:p w14:paraId="44A9512E" w14:textId="77777777" w:rsidR="00814059" w:rsidRPr="00814059" w:rsidRDefault="00814059" w:rsidP="00814059">
      <w:pPr>
        <w:pStyle w:val="Heading2"/>
        <w:spacing w:before="0"/>
        <w:rPr>
          <w:color w:val="404040" w:themeColor="text1" w:themeTint="BF"/>
        </w:rPr>
      </w:pPr>
      <w:r w:rsidRPr="00814059">
        <w:rPr>
          <w:color w:val="404040" w:themeColor="text1" w:themeTint="BF"/>
        </w:rPr>
        <w:lastRenderedPageBreak/>
        <w:t>Independent Auditor’s Report (continued)</w:t>
      </w:r>
    </w:p>
    <w:p w14:paraId="75D41C45" w14:textId="77777777" w:rsidR="00814059" w:rsidRPr="00814059" w:rsidRDefault="00814059" w:rsidP="0015510D">
      <w:pPr>
        <w:autoSpaceDE w:val="0"/>
        <w:autoSpaceDN w:val="0"/>
        <w:adjustRightInd w:val="0"/>
        <w:jc w:val="both"/>
        <w:rPr>
          <w:rFonts w:ascii="Arial" w:hAnsi="Arial" w:cs="Arial"/>
          <w:i/>
          <w:iCs/>
          <w:color w:val="244061" w:themeColor="accent1" w:themeShade="80"/>
          <w:sz w:val="22"/>
          <w:szCs w:val="28"/>
        </w:rPr>
      </w:pPr>
    </w:p>
    <w:p w14:paraId="4B7B1177" w14:textId="62DD8047" w:rsidR="0015510D" w:rsidRPr="00814059" w:rsidRDefault="0015510D" w:rsidP="0015510D">
      <w:pPr>
        <w:autoSpaceDE w:val="0"/>
        <w:autoSpaceDN w:val="0"/>
        <w:adjustRightInd w:val="0"/>
        <w:jc w:val="both"/>
        <w:rPr>
          <w:rFonts w:ascii="Arial" w:hAnsi="Arial" w:cs="Arial"/>
          <w:i/>
          <w:iCs/>
          <w:color w:val="244061" w:themeColor="accent1" w:themeShade="80"/>
          <w:sz w:val="22"/>
          <w:szCs w:val="28"/>
        </w:rPr>
      </w:pPr>
      <w:r w:rsidRPr="00814059">
        <w:rPr>
          <w:rFonts w:ascii="Arial" w:hAnsi="Arial" w:cs="Arial"/>
          <w:i/>
          <w:iCs/>
          <w:color w:val="244061" w:themeColor="accent1" w:themeShade="80"/>
          <w:sz w:val="22"/>
          <w:szCs w:val="28"/>
        </w:rPr>
        <w:t>Respective responsibilities</w:t>
      </w:r>
    </w:p>
    <w:p w14:paraId="4B59DB8B" w14:textId="77777777" w:rsidR="0015510D" w:rsidRPr="00814059" w:rsidRDefault="0015510D" w:rsidP="0015510D">
      <w:pPr>
        <w:autoSpaceDE w:val="0"/>
        <w:autoSpaceDN w:val="0"/>
        <w:adjustRightInd w:val="0"/>
        <w:jc w:val="both"/>
        <w:rPr>
          <w:rFonts w:ascii="Arial" w:hAnsi="Arial" w:cs="Arial"/>
          <w:i/>
          <w:iCs/>
          <w:color w:val="244061" w:themeColor="accent1" w:themeShade="80"/>
          <w:sz w:val="22"/>
          <w:szCs w:val="28"/>
        </w:rPr>
      </w:pPr>
    </w:p>
    <w:p w14:paraId="5148511E" w14:textId="77777777" w:rsidR="0015510D" w:rsidRPr="00814059" w:rsidRDefault="0015510D" w:rsidP="0015510D">
      <w:pPr>
        <w:autoSpaceDE w:val="0"/>
        <w:autoSpaceDN w:val="0"/>
        <w:adjustRightInd w:val="0"/>
        <w:jc w:val="both"/>
        <w:rPr>
          <w:rFonts w:ascii="Arial" w:hAnsi="Arial" w:cs="Arial"/>
          <w:i/>
          <w:iCs/>
          <w:color w:val="244061" w:themeColor="accent1" w:themeShade="80"/>
          <w:sz w:val="22"/>
        </w:rPr>
      </w:pPr>
      <w:r w:rsidRPr="00814059">
        <w:rPr>
          <w:rFonts w:ascii="Arial" w:hAnsi="Arial" w:cs="Arial"/>
          <w:i/>
          <w:iCs/>
          <w:color w:val="244061" w:themeColor="accent1" w:themeShade="80"/>
          <w:sz w:val="22"/>
        </w:rPr>
        <w:t xml:space="preserve">Directors’ responsibilities  </w:t>
      </w:r>
    </w:p>
    <w:p w14:paraId="5E5CBBC5" w14:textId="77777777" w:rsidR="0015510D" w:rsidRPr="00814059" w:rsidRDefault="0015510D" w:rsidP="0015510D">
      <w:pPr>
        <w:autoSpaceDE w:val="0"/>
        <w:autoSpaceDN w:val="0"/>
        <w:adjustRightInd w:val="0"/>
        <w:jc w:val="both"/>
        <w:rPr>
          <w:rFonts w:ascii="Arial" w:hAnsi="Arial" w:cs="Arial"/>
          <w:i/>
          <w:iCs/>
          <w:color w:val="244061" w:themeColor="accent1" w:themeShade="80"/>
          <w:sz w:val="22"/>
          <w:szCs w:val="28"/>
        </w:rPr>
      </w:pPr>
    </w:p>
    <w:p w14:paraId="269C6689" w14:textId="67A209E9" w:rsidR="0015510D" w:rsidRPr="00814059" w:rsidRDefault="0015510D" w:rsidP="0015510D">
      <w:pPr>
        <w:jc w:val="both"/>
        <w:rPr>
          <w:rFonts w:ascii="Arial" w:hAnsi="Arial" w:cs="Arial"/>
          <w:color w:val="000000"/>
          <w:sz w:val="20"/>
        </w:rPr>
      </w:pPr>
      <w:r w:rsidRPr="00814059">
        <w:rPr>
          <w:rFonts w:ascii="Arial" w:hAnsi="Arial" w:cs="Arial"/>
          <w:color w:val="000000"/>
          <w:sz w:val="20"/>
        </w:rPr>
        <w:t xml:space="preserve">As explained more fully in their statement set out on page </w:t>
      </w:r>
      <w:r w:rsidR="00814059">
        <w:rPr>
          <w:rFonts w:ascii="Arial" w:hAnsi="Arial" w:cs="Arial"/>
          <w:color w:val="000000"/>
          <w:sz w:val="20"/>
        </w:rPr>
        <w:t>88</w:t>
      </w:r>
      <w:r w:rsidR="00210427">
        <w:rPr>
          <w:rFonts w:ascii="Arial" w:hAnsi="Arial" w:cs="Arial"/>
          <w:color w:val="000000"/>
          <w:sz w:val="20"/>
        </w:rPr>
        <w:t>, the d</w:t>
      </w:r>
      <w:r w:rsidRPr="00814059">
        <w:rPr>
          <w:rFonts w:ascii="Arial" w:hAnsi="Arial" w:cs="Arial"/>
          <w:color w:val="000000"/>
          <w:sz w:val="20"/>
        </w:rPr>
        <w:t>irectors are responsib</w:t>
      </w:r>
      <w:r w:rsidR="00210427">
        <w:rPr>
          <w:rFonts w:ascii="Arial" w:hAnsi="Arial" w:cs="Arial"/>
          <w:color w:val="000000"/>
          <w:sz w:val="20"/>
        </w:rPr>
        <w:t>le for: the preparation of the financial s</w:t>
      </w:r>
      <w:r w:rsidRPr="00814059">
        <w:rPr>
          <w:rFonts w:ascii="Arial" w:hAnsi="Arial" w:cs="Arial"/>
          <w:color w:val="000000"/>
          <w:sz w:val="20"/>
        </w:rPr>
        <w:t>tatements including being satisfied that they give a true and fair view; such internal control as they determine is necessary to enable the preparation of financial statements that are free from material misstatement, whether due to fraud or error; assessing the Company’s ability to continue as a going concern, disclosing, as applicable, matters related to going concern; and using the going concern basis of accounting unless they either intend to liquidate the Company or to cease operations, or have no realistic alternative but to do so.</w:t>
      </w:r>
      <w:bookmarkStart w:id="45" w:name="_GoBack"/>
      <w:bookmarkEnd w:id="45"/>
      <w:r w:rsidRPr="00814059">
        <w:rPr>
          <w:rFonts w:ascii="Arial" w:hAnsi="Arial" w:cs="Arial"/>
          <w:color w:val="000000"/>
          <w:sz w:val="20"/>
        </w:rPr>
        <w:t xml:space="preserve">  </w:t>
      </w:r>
    </w:p>
    <w:p w14:paraId="0DB90C92" w14:textId="77777777" w:rsidR="0015510D" w:rsidRPr="00814059" w:rsidRDefault="0015510D" w:rsidP="0015510D">
      <w:pPr>
        <w:jc w:val="both"/>
        <w:rPr>
          <w:rFonts w:ascii="Arial" w:hAnsi="Arial" w:cs="Arial"/>
          <w:color w:val="000000"/>
          <w:sz w:val="22"/>
        </w:rPr>
      </w:pPr>
    </w:p>
    <w:p w14:paraId="591653CF" w14:textId="77777777" w:rsidR="0015510D" w:rsidRPr="00814059" w:rsidRDefault="0015510D" w:rsidP="0015510D">
      <w:pPr>
        <w:autoSpaceDE w:val="0"/>
        <w:autoSpaceDN w:val="0"/>
        <w:adjustRightInd w:val="0"/>
        <w:jc w:val="both"/>
        <w:rPr>
          <w:rFonts w:ascii="Arial" w:hAnsi="Arial" w:cs="Arial"/>
          <w:i/>
          <w:iCs/>
          <w:color w:val="244061" w:themeColor="accent1" w:themeShade="80"/>
          <w:sz w:val="22"/>
        </w:rPr>
      </w:pPr>
      <w:r w:rsidRPr="00814059">
        <w:rPr>
          <w:rFonts w:ascii="Arial" w:hAnsi="Arial" w:cs="Arial"/>
          <w:i/>
          <w:iCs/>
          <w:color w:val="244061" w:themeColor="accent1" w:themeShade="80"/>
          <w:sz w:val="22"/>
        </w:rPr>
        <w:t xml:space="preserve">Auditor’s responsibilities  </w:t>
      </w:r>
    </w:p>
    <w:p w14:paraId="489A1553" w14:textId="77777777" w:rsidR="0015510D" w:rsidRPr="00497407" w:rsidRDefault="0015510D" w:rsidP="0015510D">
      <w:pPr>
        <w:autoSpaceDE w:val="0"/>
        <w:autoSpaceDN w:val="0"/>
        <w:adjustRightInd w:val="0"/>
        <w:jc w:val="both"/>
        <w:rPr>
          <w:rFonts w:ascii="Arial" w:hAnsi="Arial" w:cs="Arial"/>
          <w:i/>
          <w:iCs/>
          <w:color w:val="244061" w:themeColor="accent1" w:themeShade="80"/>
          <w:sz w:val="22"/>
          <w:szCs w:val="28"/>
          <w:highlight w:val="yellow"/>
        </w:rPr>
      </w:pPr>
    </w:p>
    <w:p w14:paraId="238245B0" w14:textId="7FF4436A" w:rsidR="00814059" w:rsidRPr="00814059" w:rsidRDefault="0015510D" w:rsidP="0015510D">
      <w:pPr>
        <w:jc w:val="both"/>
        <w:rPr>
          <w:rFonts w:ascii="Arial" w:hAnsi="Arial" w:cs="Arial"/>
          <w:color w:val="000000"/>
          <w:sz w:val="20"/>
        </w:rPr>
      </w:pPr>
      <w:r w:rsidRPr="00814059">
        <w:rPr>
          <w:rFonts w:ascii="Arial" w:hAnsi="Arial" w:cs="Arial"/>
          <w:color w:val="000000"/>
          <w:sz w:val="20"/>
        </w:rPr>
        <w:t>Our objectives are to obtain reasonab</w:t>
      </w:r>
      <w:r w:rsidR="009E24AE">
        <w:rPr>
          <w:rFonts w:ascii="Arial" w:hAnsi="Arial" w:cs="Arial"/>
          <w:color w:val="000000"/>
          <w:sz w:val="20"/>
        </w:rPr>
        <w:t>le assurance about whether the financial s</w:t>
      </w:r>
      <w:r w:rsidRPr="00814059">
        <w:rPr>
          <w:rFonts w:ascii="Arial" w:hAnsi="Arial" w:cs="Arial"/>
          <w:color w:val="000000"/>
          <w:sz w:val="20"/>
        </w:rPr>
        <w:t>tatements as a whole are free from material misstatement, whether due to fraud or error, and to issue our opinion in an auditor’s report.  Reasonable assurance is a high level of assurance, but does not guarantee that an audit conducted in accordance with ISAs (UK) will always detect a material misstatement when it exists.  Misstatements can arise from fraud or error and are considered material if, individually or in aggregate, they could reasonably be expected to influence the economic decisions of u</w:t>
      </w:r>
      <w:r w:rsidR="009E24AE">
        <w:rPr>
          <w:rFonts w:ascii="Arial" w:hAnsi="Arial" w:cs="Arial"/>
          <w:color w:val="000000"/>
          <w:sz w:val="20"/>
        </w:rPr>
        <w:t>sers taken on the basis of the financial s</w:t>
      </w:r>
      <w:r w:rsidR="003E5283" w:rsidRPr="00814059">
        <w:rPr>
          <w:rFonts w:ascii="Arial" w:hAnsi="Arial" w:cs="Arial"/>
          <w:color w:val="000000"/>
          <w:sz w:val="20"/>
        </w:rPr>
        <w:t xml:space="preserve">tatements. </w:t>
      </w:r>
    </w:p>
    <w:p w14:paraId="619F3A04" w14:textId="77777777" w:rsidR="00814059" w:rsidRDefault="00814059" w:rsidP="0015510D">
      <w:pPr>
        <w:jc w:val="both"/>
        <w:rPr>
          <w:rFonts w:ascii="Arial" w:hAnsi="Arial" w:cs="Arial"/>
          <w:color w:val="000000"/>
          <w:sz w:val="20"/>
          <w:highlight w:val="yellow"/>
        </w:rPr>
      </w:pPr>
    </w:p>
    <w:p w14:paraId="5A30E4EC" w14:textId="7B5AB358" w:rsidR="0015510D" w:rsidRPr="00814059" w:rsidRDefault="003E5283" w:rsidP="0015510D">
      <w:pPr>
        <w:jc w:val="both"/>
        <w:rPr>
          <w:rFonts w:ascii="Arial" w:hAnsi="Arial" w:cs="Arial"/>
          <w:color w:val="000000"/>
          <w:sz w:val="20"/>
        </w:rPr>
      </w:pPr>
      <w:r w:rsidRPr="00814059">
        <w:rPr>
          <w:rFonts w:ascii="Arial" w:hAnsi="Arial" w:cs="Arial"/>
          <w:color w:val="000000"/>
          <w:sz w:val="20"/>
        </w:rPr>
        <w:t xml:space="preserve">A fuller description of our responsibilities is provided on the FRC’s website at www.frc.org.uk/auditorsresponsibilities.  </w:t>
      </w:r>
    </w:p>
    <w:p w14:paraId="235FE41C" w14:textId="24CF76FC" w:rsidR="007158B4" w:rsidRPr="00497407" w:rsidRDefault="007158B4" w:rsidP="00C429C1">
      <w:pPr>
        <w:autoSpaceDE w:val="0"/>
        <w:autoSpaceDN w:val="0"/>
        <w:adjustRightInd w:val="0"/>
        <w:jc w:val="both"/>
        <w:rPr>
          <w:rFonts w:ascii="Arial" w:eastAsia="Tw Cen MT" w:hAnsi="Arial" w:cs="Arial"/>
          <w:bCs/>
          <w:i/>
          <w:iCs/>
          <w:color w:val="073763"/>
          <w:sz w:val="22"/>
          <w:szCs w:val="22"/>
          <w:highlight w:val="yellow"/>
          <w:lang w:val="en-US"/>
        </w:rPr>
      </w:pPr>
    </w:p>
    <w:p w14:paraId="1D23C372" w14:textId="77777777" w:rsidR="00C429C1" w:rsidRPr="00814059" w:rsidRDefault="00C429C1" w:rsidP="00C429C1">
      <w:pPr>
        <w:autoSpaceDE w:val="0"/>
        <w:autoSpaceDN w:val="0"/>
        <w:adjustRightInd w:val="0"/>
        <w:jc w:val="both"/>
        <w:rPr>
          <w:rFonts w:ascii="Arial" w:eastAsia="Tw Cen MT" w:hAnsi="Arial" w:cs="Arial"/>
          <w:i/>
          <w:iCs/>
          <w:color w:val="073763"/>
          <w:sz w:val="22"/>
          <w:szCs w:val="22"/>
          <w:lang w:val="en-US"/>
        </w:rPr>
      </w:pPr>
      <w:r w:rsidRPr="00814059">
        <w:rPr>
          <w:rFonts w:ascii="Arial" w:eastAsia="Tw Cen MT" w:hAnsi="Arial" w:cs="Arial"/>
          <w:bCs/>
          <w:i/>
          <w:iCs/>
          <w:color w:val="073763"/>
          <w:sz w:val="22"/>
          <w:szCs w:val="22"/>
          <w:lang w:val="en-US"/>
        </w:rPr>
        <w:t>The purpose of this report and restrictions on its use by persons other than the Company’s members as a body</w:t>
      </w:r>
    </w:p>
    <w:p w14:paraId="000DAB48" w14:textId="77777777" w:rsidR="00C429C1" w:rsidRPr="00497407" w:rsidRDefault="00C429C1" w:rsidP="00C429C1">
      <w:pPr>
        <w:jc w:val="both"/>
        <w:rPr>
          <w:sz w:val="18"/>
          <w:szCs w:val="18"/>
          <w:highlight w:val="yellow"/>
          <w:lang w:val="en-US"/>
        </w:rPr>
      </w:pPr>
    </w:p>
    <w:p w14:paraId="35865333" w14:textId="77777777" w:rsidR="003E5283" w:rsidRPr="00814059" w:rsidRDefault="003E5283" w:rsidP="003E5283">
      <w:pPr>
        <w:pStyle w:val="NormalWeb"/>
        <w:spacing w:before="0" w:beforeAutospacing="0" w:after="0" w:afterAutospacing="0"/>
        <w:jc w:val="both"/>
        <w:rPr>
          <w:rFonts w:ascii="Arial" w:hAnsi="Arial" w:cs="Arial"/>
          <w:sz w:val="20"/>
          <w:szCs w:val="22"/>
        </w:rPr>
      </w:pPr>
      <w:r w:rsidRPr="00814059">
        <w:rPr>
          <w:rFonts w:ascii="Arial" w:hAnsi="Arial" w:cs="Arial"/>
          <w:sz w:val="20"/>
          <w:szCs w:val="22"/>
        </w:rPr>
        <w:t>This report is made solely to the Company’s members, as a body, in accordance with section 262 of the Companies (Guernsey) Law, 2008. Our audit work has been undertaken so that we might state to the Company’s members those matters we are required to state to them in an auditor’s report and for no other purpose. To the fullest extent permitted by law, we do not accept or assume responsibility to anyone other than the Company and the Company’s members, as a body, for our audit work, for this report, or for the opinions we have formed.</w:t>
      </w:r>
    </w:p>
    <w:p w14:paraId="287D4A46" w14:textId="77777777" w:rsidR="00C429C1" w:rsidRPr="00497407" w:rsidRDefault="00C429C1" w:rsidP="00C429C1">
      <w:pPr>
        <w:overflowPunct w:val="0"/>
        <w:autoSpaceDE w:val="0"/>
        <w:autoSpaceDN w:val="0"/>
        <w:adjustRightInd w:val="0"/>
        <w:spacing w:after="60" w:line="260" w:lineRule="exact"/>
        <w:jc w:val="both"/>
        <w:textAlignment w:val="baseline"/>
        <w:outlineLvl w:val="1"/>
        <w:rPr>
          <w:rFonts w:ascii="Arial" w:hAnsi="Arial" w:cs="Arial"/>
          <w:b/>
          <w:sz w:val="18"/>
          <w:szCs w:val="18"/>
          <w:highlight w:val="yellow"/>
        </w:rPr>
      </w:pPr>
    </w:p>
    <w:p w14:paraId="69972782" w14:textId="77777777" w:rsidR="00C429C1" w:rsidRPr="00497407" w:rsidRDefault="00C429C1" w:rsidP="00C429C1">
      <w:pPr>
        <w:overflowPunct w:val="0"/>
        <w:autoSpaceDE w:val="0"/>
        <w:autoSpaceDN w:val="0"/>
        <w:adjustRightInd w:val="0"/>
        <w:spacing w:after="60" w:line="260" w:lineRule="exact"/>
        <w:jc w:val="both"/>
        <w:textAlignment w:val="baseline"/>
        <w:outlineLvl w:val="1"/>
        <w:rPr>
          <w:rFonts w:ascii="Arial" w:hAnsi="Arial" w:cs="Arial"/>
          <w:b/>
          <w:sz w:val="18"/>
          <w:szCs w:val="18"/>
          <w:highlight w:val="yellow"/>
          <w:lang w:val="en-US"/>
        </w:rPr>
      </w:pPr>
    </w:p>
    <w:p w14:paraId="66D39C63" w14:textId="77777777" w:rsidR="00C429C1" w:rsidRPr="00497407" w:rsidRDefault="00C429C1" w:rsidP="00C429C1">
      <w:pPr>
        <w:overflowPunct w:val="0"/>
        <w:autoSpaceDE w:val="0"/>
        <w:autoSpaceDN w:val="0"/>
        <w:adjustRightInd w:val="0"/>
        <w:spacing w:after="60" w:line="260" w:lineRule="exact"/>
        <w:jc w:val="both"/>
        <w:textAlignment w:val="baseline"/>
        <w:outlineLvl w:val="1"/>
        <w:rPr>
          <w:rFonts w:ascii="Arial" w:hAnsi="Arial" w:cs="Arial"/>
          <w:b/>
          <w:sz w:val="18"/>
          <w:szCs w:val="18"/>
          <w:highlight w:val="yellow"/>
          <w:lang w:val="en-US"/>
        </w:rPr>
      </w:pPr>
    </w:p>
    <w:p w14:paraId="5F236CF6" w14:textId="77777777" w:rsidR="00C429C1" w:rsidRPr="00497407" w:rsidRDefault="00C429C1" w:rsidP="00C429C1">
      <w:pPr>
        <w:overflowPunct w:val="0"/>
        <w:autoSpaceDE w:val="0"/>
        <w:autoSpaceDN w:val="0"/>
        <w:adjustRightInd w:val="0"/>
        <w:spacing w:after="60" w:line="260" w:lineRule="exact"/>
        <w:jc w:val="both"/>
        <w:textAlignment w:val="baseline"/>
        <w:outlineLvl w:val="1"/>
        <w:rPr>
          <w:rFonts w:ascii="Arial" w:hAnsi="Arial" w:cs="Arial"/>
          <w:b/>
          <w:sz w:val="18"/>
          <w:szCs w:val="18"/>
          <w:highlight w:val="yellow"/>
          <w:lang w:val="en-US"/>
        </w:rPr>
      </w:pPr>
    </w:p>
    <w:p w14:paraId="6D1801E4" w14:textId="77777777" w:rsidR="00C429C1" w:rsidRPr="00814059" w:rsidRDefault="00C429C1" w:rsidP="00C429C1">
      <w:pPr>
        <w:overflowPunct w:val="0"/>
        <w:autoSpaceDE w:val="0"/>
        <w:autoSpaceDN w:val="0"/>
        <w:adjustRightInd w:val="0"/>
        <w:spacing w:after="60" w:line="260" w:lineRule="exact"/>
        <w:jc w:val="both"/>
        <w:textAlignment w:val="baseline"/>
        <w:outlineLvl w:val="1"/>
        <w:rPr>
          <w:rFonts w:ascii="Arial" w:hAnsi="Arial" w:cs="Arial"/>
          <w:b/>
          <w:sz w:val="18"/>
          <w:szCs w:val="18"/>
          <w:lang w:val="en-US"/>
        </w:rPr>
      </w:pPr>
      <w:r w:rsidRPr="00814059">
        <w:rPr>
          <w:rFonts w:ascii="Arial" w:hAnsi="Arial" w:cs="Arial"/>
          <w:b/>
          <w:sz w:val="18"/>
          <w:szCs w:val="18"/>
          <w:lang w:val="en-US"/>
        </w:rPr>
        <w:t xml:space="preserve">Rachid Frihmat  </w:t>
      </w:r>
    </w:p>
    <w:p w14:paraId="4D0D7094" w14:textId="77777777" w:rsidR="00C429C1" w:rsidRPr="00814059" w:rsidRDefault="00C429C1" w:rsidP="00C429C1">
      <w:pPr>
        <w:overflowPunct w:val="0"/>
        <w:autoSpaceDE w:val="0"/>
        <w:autoSpaceDN w:val="0"/>
        <w:adjustRightInd w:val="0"/>
        <w:spacing w:after="60" w:line="260" w:lineRule="exact"/>
        <w:jc w:val="both"/>
        <w:textAlignment w:val="baseline"/>
        <w:outlineLvl w:val="1"/>
        <w:rPr>
          <w:rFonts w:ascii="Arial" w:hAnsi="Arial" w:cs="Arial"/>
          <w:b/>
          <w:sz w:val="18"/>
          <w:szCs w:val="18"/>
          <w:lang w:val="en-US"/>
        </w:rPr>
      </w:pPr>
      <w:r w:rsidRPr="00814059">
        <w:rPr>
          <w:rFonts w:ascii="Arial" w:hAnsi="Arial" w:cs="Arial"/>
          <w:b/>
          <w:sz w:val="18"/>
          <w:szCs w:val="18"/>
          <w:lang w:val="en-US"/>
        </w:rPr>
        <w:t xml:space="preserve">For and on behalf of KPMG Channel Islands Limited  </w:t>
      </w:r>
    </w:p>
    <w:p w14:paraId="17A4B50F" w14:textId="77777777" w:rsidR="00C429C1" w:rsidRPr="00814059" w:rsidRDefault="00C429C1" w:rsidP="00C429C1">
      <w:pPr>
        <w:tabs>
          <w:tab w:val="left" w:pos="284"/>
          <w:tab w:val="left" w:pos="7770"/>
        </w:tabs>
        <w:overflowPunct w:val="0"/>
        <w:autoSpaceDE w:val="0"/>
        <w:autoSpaceDN w:val="0"/>
        <w:adjustRightInd w:val="0"/>
        <w:spacing w:after="260"/>
        <w:jc w:val="both"/>
        <w:textAlignment w:val="baseline"/>
        <w:rPr>
          <w:rFonts w:ascii="Arial" w:hAnsi="Arial" w:cs="Arial"/>
          <w:sz w:val="18"/>
          <w:szCs w:val="18"/>
          <w:lang w:val="en-US"/>
        </w:rPr>
      </w:pPr>
      <w:r w:rsidRPr="00814059">
        <w:rPr>
          <w:rFonts w:ascii="Arial" w:hAnsi="Arial" w:cs="Arial"/>
          <w:sz w:val="18"/>
          <w:szCs w:val="18"/>
          <w:lang w:val="en-US"/>
        </w:rPr>
        <w:t xml:space="preserve">Chartered Accountants and </w:t>
      </w:r>
      <w:proofErr w:type="spellStart"/>
      <w:r w:rsidRPr="00814059">
        <w:rPr>
          <w:rFonts w:ascii="Arial" w:hAnsi="Arial" w:cs="Arial"/>
          <w:sz w:val="18"/>
          <w:szCs w:val="18"/>
          <w:lang w:val="en-US"/>
        </w:rPr>
        <w:t>Recognised</w:t>
      </w:r>
      <w:proofErr w:type="spellEnd"/>
      <w:r w:rsidRPr="00814059">
        <w:rPr>
          <w:rFonts w:ascii="Arial" w:hAnsi="Arial" w:cs="Arial"/>
          <w:sz w:val="18"/>
          <w:szCs w:val="18"/>
          <w:lang w:val="en-US"/>
        </w:rPr>
        <w:t xml:space="preserve"> Auditors, Guernsey </w:t>
      </w:r>
    </w:p>
    <w:p w14:paraId="24C2CB61" w14:textId="02F6FDBB" w:rsidR="00C429C1" w:rsidRPr="00C429C1" w:rsidRDefault="00814059" w:rsidP="00C429C1">
      <w:pPr>
        <w:tabs>
          <w:tab w:val="left" w:pos="284"/>
          <w:tab w:val="left" w:pos="7770"/>
        </w:tabs>
        <w:overflowPunct w:val="0"/>
        <w:autoSpaceDE w:val="0"/>
        <w:autoSpaceDN w:val="0"/>
        <w:adjustRightInd w:val="0"/>
        <w:spacing w:after="260"/>
        <w:jc w:val="both"/>
        <w:textAlignment w:val="baseline"/>
        <w:rPr>
          <w:rFonts w:ascii="Arial" w:hAnsi="Arial" w:cs="Arial"/>
          <w:sz w:val="18"/>
          <w:szCs w:val="18"/>
          <w:lang w:val="en-US"/>
        </w:rPr>
      </w:pPr>
      <w:r w:rsidRPr="00814059">
        <w:rPr>
          <w:rFonts w:ascii="Arial" w:hAnsi="Arial" w:cs="Arial"/>
          <w:sz w:val="18"/>
          <w:szCs w:val="18"/>
          <w:lang w:val="en-US"/>
        </w:rPr>
        <w:t>21</w:t>
      </w:r>
      <w:r w:rsidR="00C429C1" w:rsidRPr="00814059">
        <w:rPr>
          <w:rFonts w:ascii="Arial" w:hAnsi="Arial" w:cs="Arial"/>
          <w:sz w:val="18"/>
          <w:szCs w:val="18"/>
          <w:lang w:val="en-US"/>
        </w:rPr>
        <w:t xml:space="preserve"> September </w:t>
      </w:r>
      <w:r w:rsidR="00904E51" w:rsidRPr="00814059">
        <w:rPr>
          <w:rFonts w:ascii="Arial" w:hAnsi="Arial" w:cs="Arial"/>
          <w:sz w:val="18"/>
          <w:szCs w:val="18"/>
          <w:lang w:val="en-US"/>
        </w:rPr>
        <w:t>2020</w:t>
      </w:r>
      <w:r w:rsidR="00C429C1" w:rsidRPr="00C429C1">
        <w:rPr>
          <w:rFonts w:ascii="Arial" w:hAnsi="Arial" w:cs="Arial"/>
          <w:sz w:val="18"/>
          <w:szCs w:val="18"/>
          <w:lang w:val="en-US"/>
        </w:rPr>
        <w:t xml:space="preserve"> </w:t>
      </w:r>
    </w:p>
    <w:p w14:paraId="41396551" w14:textId="77777777" w:rsidR="00C429C1" w:rsidRPr="00C429C1" w:rsidRDefault="00C429C1" w:rsidP="00C429C1">
      <w:pPr>
        <w:autoSpaceDE w:val="0"/>
        <w:autoSpaceDN w:val="0"/>
        <w:adjustRightInd w:val="0"/>
        <w:jc w:val="both"/>
        <w:rPr>
          <w:rFonts w:ascii="Georgia" w:eastAsia="Tw Cen MT" w:hAnsi="Georgia" w:cs="Arial"/>
          <w:bCs/>
          <w:iCs/>
          <w:color w:val="073763"/>
          <w:sz w:val="20"/>
          <w:szCs w:val="20"/>
          <w:lang w:val="en-US"/>
        </w:rPr>
      </w:pPr>
    </w:p>
    <w:p w14:paraId="56310D03" w14:textId="77777777" w:rsidR="00E10F74" w:rsidRPr="004E0C8F" w:rsidRDefault="00E10F74" w:rsidP="00E10F74">
      <w:pPr>
        <w:autoSpaceDE w:val="0"/>
        <w:autoSpaceDN w:val="0"/>
        <w:adjustRightInd w:val="0"/>
        <w:rPr>
          <w:rFonts w:ascii="Georgia" w:hAnsi="Georgia"/>
          <w:color w:val="404040" w:themeColor="text1" w:themeTint="BF"/>
          <w:sz w:val="20"/>
          <w:szCs w:val="20"/>
        </w:rPr>
      </w:pPr>
    </w:p>
    <w:p w14:paraId="5965364C" w14:textId="05AC32C1" w:rsidR="00E10F74" w:rsidRPr="000D57A8" w:rsidRDefault="00E10F74" w:rsidP="00C45C8C">
      <w:pPr>
        <w:autoSpaceDE w:val="0"/>
        <w:autoSpaceDN w:val="0"/>
        <w:adjustRightInd w:val="0"/>
        <w:jc w:val="both"/>
        <w:rPr>
          <w:rFonts w:ascii="Georgia" w:hAnsi="Georgia"/>
          <w:color w:val="404040" w:themeColor="text1" w:themeTint="BF"/>
          <w:sz w:val="20"/>
          <w:szCs w:val="20"/>
        </w:rPr>
      </w:pPr>
    </w:p>
    <w:p w14:paraId="1AE0F920" w14:textId="77777777" w:rsidR="004F2B93" w:rsidRDefault="004F2B93" w:rsidP="004F2B93">
      <w:pPr>
        <w:autoSpaceDE w:val="0"/>
        <w:autoSpaceDN w:val="0"/>
        <w:adjustRightInd w:val="0"/>
        <w:rPr>
          <w:sz w:val="18"/>
          <w:szCs w:val="18"/>
        </w:rPr>
      </w:pPr>
      <w:bookmarkStart w:id="46" w:name="_Toc254209588"/>
    </w:p>
    <w:bookmarkEnd w:id="46"/>
    <w:p w14:paraId="43C2003D" w14:textId="008DB54A" w:rsidR="00C45343" w:rsidRDefault="00C765CA" w:rsidP="00E85EF6">
      <w:pPr>
        <w:pStyle w:val="Heading2"/>
        <w:spacing w:before="0"/>
      </w:pPr>
      <w:r>
        <w:br w:type="page"/>
      </w:r>
      <w:r w:rsidR="000F51FA" w:rsidRPr="004629C1">
        <w:lastRenderedPageBreak/>
        <w:t>Statement of Financial Position</w:t>
      </w:r>
    </w:p>
    <w:p w14:paraId="0490062C" w14:textId="32D3CB28" w:rsidR="00C8686F" w:rsidRDefault="000F51FA" w:rsidP="000F51FA">
      <w:pPr>
        <w:pStyle w:val="body"/>
        <w:rPr>
          <w:rFonts w:ascii="Times New Roman" w:hAnsi="Times New Roman" w:cs="Times New Roman"/>
          <w:color w:val="auto"/>
          <w:sz w:val="24"/>
          <w:lang w:eastAsia="en-GB"/>
        </w:rPr>
      </w:pPr>
      <w:r w:rsidRPr="00C46A0B">
        <w:rPr>
          <w:i/>
        </w:rPr>
        <w:t xml:space="preserve">As at </w:t>
      </w:r>
      <w:r w:rsidR="00F4182A">
        <w:rPr>
          <w:i/>
        </w:rPr>
        <w:t xml:space="preserve">30 June </w:t>
      </w:r>
      <w:r w:rsidR="00904E51">
        <w:rPr>
          <w:i/>
        </w:rPr>
        <w:t>2020</w:t>
      </w:r>
    </w:p>
    <w:tbl>
      <w:tblPr>
        <w:tblW w:w="5001" w:type="pct"/>
        <w:tblLayout w:type="fixed"/>
        <w:tblLook w:val="04A0" w:firstRow="1" w:lastRow="0" w:firstColumn="1" w:lastColumn="0" w:noHBand="0" w:noVBand="1"/>
      </w:tblPr>
      <w:tblGrid>
        <w:gridCol w:w="4658"/>
        <w:gridCol w:w="854"/>
        <w:gridCol w:w="2219"/>
        <w:gridCol w:w="1631"/>
      </w:tblGrid>
      <w:tr w:rsidR="006C04E0" w:rsidRPr="00C8686F" w14:paraId="4CBC97CE" w14:textId="77777777" w:rsidTr="0024470F">
        <w:trPr>
          <w:trHeight w:val="89"/>
        </w:trPr>
        <w:tc>
          <w:tcPr>
            <w:tcW w:w="2488" w:type="pct"/>
            <w:tcBorders>
              <w:top w:val="nil"/>
              <w:left w:val="nil"/>
              <w:bottom w:val="nil"/>
              <w:right w:val="nil"/>
            </w:tcBorders>
            <w:shd w:val="clear" w:color="auto" w:fill="auto"/>
            <w:noWrap/>
            <w:vAlign w:val="bottom"/>
          </w:tcPr>
          <w:p w14:paraId="24496994" w14:textId="77777777" w:rsidR="006C04E0" w:rsidRPr="00C8686F" w:rsidRDefault="006C04E0" w:rsidP="00C8686F">
            <w:pPr>
              <w:rPr>
                <w:rFonts w:ascii="Georgia" w:hAnsi="Georgia" w:cs="Arial"/>
                <w:sz w:val="20"/>
                <w:szCs w:val="20"/>
                <w:lang w:eastAsia="en-GB"/>
              </w:rPr>
            </w:pPr>
          </w:p>
        </w:tc>
        <w:tc>
          <w:tcPr>
            <w:tcW w:w="456" w:type="pct"/>
            <w:tcBorders>
              <w:top w:val="nil"/>
              <w:left w:val="nil"/>
              <w:bottom w:val="nil"/>
              <w:right w:val="nil"/>
            </w:tcBorders>
            <w:shd w:val="clear" w:color="auto" w:fill="auto"/>
            <w:noWrap/>
            <w:vAlign w:val="bottom"/>
          </w:tcPr>
          <w:p w14:paraId="2F6410F5" w14:textId="77777777" w:rsidR="006C04E0" w:rsidRPr="009306C8" w:rsidRDefault="006C04E0" w:rsidP="00C8686F">
            <w:pPr>
              <w:jc w:val="right"/>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tcPr>
          <w:p w14:paraId="2CEB57B4" w14:textId="76721196" w:rsidR="006C04E0" w:rsidRPr="00E42A95" w:rsidRDefault="006C04E0" w:rsidP="000B0866">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871" w:type="pct"/>
            <w:tcBorders>
              <w:top w:val="nil"/>
              <w:left w:val="nil"/>
              <w:bottom w:val="nil"/>
              <w:right w:val="nil"/>
            </w:tcBorders>
          </w:tcPr>
          <w:p w14:paraId="5B905FEB" w14:textId="417CA424" w:rsidR="006C04E0" w:rsidRPr="00E42A95" w:rsidRDefault="006C04E0" w:rsidP="000B0866">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r w:rsidR="00A67267">
              <w:rPr>
                <w:rFonts w:ascii="Georgia" w:hAnsi="Georgia" w:cs="Arial"/>
                <w:b/>
                <w:bCs/>
                <w:color w:val="404040" w:themeColor="text1" w:themeTint="BF"/>
                <w:sz w:val="20"/>
                <w:szCs w:val="20"/>
                <w:lang w:eastAsia="en-GB"/>
              </w:rPr>
              <w:t xml:space="preserve"> </w:t>
            </w:r>
          </w:p>
        </w:tc>
      </w:tr>
      <w:tr w:rsidR="006C04E0" w:rsidRPr="00C8686F" w14:paraId="58EFC865" w14:textId="77777777" w:rsidTr="0024470F">
        <w:trPr>
          <w:trHeight w:val="114"/>
        </w:trPr>
        <w:tc>
          <w:tcPr>
            <w:tcW w:w="2488" w:type="pct"/>
            <w:tcBorders>
              <w:top w:val="nil"/>
              <w:left w:val="nil"/>
              <w:bottom w:val="single" w:sz="4" w:space="0" w:color="auto"/>
              <w:right w:val="nil"/>
            </w:tcBorders>
            <w:shd w:val="clear" w:color="auto" w:fill="auto"/>
            <w:noWrap/>
            <w:vAlign w:val="bottom"/>
          </w:tcPr>
          <w:p w14:paraId="7A18A714" w14:textId="77777777" w:rsidR="006C04E0" w:rsidRPr="00C8686F" w:rsidRDefault="006C04E0" w:rsidP="00C8686F">
            <w:pPr>
              <w:rPr>
                <w:rFonts w:ascii="Georgia" w:hAnsi="Georgia" w:cs="Arial"/>
                <w:sz w:val="20"/>
                <w:szCs w:val="20"/>
                <w:lang w:eastAsia="en-GB"/>
              </w:rPr>
            </w:pPr>
            <w:r w:rsidRPr="00C8686F">
              <w:rPr>
                <w:rFonts w:ascii="Georgia" w:hAnsi="Georgia" w:cs="Arial"/>
                <w:sz w:val="20"/>
                <w:szCs w:val="20"/>
                <w:lang w:eastAsia="en-GB"/>
              </w:rPr>
              <w:t> </w:t>
            </w:r>
          </w:p>
        </w:tc>
        <w:tc>
          <w:tcPr>
            <w:tcW w:w="456" w:type="pct"/>
            <w:tcBorders>
              <w:top w:val="nil"/>
              <w:left w:val="nil"/>
              <w:bottom w:val="single" w:sz="4" w:space="0" w:color="auto"/>
              <w:right w:val="nil"/>
            </w:tcBorders>
            <w:shd w:val="clear" w:color="auto" w:fill="auto"/>
            <w:noWrap/>
            <w:vAlign w:val="center"/>
          </w:tcPr>
          <w:p w14:paraId="1ECEA407" w14:textId="77777777" w:rsidR="006C04E0" w:rsidRPr="009306C8" w:rsidRDefault="006C04E0" w:rsidP="00205CC7">
            <w:pPr>
              <w:jc w:val="cente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Note</w:t>
            </w:r>
          </w:p>
        </w:tc>
        <w:tc>
          <w:tcPr>
            <w:tcW w:w="1185" w:type="pct"/>
            <w:tcBorders>
              <w:top w:val="nil"/>
              <w:left w:val="nil"/>
              <w:bottom w:val="single" w:sz="4" w:space="0" w:color="auto"/>
              <w:right w:val="nil"/>
            </w:tcBorders>
          </w:tcPr>
          <w:p w14:paraId="78775A76" w14:textId="333D42FF" w:rsidR="006C04E0" w:rsidRPr="00E42A95" w:rsidRDefault="006C04E0" w:rsidP="00C8686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F340E2">
              <w:rPr>
                <w:rFonts w:ascii="Georgia" w:hAnsi="Georgia" w:cs="Arial"/>
                <w:b/>
                <w:bCs/>
                <w:color w:val="404040" w:themeColor="text1" w:themeTint="BF"/>
                <w:sz w:val="20"/>
                <w:szCs w:val="20"/>
                <w:lang w:eastAsia="en-GB"/>
              </w:rPr>
              <w:t>’000</w:t>
            </w:r>
          </w:p>
        </w:tc>
        <w:tc>
          <w:tcPr>
            <w:tcW w:w="871" w:type="pct"/>
            <w:tcBorders>
              <w:top w:val="nil"/>
              <w:left w:val="nil"/>
              <w:bottom w:val="single" w:sz="4" w:space="0" w:color="auto"/>
              <w:right w:val="nil"/>
            </w:tcBorders>
          </w:tcPr>
          <w:p w14:paraId="15D64A5E" w14:textId="18304410" w:rsidR="006C04E0" w:rsidRPr="00E42A95" w:rsidRDefault="006C04E0" w:rsidP="00C8686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F340E2">
              <w:rPr>
                <w:rFonts w:ascii="Georgia" w:hAnsi="Georgia" w:cs="Arial"/>
                <w:b/>
                <w:bCs/>
                <w:color w:val="404040" w:themeColor="text1" w:themeTint="BF"/>
                <w:sz w:val="20"/>
                <w:szCs w:val="20"/>
                <w:lang w:eastAsia="en-GB"/>
              </w:rPr>
              <w:t>’000</w:t>
            </w:r>
          </w:p>
        </w:tc>
      </w:tr>
      <w:tr w:rsidR="006C04E0" w:rsidRPr="00C8686F" w14:paraId="18DE2C81" w14:textId="77777777" w:rsidTr="0024470F">
        <w:trPr>
          <w:trHeight w:val="255"/>
        </w:trPr>
        <w:tc>
          <w:tcPr>
            <w:tcW w:w="2488" w:type="pct"/>
            <w:tcBorders>
              <w:top w:val="nil"/>
              <w:left w:val="nil"/>
              <w:bottom w:val="nil"/>
              <w:right w:val="nil"/>
            </w:tcBorders>
            <w:shd w:val="clear" w:color="auto" w:fill="auto"/>
            <w:noWrap/>
            <w:vAlign w:val="bottom"/>
          </w:tcPr>
          <w:p w14:paraId="01E7B924" w14:textId="77777777" w:rsidR="006C04E0" w:rsidRPr="00D308E1" w:rsidRDefault="006C04E0" w:rsidP="00C8686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ASSETS</w:t>
            </w:r>
          </w:p>
        </w:tc>
        <w:tc>
          <w:tcPr>
            <w:tcW w:w="456" w:type="pct"/>
            <w:tcBorders>
              <w:top w:val="nil"/>
              <w:left w:val="nil"/>
              <w:bottom w:val="nil"/>
              <w:right w:val="nil"/>
            </w:tcBorders>
            <w:shd w:val="clear" w:color="auto" w:fill="auto"/>
            <w:noWrap/>
            <w:vAlign w:val="center"/>
          </w:tcPr>
          <w:p w14:paraId="31B64384" w14:textId="77777777" w:rsidR="006C04E0" w:rsidRPr="00D308E1" w:rsidRDefault="006C04E0" w:rsidP="00205CC7">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tcPr>
          <w:p w14:paraId="3848E397" w14:textId="77777777" w:rsidR="006C04E0" w:rsidRPr="00D308E1" w:rsidRDefault="006C04E0" w:rsidP="00C8686F">
            <w:pPr>
              <w:jc w:val="center"/>
              <w:rPr>
                <w:rFonts w:ascii="Georgia" w:hAnsi="Georgia" w:cs="Arial"/>
                <w:b/>
                <w:bCs/>
                <w:color w:val="404040" w:themeColor="text1" w:themeTint="BF"/>
                <w:sz w:val="20"/>
                <w:szCs w:val="20"/>
                <w:lang w:eastAsia="en-GB"/>
              </w:rPr>
            </w:pPr>
          </w:p>
        </w:tc>
        <w:tc>
          <w:tcPr>
            <w:tcW w:w="871" w:type="pct"/>
            <w:tcBorders>
              <w:top w:val="nil"/>
              <w:left w:val="nil"/>
              <w:bottom w:val="nil"/>
              <w:right w:val="nil"/>
            </w:tcBorders>
          </w:tcPr>
          <w:p w14:paraId="5F4FF105" w14:textId="77777777" w:rsidR="006C04E0" w:rsidRPr="00D308E1" w:rsidRDefault="006C04E0" w:rsidP="00C8686F">
            <w:pPr>
              <w:jc w:val="center"/>
              <w:rPr>
                <w:rFonts w:ascii="Georgia" w:hAnsi="Georgia" w:cs="Arial"/>
                <w:b/>
                <w:bCs/>
                <w:color w:val="404040" w:themeColor="text1" w:themeTint="BF"/>
                <w:sz w:val="20"/>
                <w:szCs w:val="20"/>
                <w:lang w:eastAsia="en-GB"/>
              </w:rPr>
            </w:pPr>
          </w:p>
        </w:tc>
      </w:tr>
      <w:tr w:rsidR="006C04E0" w:rsidRPr="00C8686F" w14:paraId="04C1813E" w14:textId="77777777" w:rsidTr="0024470F">
        <w:trPr>
          <w:trHeight w:val="82"/>
        </w:trPr>
        <w:tc>
          <w:tcPr>
            <w:tcW w:w="2488" w:type="pct"/>
            <w:tcBorders>
              <w:top w:val="nil"/>
              <w:left w:val="nil"/>
              <w:bottom w:val="nil"/>
              <w:right w:val="nil"/>
            </w:tcBorders>
            <w:shd w:val="clear" w:color="auto" w:fill="auto"/>
            <w:noWrap/>
            <w:vAlign w:val="bottom"/>
          </w:tcPr>
          <w:p w14:paraId="1E5E029E" w14:textId="77777777" w:rsidR="006C04E0" w:rsidRPr="00837182" w:rsidRDefault="006C04E0" w:rsidP="00C8686F">
            <w:pPr>
              <w:rPr>
                <w:rFonts w:ascii="Georgia" w:hAnsi="Georgia"/>
                <w:color w:val="404040" w:themeColor="text1" w:themeTint="BF"/>
                <w:sz w:val="16"/>
              </w:rPr>
            </w:pPr>
          </w:p>
        </w:tc>
        <w:tc>
          <w:tcPr>
            <w:tcW w:w="456" w:type="pct"/>
            <w:tcBorders>
              <w:top w:val="nil"/>
              <w:left w:val="nil"/>
              <w:bottom w:val="nil"/>
              <w:right w:val="nil"/>
            </w:tcBorders>
            <w:shd w:val="clear" w:color="auto" w:fill="auto"/>
            <w:noWrap/>
            <w:vAlign w:val="center"/>
          </w:tcPr>
          <w:p w14:paraId="17973241" w14:textId="77777777" w:rsidR="006C04E0" w:rsidRPr="00D308E1" w:rsidRDefault="006C04E0" w:rsidP="00205CC7">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tcPr>
          <w:p w14:paraId="1E6FACB3" w14:textId="77777777" w:rsidR="006C04E0" w:rsidRPr="00D308E1" w:rsidRDefault="006C04E0" w:rsidP="00C8686F">
            <w:pPr>
              <w:jc w:val="center"/>
              <w:rPr>
                <w:rFonts w:ascii="Georgia" w:hAnsi="Georgia" w:cs="Arial"/>
                <w:b/>
                <w:bCs/>
                <w:color w:val="404040" w:themeColor="text1" w:themeTint="BF"/>
                <w:sz w:val="20"/>
                <w:szCs w:val="20"/>
                <w:lang w:eastAsia="en-GB"/>
              </w:rPr>
            </w:pPr>
          </w:p>
        </w:tc>
        <w:tc>
          <w:tcPr>
            <w:tcW w:w="871" w:type="pct"/>
            <w:tcBorders>
              <w:top w:val="nil"/>
              <w:left w:val="nil"/>
              <w:bottom w:val="nil"/>
              <w:right w:val="nil"/>
            </w:tcBorders>
          </w:tcPr>
          <w:p w14:paraId="3D4114A3" w14:textId="77777777" w:rsidR="006C04E0" w:rsidRPr="00D308E1" w:rsidRDefault="006C04E0" w:rsidP="00C8686F">
            <w:pPr>
              <w:jc w:val="center"/>
              <w:rPr>
                <w:rFonts w:ascii="Georgia" w:hAnsi="Georgia" w:cs="Arial"/>
                <w:b/>
                <w:bCs/>
                <w:color w:val="404040" w:themeColor="text1" w:themeTint="BF"/>
                <w:sz w:val="20"/>
                <w:szCs w:val="20"/>
                <w:lang w:eastAsia="en-GB"/>
              </w:rPr>
            </w:pPr>
          </w:p>
        </w:tc>
      </w:tr>
      <w:tr w:rsidR="006C04E0" w:rsidRPr="00C8686F" w14:paraId="6BD7BC38" w14:textId="77777777" w:rsidTr="0024470F">
        <w:trPr>
          <w:trHeight w:val="82"/>
        </w:trPr>
        <w:tc>
          <w:tcPr>
            <w:tcW w:w="2488" w:type="pct"/>
            <w:tcBorders>
              <w:top w:val="nil"/>
              <w:left w:val="nil"/>
              <w:bottom w:val="nil"/>
              <w:right w:val="nil"/>
            </w:tcBorders>
            <w:shd w:val="clear" w:color="auto" w:fill="auto"/>
            <w:noWrap/>
            <w:vAlign w:val="center"/>
          </w:tcPr>
          <w:p w14:paraId="0E87DAB4" w14:textId="77777777" w:rsidR="006C04E0" w:rsidRPr="00D308E1" w:rsidRDefault="006C04E0" w:rsidP="00823489">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Non-current assets</w:t>
            </w:r>
          </w:p>
        </w:tc>
        <w:tc>
          <w:tcPr>
            <w:tcW w:w="456" w:type="pct"/>
            <w:tcBorders>
              <w:top w:val="nil"/>
              <w:left w:val="nil"/>
              <w:bottom w:val="nil"/>
              <w:right w:val="nil"/>
            </w:tcBorders>
            <w:shd w:val="clear" w:color="auto" w:fill="auto"/>
            <w:noWrap/>
            <w:vAlign w:val="center"/>
          </w:tcPr>
          <w:p w14:paraId="0CDDE131" w14:textId="77777777" w:rsidR="006C04E0" w:rsidRPr="00D308E1" w:rsidRDefault="006C04E0" w:rsidP="00205CC7">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center"/>
          </w:tcPr>
          <w:p w14:paraId="3714D850" w14:textId="77777777" w:rsidR="006C04E0" w:rsidRPr="00D308E1" w:rsidRDefault="006C04E0" w:rsidP="00837182">
            <w:pPr>
              <w:jc w:val="right"/>
              <w:rPr>
                <w:rFonts w:ascii="Georgia" w:hAnsi="Georgia" w:cs="Arial"/>
                <w:b/>
                <w:bCs/>
                <w:color w:val="404040" w:themeColor="text1" w:themeTint="BF"/>
                <w:sz w:val="20"/>
                <w:szCs w:val="20"/>
                <w:lang w:eastAsia="en-GB"/>
              </w:rPr>
            </w:pPr>
          </w:p>
        </w:tc>
        <w:tc>
          <w:tcPr>
            <w:tcW w:w="871" w:type="pct"/>
            <w:tcBorders>
              <w:top w:val="nil"/>
              <w:left w:val="nil"/>
              <w:bottom w:val="nil"/>
              <w:right w:val="nil"/>
            </w:tcBorders>
            <w:vAlign w:val="center"/>
          </w:tcPr>
          <w:p w14:paraId="35BB41CA" w14:textId="77777777" w:rsidR="006C04E0" w:rsidRPr="00D308E1" w:rsidRDefault="006C04E0" w:rsidP="00837182">
            <w:pPr>
              <w:jc w:val="right"/>
              <w:rPr>
                <w:rFonts w:ascii="Georgia" w:hAnsi="Georgia" w:cs="Arial"/>
                <w:b/>
                <w:bCs/>
                <w:color w:val="404040" w:themeColor="text1" w:themeTint="BF"/>
                <w:sz w:val="20"/>
                <w:szCs w:val="20"/>
                <w:lang w:eastAsia="en-GB"/>
              </w:rPr>
            </w:pPr>
          </w:p>
        </w:tc>
      </w:tr>
      <w:tr w:rsidR="00555BFF" w:rsidRPr="00C8686F" w14:paraId="10A5B22F" w14:textId="77777777" w:rsidTr="00FE79EA">
        <w:trPr>
          <w:trHeight w:val="255"/>
        </w:trPr>
        <w:tc>
          <w:tcPr>
            <w:tcW w:w="2488" w:type="pct"/>
            <w:tcBorders>
              <w:top w:val="nil"/>
              <w:left w:val="nil"/>
              <w:bottom w:val="nil"/>
              <w:right w:val="nil"/>
            </w:tcBorders>
            <w:shd w:val="clear" w:color="auto" w:fill="auto"/>
            <w:noWrap/>
            <w:vAlign w:val="center"/>
          </w:tcPr>
          <w:p w14:paraId="4E5CA861" w14:textId="77777777" w:rsidR="00555BFF" w:rsidRPr="00D308E1" w:rsidRDefault="00555BFF" w:rsidP="00555BF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Financial assets held at fair value through profit or loss</w:t>
            </w:r>
          </w:p>
        </w:tc>
        <w:tc>
          <w:tcPr>
            <w:tcW w:w="456" w:type="pct"/>
            <w:tcBorders>
              <w:top w:val="nil"/>
              <w:left w:val="nil"/>
              <w:bottom w:val="nil"/>
              <w:right w:val="nil"/>
            </w:tcBorders>
            <w:shd w:val="clear" w:color="auto" w:fill="auto"/>
            <w:noWrap/>
            <w:vAlign w:val="center"/>
          </w:tcPr>
          <w:p w14:paraId="53B46AC7" w14:textId="0E095451"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8</w:t>
            </w:r>
          </w:p>
        </w:tc>
        <w:tc>
          <w:tcPr>
            <w:tcW w:w="1185" w:type="pct"/>
            <w:tcBorders>
              <w:top w:val="nil"/>
              <w:left w:val="nil"/>
              <w:bottom w:val="nil"/>
              <w:right w:val="nil"/>
            </w:tcBorders>
            <w:vAlign w:val="center"/>
          </w:tcPr>
          <w:p w14:paraId="4B713074" w14:textId="21E8498B" w:rsidR="00555BFF" w:rsidRPr="005505FE" w:rsidRDefault="0080041A" w:rsidP="0080041A">
            <w:pPr>
              <w:jc w:val="right"/>
              <w:rPr>
                <w:rFonts w:ascii="Georgia" w:hAnsi="Georgia"/>
                <w:color w:val="404040"/>
                <w:sz w:val="20"/>
              </w:rPr>
            </w:pPr>
            <w:r>
              <w:rPr>
                <w:rFonts w:ascii="Georgia" w:hAnsi="Georgia"/>
                <w:color w:val="404040"/>
                <w:sz w:val="20"/>
              </w:rPr>
              <w:t>432</w:t>
            </w:r>
            <w:r w:rsidR="00A3015E">
              <w:rPr>
                <w:rFonts w:ascii="Georgia" w:hAnsi="Georgia"/>
                <w:color w:val="404040"/>
                <w:sz w:val="20"/>
              </w:rPr>
              <w:t>,</w:t>
            </w:r>
            <w:r>
              <w:rPr>
                <w:rFonts w:ascii="Georgia" w:hAnsi="Georgia"/>
                <w:color w:val="404040"/>
                <w:sz w:val="20"/>
              </w:rPr>
              <w:t>426</w:t>
            </w:r>
          </w:p>
        </w:tc>
        <w:tc>
          <w:tcPr>
            <w:tcW w:w="871" w:type="pct"/>
            <w:tcBorders>
              <w:top w:val="nil"/>
              <w:left w:val="nil"/>
              <w:bottom w:val="nil"/>
              <w:right w:val="nil"/>
            </w:tcBorders>
            <w:vAlign w:val="center"/>
          </w:tcPr>
          <w:p w14:paraId="505CBC03" w14:textId="19E51087" w:rsidR="00555BFF" w:rsidRPr="00E42A95" w:rsidRDefault="00A363B6" w:rsidP="00555BFF">
            <w:pPr>
              <w:jc w:val="right"/>
              <w:rPr>
                <w:rFonts w:ascii="Georgia" w:hAnsi="Georgia" w:cs="Arial"/>
                <w:color w:val="404040" w:themeColor="text1" w:themeTint="BF"/>
                <w:sz w:val="20"/>
                <w:szCs w:val="20"/>
                <w:lang w:eastAsia="en-GB"/>
              </w:rPr>
            </w:pPr>
            <w:r>
              <w:rPr>
                <w:rFonts w:ascii="Georgia" w:hAnsi="Georgia"/>
                <w:color w:val="404040"/>
                <w:sz w:val="20"/>
              </w:rPr>
              <w:t>435,736</w:t>
            </w:r>
          </w:p>
        </w:tc>
      </w:tr>
      <w:tr w:rsidR="00555BFF" w:rsidRPr="00C8686F" w14:paraId="4DCEC4AC" w14:textId="77777777" w:rsidTr="000B0866">
        <w:trPr>
          <w:trHeight w:val="255"/>
        </w:trPr>
        <w:tc>
          <w:tcPr>
            <w:tcW w:w="2488" w:type="pct"/>
            <w:tcBorders>
              <w:top w:val="single" w:sz="4" w:space="0" w:color="auto"/>
              <w:left w:val="nil"/>
              <w:bottom w:val="single" w:sz="4" w:space="0" w:color="auto"/>
              <w:right w:val="nil"/>
            </w:tcBorders>
            <w:shd w:val="clear" w:color="auto" w:fill="auto"/>
            <w:noWrap/>
            <w:vAlign w:val="center"/>
          </w:tcPr>
          <w:p w14:paraId="7A374B9D"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Total non-current assets</w:t>
            </w:r>
          </w:p>
        </w:tc>
        <w:tc>
          <w:tcPr>
            <w:tcW w:w="456" w:type="pct"/>
            <w:tcBorders>
              <w:top w:val="single" w:sz="4" w:space="0" w:color="auto"/>
              <w:left w:val="nil"/>
              <w:bottom w:val="single" w:sz="4" w:space="0" w:color="auto"/>
              <w:right w:val="nil"/>
            </w:tcBorders>
            <w:shd w:val="clear" w:color="auto" w:fill="auto"/>
            <w:noWrap/>
            <w:vAlign w:val="center"/>
          </w:tcPr>
          <w:p w14:paraId="365CADE3"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single" w:sz="4" w:space="0" w:color="auto"/>
              <w:left w:val="nil"/>
              <w:bottom w:val="single" w:sz="4" w:space="0" w:color="auto"/>
              <w:right w:val="nil"/>
            </w:tcBorders>
            <w:vAlign w:val="bottom"/>
          </w:tcPr>
          <w:p w14:paraId="1C87AE04" w14:textId="75BE37D4" w:rsidR="00555BFF" w:rsidRPr="005505FE" w:rsidRDefault="0080041A" w:rsidP="00555BFF">
            <w:pPr>
              <w:jc w:val="right"/>
              <w:rPr>
                <w:rFonts w:ascii="Georgia" w:hAnsi="Georgia"/>
                <w:b/>
                <w:color w:val="404040"/>
                <w:sz w:val="20"/>
              </w:rPr>
            </w:pPr>
            <w:r>
              <w:rPr>
                <w:rFonts w:ascii="Georgia" w:hAnsi="Georgia"/>
                <w:b/>
                <w:color w:val="404040"/>
                <w:sz w:val="20"/>
              </w:rPr>
              <w:t>432,426</w:t>
            </w:r>
          </w:p>
        </w:tc>
        <w:tc>
          <w:tcPr>
            <w:tcW w:w="871" w:type="pct"/>
            <w:tcBorders>
              <w:top w:val="single" w:sz="4" w:space="0" w:color="auto"/>
              <w:left w:val="nil"/>
              <w:bottom w:val="single" w:sz="4" w:space="0" w:color="auto"/>
              <w:right w:val="nil"/>
            </w:tcBorders>
            <w:vAlign w:val="bottom"/>
          </w:tcPr>
          <w:p w14:paraId="1C2B8D0C" w14:textId="1FA825F8" w:rsidR="00555BFF" w:rsidRPr="00E42A95" w:rsidRDefault="00A363B6" w:rsidP="00555BFF">
            <w:pPr>
              <w:jc w:val="right"/>
              <w:rPr>
                <w:rFonts w:ascii="Georgia" w:hAnsi="Georgia" w:cs="Arial"/>
                <w:b/>
                <w:bCs/>
                <w:color w:val="404040" w:themeColor="text1" w:themeTint="BF"/>
                <w:sz w:val="20"/>
                <w:szCs w:val="20"/>
                <w:lang w:eastAsia="en-GB"/>
              </w:rPr>
            </w:pPr>
            <w:r>
              <w:rPr>
                <w:rFonts w:ascii="Georgia" w:hAnsi="Georgia"/>
                <w:b/>
                <w:color w:val="404040"/>
                <w:sz w:val="20"/>
              </w:rPr>
              <w:t>435,736</w:t>
            </w:r>
          </w:p>
        </w:tc>
      </w:tr>
      <w:tr w:rsidR="00555BFF" w:rsidRPr="00C8686F" w14:paraId="5C0B8657" w14:textId="77777777" w:rsidTr="000B0866">
        <w:trPr>
          <w:trHeight w:val="255"/>
        </w:trPr>
        <w:tc>
          <w:tcPr>
            <w:tcW w:w="2488" w:type="pct"/>
            <w:tcBorders>
              <w:top w:val="nil"/>
              <w:left w:val="nil"/>
              <w:bottom w:val="nil"/>
              <w:right w:val="nil"/>
            </w:tcBorders>
            <w:shd w:val="clear" w:color="auto" w:fill="auto"/>
            <w:noWrap/>
            <w:vAlign w:val="center"/>
          </w:tcPr>
          <w:p w14:paraId="105BE6FC" w14:textId="77777777" w:rsidR="00555BFF" w:rsidRPr="00D308E1" w:rsidRDefault="00555BFF" w:rsidP="00555BFF">
            <w:pPr>
              <w:rPr>
                <w:rFonts w:ascii="Georgia" w:hAnsi="Georgia" w:cs="Arial"/>
                <w:color w:val="404040" w:themeColor="text1" w:themeTint="BF"/>
                <w:sz w:val="20"/>
                <w:szCs w:val="20"/>
                <w:lang w:eastAsia="en-GB"/>
              </w:rPr>
            </w:pPr>
          </w:p>
        </w:tc>
        <w:tc>
          <w:tcPr>
            <w:tcW w:w="456" w:type="pct"/>
            <w:tcBorders>
              <w:top w:val="nil"/>
              <w:left w:val="nil"/>
              <w:bottom w:val="nil"/>
              <w:right w:val="nil"/>
            </w:tcBorders>
            <w:shd w:val="clear" w:color="auto" w:fill="auto"/>
            <w:noWrap/>
            <w:vAlign w:val="center"/>
          </w:tcPr>
          <w:p w14:paraId="30B905A0"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451987D1" w14:textId="77777777" w:rsidR="00555BFF" w:rsidRPr="00555BFF" w:rsidRDefault="00555BFF" w:rsidP="00555BFF">
            <w:pPr>
              <w:jc w:val="right"/>
              <w:rPr>
                <w:rFonts w:ascii="Georgia" w:hAnsi="Georgia"/>
                <w:b/>
                <w:color w:val="404040"/>
                <w:sz w:val="20"/>
                <w:highlight w:val="yellow"/>
              </w:rPr>
            </w:pPr>
          </w:p>
        </w:tc>
        <w:tc>
          <w:tcPr>
            <w:tcW w:w="871" w:type="pct"/>
            <w:tcBorders>
              <w:top w:val="nil"/>
              <w:left w:val="nil"/>
              <w:bottom w:val="nil"/>
              <w:right w:val="nil"/>
            </w:tcBorders>
            <w:vAlign w:val="bottom"/>
          </w:tcPr>
          <w:p w14:paraId="7F7C3BB5"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6AA12B94" w14:textId="77777777" w:rsidTr="000B0866">
        <w:trPr>
          <w:trHeight w:val="185"/>
        </w:trPr>
        <w:tc>
          <w:tcPr>
            <w:tcW w:w="2488" w:type="pct"/>
            <w:tcBorders>
              <w:top w:val="nil"/>
              <w:left w:val="nil"/>
              <w:bottom w:val="nil"/>
              <w:right w:val="nil"/>
            </w:tcBorders>
            <w:shd w:val="clear" w:color="auto" w:fill="auto"/>
            <w:noWrap/>
            <w:vAlign w:val="center"/>
          </w:tcPr>
          <w:p w14:paraId="412D8D8C"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Current assets</w:t>
            </w:r>
          </w:p>
        </w:tc>
        <w:tc>
          <w:tcPr>
            <w:tcW w:w="456" w:type="pct"/>
            <w:tcBorders>
              <w:top w:val="nil"/>
              <w:left w:val="nil"/>
              <w:bottom w:val="nil"/>
              <w:right w:val="nil"/>
            </w:tcBorders>
            <w:shd w:val="clear" w:color="auto" w:fill="auto"/>
            <w:noWrap/>
            <w:vAlign w:val="center"/>
          </w:tcPr>
          <w:p w14:paraId="0B9C1AD0"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7EBD6710" w14:textId="77777777" w:rsidR="00555BFF" w:rsidRPr="00555BFF" w:rsidRDefault="00555BFF" w:rsidP="00555BFF">
            <w:pPr>
              <w:jc w:val="right"/>
              <w:rPr>
                <w:rFonts w:ascii="Georgia" w:hAnsi="Georgia"/>
                <w:color w:val="404040"/>
                <w:sz w:val="20"/>
                <w:highlight w:val="yellow"/>
              </w:rPr>
            </w:pPr>
          </w:p>
        </w:tc>
        <w:tc>
          <w:tcPr>
            <w:tcW w:w="871" w:type="pct"/>
            <w:tcBorders>
              <w:top w:val="nil"/>
              <w:left w:val="nil"/>
              <w:bottom w:val="nil"/>
              <w:right w:val="nil"/>
            </w:tcBorders>
            <w:vAlign w:val="bottom"/>
          </w:tcPr>
          <w:p w14:paraId="4327D848"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7E7A80B1" w14:textId="77777777" w:rsidTr="000B0866">
        <w:trPr>
          <w:trHeight w:val="255"/>
        </w:trPr>
        <w:tc>
          <w:tcPr>
            <w:tcW w:w="2488" w:type="pct"/>
            <w:tcBorders>
              <w:top w:val="nil"/>
              <w:left w:val="nil"/>
              <w:bottom w:val="nil"/>
              <w:right w:val="nil"/>
            </w:tcBorders>
            <w:shd w:val="clear" w:color="auto" w:fill="auto"/>
            <w:noWrap/>
            <w:vAlign w:val="center"/>
          </w:tcPr>
          <w:p w14:paraId="4411BC69" w14:textId="77777777" w:rsidR="00555BFF" w:rsidRPr="00D308E1" w:rsidRDefault="00555BFF" w:rsidP="00555BF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Trade and other receivables</w:t>
            </w:r>
          </w:p>
        </w:tc>
        <w:tc>
          <w:tcPr>
            <w:tcW w:w="456" w:type="pct"/>
            <w:tcBorders>
              <w:top w:val="nil"/>
              <w:left w:val="nil"/>
              <w:bottom w:val="nil"/>
              <w:right w:val="nil"/>
            </w:tcBorders>
            <w:shd w:val="clear" w:color="auto" w:fill="auto"/>
            <w:noWrap/>
            <w:vAlign w:val="center"/>
          </w:tcPr>
          <w:p w14:paraId="7775D458" w14:textId="397808C3"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9</w:t>
            </w:r>
          </w:p>
        </w:tc>
        <w:tc>
          <w:tcPr>
            <w:tcW w:w="1185" w:type="pct"/>
            <w:tcBorders>
              <w:top w:val="nil"/>
              <w:left w:val="nil"/>
              <w:bottom w:val="nil"/>
              <w:right w:val="nil"/>
            </w:tcBorders>
            <w:vAlign w:val="bottom"/>
          </w:tcPr>
          <w:p w14:paraId="7E6029C1" w14:textId="689EB4F3" w:rsidR="00555BFF" w:rsidRPr="005505FE" w:rsidRDefault="005505FE" w:rsidP="00555BFF">
            <w:pPr>
              <w:jc w:val="right"/>
              <w:rPr>
                <w:rFonts w:ascii="Georgia" w:hAnsi="Georgia"/>
                <w:color w:val="404040"/>
                <w:sz w:val="20"/>
              </w:rPr>
            </w:pPr>
            <w:r w:rsidRPr="005505FE">
              <w:rPr>
                <w:rFonts w:ascii="Georgia" w:hAnsi="Georgia"/>
                <w:color w:val="404040"/>
                <w:sz w:val="20"/>
              </w:rPr>
              <w:t>768</w:t>
            </w:r>
          </w:p>
        </w:tc>
        <w:tc>
          <w:tcPr>
            <w:tcW w:w="871" w:type="pct"/>
            <w:tcBorders>
              <w:top w:val="nil"/>
              <w:left w:val="nil"/>
              <w:bottom w:val="nil"/>
              <w:right w:val="nil"/>
            </w:tcBorders>
            <w:vAlign w:val="bottom"/>
          </w:tcPr>
          <w:p w14:paraId="4A2EBFA2" w14:textId="2DA79468" w:rsidR="00555BFF" w:rsidRPr="00E42A95" w:rsidRDefault="00A363B6" w:rsidP="00555BFF">
            <w:pPr>
              <w:jc w:val="right"/>
              <w:rPr>
                <w:rFonts w:ascii="Georgia" w:hAnsi="Georgia" w:cs="Arial"/>
                <w:color w:val="404040" w:themeColor="text1" w:themeTint="BF"/>
                <w:sz w:val="20"/>
                <w:szCs w:val="20"/>
                <w:lang w:eastAsia="en-GB"/>
              </w:rPr>
            </w:pPr>
            <w:r>
              <w:rPr>
                <w:rFonts w:ascii="Georgia" w:hAnsi="Georgia"/>
                <w:color w:val="404040"/>
                <w:sz w:val="20"/>
              </w:rPr>
              <w:t>768</w:t>
            </w:r>
          </w:p>
        </w:tc>
      </w:tr>
      <w:tr w:rsidR="00555BFF" w:rsidRPr="00C8686F" w14:paraId="176A0805" w14:textId="77777777" w:rsidTr="000B0866">
        <w:trPr>
          <w:trHeight w:val="255"/>
        </w:trPr>
        <w:tc>
          <w:tcPr>
            <w:tcW w:w="2488" w:type="pct"/>
            <w:tcBorders>
              <w:top w:val="nil"/>
              <w:left w:val="nil"/>
              <w:bottom w:val="nil"/>
              <w:right w:val="nil"/>
            </w:tcBorders>
            <w:shd w:val="clear" w:color="auto" w:fill="auto"/>
            <w:noWrap/>
            <w:vAlign w:val="center"/>
          </w:tcPr>
          <w:p w14:paraId="3CA7F425" w14:textId="77777777" w:rsidR="00555BFF" w:rsidRPr="00D308E1" w:rsidRDefault="00555BFF" w:rsidP="00555BF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Cash and cash equivalents</w:t>
            </w:r>
          </w:p>
        </w:tc>
        <w:tc>
          <w:tcPr>
            <w:tcW w:w="456" w:type="pct"/>
            <w:tcBorders>
              <w:top w:val="nil"/>
              <w:left w:val="nil"/>
              <w:bottom w:val="nil"/>
              <w:right w:val="nil"/>
            </w:tcBorders>
            <w:shd w:val="clear" w:color="auto" w:fill="auto"/>
            <w:noWrap/>
            <w:vAlign w:val="center"/>
          </w:tcPr>
          <w:p w14:paraId="124E145F" w14:textId="6998A10A"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10</w:t>
            </w:r>
          </w:p>
        </w:tc>
        <w:tc>
          <w:tcPr>
            <w:tcW w:w="1185" w:type="pct"/>
            <w:tcBorders>
              <w:top w:val="nil"/>
              <w:left w:val="nil"/>
              <w:bottom w:val="nil"/>
              <w:right w:val="nil"/>
            </w:tcBorders>
            <w:vAlign w:val="bottom"/>
          </w:tcPr>
          <w:p w14:paraId="58704DB0" w14:textId="5BF8BD69" w:rsidR="00555BFF" w:rsidRPr="005505FE" w:rsidRDefault="002627DA" w:rsidP="00555BFF">
            <w:pPr>
              <w:jc w:val="right"/>
              <w:rPr>
                <w:rFonts w:ascii="Georgia" w:hAnsi="Georgia"/>
                <w:color w:val="404040"/>
                <w:sz w:val="20"/>
              </w:rPr>
            </w:pPr>
            <w:r>
              <w:rPr>
                <w:rFonts w:ascii="Georgia" w:hAnsi="Georgia"/>
                <w:color w:val="404040"/>
                <w:sz w:val="20"/>
              </w:rPr>
              <w:t>747</w:t>
            </w:r>
          </w:p>
        </w:tc>
        <w:tc>
          <w:tcPr>
            <w:tcW w:w="871" w:type="pct"/>
            <w:tcBorders>
              <w:top w:val="nil"/>
              <w:left w:val="nil"/>
              <w:bottom w:val="nil"/>
              <w:right w:val="nil"/>
            </w:tcBorders>
            <w:vAlign w:val="bottom"/>
          </w:tcPr>
          <w:p w14:paraId="67613639" w14:textId="6190CDBB" w:rsidR="00555BFF" w:rsidRPr="00E42A95" w:rsidRDefault="00F340E2" w:rsidP="00555BFF">
            <w:pPr>
              <w:jc w:val="right"/>
              <w:rPr>
                <w:rFonts w:ascii="Georgia" w:hAnsi="Georgia" w:cs="Arial"/>
                <w:color w:val="404040" w:themeColor="text1" w:themeTint="BF"/>
                <w:sz w:val="20"/>
                <w:szCs w:val="20"/>
                <w:lang w:eastAsia="en-GB"/>
              </w:rPr>
            </w:pPr>
            <w:r>
              <w:rPr>
                <w:rFonts w:ascii="Georgia" w:hAnsi="Georgia"/>
                <w:color w:val="404040"/>
                <w:sz w:val="20"/>
              </w:rPr>
              <w:t>278</w:t>
            </w:r>
          </w:p>
        </w:tc>
      </w:tr>
      <w:tr w:rsidR="00555BFF" w:rsidRPr="00C8686F" w14:paraId="50B034C9" w14:textId="77777777" w:rsidTr="000B0866">
        <w:trPr>
          <w:trHeight w:val="255"/>
        </w:trPr>
        <w:tc>
          <w:tcPr>
            <w:tcW w:w="2488" w:type="pct"/>
            <w:tcBorders>
              <w:top w:val="single" w:sz="4" w:space="0" w:color="auto"/>
              <w:left w:val="nil"/>
              <w:bottom w:val="single" w:sz="4" w:space="0" w:color="auto"/>
              <w:right w:val="nil"/>
            </w:tcBorders>
            <w:shd w:val="clear" w:color="auto" w:fill="auto"/>
            <w:noWrap/>
            <w:vAlign w:val="center"/>
          </w:tcPr>
          <w:p w14:paraId="59C25D17"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Total current assets</w:t>
            </w:r>
          </w:p>
        </w:tc>
        <w:tc>
          <w:tcPr>
            <w:tcW w:w="456" w:type="pct"/>
            <w:tcBorders>
              <w:top w:val="single" w:sz="4" w:space="0" w:color="auto"/>
              <w:left w:val="nil"/>
              <w:bottom w:val="single" w:sz="4" w:space="0" w:color="auto"/>
              <w:right w:val="nil"/>
            </w:tcBorders>
            <w:shd w:val="clear" w:color="auto" w:fill="auto"/>
            <w:noWrap/>
            <w:vAlign w:val="center"/>
          </w:tcPr>
          <w:p w14:paraId="107A1AD1"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single" w:sz="4" w:space="0" w:color="auto"/>
              <w:left w:val="nil"/>
              <w:bottom w:val="single" w:sz="4" w:space="0" w:color="auto"/>
              <w:right w:val="nil"/>
            </w:tcBorders>
            <w:vAlign w:val="bottom"/>
          </w:tcPr>
          <w:p w14:paraId="37638723" w14:textId="6BB6FDC3" w:rsidR="00555BFF" w:rsidRPr="005505FE" w:rsidRDefault="002627DA" w:rsidP="00555BFF">
            <w:pPr>
              <w:jc w:val="right"/>
              <w:rPr>
                <w:rFonts w:ascii="Georgia" w:hAnsi="Georgia"/>
                <w:b/>
                <w:color w:val="404040"/>
                <w:sz w:val="20"/>
              </w:rPr>
            </w:pPr>
            <w:r>
              <w:rPr>
                <w:rFonts w:ascii="Georgia" w:hAnsi="Georgia"/>
                <w:b/>
                <w:color w:val="404040"/>
                <w:sz w:val="20"/>
              </w:rPr>
              <w:t>1,515</w:t>
            </w:r>
          </w:p>
        </w:tc>
        <w:tc>
          <w:tcPr>
            <w:tcW w:w="871" w:type="pct"/>
            <w:tcBorders>
              <w:top w:val="single" w:sz="4" w:space="0" w:color="auto"/>
              <w:left w:val="nil"/>
              <w:bottom w:val="single" w:sz="4" w:space="0" w:color="auto"/>
              <w:right w:val="nil"/>
            </w:tcBorders>
            <w:vAlign w:val="bottom"/>
          </w:tcPr>
          <w:p w14:paraId="004420F0" w14:textId="19761969" w:rsidR="00555BFF" w:rsidRPr="00E42A95" w:rsidRDefault="00A363B6" w:rsidP="00555BFF">
            <w:pPr>
              <w:jc w:val="right"/>
              <w:rPr>
                <w:rFonts w:ascii="Georgia" w:hAnsi="Georgia" w:cs="Arial"/>
                <w:b/>
                <w:bCs/>
                <w:color w:val="404040" w:themeColor="text1" w:themeTint="BF"/>
                <w:sz w:val="20"/>
                <w:szCs w:val="20"/>
                <w:lang w:eastAsia="en-GB"/>
              </w:rPr>
            </w:pPr>
            <w:r>
              <w:rPr>
                <w:rFonts w:ascii="Georgia" w:hAnsi="Georgia"/>
                <w:b/>
                <w:color w:val="404040"/>
                <w:sz w:val="20"/>
              </w:rPr>
              <w:t>1,046</w:t>
            </w:r>
          </w:p>
        </w:tc>
      </w:tr>
      <w:tr w:rsidR="00555BFF" w:rsidRPr="00C8686F" w14:paraId="5589C2A3" w14:textId="77777777" w:rsidTr="000B0866">
        <w:trPr>
          <w:trHeight w:val="255"/>
        </w:trPr>
        <w:tc>
          <w:tcPr>
            <w:tcW w:w="2488" w:type="pct"/>
            <w:tcBorders>
              <w:top w:val="nil"/>
              <w:left w:val="nil"/>
              <w:bottom w:val="nil"/>
              <w:right w:val="nil"/>
            </w:tcBorders>
            <w:shd w:val="clear" w:color="auto" w:fill="auto"/>
            <w:noWrap/>
            <w:vAlign w:val="center"/>
          </w:tcPr>
          <w:p w14:paraId="12E5D333" w14:textId="77777777" w:rsidR="00555BFF" w:rsidRPr="00D308E1" w:rsidRDefault="00555BFF" w:rsidP="00555BFF">
            <w:pPr>
              <w:rPr>
                <w:rFonts w:ascii="Georgia" w:hAnsi="Georgia" w:cs="Arial"/>
                <w:color w:val="404040" w:themeColor="text1" w:themeTint="BF"/>
                <w:sz w:val="20"/>
                <w:szCs w:val="20"/>
                <w:lang w:eastAsia="en-GB"/>
              </w:rPr>
            </w:pPr>
          </w:p>
        </w:tc>
        <w:tc>
          <w:tcPr>
            <w:tcW w:w="456" w:type="pct"/>
            <w:tcBorders>
              <w:top w:val="nil"/>
              <w:left w:val="nil"/>
              <w:bottom w:val="nil"/>
              <w:right w:val="nil"/>
            </w:tcBorders>
            <w:shd w:val="clear" w:color="auto" w:fill="auto"/>
            <w:noWrap/>
            <w:vAlign w:val="center"/>
          </w:tcPr>
          <w:p w14:paraId="15E3F4AA"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652DECE1" w14:textId="77777777" w:rsidR="00555BFF" w:rsidRPr="00555BFF" w:rsidRDefault="00555BFF" w:rsidP="00555BFF">
            <w:pPr>
              <w:jc w:val="right"/>
              <w:rPr>
                <w:rFonts w:ascii="Georgia" w:hAnsi="Georgia"/>
                <w:color w:val="404040"/>
                <w:sz w:val="20"/>
                <w:highlight w:val="yellow"/>
              </w:rPr>
            </w:pPr>
          </w:p>
        </w:tc>
        <w:tc>
          <w:tcPr>
            <w:tcW w:w="871" w:type="pct"/>
            <w:tcBorders>
              <w:top w:val="nil"/>
              <w:left w:val="nil"/>
              <w:bottom w:val="nil"/>
              <w:right w:val="nil"/>
            </w:tcBorders>
            <w:vAlign w:val="bottom"/>
          </w:tcPr>
          <w:p w14:paraId="2DE56CC0"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35DC1C1B" w14:textId="77777777" w:rsidTr="000B0866">
        <w:trPr>
          <w:trHeight w:val="255"/>
        </w:trPr>
        <w:tc>
          <w:tcPr>
            <w:tcW w:w="2488" w:type="pct"/>
            <w:tcBorders>
              <w:top w:val="single" w:sz="4" w:space="0" w:color="auto"/>
              <w:left w:val="nil"/>
              <w:bottom w:val="single" w:sz="4" w:space="0" w:color="auto"/>
              <w:right w:val="nil"/>
            </w:tcBorders>
            <w:shd w:val="clear" w:color="auto" w:fill="auto"/>
            <w:noWrap/>
            <w:vAlign w:val="center"/>
          </w:tcPr>
          <w:p w14:paraId="20FCCC98"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TOTAL ASSETS</w:t>
            </w:r>
          </w:p>
        </w:tc>
        <w:tc>
          <w:tcPr>
            <w:tcW w:w="456" w:type="pct"/>
            <w:tcBorders>
              <w:top w:val="single" w:sz="4" w:space="0" w:color="auto"/>
              <w:left w:val="nil"/>
              <w:bottom w:val="single" w:sz="4" w:space="0" w:color="auto"/>
              <w:right w:val="nil"/>
            </w:tcBorders>
            <w:shd w:val="clear" w:color="auto" w:fill="auto"/>
            <w:noWrap/>
            <w:vAlign w:val="center"/>
          </w:tcPr>
          <w:p w14:paraId="1D41B3D8"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single" w:sz="4" w:space="0" w:color="auto"/>
              <w:left w:val="nil"/>
              <w:bottom w:val="single" w:sz="4" w:space="0" w:color="auto"/>
              <w:right w:val="nil"/>
            </w:tcBorders>
            <w:vAlign w:val="bottom"/>
          </w:tcPr>
          <w:p w14:paraId="7C9D2A06" w14:textId="167A2F3C" w:rsidR="00555BFF" w:rsidRPr="005505FE" w:rsidRDefault="0080041A" w:rsidP="005505FE">
            <w:pPr>
              <w:jc w:val="right"/>
              <w:rPr>
                <w:rFonts w:ascii="Georgia" w:hAnsi="Georgia"/>
                <w:b/>
                <w:color w:val="404040"/>
                <w:sz w:val="20"/>
              </w:rPr>
            </w:pPr>
            <w:r>
              <w:rPr>
                <w:rFonts w:ascii="Georgia" w:hAnsi="Georgia"/>
                <w:b/>
                <w:color w:val="404040"/>
                <w:sz w:val="20"/>
              </w:rPr>
              <w:t>433,941</w:t>
            </w:r>
          </w:p>
        </w:tc>
        <w:tc>
          <w:tcPr>
            <w:tcW w:w="871" w:type="pct"/>
            <w:tcBorders>
              <w:top w:val="single" w:sz="4" w:space="0" w:color="auto"/>
              <w:left w:val="nil"/>
              <w:bottom w:val="single" w:sz="4" w:space="0" w:color="auto"/>
              <w:right w:val="nil"/>
            </w:tcBorders>
            <w:vAlign w:val="bottom"/>
          </w:tcPr>
          <w:p w14:paraId="3462301A" w14:textId="0DC9B8B5" w:rsidR="00555BFF" w:rsidRPr="00E42A95" w:rsidRDefault="00F340E2" w:rsidP="00555BFF">
            <w:pPr>
              <w:jc w:val="right"/>
              <w:rPr>
                <w:rFonts w:ascii="Georgia" w:hAnsi="Georgia" w:cs="Arial"/>
                <w:b/>
                <w:bCs/>
                <w:color w:val="404040" w:themeColor="text1" w:themeTint="BF"/>
                <w:sz w:val="20"/>
                <w:szCs w:val="20"/>
                <w:lang w:eastAsia="en-GB"/>
              </w:rPr>
            </w:pPr>
            <w:r>
              <w:rPr>
                <w:rFonts w:ascii="Georgia" w:hAnsi="Georgia"/>
                <w:b/>
                <w:color w:val="404040"/>
                <w:sz w:val="20"/>
              </w:rPr>
              <w:t>436,782</w:t>
            </w:r>
          </w:p>
        </w:tc>
      </w:tr>
      <w:tr w:rsidR="00555BFF" w:rsidRPr="00C8686F" w14:paraId="33486F8A" w14:textId="77777777" w:rsidTr="000B0866">
        <w:trPr>
          <w:trHeight w:val="72"/>
        </w:trPr>
        <w:tc>
          <w:tcPr>
            <w:tcW w:w="2488" w:type="pct"/>
            <w:tcBorders>
              <w:top w:val="nil"/>
              <w:left w:val="nil"/>
              <w:bottom w:val="nil"/>
              <w:right w:val="nil"/>
            </w:tcBorders>
            <w:shd w:val="clear" w:color="auto" w:fill="auto"/>
            <w:noWrap/>
            <w:vAlign w:val="center"/>
          </w:tcPr>
          <w:p w14:paraId="582EF64C" w14:textId="77777777" w:rsidR="00555BFF" w:rsidRPr="00D308E1" w:rsidRDefault="00555BFF" w:rsidP="00555BFF">
            <w:pPr>
              <w:rPr>
                <w:rFonts w:ascii="Georgia" w:hAnsi="Georgia" w:cs="Arial"/>
                <w:color w:val="404040" w:themeColor="text1" w:themeTint="BF"/>
                <w:sz w:val="20"/>
                <w:szCs w:val="20"/>
                <w:lang w:eastAsia="en-GB"/>
              </w:rPr>
            </w:pPr>
          </w:p>
        </w:tc>
        <w:tc>
          <w:tcPr>
            <w:tcW w:w="456" w:type="pct"/>
            <w:tcBorders>
              <w:top w:val="nil"/>
              <w:left w:val="nil"/>
              <w:bottom w:val="nil"/>
              <w:right w:val="nil"/>
            </w:tcBorders>
            <w:shd w:val="clear" w:color="auto" w:fill="auto"/>
            <w:noWrap/>
            <w:vAlign w:val="center"/>
          </w:tcPr>
          <w:p w14:paraId="1CABAE2F"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0145FC1F" w14:textId="77777777" w:rsidR="00555BFF" w:rsidRPr="005505FE" w:rsidRDefault="00555BFF" w:rsidP="00555BFF">
            <w:pPr>
              <w:jc w:val="right"/>
              <w:rPr>
                <w:rFonts w:ascii="Georgia" w:hAnsi="Georgia"/>
                <w:color w:val="404040"/>
                <w:sz w:val="20"/>
              </w:rPr>
            </w:pPr>
          </w:p>
        </w:tc>
        <w:tc>
          <w:tcPr>
            <w:tcW w:w="871" w:type="pct"/>
            <w:tcBorders>
              <w:top w:val="nil"/>
              <w:left w:val="nil"/>
              <w:bottom w:val="nil"/>
              <w:right w:val="nil"/>
            </w:tcBorders>
            <w:vAlign w:val="bottom"/>
          </w:tcPr>
          <w:p w14:paraId="74E5E9D4"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5D253BAE" w14:textId="77777777" w:rsidTr="000B0866">
        <w:trPr>
          <w:trHeight w:val="89"/>
        </w:trPr>
        <w:tc>
          <w:tcPr>
            <w:tcW w:w="2488" w:type="pct"/>
            <w:tcBorders>
              <w:top w:val="nil"/>
              <w:left w:val="nil"/>
              <w:bottom w:val="nil"/>
              <w:right w:val="nil"/>
            </w:tcBorders>
            <w:shd w:val="clear" w:color="auto" w:fill="auto"/>
            <w:noWrap/>
            <w:vAlign w:val="center"/>
          </w:tcPr>
          <w:p w14:paraId="7CEBDA5E"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LIABILITIES</w:t>
            </w:r>
          </w:p>
        </w:tc>
        <w:tc>
          <w:tcPr>
            <w:tcW w:w="456" w:type="pct"/>
            <w:tcBorders>
              <w:top w:val="nil"/>
              <w:left w:val="nil"/>
              <w:bottom w:val="nil"/>
              <w:right w:val="nil"/>
            </w:tcBorders>
            <w:shd w:val="clear" w:color="auto" w:fill="auto"/>
            <w:noWrap/>
            <w:vAlign w:val="center"/>
          </w:tcPr>
          <w:p w14:paraId="7F255529"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56410067" w14:textId="77777777" w:rsidR="00555BFF" w:rsidRPr="005505FE" w:rsidRDefault="00555BFF" w:rsidP="00555BFF">
            <w:pPr>
              <w:jc w:val="right"/>
              <w:rPr>
                <w:rFonts w:ascii="Georgia" w:hAnsi="Georgia"/>
                <w:color w:val="404040"/>
                <w:sz w:val="20"/>
              </w:rPr>
            </w:pPr>
          </w:p>
        </w:tc>
        <w:tc>
          <w:tcPr>
            <w:tcW w:w="871" w:type="pct"/>
            <w:tcBorders>
              <w:top w:val="nil"/>
              <w:left w:val="nil"/>
              <w:bottom w:val="nil"/>
              <w:right w:val="nil"/>
            </w:tcBorders>
            <w:vAlign w:val="bottom"/>
          </w:tcPr>
          <w:p w14:paraId="16B948A9"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3E14CE9B" w14:textId="77777777" w:rsidTr="000B0866">
        <w:trPr>
          <w:trHeight w:val="100"/>
        </w:trPr>
        <w:tc>
          <w:tcPr>
            <w:tcW w:w="2488" w:type="pct"/>
            <w:tcBorders>
              <w:top w:val="nil"/>
              <w:left w:val="nil"/>
              <w:bottom w:val="nil"/>
              <w:right w:val="nil"/>
            </w:tcBorders>
            <w:shd w:val="clear" w:color="auto" w:fill="auto"/>
            <w:noWrap/>
            <w:vAlign w:val="center"/>
          </w:tcPr>
          <w:p w14:paraId="786F7C91" w14:textId="77777777" w:rsidR="00555BFF" w:rsidRPr="00837182" w:rsidRDefault="00555BFF" w:rsidP="00555BFF">
            <w:pPr>
              <w:rPr>
                <w:rFonts w:ascii="Georgia" w:hAnsi="Georgia"/>
                <w:b/>
                <w:color w:val="404040" w:themeColor="text1" w:themeTint="BF"/>
                <w:sz w:val="16"/>
              </w:rPr>
            </w:pPr>
          </w:p>
        </w:tc>
        <w:tc>
          <w:tcPr>
            <w:tcW w:w="456" w:type="pct"/>
            <w:tcBorders>
              <w:top w:val="nil"/>
              <w:left w:val="nil"/>
              <w:bottom w:val="nil"/>
              <w:right w:val="nil"/>
            </w:tcBorders>
            <w:shd w:val="clear" w:color="auto" w:fill="auto"/>
            <w:noWrap/>
            <w:vAlign w:val="center"/>
          </w:tcPr>
          <w:p w14:paraId="680AB844"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7E4BF0A0" w14:textId="77777777" w:rsidR="00555BFF" w:rsidRPr="005505FE" w:rsidRDefault="00555BFF" w:rsidP="00555BFF">
            <w:pPr>
              <w:jc w:val="right"/>
              <w:rPr>
                <w:rFonts w:ascii="Georgia" w:hAnsi="Georgia"/>
                <w:color w:val="404040"/>
                <w:sz w:val="20"/>
              </w:rPr>
            </w:pPr>
          </w:p>
        </w:tc>
        <w:tc>
          <w:tcPr>
            <w:tcW w:w="871" w:type="pct"/>
            <w:tcBorders>
              <w:top w:val="nil"/>
              <w:left w:val="nil"/>
              <w:bottom w:val="nil"/>
              <w:right w:val="nil"/>
            </w:tcBorders>
            <w:vAlign w:val="bottom"/>
          </w:tcPr>
          <w:p w14:paraId="425B27DB"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59C51CF0" w14:textId="77777777" w:rsidTr="000B0866">
        <w:trPr>
          <w:trHeight w:val="82"/>
        </w:trPr>
        <w:tc>
          <w:tcPr>
            <w:tcW w:w="2488" w:type="pct"/>
            <w:tcBorders>
              <w:top w:val="nil"/>
              <w:left w:val="nil"/>
              <w:bottom w:val="nil"/>
              <w:right w:val="nil"/>
            </w:tcBorders>
            <w:shd w:val="clear" w:color="auto" w:fill="auto"/>
            <w:noWrap/>
            <w:vAlign w:val="center"/>
          </w:tcPr>
          <w:p w14:paraId="247186C8"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Current liabilities</w:t>
            </w:r>
          </w:p>
        </w:tc>
        <w:tc>
          <w:tcPr>
            <w:tcW w:w="456" w:type="pct"/>
            <w:tcBorders>
              <w:top w:val="nil"/>
              <w:left w:val="nil"/>
              <w:bottom w:val="nil"/>
              <w:right w:val="nil"/>
            </w:tcBorders>
            <w:shd w:val="clear" w:color="auto" w:fill="auto"/>
            <w:noWrap/>
            <w:vAlign w:val="center"/>
          </w:tcPr>
          <w:p w14:paraId="324C7735"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3A85E9D8" w14:textId="77777777" w:rsidR="00555BFF" w:rsidRPr="005505FE" w:rsidRDefault="00555BFF" w:rsidP="00555BFF">
            <w:pPr>
              <w:jc w:val="right"/>
              <w:rPr>
                <w:rFonts w:ascii="Georgia" w:hAnsi="Georgia"/>
                <w:color w:val="404040"/>
                <w:sz w:val="20"/>
              </w:rPr>
            </w:pPr>
          </w:p>
        </w:tc>
        <w:tc>
          <w:tcPr>
            <w:tcW w:w="871" w:type="pct"/>
            <w:tcBorders>
              <w:top w:val="nil"/>
              <w:left w:val="nil"/>
              <w:bottom w:val="nil"/>
              <w:right w:val="nil"/>
            </w:tcBorders>
            <w:vAlign w:val="bottom"/>
          </w:tcPr>
          <w:p w14:paraId="3E68E926"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6F4E30A2" w14:textId="77777777" w:rsidTr="00CC1553">
        <w:trPr>
          <w:trHeight w:val="255"/>
        </w:trPr>
        <w:tc>
          <w:tcPr>
            <w:tcW w:w="2488" w:type="pct"/>
            <w:tcBorders>
              <w:top w:val="nil"/>
              <w:left w:val="nil"/>
              <w:bottom w:val="nil"/>
              <w:right w:val="nil"/>
            </w:tcBorders>
            <w:shd w:val="clear" w:color="auto" w:fill="auto"/>
            <w:noWrap/>
            <w:vAlign w:val="center"/>
          </w:tcPr>
          <w:p w14:paraId="7D9B1024" w14:textId="77777777" w:rsidR="00555BFF" w:rsidRPr="00D308E1" w:rsidRDefault="00555BFF" w:rsidP="00555BF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Other payables and accrued expenses</w:t>
            </w:r>
          </w:p>
        </w:tc>
        <w:tc>
          <w:tcPr>
            <w:tcW w:w="456" w:type="pct"/>
            <w:tcBorders>
              <w:top w:val="nil"/>
              <w:left w:val="nil"/>
              <w:bottom w:val="nil"/>
              <w:right w:val="nil"/>
            </w:tcBorders>
            <w:shd w:val="clear" w:color="auto" w:fill="auto"/>
            <w:noWrap/>
            <w:vAlign w:val="center"/>
          </w:tcPr>
          <w:p w14:paraId="40C71DE7" w14:textId="4D09EEE5"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11</w:t>
            </w:r>
          </w:p>
        </w:tc>
        <w:tc>
          <w:tcPr>
            <w:tcW w:w="1185" w:type="pct"/>
            <w:tcBorders>
              <w:top w:val="nil"/>
              <w:left w:val="nil"/>
              <w:bottom w:val="nil"/>
              <w:right w:val="nil"/>
            </w:tcBorders>
            <w:vAlign w:val="center"/>
          </w:tcPr>
          <w:p w14:paraId="31D30541" w14:textId="1FB6CD43" w:rsidR="00555BFF" w:rsidRPr="005505FE" w:rsidRDefault="005505FE" w:rsidP="00555BFF">
            <w:pPr>
              <w:jc w:val="right"/>
              <w:rPr>
                <w:rFonts w:ascii="Georgia" w:hAnsi="Georgia"/>
                <w:color w:val="404040"/>
                <w:sz w:val="20"/>
              </w:rPr>
            </w:pPr>
            <w:r w:rsidRPr="005505FE">
              <w:rPr>
                <w:rFonts w:ascii="Georgia" w:hAnsi="Georgia"/>
                <w:color w:val="404040"/>
                <w:sz w:val="20"/>
              </w:rPr>
              <w:t>4</w:t>
            </w:r>
            <w:r w:rsidR="00525632">
              <w:rPr>
                <w:rFonts w:ascii="Georgia" w:hAnsi="Georgia"/>
                <w:color w:val="404040"/>
                <w:sz w:val="20"/>
              </w:rPr>
              <w:t>36</w:t>
            </w:r>
          </w:p>
        </w:tc>
        <w:tc>
          <w:tcPr>
            <w:tcW w:w="871" w:type="pct"/>
            <w:tcBorders>
              <w:top w:val="nil"/>
              <w:left w:val="nil"/>
              <w:bottom w:val="nil"/>
              <w:right w:val="nil"/>
            </w:tcBorders>
            <w:vAlign w:val="center"/>
          </w:tcPr>
          <w:p w14:paraId="077D5C65" w14:textId="05F65A77" w:rsidR="00555BFF" w:rsidRPr="00E42A95" w:rsidRDefault="009B57A9" w:rsidP="00555BFF">
            <w:pPr>
              <w:jc w:val="right"/>
              <w:rPr>
                <w:rFonts w:ascii="Georgia" w:hAnsi="Georgia" w:cs="Arial"/>
                <w:color w:val="404040" w:themeColor="text1" w:themeTint="BF"/>
                <w:sz w:val="20"/>
                <w:szCs w:val="20"/>
                <w:lang w:eastAsia="en-GB"/>
              </w:rPr>
            </w:pPr>
            <w:r>
              <w:rPr>
                <w:rFonts w:ascii="Georgia" w:hAnsi="Georgia"/>
                <w:color w:val="404040"/>
                <w:sz w:val="20"/>
              </w:rPr>
              <w:t>386</w:t>
            </w:r>
          </w:p>
        </w:tc>
      </w:tr>
      <w:tr w:rsidR="00555BFF" w:rsidRPr="00C8686F" w14:paraId="1827A2B5" w14:textId="77777777" w:rsidTr="000B0866">
        <w:trPr>
          <w:trHeight w:val="255"/>
        </w:trPr>
        <w:tc>
          <w:tcPr>
            <w:tcW w:w="2488" w:type="pct"/>
            <w:tcBorders>
              <w:top w:val="single" w:sz="4" w:space="0" w:color="auto"/>
              <w:left w:val="nil"/>
              <w:bottom w:val="single" w:sz="4" w:space="0" w:color="auto"/>
              <w:right w:val="nil"/>
            </w:tcBorders>
            <w:shd w:val="clear" w:color="auto" w:fill="auto"/>
            <w:noWrap/>
            <w:vAlign w:val="center"/>
          </w:tcPr>
          <w:p w14:paraId="25AC9B8F"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Total current liabilities</w:t>
            </w:r>
          </w:p>
        </w:tc>
        <w:tc>
          <w:tcPr>
            <w:tcW w:w="456" w:type="pct"/>
            <w:tcBorders>
              <w:top w:val="single" w:sz="4" w:space="0" w:color="auto"/>
              <w:left w:val="nil"/>
              <w:bottom w:val="single" w:sz="4" w:space="0" w:color="auto"/>
              <w:right w:val="nil"/>
            </w:tcBorders>
            <w:shd w:val="clear" w:color="auto" w:fill="auto"/>
            <w:noWrap/>
            <w:vAlign w:val="center"/>
          </w:tcPr>
          <w:p w14:paraId="69D87538"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single" w:sz="4" w:space="0" w:color="auto"/>
              <w:left w:val="nil"/>
              <w:bottom w:val="single" w:sz="4" w:space="0" w:color="auto"/>
              <w:right w:val="nil"/>
            </w:tcBorders>
            <w:vAlign w:val="bottom"/>
          </w:tcPr>
          <w:p w14:paraId="3015CEFE" w14:textId="41F292F2" w:rsidR="00555BFF" w:rsidRPr="005505FE" w:rsidRDefault="005505FE" w:rsidP="00555BFF">
            <w:pPr>
              <w:jc w:val="right"/>
              <w:rPr>
                <w:rFonts w:ascii="Georgia" w:hAnsi="Georgia"/>
                <w:b/>
                <w:color w:val="404040"/>
                <w:sz w:val="20"/>
              </w:rPr>
            </w:pPr>
            <w:r w:rsidRPr="005505FE">
              <w:rPr>
                <w:rFonts w:ascii="Georgia" w:hAnsi="Georgia"/>
                <w:b/>
                <w:color w:val="404040"/>
                <w:sz w:val="20"/>
              </w:rPr>
              <w:t>4</w:t>
            </w:r>
            <w:r w:rsidR="00525632">
              <w:rPr>
                <w:rFonts w:ascii="Georgia" w:hAnsi="Georgia"/>
                <w:b/>
                <w:color w:val="404040"/>
                <w:sz w:val="20"/>
              </w:rPr>
              <w:t>36</w:t>
            </w:r>
          </w:p>
        </w:tc>
        <w:tc>
          <w:tcPr>
            <w:tcW w:w="871" w:type="pct"/>
            <w:tcBorders>
              <w:top w:val="single" w:sz="4" w:space="0" w:color="auto"/>
              <w:left w:val="nil"/>
              <w:bottom w:val="single" w:sz="4" w:space="0" w:color="auto"/>
              <w:right w:val="nil"/>
            </w:tcBorders>
            <w:vAlign w:val="bottom"/>
          </w:tcPr>
          <w:p w14:paraId="4FB2C475" w14:textId="790B9E84" w:rsidR="00555BFF" w:rsidRPr="00E42A95" w:rsidRDefault="009B57A9" w:rsidP="00555BFF">
            <w:pPr>
              <w:jc w:val="right"/>
              <w:rPr>
                <w:rFonts w:ascii="Georgia" w:hAnsi="Georgia" w:cs="Arial"/>
                <w:b/>
                <w:bCs/>
                <w:color w:val="404040" w:themeColor="text1" w:themeTint="BF"/>
                <w:sz w:val="20"/>
                <w:szCs w:val="20"/>
                <w:lang w:eastAsia="en-GB"/>
              </w:rPr>
            </w:pPr>
            <w:r>
              <w:rPr>
                <w:rFonts w:ascii="Georgia" w:hAnsi="Georgia"/>
                <w:b/>
                <w:color w:val="404040"/>
                <w:sz w:val="20"/>
              </w:rPr>
              <w:t>386</w:t>
            </w:r>
          </w:p>
        </w:tc>
      </w:tr>
      <w:tr w:rsidR="00555BFF" w:rsidRPr="00C8686F" w14:paraId="7E26C3E7" w14:textId="77777777" w:rsidTr="000B0866">
        <w:trPr>
          <w:trHeight w:val="75"/>
        </w:trPr>
        <w:tc>
          <w:tcPr>
            <w:tcW w:w="2488" w:type="pct"/>
            <w:tcBorders>
              <w:top w:val="nil"/>
              <w:left w:val="nil"/>
              <w:bottom w:val="nil"/>
              <w:right w:val="nil"/>
            </w:tcBorders>
            <w:shd w:val="clear" w:color="auto" w:fill="auto"/>
            <w:noWrap/>
            <w:vAlign w:val="center"/>
          </w:tcPr>
          <w:p w14:paraId="4399CA4D" w14:textId="77777777" w:rsidR="00555BFF" w:rsidRPr="00D308E1" w:rsidRDefault="00555BFF" w:rsidP="00555BFF">
            <w:pPr>
              <w:rPr>
                <w:rFonts w:ascii="Georgia" w:hAnsi="Georgia" w:cs="Arial"/>
                <w:color w:val="404040" w:themeColor="text1" w:themeTint="BF"/>
                <w:sz w:val="20"/>
                <w:szCs w:val="20"/>
                <w:lang w:eastAsia="en-GB"/>
              </w:rPr>
            </w:pPr>
          </w:p>
        </w:tc>
        <w:tc>
          <w:tcPr>
            <w:tcW w:w="456" w:type="pct"/>
            <w:tcBorders>
              <w:top w:val="nil"/>
              <w:left w:val="nil"/>
              <w:bottom w:val="nil"/>
              <w:right w:val="nil"/>
            </w:tcBorders>
            <w:shd w:val="clear" w:color="auto" w:fill="auto"/>
            <w:noWrap/>
            <w:vAlign w:val="center"/>
          </w:tcPr>
          <w:p w14:paraId="7DF2CFEC"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671F9CC6" w14:textId="77777777" w:rsidR="00555BFF" w:rsidRPr="00555BFF" w:rsidRDefault="00555BFF" w:rsidP="00555BFF">
            <w:pPr>
              <w:jc w:val="right"/>
              <w:rPr>
                <w:rFonts w:ascii="Georgia" w:hAnsi="Georgia"/>
                <w:color w:val="404040"/>
                <w:sz w:val="20"/>
                <w:highlight w:val="yellow"/>
              </w:rPr>
            </w:pPr>
          </w:p>
        </w:tc>
        <w:tc>
          <w:tcPr>
            <w:tcW w:w="871" w:type="pct"/>
            <w:tcBorders>
              <w:top w:val="nil"/>
              <w:left w:val="nil"/>
              <w:bottom w:val="nil"/>
              <w:right w:val="nil"/>
            </w:tcBorders>
            <w:vAlign w:val="bottom"/>
          </w:tcPr>
          <w:p w14:paraId="42CE4480"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474EEB4D" w14:textId="77777777" w:rsidTr="000B0866">
        <w:trPr>
          <w:trHeight w:val="255"/>
        </w:trPr>
        <w:tc>
          <w:tcPr>
            <w:tcW w:w="2488" w:type="pct"/>
            <w:tcBorders>
              <w:top w:val="single" w:sz="4" w:space="0" w:color="auto"/>
              <w:left w:val="nil"/>
              <w:bottom w:val="single" w:sz="4" w:space="0" w:color="auto"/>
              <w:right w:val="nil"/>
            </w:tcBorders>
            <w:shd w:val="clear" w:color="auto" w:fill="auto"/>
            <w:noWrap/>
            <w:vAlign w:val="center"/>
          </w:tcPr>
          <w:p w14:paraId="30367A37"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TOTAL LIABILITIES</w:t>
            </w:r>
          </w:p>
        </w:tc>
        <w:tc>
          <w:tcPr>
            <w:tcW w:w="456" w:type="pct"/>
            <w:tcBorders>
              <w:top w:val="single" w:sz="4" w:space="0" w:color="auto"/>
              <w:left w:val="nil"/>
              <w:bottom w:val="single" w:sz="4" w:space="0" w:color="auto"/>
              <w:right w:val="nil"/>
            </w:tcBorders>
            <w:shd w:val="clear" w:color="auto" w:fill="auto"/>
            <w:noWrap/>
            <w:vAlign w:val="center"/>
          </w:tcPr>
          <w:p w14:paraId="34FB6F37"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single" w:sz="4" w:space="0" w:color="auto"/>
              <w:left w:val="nil"/>
              <w:bottom w:val="single" w:sz="4" w:space="0" w:color="auto"/>
              <w:right w:val="nil"/>
            </w:tcBorders>
            <w:vAlign w:val="bottom"/>
          </w:tcPr>
          <w:p w14:paraId="2CE665A7" w14:textId="10909FA8" w:rsidR="00555BFF" w:rsidRPr="005505FE" w:rsidRDefault="005505FE" w:rsidP="00555BFF">
            <w:pPr>
              <w:jc w:val="right"/>
              <w:rPr>
                <w:rFonts w:ascii="Georgia" w:hAnsi="Georgia"/>
                <w:b/>
                <w:color w:val="404040"/>
                <w:sz w:val="20"/>
              </w:rPr>
            </w:pPr>
            <w:r w:rsidRPr="005505FE">
              <w:rPr>
                <w:rFonts w:ascii="Georgia" w:hAnsi="Georgia"/>
                <w:b/>
                <w:color w:val="404040"/>
                <w:sz w:val="20"/>
              </w:rPr>
              <w:t>4</w:t>
            </w:r>
            <w:r w:rsidR="00525632">
              <w:rPr>
                <w:rFonts w:ascii="Georgia" w:hAnsi="Georgia"/>
                <w:b/>
                <w:color w:val="404040"/>
                <w:sz w:val="20"/>
              </w:rPr>
              <w:t>36</w:t>
            </w:r>
          </w:p>
        </w:tc>
        <w:tc>
          <w:tcPr>
            <w:tcW w:w="871" w:type="pct"/>
            <w:tcBorders>
              <w:top w:val="single" w:sz="4" w:space="0" w:color="auto"/>
              <w:left w:val="nil"/>
              <w:bottom w:val="single" w:sz="4" w:space="0" w:color="auto"/>
              <w:right w:val="nil"/>
            </w:tcBorders>
            <w:vAlign w:val="bottom"/>
          </w:tcPr>
          <w:p w14:paraId="1DD674E3" w14:textId="09626C9D" w:rsidR="00555BFF" w:rsidRPr="005505FE" w:rsidRDefault="009B57A9" w:rsidP="00555BFF">
            <w:pPr>
              <w:jc w:val="right"/>
              <w:rPr>
                <w:rFonts w:ascii="Georgia" w:hAnsi="Georgia" w:cs="Arial"/>
                <w:b/>
                <w:bCs/>
                <w:color w:val="404040" w:themeColor="text1" w:themeTint="BF"/>
                <w:sz w:val="20"/>
                <w:szCs w:val="20"/>
                <w:lang w:eastAsia="en-GB"/>
              </w:rPr>
            </w:pPr>
            <w:r w:rsidRPr="005505FE">
              <w:rPr>
                <w:rFonts w:ascii="Georgia" w:hAnsi="Georgia"/>
                <w:b/>
                <w:color w:val="404040"/>
                <w:sz w:val="20"/>
              </w:rPr>
              <w:t>386</w:t>
            </w:r>
          </w:p>
        </w:tc>
      </w:tr>
      <w:tr w:rsidR="00555BFF" w:rsidRPr="00C8686F" w14:paraId="739422EF" w14:textId="77777777" w:rsidTr="000B0866">
        <w:trPr>
          <w:trHeight w:val="112"/>
        </w:trPr>
        <w:tc>
          <w:tcPr>
            <w:tcW w:w="2488" w:type="pct"/>
            <w:tcBorders>
              <w:top w:val="nil"/>
              <w:left w:val="nil"/>
              <w:bottom w:val="nil"/>
              <w:right w:val="nil"/>
            </w:tcBorders>
            <w:shd w:val="clear" w:color="auto" w:fill="auto"/>
            <w:noWrap/>
            <w:vAlign w:val="center"/>
          </w:tcPr>
          <w:p w14:paraId="39A5C3B6" w14:textId="77777777" w:rsidR="00555BFF" w:rsidRPr="00D308E1" w:rsidRDefault="00555BFF" w:rsidP="00555BFF">
            <w:pPr>
              <w:rPr>
                <w:rFonts w:ascii="Georgia" w:hAnsi="Georgia" w:cs="Arial"/>
                <w:b/>
                <w:bCs/>
                <w:color w:val="404040" w:themeColor="text1" w:themeTint="BF"/>
                <w:sz w:val="20"/>
                <w:szCs w:val="20"/>
                <w:lang w:eastAsia="en-GB"/>
              </w:rPr>
            </w:pPr>
          </w:p>
        </w:tc>
        <w:tc>
          <w:tcPr>
            <w:tcW w:w="456" w:type="pct"/>
            <w:tcBorders>
              <w:top w:val="nil"/>
              <w:left w:val="nil"/>
              <w:bottom w:val="nil"/>
              <w:right w:val="nil"/>
            </w:tcBorders>
            <w:shd w:val="clear" w:color="auto" w:fill="auto"/>
            <w:noWrap/>
            <w:vAlign w:val="center"/>
          </w:tcPr>
          <w:p w14:paraId="2751F5AF"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0E4B08E1" w14:textId="77777777" w:rsidR="00555BFF" w:rsidRPr="00555BFF" w:rsidRDefault="00555BFF" w:rsidP="00555BFF">
            <w:pPr>
              <w:jc w:val="right"/>
              <w:rPr>
                <w:rFonts w:ascii="Georgia" w:hAnsi="Georgia"/>
                <w:color w:val="404040"/>
                <w:sz w:val="20"/>
                <w:highlight w:val="yellow"/>
              </w:rPr>
            </w:pPr>
          </w:p>
        </w:tc>
        <w:tc>
          <w:tcPr>
            <w:tcW w:w="871" w:type="pct"/>
            <w:tcBorders>
              <w:top w:val="nil"/>
              <w:left w:val="nil"/>
              <w:bottom w:val="nil"/>
              <w:right w:val="nil"/>
            </w:tcBorders>
            <w:vAlign w:val="bottom"/>
          </w:tcPr>
          <w:p w14:paraId="6FA04C18"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42E4B184" w14:textId="77777777" w:rsidTr="000B0866">
        <w:trPr>
          <w:trHeight w:val="255"/>
        </w:trPr>
        <w:tc>
          <w:tcPr>
            <w:tcW w:w="2488" w:type="pct"/>
            <w:tcBorders>
              <w:top w:val="single" w:sz="4" w:space="0" w:color="auto"/>
              <w:left w:val="nil"/>
              <w:bottom w:val="single" w:sz="4" w:space="0" w:color="auto"/>
              <w:right w:val="nil"/>
            </w:tcBorders>
            <w:shd w:val="clear" w:color="auto" w:fill="auto"/>
            <w:noWrap/>
            <w:vAlign w:val="center"/>
          </w:tcPr>
          <w:p w14:paraId="150D3286"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NET ASSETS</w:t>
            </w:r>
          </w:p>
        </w:tc>
        <w:tc>
          <w:tcPr>
            <w:tcW w:w="456" w:type="pct"/>
            <w:tcBorders>
              <w:top w:val="single" w:sz="4" w:space="0" w:color="auto"/>
              <w:left w:val="nil"/>
              <w:bottom w:val="single" w:sz="4" w:space="0" w:color="auto"/>
              <w:right w:val="nil"/>
            </w:tcBorders>
            <w:shd w:val="clear" w:color="auto" w:fill="auto"/>
            <w:noWrap/>
            <w:vAlign w:val="center"/>
          </w:tcPr>
          <w:p w14:paraId="3657F05C"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single" w:sz="4" w:space="0" w:color="auto"/>
              <w:left w:val="nil"/>
              <w:bottom w:val="single" w:sz="4" w:space="0" w:color="auto"/>
              <w:right w:val="nil"/>
            </w:tcBorders>
            <w:vAlign w:val="bottom"/>
          </w:tcPr>
          <w:p w14:paraId="66ACBD4E" w14:textId="536F35BC" w:rsidR="00555BFF" w:rsidRPr="00555BFF" w:rsidRDefault="0080041A" w:rsidP="005505FE">
            <w:pPr>
              <w:jc w:val="right"/>
              <w:rPr>
                <w:rFonts w:ascii="Georgia" w:hAnsi="Georgia"/>
                <w:b/>
                <w:color w:val="404040"/>
                <w:sz w:val="20"/>
                <w:highlight w:val="yellow"/>
              </w:rPr>
            </w:pPr>
            <w:r>
              <w:rPr>
                <w:rFonts w:ascii="Georgia" w:hAnsi="Georgia"/>
                <w:b/>
                <w:color w:val="404040"/>
                <w:sz w:val="20"/>
              </w:rPr>
              <w:t>4</w:t>
            </w:r>
            <w:r w:rsidR="004B40C1">
              <w:rPr>
                <w:rFonts w:ascii="Georgia" w:hAnsi="Georgia"/>
                <w:b/>
                <w:color w:val="404040"/>
                <w:sz w:val="20"/>
              </w:rPr>
              <w:t>33,505</w:t>
            </w:r>
          </w:p>
        </w:tc>
        <w:tc>
          <w:tcPr>
            <w:tcW w:w="871" w:type="pct"/>
            <w:tcBorders>
              <w:top w:val="single" w:sz="4" w:space="0" w:color="auto"/>
              <w:left w:val="nil"/>
              <w:bottom w:val="single" w:sz="4" w:space="0" w:color="auto"/>
              <w:right w:val="nil"/>
            </w:tcBorders>
            <w:vAlign w:val="bottom"/>
          </w:tcPr>
          <w:p w14:paraId="0BE748E8" w14:textId="640DCA1D" w:rsidR="00555BFF" w:rsidRPr="00E42A95" w:rsidRDefault="009B57A9" w:rsidP="00555BFF">
            <w:pPr>
              <w:jc w:val="right"/>
              <w:rPr>
                <w:rFonts w:ascii="Georgia" w:hAnsi="Georgia" w:cs="Arial"/>
                <w:b/>
                <w:bCs/>
                <w:color w:val="404040" w:themeColor="text1" w:themeTint="BF"/>
                <w:sz w:val="20"/>
                <w:szCs w:val="20"/>
                <w:lang w:eastAsia="en-GB"/>
              </w:rPr>
            </w:pPr>
            <w:r>
              <w:rPr>
                <w:rFonts w:ascii="Georgia" w:hAnsi="Georgia"/>
                <w:b/>
                <w:color w:val="404040"/>
                <w:sz w:val="20"/>
              </w:rPr>
              <w:t>436,396</w:t>
            </w:r>
          </w:p>
        </w:tc>
      </w:tr>
      <w:tr w:rsidR="00555BFF" w:rsidRPr="00C8686F" w14:paraId="0EDE4470" w14:textId="77777777" w:rsidTr="000B0866">
        <w:trPr>
          <w:trHeight w:val="72"/>
        </w:trPr>
        <w:tc>
          <w:tcPr>
            <w:tcW w:w="2488" w:type="pct"/>
            <w:tcBorders>
              <w:top w:val="nil"/>
              <w:left w:val="nil"/>
              <w:bottom w:val="nil"/>
              <w:right w:val="nil"/>
            </w:tcBorders>
            <w:shd w:val="clear" w:color="auto" w:fill="auto"/>
            <w:noWrap/>
            <w:vAlign w:val="center"/>
          </w:tcPr>
          <w:p w14:paraId="5A7AE87F" w14:textId="77777777" w:rsidR="00555BFF" w:rsidRPr="00D308E1" w:rsidRDefault="00555BFF" w:rsidP="00555BFF">
            <w:pPr>
              <w:rPr>
                <w:rFonts w:ascii="Georgia" w:hAnsi="Georgia" w:cs="Arial"/>
                <w:color w:val="404040" w:themeColor="text1" w:themeTint="BF"/>
                <w:sz w:val="20"/>
                <w:szCs w:val="20"/>
                <w:lang w:eastAsia="en-GB"/>
              </w:rPr>
            </w:pPr>
          </w:p>
        </w:tc>
        <w:tc>
          <w:tcPr>
            <w:tcW w:w="456" w:type="pct"/>
            <w:tcBorders>
              <w:top w:val="nil"/>
              <w:left w:val="nil"/>
              <w:bottom w:val="nil"/>
              <w:right w:val="nil"/>
            </w:tcBorders>
            <w:shd w:val="clear" w:color="auto" w:fill="auto"/>
            <w:noWrap/>
            <w:vAlign w:val="center"/>
          </w:tcPr>
          <w:p w14:paraId="38363E48"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14002A73" w14:textId="77777777" w:rsidR="00555BFF" w:rsidRPr="00555BFF" w:rsidRDefault="00555BFF" w:rsidP="00555BFF">
            <w:pPr>
              <w:jc w:val="right"/>
              <w:rPr>
                <w:rFonts w:ascii="Georgia" w:hAnsi="Georgia"/>
                <w:color w:val="404040"/>
                <w:sz w:val="20"/>
                <w:highlight w:val="yellow"/>
              </w:rPr>
            </w:pPr>
          </w:p>
        </w:tc>
        <w:tc>
          <w:tcPr>
            <w:tcW w:w="871" w:type="pct"/>
            <w:tcBorders>
              <w:top w:val="nil"/>
              <w:left w:val="nil"/>
              <w:bottom w:val="nil"/>
              <w:right w:val="nil"/>
            </w:tcBorders>
            <w:vAlign w:val="bottom"/>
          </w:tcPr>
          <w:p w14:paraId="65692C88"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120DC7C2" w14:textId="77777777" w:rsidTr="000B0866">
        <w:trPr>
          <w:trHeight w:val="255"/>
        </w:trPr>
        <w:tc>
          <w:tcPr>
            <w:tcW w:w="2488" w:type="pct"/>
            <w:tcBorders>
              <w:top w:val="nil"/>
              <w:left w:val="nil"/>
              <w:bottom w:val="nil"/>
              <w:right w:val="nil"/>
            </w:tcBorders>
            <w:shd w:val="clear" w:color="auto" w:fill="auto"/>
            <w:noWrap/>
            <w:vAlign w:val="center"/>
          </w:tcPr>
          <w:p w14:paraId="7FF426CB"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EQUITY</w:t>
            </w:r>
          </w:p>
        </w:tc>
        <w:tc>
          <w:tcPr>
            <w:tcW w:w="456" w:type="pct"/>
            <w:tcBorders>
              <w:top w:val="nil"/>
              <w:left w:val="nil"/>
              <w:bottom w:val="nil"/>
              <w:right w:val="nil"/>
            </w:tcBorders>
            <w:shd w:val="clear" w:color="auto" w:fill="auto"/>
            <w:noWrap/>
            <w:vAlign w:val="center"/>
          </w:tcPr>
          <w:p w14:paraId="54813D18"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7D11AB97" w14:textId="77777777" w:rsidR="00555BFF" w:rsidRPr="00555BFF" w:rsidRDefault="00555BFF" w:rsidP="00555BFF">
            <w:pPr>
              <w:jc w:val="right"/>
              <w:rPr>
                <w:rFonts w:ascii="Georgia" w:hAnsi="Georgia"/>
                <w:color w:val="404040"/>
                <w:sz w:val="20"/>
                <w:highlight w:val="yellow"/>
              </w:rPr>
            </w:pPr>
          </w:p>
        </w:tc>
        <w:tc>
          <w:tcPr>
            <w:tcW w:w="871" w:type="pct"/>
            <w:tcBorders>
              <w:top w:val="nil"/>
              <w:left w:val="nil"/>
              <w:bottom w:val="nil"/>
              <w:right w:val="nil"/>
            </w:tcBorders>
            <w:vAlign w:val="bottom"/>
          </w:tcPr>
          <w:p w14:paraId="29F0B2F2" w14:textId="77777777" w:rsidR="00555BFF" w:rsidRPr="00D308E1" w:rsidRDefault="00555BFF" w:rsidP="00555BFF">
            <w:pPr>
              <w:jc w:val="right"/>
              <w:rPr>
                <w:rFonts w:ascii="Georgia" w:hAnsi="Georgia" w:cs="Arial"/>
                <w:color w:val="404040" w:themeColor="text1" w:themeTint="BF"/>
                <w:sz w:val="20"/>
                <w:szCs w:val="20"/>
                <w:lang w:eastAsia="en-GB"/>
              </w:rPr>
            </w:pPr>
          </w:p>
        </w:tc>
      </w:tr>
      <w:tr w:rsidR="00555BFF" w:rsidRPr="00C8686F" w14:paraId="78FD9EAD" w14:textId="77777777" w:rsidTr="00EE74A8">
        <w:trPr>
          <w:trHeight w:val="255"/>
        </w:trPr>
        <w:tc>
          <w:tcPr>
            <w:tcW w:w="2488" w:type="pct"/>
            <w:tcBorders>
              <w:top w:val="nil"/>
              <w:left w:val="nil"/>
              <w:bottom w:val="nil"/>
              <w:right w:val="nil"/>
            </w:tcBorders>
            <w:shd w:val="clear" w:color="auto" w:fill="auto"/>
            <w:noWrap/>
            <w:vAlign w:val="center"/>
          </w:tcPr>
          <w:p w14:paraId="35B508C9" w14:textId="77777777" w:rsidR="00555BFF" w:rsidRPr="00D308E1" w:rsidRDefault="00555BFF" w:rsidP="00555BF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Share capital</w:t>
            </w:r>
          </w:p>
        </w:tc>
        <w:tc>
          <w:tcPr>
            <w:tcW w:w="456" w:type="pct"/>
            <w:tcBorders>
              <w:top w:val="nil"/>
              <w:left w:val="nil"/>
              <w:bottom w:val="nil"/>
              <w:right w:val="nil"/>
            </w:tcBorders>
            <w:shd w:val="clear" w:color="auto" w:fill="auto"/>
            <w:noWrap/>
            <w:vAlign w:val="center"/>
          </w:tcPr>
          <w:p w14:paraId="7D1EE068"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2493EA5F" w14:textId="6924611A" w:rsidR="00555BFF" w:rsidRPr="005505FE" w:rsidRDefault="009B57A9" w:rsidP="005505FE">
            <w:pPr>
              <w:jc w:val="right"/>
              <w:rPr>
                <w:rFonts w:ascii="Georgia" w:hAnsi="Georgia"/>
                <w:color w:val="404040"/>
                <w:sz w:val="20"/>
              </w:rPr>
            </w:pPr>
            <w:r w:rsidRPr="005505FE">
              <w:rPr>
                <w:rFonts w:ascii="Georgia" w:hAnsi="Georgia"/>
                <w:color w:val="404040"/>
                <w:sz w:val="20"/>
              </w:rPr>
              <w:t>368,</w:t>
            </w:r>
            <w:r w:rsidR="005505FE" w:rsidRPr="005505FE">
              <w:rPr>
                <w:rFonts w:ascii="Georgia" w:hAnsi="Georgia"/>
                <w:color w:val="404040"/>
                <w:sz w:val="20"/>
              </w:rPr>
              <w:t>7</w:t>
            </w:r>
            <w:r w:rsidR="00EA7731">
              <w:rPr>
                <w:rFonts w:ascii="Georgia" w:hAnsi="Georgia"/>
                <w:color w:val="404040"/>
                <w:sz w:val="20"/>
              </w:rPr>
              <w:t>12</w:t>
            </w:r>
          </w:p>
        </w:tc>
        <w:tc>
          <w:tcPr>
            <w:tcW w:w="871" w:type="pct"/>
            <w:tcBorders>
              <w:top w:val="nil"/>
              <w:left w:val="nil"/>
              <w:bottom w:val="nil"/>
              <w:right w:val="nil"/>
            </w:tcBorders>
            <w:vAlign w:val="bottom"/>
          </w:tcPr>
          <w:p w14:paraId="59930A43" w14:textId="0CC1A372" w:rsidR="00555BFF" w:rsidRPr="00E42A95" w:rsidRDefault="00A363B6" w:rsidP="00555BFF">
            <w:pPr>
              <w:jc w:val="right"/>
              <w:rPr>
                <w:rFonts w:ascii="Georgia" w:hAnsi="Georgia" w:cs="Arial"/>
                <w:color w:val="404040" w:themeColor="text1" w:themeTint="BF"/>
                <w:sz w:val="20"/>
                <w:szCs w:val="20"/>
                <w:lang w:eastAsia="en-GB"/>
              </w:rPr>
            </w:pPr>
            <w:r>
              <w:rPr>
                <w:rFonts w:ascii="Georgia" w:hAnsi="Georgia"/>
                <w:color w:val="404040"/>
                <w:sz w:val="20"/>
              </w:rPr>
              <w:t>368,013</w:t>
            </w:r>
          </w:p>
        </w:tc>
      </w:tr>
      <w:tr w:rsidR="00555BFF" w:rsidRPr="00C8686F" w14:paraId="37F00617" w14:textId="77777777" w:rsidTr="00EE74A8">
        <w:trPr>
          <w:trHeight w:val="255"/>
        </w:trPr>
        <w:tc>
          <w:tcPr>
            <w:tcW w:w="2488" w:type="pct"/>
            <w:tcBorders>
              <w:top w:val="nil"/>
              <w:left w:val="nil"/>
              <w:bottom w:val="nil"/>
              <w:right w:val="nil"/>
            </w:tcBorders>
            <w:shd w:val="clear" w:color="auto" w:fill="auto"/>
            <w:noWrap/>
            <w:vAlign w:val="center"/>
          </w:tcPr>
          <w:p w14:paraId="0464E2EC" w14:textId="2A5ACAAF" w:rsidR="00555BFF" w:rsidRPr="00E42A95" w:rsidRDefault="00555BFF" w:rsidP="00555BFF">
            <w:pPr>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Other reserves</w:t>
            </w:r>
          </w:p>
        </w:tc>
        <w:tc>
          <w:tcPr>
            <w:tcW w:w="456" w:type="pct"/>
            <w:tcBorders>
              <w:top w:val="nil"/>
              <w:left w:val="nil"/>
              <w:bottom w:val="nil"/>
              <w:right w:val="nil"/>
            </w:tcBorders>
            <w:shd w:val="clear" w:color="auto" w:fill="auto"/>
            <w:noWrap/>
            <w:vAlign w:val="center"/>
          </w:tcPr>
          <w:p w14:paraId="2D622C1C"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nil"/>
              <w:right w:val="nil"/>
            </w:tcBorders>
            <w:vAlign w:val="bottom"/>
          </w:tcPr>
          <w:p w14:paraId="2A4306BD" w14:textId="5BC14C12" w:rsidR="00555BFF" w:rsidRPr="005505FE" w:rsidRDefault="005505FE" w:rsidP="00555BFF">
            <w:pPr>
              <w:jc w:val="right"/>
              <w:rPr>
                <w:rFonts w:ascii="Georgia" w:hAnsi="Georgia"/>
                <w:color w:val="404040"/>
                <w:sz w:val="20"/>
              </w:rPr>
            </w:pPr>
            <w:r w:rsidRPr="005505FE">
              <w:rPr>
                <w:rFonts w:ascii="Georgia" w:hAnsi="Georgia"/>
                <w:color w:val="404040"/>
                <w:sz w:val="20"/>
              </w:rPr>
              <w:t>-</w:t>
            </w:r>
          </w:p>
        </w:tc>
        <w:tc>
          <w:tcPr>
            <w:tcW w:w="871" w:type="pct"/>
            <w:tcBorders>
              <w:top w:val="nil"/>
              <w:left w:val="nil"/>
              <w:bottom w:val="nil"/>
              <w:right w:val="nil"/>
            </w:tcBorders>
            <w:vAlign w:val="bottom"/>
          </w:tcPr>
          <w:p w14:paraId="68664EF5" w14:textId="1C5F7530" w:rsidR="00555BFF" w:rsidRDefault="009B57A9" w:rsidP="00555BFF">
            <w:pPr>
              <w:jc w:val="right"/>
              <w:rPr>
                <w:rFonts w:ascii="Georgia" w:hAnsi="Georgia" w:cs="Arial"/>
                <w:color w:val="333333"/>
                <w:sz w:val="20"/>
                <w:szCs w:val="20"/>
              </w:rPr>
            </w:pPr>
            <w:r>
              <w:rPr>
                <w:rFonts w:ascii="Georgia" w:hAnsi="Georgia"/>
                <w:color w:val="404040"/>
                <w:sz w:val="20"/>
              </w:rPr>
              <w:t>699</w:t>
            </w:r>
          </w:p>
        </w:tc>
      </w:tr>
      <w:tr w:rsidR="00555BFF" w:rsidRPr="00C8686F" w14:paraId="6BCE9373" w14:textId="77777777" w:rsidTr="00EE74A8">
        <w:trPr>
          <w:trHeight w:val="255"/>
        </w:trPr>
        <w:tc>
          <w:tcPr>
            <w:tcW w:w="2488" w:type="pct"/>
            <w:tcBorders>
              <w:top w:val="nil"/>
              <w:left w:val="nil"/>
              <w:bottom w:val="nil"/>
              <w:right w:val="nil"/>
            </w:tcBorders>
            <w:shd w:val="clear" w:color="auto" w:fill="auto"/>
            <w:noWrap/>
            <w:vAlign w:val="center"/>
          </w:tcPr>
          <w:p w14:paraId="15A2CCC4" w14:textId="77777777" w:rsidR="00555BFF" w:rsidRPr="00D308E1" w:rsidRDefault="00555BFF" w:rsidP="00555BF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xml:space="preserve">Retained </w:t>
            </w:r>
            <w:r>
              <w:rPr>
                <w:rFonts w:ascii="Georgia" w:hAnsi="Georgia" w:cs="Arial"/>
                <w:color w:val="404040" w:themeColor="text1" w:themeTint="BF"/>
                <w:sz w:val="20"/>
                <w:szCs w:val="20"/>
                <w:lang w:eastAsia="en-GB"/>
              </w:rPr>
              <w:t>earnings</w:t>
            </w:r>
          </w:p>
        </w:tc>
        <w:tc>
          <w:tcPr>
            <w:tcW w:w="456" w:type="pct"/>
            <w:tcBorders>
              <w:top w:val="nil"/>
              <w:left w:val="nil"/>
              <w:bottom w:val="single" w:sz="4" w:space="0" w:color="auto"/>
              <w:right w:val="nil"/>
            </w:tcBorders>
            <w:shd w:val="clear" w:color="auto" w:fill="auto"/>
            <w:noWrap/>
            <w:vAlign w:val="center"/>
          </w:tcPr>
          <w:p w14:paraId="219645C2" w14:textId="77777777" w:rsidR="00555BFF" w:rsidRPr="00942AD0" w:rsidRDefault="00555BFF" w:rsidP="00555BFF">
            <w:pPr>
              <w:jc w:val="center"/>
              <w:rPr>
                <w:rFonts w:ascii="Georgia" w:hAnsi="Georgia" w:cs="Arial"/>
                <w:b/>
                <w:bCs/>
                <w:color w:val="404040" w:themeColor="text1" w:themeTint="BF"/>
                <w:sz w:val="20"/>
                <w:szCs w:val="20"/>
                <w:lang w:eastAsia="en-GB"/>
              </w:rPr>
            </w:pPr>
          </w:p>
        </w:tc>
        <w:tc>
          <w:tcPr>
            <w:tcW w:w="1185" w:type="pct"/>
            <w:tcBorders>
              <w:top w:val="nil"/>
              <w:left w:val="nil"/>
              <w:bottom w:val="single" w:sz="4" w:space="0" w:color="auto"/>
              <w:right w:val="nil"/>
            </w:tcBorders>
            <w:vAlign w:val="bottom"/>
          </w:tcPr>
          <w:p w14:paraId="1CFEF30E" w14:textId="4E227B0F" w:rsidR="00555BFF" w:rsidRPr="005505FE" w:rsidRDefault="0080041A" w:rsidP="00555BFF">
            <w:pPr>
              <w:jc w:val="right"/>
              <w:rPr>
                <w:rFonts w:ascii="Georgia" w:hAnsi="Georgia"/>
                <w:color w:val="404040"/>
                <w:sz w:val="20"/>
              </w:rPr>
            </w:pPr>
            <w:r>
              <w:rPr>
                <w:rFonts w:ascii="Georgia" w:hAnsi="Georgia"/>
                <w:color w:val="404040"/>
                <w:sz w:val="20"/>
              </w:rPr>
              <w:t>64,793</w:t>
            </w:r>
          </w:p>
        </w:tc>
        <w:tc>
          <w:tcPr>
            <w:tcW w:w="871" w:type="pct"/>
            <w:tcBorders>
              <w:top w:val="nil"/>
              <w:left w:val="nil"/>
              <w:bottom w:val="single" w:sz="4" w:space="0" w:color="auto"/>
              <w:right w:val="nil"/>
            </w:tcBorders>
            <w:vAlign w:val="bottom"/>
          </w:tcPr>
          <w:p w14:paraId="7BBF0FD0" w14:textId="0AA05E74" w:rsidR="00555BFF" w:rsidRPr="00E42A95" w:rsidRDefault="00A363B6" w:rsidP="00555BFF">
            <w:pPr>
              <w:jc w:val="right"/>
              <w:rPr>
                <w:rFonts w:ascii="Georgia" w:hAnsi="Georgia" w:cs="Arial"/>
                <w:color w:val="404040" w:themeColor="text1" w:themeTint="BF"/>
                <w:sz w:val="20"/>
                <w:szCs w:val="20"/>
                <w:lang w:eastAsia="en-GB"/>
              </w:rPr>
            </w:pPr>
            <w:r>
              <w:rPr>
                <w:rFonts w:ascii="Georgia" w:hAnsi="Georgia"/>
                <w:color w:val="404040"/>
                <w:sz w:val="20"/>
              </w:rPr>
              <w:t>67,684</w:t>
            </w:r>
          </w:p>
        </w:tc>
      </w:tr>
      <w:tr w:rsidR="00555BFF" w:rsidRPr="00C8686F" w14:paraId="52B623D4" w14:textId="77777777" w:rsidTr="00CC1553">
        <w:trPr>
          <w:trHeight w:val="270"/>
        </w:trPr>
        <w:tc>
          <w:tcPr>
            <w:tcW w:w="2488" w:type="pct"/>
            <w:tcBorders>
              <w:top w:val="single" w:sz="4" w:space="0" w:color="auto"/>
              <w:left w:val="nil"/>
              <w:bottom w:val="single" w:sz="12" w:space="0" w:color="auto"/>
              <w:right w:val="nil"/>
            </w:tcBorders>
            <w:shd w:val="clear" w:color="auto" w:fill="auto"/>
            <w:vAlign w:val="center"/>
          </w:tcPr>
          <w:p w14:paraId="6EFB8A67"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TOTAL EQUITY</w:t>
            </w:r>
          </w:p>
        </w:tc>
        <w:tc>
          <w:tcPr>
            <w:tcW w:w="456" w:type="pct"/>
            <w:tcBorders>
              <w:top w:val="single" w:sz="4" w:space="0" w:color="auto"/>
              <w:left w:val="nil"/>
              <w:bottom w:val="single" w:sz="12" w:space="0" w:color="auto"/>
              <w:right w:val="nil"/>
            </w:tcBorders>
            <w:shd w:val="clear" w:color="auto" w:fill="auto"/>
            <w:noWrap/>
            <w:vAlign w:val="center"/>
          </w:tcPr>
          <w:p w14:paraId="42F97359" w14:textId="624A9C97"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13</w:t>
            </w:r>
          </w:p>
        </w:tc>
        <w:tc>
          <w:tcPr>
            <w:tcW w:w="1185" w:type="pct"/>
            <w:tcBorders>
              <w:top w:val="single" w:sz="4" w:space="0" w:color="auto"/>
              <w:left w:val="nil"/>
              <w:bottom w:val="single" w:sz="12" w:space="0" w:color="auto"/>
              <w:right w:val="nil"/>
            </w:tcBorders>
            <w:vAlign w:val="center"/>
          </w:tcPr>
          <w:p w14:paraId="76CB06C1" w14:textId="2A1C376A" w:rsidR="00555BFF" w:rsidRPr="005505FE" w:rsidRDefault="0080041A" w:rsidP="00555BFF">
            <w:pPr>
              <w:jc w:val="right"/>
              <w:rPr>
                <w:rFonts w:ascii="Georgia" w:hAnsi="Georgia"/>
                <w:b/>
                <w:color w:val="404040"/>
                <w:sz w:val="20"/>
              </w:rPr>
            </w:pPr>
            <w:r>
              <w:rPr>
                <w:rFonts w:ascii="Georgia" w:hAnsi="Georgia"/>
                <w:b/>
                <w:color w:val="404040"/>
                <w:sz w:val="20"/>
              </w:rPr>
              <w:t>433,505</w:t>
            </w:r>
          </w:p>
        </w:tc>
        <w:tc>
          <w:tcPr>
            <w:tcW w:w="871" w:type="pct"/>
            <w:tcBorders>
              <w:top w:val="single" w:sz="4" w:space="0" w:color="auto"/>
              <w:left w:val="nil"/>
              <w:bottom w:val="single" w:sz="12" w:space="0" w:color="auto"/>
              <w:right w:val="nil"/>
            </w:tcBorders>
            <w:vAlign w:val="center"/>
          </w:tcPr>
          <w:p w14:paraId="65CF09C1" w14:textId="0974E8D0" w:rsidR="00555BFF" w:rsidRPr="00E42A95" w:rsidRDefault="00555BFF" w:rsidP="009B57A9">
            <w:pPr>
              <w:jc w:val="right"/>
              <w:rPr>
                <w:rFonts w:ascii="Georgia" w:hAnsi="Georgia" w:cs="Arial"/>
                <w:b/>
                <w:bCs/>
                <w:color w:val="404040" w:themeColor="text1" w:themeTint="BF"/>
                <w:sz w:val="20"/>
                <w:szCs w:val="20"/>
                <w:lang w:eastAsia="en-GB"/>
              </w:rPr>
            </w:pPr>
            <w:r>
              <w:rPr>
                <w:rFonts w:ascii="Georgia" w:hAnsi="Georgia"/>
                <w:b/>
                <w:color w:val="404040"/>
                <w:sz w:val="20"/>
              </w:rPr>
              <w:t>436,396</w:t>
            </w:r>
          </w:p>
        </w:tc>
      </w:tr>
      <w:tr w:rsidR="00555BFF" w:rsidRPr="00C8686F" w14:paraId="6A660DD5" w14:textId="77777777" w:rsidTr="00FC080A">
        <w:trPr>
          <w:trHeight w:val="451"/>
        </w:trPr>
        <w:tc>
          <w:tcPr>
            <w:tcW w:w="2488" w:type="pct"/>
            <w:tcBorders>
              <w:top w:val="nil"/>
              <w:left w:val="nil"/>
              <w:bottom w:val="single" w:sz="12" w:space="0" w:color="auto"/>
              <w:right w:val="nil"/>
            </w:tcBorders>
            <w:shd w:val="clear" w:color="auto" w:fill="auto"/>
            <w:vAlign w:val="center"/>
          </w:tcPr>
          <w:p w14:paraId="30895961"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 xml:space="preserve">Ordinary Shares in issue at </w:t>
            </w:r>
            <w:r>
              <w:rPr>
                <w:rFonts w:ascii="Georgia" w:hAnsi="Georgia" w:cs="Arial"/>
                <w:b/>
                <w:bCs/>
                <w:color w:val="404040" w:themeColor="text1" w:themeTint="BF"/>
                <w:sz w:val="20"/>
                <w:szCs w:val="20"/>
                <w:lang w:eastAsia="en-GB"/>
              </w:rPr>
              <w:t>year</w:t>
            </w:r>
            <w:r w:rsidRPr="00E42A95">
              <w:rPr>
                <w:rFonts w:ascii="Georgia" w:hAnsi="Georgia" w:cs="Arial"/>
                <w:b/>
                <w:bCs/>
                <w:color w:val="404040" w:themeColor="text1" w:themeTint="BF"/>
                <w:sz w:val="20"/>
                <w:szCs w:val="20"/>
                <w:lang w:eastAsia="en-GB"/>
              </w:rPr>
              <w:t xml:space="preserve"> end</w:t>
            </w:r>
          </w:p>
        </w:tc>
        <w:tc>
          <w:tcPr>
            <w:tcW w:w="456" w:type="pct"/>
            <w:tcBorders>
              <w:top w:val="nil"/>
              <w:left w:val="nil"/>
              <w:bottom w:val="single" w:sz="12" w:space="0" w:color="auto"/>
              <w:right w:val="nil"/>
            </w:tcBorders>
            <w:shd w:val="clear" w:color="auto" w:fill="auto"/>
            <w:noWrap/>
            <w:vAlign w:val="center"/>
          </w:tcPr>
          <w:p w14:paraId="20369E28" w14:textId="626E3ABF"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13</w:t>
            </w:r>
          </w:p>
        </w:tc>
        <w:tc>
          <w:tcPr>
            <w:tcW w:w="1185" w:type="pct"/>
            <w:tcBorders>
              <w:top w:val="single" w:sz="12" w:space="0" w:color="auto"/>
              <w:left w:val="nil"/>
              <w:bottom w:val="single" w:sz="12" w:space="0" w:color="auto"/>
              <w:right w:val="nil"/>
            </w:tcBorders>
            <w:vAlign w:val="center"/>
          </w:tcPr>
          <w:p w14:paraId="6A5E15AF" w14:textId="43DCC90D" w:rsidR="00555BFF" w:rsidRPr="005505FE" w:rsidRDefault="005505FE" w:rsidP="00555BFF">
            <w:pPr>
              <w:jc w:val="right"/>
              <w:rPr>
                <w:rFonts w:ascii="Georgia" w:hAnsi="Georgia"/>
                <w:b/>
                <w:color w:val="404040"/>
                <w:sz w:val="20"/>
              </w:rPr>
            </w:pPr>
            <w:r w:rsidRPr="005505FE">
              <w:rPr>
                <w:rFonts w:ascii="Georgia" w:hAnsi="Georgia"/>
                <w:b/>
                <w:color w:val="404040"/>
                <w:sz w:val="20"/>
              </w:rPr>
              <w:t>370,499,622</w:t>
            </w:r>
          </w:p>
        </w:tc>
        <w:tc>
          <w:tcPr>
            <w:tcW w:w="871" w:type="pct"/>
            <w:tcBorders>
              <w:top w:val="single" w:sz="12" w:space="0" w:color="auto"/>
              <w:left w:val="nil"/>
              <w:bottom w:val="single" w:sz="12" w:space="0" w:color="auto"/>
              <w:right w:val="nil"/>
            </w:tcBorders>
            <w:vAlign w:val="center"/>
          </w:tcPr>
          <w:p w14:paraId="3672BA69" w14:textId="10779641" w:rsidR="00555BFF" w:rsidRPr="00E42A95" w:rsidRDefault="00D74B51" w:rsidP="00555BFF">
            <w:pPr>
              <w:jc w:val="right"/>
              <w:rPr>
                <w:rFonts w:ascii="Georgia" w:hAnsi="Georgia" w:cs="Arial"/>
                <w:b/>
                <w:bCs/>
                <w:color w:val="404040" w:themeColor="text1" w:themeTint="BF"/>
                <w:sz w:val="20"/>
                <w:szCs w:val="20"/>
                <w:lang w:eastAsia="en-GB"/>
              </w:rPr>
            </w:pPr>
            <w:r w:rsidRPr="00D74B51">
              <w:rPr>
                <w:rFonts w:ascii="Georgia" w:hAnsi="Georgia"/>
                <w:b/>
                <w:color w:val="404040"/>
                <w:sz w:val="20"/>
              </w:rPr>
              <w:t>369,883,530</w:t>
            </w:r>
          </w:p>
        </w:tc>
      </w:tr>
      <w:tr w:rsidR="00555BFF" w:rsidRPr="00C8686F" w14:paraId="592AD31A" w14:textId="77777777" w:rsidTr="00CF4B9F">
        <w:trPr>
          <w:trHeight w:val="454"/>
        </w:trPr>
        <w:tc>
          <w:tcPr>
            <w:tcW w:w="2488" w:type="pct"/>
            <w:tcBorders>
              <w:top w:val="nil"/>
              <w:left w:val="nil"/>
              <w:bottom w:val="single" w:sz="12" w:space="0" w:color="auto"/>
              <w:right w:val="nil"/>
            </w:tcBorders>
            <w:shd w:val="clear" w:color="auto" w:fill="auto"/>
            <w:vAlign w:val="center"/>
          </w:tcPr>
          <w:p w14:paraId="682D8D5A" w14:textId="77777777" w:rsidR="00555BFF" w:rsidRPr="00D308E1" w:rsidRDefault="00555BFF" w:rsidP="00555BFF">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 xml:space="preserve">Net </w:t>
            </w:r>
            <w:r>
              <w:rPr>
                <w:rFonts w:ascii="Georgia" w:hAnsi="Georgia" w:cs="Arial"/>
                <w:b/>
                <w:bCs/>
                <w:color w:val="404040" w:themeColor="text1" w:themeTint="BF"/>
                <w:sz w:val="20"/>
                <w:szCs w:val="20"/>
                <w:lang w:eastAsia="en-GB"/>
              </w:rPr>
              <w:t>a</w:t>
            </w:r>
            <w:r w:rsidRPr="00E42A95">
              <w:rPr>
                <w:rFonts w:ascii="Georgia" w:hAnsi="Georgia" w:cs="Arial"/>
                <w:b/>
                <w:bCs/>
                <w:color w:val="404040" w:themeColor="text1" w:themeTint="BF"/>
                <w:sz w:val="20"/>
                <w:szCs w:val="20"/>
                <w:lang w:eastAsia="en-GB"/>
              </w:rPr>
              <w:t xml:space="preserve">sset </w:t>
            </w:r>
            <w:r>
              <w:rPr>
                <w:rFonts w:ascii="Georgia" w:hAnsi="Georgia" w:cs="Arial"/>
                <w:b/>
                <w:bCs/>
                <w:color w:val="404040" w:themeColor="text1" w:themeTint="BF"/>
                <w:sz w:val="20"/>
                <w:szCs w:val="20"/>
                <w:lang w:eastAsia="en-GB"/>
              </w:rPr>
              <w:t>v</w:t>
            </w:r>
            <w:r w:rsidRPr="00E42A95">
              <w:rPr>
                <w:rFonts w:ascii="Georgia" w:hAnsi="Georgia" w:cs="Arial"/>
                <w:b/>
                <w:bCs/>
                <w:color w:val="404040" w:themeColor="text1" w:themeTint="BF"/>
                <w:sz w:val="20"/>
                <w:szCs w:val="20"/>
                <w:lang w:eastAsia="en-GB"/>
              </w:rPr>
              <w:t>alue per Ordinary Share (pence)</w:t>
            </w:r>
          </w:p>
        </w:tc>
        <w:tc>
          <w:tcPr>
            <w:tcW w:w="456" w:type="pct"/>
            <w:tcBorders>
              <w:top w:val="nil"/>
              <w:left w:val="nil"/>
              <w:bottom w:val="single" w:sz="12" w:space="0" w:color="auto"/>
              <w:right w:val="nil"/>
            </w:tcBorders>
            <w:shd w:val="clear" w:color="auto" w:fill="auto"/>
            <w:noWrap/>
            <w:vAlign w:val="center"/>
          </w:tcPr>
          <w:p w14:paraId="3694A1E5" w14:textId="12A7A8A8" w:rsidR="00555BFF" w:rsidRPr="00942AD0" w:rsidRDefault="00555BFF" w:rsidP="00555BFF">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7</w:t>
            </w:r>
          </w:p>
        </w:tc>
        <w:tc>
          <w:tcPr>
            <w:tcW w:w="1185" w:type="pct"/>
            <w:tcBorders>
              <w:top w:val="nil"/>
              <w:left w:val="nil"/>
              <w:bottom w:val="single" w:sz="12" w:space="0" w:color="auto"/>
              <w:right w:val="nil"/>
            </w:tcBorders>
            <w:vAlign w:val="center"/>
          </w:tcPr>
          <w:p w14:paraId="7F138CC1" w14:textId="4F019890" w:rsidR="00555BFF" w:rsidRPr="005505FE" w:rsidRDefault="0080041A" w:rsidP="00555BFF">
            <w:pPr>
              <w:jc w:val="right"/>
              <w:rPr>
                <w:rFonts w:ascii="Georgia" w:hAnsi="Georgia"/>
                <w:b/>
                <w:color w:val="404040"/>
                <w:sz w:val="20"/>
              </w:rPr>
            </w:pPr>
            <w:r>
              <w:rPr>
                <w:rFonts w:ascii="Georgia" w:hAnsi="Georgia" w:cs="Arial"/>
                <w:b/>
                <w:bCs/>
                <w:color w:val="333333"/>
                <w:sz w:val="20"/>
                <w:szCs w:val="20"/>
              </w:rPr>
              <w:t>117.0</w:t>
            </w:r>
            <w:r w:rsidR="00A3015E">
              <w:rPr>
                <w:rFonts w:ascii="Georgia" w:hAnsi="Georgia" w:cs="Arial"/>
                <w:b/>
                <w:bCs/>
                <w:color w:val="333333"/>
                <w:sz w:val="20"/>
                <w:szCs w:val="20"/>
              </w:rPr>
              <w:t>1</w:t>
            </w:r>
            <w:r w:rsidR="00555BFF" w:rsidRPr="005505FE">
              <w:rPr>
                <w:rFonts w:ascii="Georgia" w:hAnsi="Georgia" w:cs="Arial"/>
                <w:b/>
                <w:bCs/>
                <w:color w:val="333333"/>
                <w:sz w:val="20"/>
                <w:szCs w:val="20"/>
              </w:rPr>
              <w:t xml:space="preserve">                          </w:t>
            </w:r>
          </w:p>
        </w:tc>
        <w:tc>
          <w:tcPr>
            <w:tcW w:w="871" w:type="pct"/>
            <w:tcBorders>
              <w:top w:val="nil"/>
              <w:left w:val="nil"/>
              <w:bottom w:val="single" w:sz="12" w:space="0" w:color="auto"/>
              <w:right w:val="nil"/>
            </w:tcBorders>
            <w:vAlign w:val="center"/>
          </w:tcPr>
          <w:p w14:paraId="2C0BBBA7" w14:textId="6A38A0A4" w:rsidR="00555BFF" w:rsidRPr="00E42A95" w:rsidRDefault="00555BFF" w:rsidP="00555BFF">
            <w:pPr>
              <w:jc w:val="right"/>
              <w:rPr>
                <w:rFonts w:ascii="Georgia" w:hAnsi="Georgia" w:cs="Arial"/>
                <w:b/>
                <w:bCs/>
                <w:color w:val="404040" w:themeColor="text1" w:themeTint="BF"/>
                <w:sz w:val="20"/>
                <w:szCs w:val="20"/>
                <w:lang w:eastAsia="en-GB"/>
              </w:rPr>
            </w:pPr>
            <w:r>
              <w:rPr>
                <w:rFonts w:ascii="Georgia" w:hAnsi="Georgia" w:cs="Arial"/>
                <w:b/>
                <w:bCs/>
                <w:color w:val="333333"/>
                <w:sz w:val="20"/>
                <w:szCs w:val="20"/>
              </w:rPr>
              <w:t xml:space="preserve">117.98                          </w:t>
            </w:r>
          </w:p>
        </w:tc>
      </w:tr>
    </w:tbl>
    <w:p w14:paraId="5AF179B0" w14:textId="77777777" w:rsidR="00045709" w:rsidRDefault="00045709" w:rsidP="000F51FA">
      <w:pPr>
        <w:pStyle w:val="body"/>
      </w:pPr>
    </w:p>
    <w:p w14:paraId="08E86654" w14:textId="77777777" w:rsidR="00A67267" w:rsidRDefault="00A67267" w:rsidP="000F51FA">
      <w:pPr>
        <w:pStyle w:val="body"/>
      </w:pPr>
    </w:p>
    <w:p w14:paraId="7CD64EB1" w14:textId="1679EDED" w:rsidR="000F51FA" w:rsidRPr="0042614D" w:rsidRDefault="000F51FA" w:rsidP="000F51FA">
      <w:pPr>
        <w:pStyle w:val="body"/>
      </w:pPr>
      <w:r w:rsidRPr="0042614D">
        <w:t xml:space="preserve">These financial statements were approved </w:t>
      </w:r>
      <w:r w:rsidRPr="000F52E1">
        <w:t xml:space="preserve">and authorised for issue </w:t>
      </w:r>
      <w:r w:rsidRPr="0042614D">
        <w:t xml:space="preserve">by </w:t>
      </w:r>
      <w:r>
        <w:t>the</w:t>
      </w:r>
      <w:r w:rsidRPr="0042614D">
        <w:t xml:space="preserve"> Bo</w:t>
      </w:r>
      <w:r w:rsidRPr="00970E61">
        <w:t xml:space="preserve">ard of Directors on </w:t>
      </w:r>
      <w:r w:rsidR="00851867">
        <w:t xml:space="preserve">21 </w:t>
      </w:r>
      <w:r w:rsidR="00231ECB" w:rsidRPr="00970E61">
        <w:t>Septem</w:t>
      </w:r>
      <w:r w:rsidR="00972AB4" w:rsidRPr="00970E61">
        <w:t>ber</w:t>
      </w:r>
      <w:r w:rsidRPr="00970E61">
        <w:t xml:space="preserve"> </w:t>
      </w:r>
      <w:r w:rsidR="00904E51">
        <w:t>2020</w:t>
      </w:r>
      <w:r w:rsidRPr="0042614D">
        <w:t xml:space="preserve"> and signed on their behalf by:</w:t>
      </w:r>
    </w:p>
    <w:p w14:paraId="4495E2DF" w14:textId="77777777" w:rsidR="00823489" w:rsidRDefault="00823489" w:rsidP="000F51FA">
      <w:pPr>
        <w:jc w:val="both"/>
        <w:rPr>
          <w:rFonts w:ascii="Georgia" w:hAnsi="Georgia" w:cs="Calibri"/>
          <w:color w:val="404040" w:themeColor="text1" w:themeTint="BF"/>
          <w:sz w:val="20"/>
        </w:rPr>
      </w:pPr>
    </w:p>
    <w:p w14:paraId="452D678B" w14:textId="77777777" w:rsidR="00D372BA" w:rsidRDefault="00D372BA" w:rsidP="000F51FA">
      <w:pPr>
        <w:jc w:val="both"/>
        <w:rPr>
          <w:rFonts w:ascii="Georgia" w:hAnsi="Georgia" w:cs="Calibri"/>
          <w:color w:val="404040" w:themeColor="text1" w:themeTint="BF"/>
          <w:sz w:val="20"/>
        </w:rPr>
      </w:pPr>
    </w:p>
    <w:p w14:paraId="79EA13DD" w14:textId="77777777" w:rsidR="000F51FA" w:rsidRPr="004C65C8" w:rsidRDefault="000F51FA" w:rsidP="000F51FA">
      <w:pPr>
        <w:jc w:val="both"/>
        <w:rPr>
          <w:rFonts w:ascii="Georgia" w:hAnsi="Georgia" w:cs="Calibri"/>
          <w:color w:val="404040" w:themeColor="text1" w:themeTint="BF"/>
          <w:sz w:val="20"/>
        </w:rPr>
      </w:pPr>
    </w:p>
    <w:tbl>
      <w:tblPr>
        <w:tblpPr w:leftFromText="180" w:rightFromText="180" w:vertAnchor="text" w:horzAnchor="page" w:tblpX="1449" w:tblpY="-70"/>
        <w:tblW w:w="9936" w:type="dxa"/>
        <w:tblLook w:val="04A0" w:firstRow="1" w:lastRow="0" w:firstColumn="1" w:lastColumn="0" w:noHBand="0" w:noVBand="1"/>
      </w:tblPr>
      <w:tblGrid>
        <w:gridCol w:w="5148"/>
        <w:gridCol w:w="4788"/>
      </w:tblGrid>
      <w:tr w:rsidR="000F51FA" w:rsidRPr="004C65C8" w14:paraId="14ACEB5A" w14:textId="77777777">
        <w:tc>
          <w:tcPr>
            <w:tcW w:w="5148" w:type="dxa"/>
            <w:shd w:val="clear" w:color="auto" w:fill="auto"/>
          </w:tcPr>
          <w:p w14:paraId="2408F35B" w14:textId="77777777" w:rsidR="000F51FA" w:rsidRPr="00F2735E" w:rsidRDefault="0078238F" w:rsidP="00DF7545">
            <w:pPr>
              <w:pStyle w:val="body"/>
              <w:rPr>
                <w:b/>
              </w:rPr>
            </w:pPr>
            <w:r w:rsidRPr="00F2735E">
              <w:rPr>
                <w:b/>
              </w:rPr>
              <w:t>Paul Le Page</w:t>
            </w:r>
          </w:p>
        </w:tc>
        <w:tc>
          <w:tcPr>
            <w:tcW w:w="4788" w:type="dxa"/>
            <w:shd w:val="clear" w:color="auto" w:fill="auto"/>
          </w:tcPr>
          <w:p w14:paraId="066CBD75" w14:textId="77777777" w:rsidR="000F51FA" w:rsidRPr="00F2735E" w:rsidRDefault="0078238F" w:rsidP="00DF7545">
            <w:pPr>
              <w:pStyle w:val="body"/>
              <w:rPr>
                <w:b/>
              </w:rPr>
            </w:pPr>
            <w:r>
              <w:rPr>
                <w:b/>
              </w:rPr>
              <w:t>Laurence McNairn</w:t>
            </w:r>
          </w:p>
        </w:tc>
      </w:tr>
      <w:tr w:rsidR="000F51FA" w:rsidRPr="004C65C8" w14:paraId="67A96DBC" w14:textId="77777777">
        <w:tc>
          <w:tcPr>
            <w:tcW w:w="5148" w:type="dxa"/>
            <w:shd w:val="clear" w:color="auto" w:fill="auto"/>
          </w:tcPr>
          <w:p w14:paraId="48CD97DD" w14:textId="77777777" w:rsidR="000F51FA" w:rsidRPr="00851867" w:rsidRDefault="0078238F" w:rsidP="00DF7545">
            <w:pPr>
              <w:pStyle w:val="body"/>
            </w:pPr>
            <w:r w:rsidRPr="00851867">
              <w:t>Director</w:t>
            </w:r>
          </w:p>
        </w:tc>
        <w:tc>
          <w:tcPr>
            <w:tcW w:w="4788" w:type="dxa"/>
            <w:shd w:val="clear" w:color="auto" w:fill="auto"/>
          </w:tcPr>
          <w:p w14:paraId="1247CDA8" w14:textId="77777777" w:rsidR="000F51FA" w:rsidRPr="00851867" w:rsidRDefault="000F51FA" w:rsidP="00DF7545">
            <w:pPr>
              <w:pStyle w:val="body"/>
            </w:pPr>
            <w:r w:rsidRPr="00851867">
              <w:t>Director</w:t>
            </w:r>
          </w:p>
        </w:tc>
      </w:tr>
      <w:tr w:rsidR="000F51FA" w:rsidRPr="004C65C8" w14:paraId="030C21E4" w14:textId="77777777">
        <w:tc>
          <w:tcPr>
            <w:tcW w:w="5148" w:type="dxa"/>
            <w:shd w:val="clear" w:color="auto" w:fill="auto"/>
          </w:tcPr>
          <w:p w14:paraId="69E3BEFA" w14:textId="68FC3578" w:rsidR="000F51FA" w:rsidRPr="00851867" w:rsidRDefault="00851867" w:rsidP="000B0866">
            <w:pPr>
              <w:pStyle w:val="body"/>
            </w:pPr>
            <w:r w:rsidRPr="00851867">
              <w:t>21</w:t>
            </w:r>
            <w:r w:rsidR="00CF2D86" w:rsidRPr="00851867">
              <w:t xml:space="preserve"> </w:t>
            </w:r>
            <w:r w:rsidR="00231ECB" w:rsidRPr="00851867">
              <w:t>Septem</w:t>
            </w:r>
            <w:r w:rsidR="00CF2D86" w:rsidRPr="00851867">
              <w:t>ber</w:t>
            </w:r>
            <w:r w:rsidR="00F4182A" w:rsidRPr="00851867">
              <w:t xml:space="preserve"> </w:t>
            </w:r>
            <w:r w:rsidR="00904E51" w:rsidRPr="00851867">
              <w:t>2020</w:t>
            </w:r>
          </w:p>
        </w:tc>
        <w:tc>
          <w:tcPr>
            <w:tcW w:w="4788" w:type="dxa"/>
            <w:shd w:val="clear" w:color="auto" w:fill="auto"/>
          </w:tcPr>
          <w:p w14:paraId="61227C6C" w14:textId="78C64A13" w:rsidR="000F51FA" w:rsidRPr="00851867" w:rsidRDefault="00851867" w:rsidP="00D74B51">
            <w:pPr>
              <w:pStyle w:val="body"/>
            </w:pPr>
            <w:r w:rsidRPr="00851867">
              <w:t>21</w:t>
            </w:r>
            <w:r w:rsidR="00CF2D86" w:rsidRPr="00851867">
              <w:t xml:space="preserve"> </w:t>
            </w:r>
            <w:r w:rsidR="00231ECB" w:rsidRPr="00851867">
              <w:t>Septem</w:t>
            </w:r>
            <w:r w:rsidR="00CF2D86" w:rsidRPr="00851867">
              <w:t>ber</w:t>
            </w:r>
            <w:r w:rsidR="004F42FF" w:rsidRPr="00851867">
              <w:t xml:space="preserve"> </w:t>
            </w:r>
            <w:r w:rsidR="00904E51" w:rsidRPr="00851867">
              <w:t>2020</w:t>
            </w:r>
          </w:p>
        </w:tc>
      </w:tr>
    </w:tbl>
    <w:p w14:paraId="037CD577" w14:textId="6D0FFEAF" w:rsidR="000F51FA" w:rsidRPr="00F30F6A" w:rsidRDefault="000F51FA" w:rsidP="000F51FA">
      <w:pPr>
        <w:tabs>
          <w:tab w:val="right" w:pos="8460"/>
        </w:tabs>
        <w:rPr>
          <w:rFonts w:ascii="Georgia" w:hAnsi="Georgia" w:cs="Calibri"/>
          <w:color w:val="404040" w:themeColor="text1" w:themeTint="BF"/>
          <w:sz w:val="20"/>
        </w:rPr>
      </w:pPr>
      <w:r>
        <w:rPr>
          <w:rFonts w:ascii="Georgia" w:hAnsi="Georgia" w:cs="Calibri"/>
          <w:color w:val="404040" w:themeColor="text1" w:themeTint="BF"/>
          <w:sz w:val="20"/>
        </w:rPr>
        <w:t>T</w:t>
      </w:r>
      <w:r w:rsidRPr="00F30F6A">
        <w:rPr>
          <w:rFonts w:ascii="Georgia" w:hAnsi="Georgia" w:cs="Calibri"/>
          <w:color w:val="404040" w:themeColor="text1" w:themeTint="BF"/>
          <w:sz w:val="20"/>
        </w:rPr>
        <w:t>he accompanying notes form an i</w:t>
      </w:r>
      <w:r w:rsidR="00352D3C">
        <w:rPr>
          <w:rFonts w:ascii="Georgia" w:hAnsi="Georgia" w:cs="Calibri"/>
          <w:color w:val="404040" w:themeColor="text1" w:themeTint="BF"/>
          <w:sz w:val="20"/>
        </w:rPr>
        <w:t>ntegral part of these</w:t>
      </w:r>
      <w:r w:rsidRPr="00F30F6A">
        <w:rPr>
          <w:rFonts w:ascii="Georgia" w:hAnsi="Georgia" w:cs="Calibri"/>
          <w:color w:val="404040" w:themeColor="text1" w:themeTint="BF"/>
          <w:sz w:val="20"/>
        </w:rPr>
        <w:t xml:space="preserve"> financial statements.</w:t>
      </w:r>
    </w:p>
    <w:p w14:paraId="6715DB18" w14:textId="6C605DE0" w:rsidR="000F51FA" w:rsidRPr="00D44FC2" w:rsidRDefault="000F51FA" w:rsidP="00E85EF6">
      <w:pPr>
        <w:pStyle w:val="Heading2"/>
        <w:spacing w:before="0"/>
      </w:pPr>
      <w:r w:rsidRPr="00D44FC2">
        <w:br w:type="page"/>
      </w:r>
      <w:bookmarkStart w:id="47" w:name="_Toc254209589"/>
      <w:r w:rsidRPr="004629C1">
        <w:rPr>
          <w:color w:val="auto"/>
        </w:rPr>
        <w:lastRenderedPageBreak/>
        <w:t>Statement of Comprehensive Income</w:t>
      </w:r>
      <w:bookmarkEnd w:id="47"/>
    </w:p>
    <w:p w14:paraId="4C8326A3" w14:textId="35D9CAAE" w:rsidR="000F51FA" w:rsidRDefault="000F51FA" w:rsidP="000F51FA">
      <w:pPr>
        <w:pStyle w:val="body"/>
        <w:rPr>
          <w:i/>
        </w:rPr>
      </w:pPr>
      <w:r>
        <w:rPr>
          <w:i/>
        </w:rPr>
        <w:t>For t</w:t>
      </w:r>
      <w:r w:rsidRPr="007E0F03">
        <w:rPr>
          <w:i/>
        </w:rPr>
        <w:t xml:space="preserve">he </w:t>
      </w:r>
      <w:r w:rsidR="00F4182A">
        <w:rPr>
          <w:i/>
        </w:rPr>
        <w:t>year ended</w:t>
      </w:r>
      <w:r w:rsidRPr="007E0F03">
        <w:rPr>
          <w:i/>
        </w:rPr>
        <w:t xml:space="preserve"> </w:t>
      </w:r>
      <w:r>
        <w:rPr>
          <w:i/>
        </w:rPr>
        <w:t xml:space="preserve">30 June </w:t>
      </w:r>
      <w:r w:rsidR="00904E51">
        <w:rPr>
          <w:i/>
        </w:rPr>
        <w:t>2020</w:t>
      </w:r>
      <w:r w:rsidRPr="007E0F03">
        <w:rPr>
          <w:i/>
        </w:rPr>
        <w:t xml:space="preserve">   </w:t>
      </w:r>
    </w:p>
    <w:p w14:paraId="5E6E2097" w14:textId="77777777" w:rsidR="008B08EF" w:rsidRDefault="008B08EF" w:rsidP="000F51FA">
      <w:pPr>
        <w:pStyle w:val="body"/>
        <w:rPr>
          <w:rFonts w:ascii="Times New Roman" w:hAnsi="Times New Roman" w:cs="Times New Roman"/>
          <w:color w:val="auto"/>
          <w:sz w:val="24"/>
          <w:lang w:eastAsia="en-GB"/>
        </w:rPr>
      </w:pPr>
    </w:p>
    <w:tbl>
      <w:tblPr>
        <w:tblW w:w="5089" w:type="pct"/>
        <w:tblLayout w:type="fixed"/>
        <w:tblLook w:val="04A0" w:firstRow="1" w:lastRow="0" w:firstColumn="1" w:lastColumn="0" w:noHBand="0" w:noVBand="1"/>
      </w:tblPr>
      <w:tblGrid>
        <w:gridCol w:w="4957"/>
        <w:gridCol w:w="814"/>
        <w:gridCol w:w="1955"/>
        <w:gridCol w:w="1801"/>
      </w:tblGrid>
      <w:tr w:rsidR="006C04E0" w:rsidRPr="008B08EF" w14:paraId="0BC3FA90" w14:textId="77777777" w:rsidTr="0024470F">
        <w:trPr>
          <w:trHeight w:val="255"/>
        </w:trPr>
        <w:tc>
          <w:tcPr>
            <w:tcW w:w="2602" w:type="pct"/>
            <w:tcBorders>
              <w:top w:val="nil"/>
              <w:left w:val="nil"/>
              <w:bottom w:val="nil"/>
              <w:right w:val="nil"/>
            </w:tcBorders>
            <w:shd w:val="clear" w:color="auto" w:fill="auto"/>
            <w:noWrap/>
            <w:vAlign w:val="bottom"/>
          </w:tcPr>
          <w:p w14:paraId="41E537D8" w14:textId="77777777" w:rsidR="006C04E0" w:rsidRPr="009306C8" w:rsidRDefault="006C04E0" w:rsidP="008B08EF">
            <w:pPr>
              <w:rPr>
                <w:rFonts w:ascii="Georgia" w:hAnsi="Georgia" w:cs="Arial"/>
                <w:color w:val="404040" w:themeColor="text1" w:themeTint="BF"/>
                <w:sz w:val="20"/>
                <w:szCs w:val="20"/>
                <w:lang w:eastAsia="en-GB"/>
              </w:rPr>
            </w:pPr>
          </w:p>
        </w:tc>
        <w:tc>
          <w:tcPr>
            <w:tcW w:w="427" w:type="pct"/>
            <w:tcBorders>
              <w:top w:val="nil"/>
              <w:left w:val="nil"/>
              <w:bottom w:val="nil"/>
              <w:right w:val="nil"/>
            </w:tcBorders>
            <w:shd w:val="clear" w:color="auto" w:fill="auto"/>
            <w:noWrap/>
            <w:vAlign w:val="bottom"/>
          </w:tcPr>
          <w:p w14:paraId="119C1E08" w14:textId="77777777" w:rsidR="006C04E0" w:rsidRPr="009306C8" w:rsidRDefault="006C04E0" w:rsidP="008B08EF">
            <w:pPr>
              <w:rPr>
                <w:rFonts w:ascii="Georgia" w:hAnsi="Georgia" w:cs="Arial"/>
                <w:color w:val="404040" w:themeColor="text1" w:themeTint="BF"/>
                <w:sz w:val="20"/>
                <w:szCs w:val="20"/>
                <w:lang w:eastAsia="en-GB"/>
              </w:rPr>
            </w:pPr>
          </w:p>
        </w:tc>
        <w:tc>
          <w:tcPr>
            <w:tcW w:w="1026" w:type="pct"/>
            <w:tcBorders>
              <w:top w:val="nil"/>
              <w:left w:val="nil"/>
              <w:bottom w:val="nil"/>
              <w:right w:val="nil"/>
            </w:tcBorders>
          </w:tcPr>
          <w:p w14:paraId="2D38D41A" w14:textId="77777777" w:rsidR="006C04E0" w:rsidRPr="00E42A95" w:rsidRDefault="006C04E0" w:rsidP="008B08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tc>
        <w:tc>
          <w:tcPr>
            <w:tcW w:w="945" w:type="pct"/>
            <w:tcBorders>
              <w:top w:val="nil"/>
              <w:left w:val="nil"/>
              <w:bottom w:val="nil"/>
              <w:right w:val="nil"/>
            </w:tcBorders>
          </w:tcPr>
          <w:p w14:paraId="782DAFF3" w14:textId="77777777" w:rsidR="006C04E0" w:rsidRPr="00E42A95" w:rsidRDefault="006C04E0" w:rsidP="008B08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tc>
      </w:tr>
      <w:tr w:rsidR="006C04E0" w:rsidRPr="008B08EF" w14:paraId="0989762E" w14:textId="77777777" w:rsidTr="0024470F">
        <w:trPr>
          <w:trHeight w:val="255"/>
        </w:trPr>
        <w:tc>
          <w:tcPr>
            <w:tcW w:w="2602" w:type="pct"/>
            <w:tcBorders>
              <w:top w:val="nil"/>
              <w:left w:val="nil"/>
              <w:bottom w:val="nil"/>
              <w:right w:val="nil"/>
            </w:tcBorders>
            <w:shd w:val="clear" w:color="auto" w:fill="auto"/>
            <w:noWrap/>
            <w:vAlign w:val="bottom"/>
          </w:tcPr>
          <w:p w14:paraId="78700E65" w14:textId="77777777" w:rsidR="006C04E0" w:rsidRPr="009306C8" w:rsidRDefault="006C04E0" w:rsidP="008B08EF">
            <w:pPr>
              <w:rPr>
                <w:rFonts w:ascii="Georgia" w:hAnsi="Georgia" w:cs="Arial"/>
                <w:color w:val="404040" w:themeColor="text1" w:themeTint="BF"/>
                <w:sz w:val="20"/>
                <w:szCs w:val="20"/>
                <w:lang w:eastAsia="en-GB"/>
              </w:rPr>
            </w:pPr>
          </w:p>
        </w:tc>
        <w:tc>
          <w:tcPr>
            <w:tcW w:w="427" w:type="pct"/>
            <w:tcBorders>
              <w:top w:val="nil"/>
              <w:left w:val="nil"/>
              <w:bottom w:val="nil"/>
              <w:right w:val="nil"/>
            </w:tcBorders>
            <w:shd w:val="clear" w:color="auto" w:fill="auto"/>
            <w:noWrap/>
            <w:vAlign w:val="bottom"/>
          </w:tcPr>
          <w:p w14:paraId="7DE53FB5" w14:textId="77777777" w:rsidR="006C04E0" w:rsidRPr="009306C8" w:rsidRDefault="006C04E0" w:rsidP="008B08EF">
            <w:pPr>
              <w:rPr>
                <w:rFonts w:ascii="Georgia" w:hAnsi="Georgia" w:cs="Arial"/>
                <w:color w:val="404040" w:themeColor="text1" w:themeTint="BF"/>
                <w:sz w:val="20"/>
                <w:szCs w:val="20"/>
                <w:lang w:eastAsia="en-GB"/>
              </w:rPr>
            </w:pPr>
          </w:p>
        </w:tc>
        <w:tc>
          <w:tcPr>
            <w:tcW w:w="1026" w:type="pct"/>
            <w:tcBorders>
              <w:top w:val="nil"/>
              <w:left w:val="nil"/>
              <w:bottom w:val="nil"/>
              <w:right w:val="nil"/>
            </w:tcBorders>
          </w:tcPr>
          <w:p w14:paraId="5ECA0F3E" w14:textId="06D31F4A" w:rsidR="006C04E0" w:rsidRPr="00E42A95" w:rsidRDefault="006C04E0" w:rsidP="000B0866">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945" w:type="pct"/>
            <w:tcBorders>
              <w:top w:val="nil"/>
              <w:left w:val="nil"/>
              <w:bottom w:val="nil"/>
              <w:right w:val="nil"/>
            </w:tcBorders>
          </w:tcPr>
          <w:p w14:paraId="08B7AD8C" w14:textId="71403B30" w:rsidR="006C04E0" w:rsidRPr="00E42A95" w:rsidRDefault="006C04E0" w:rsidP="000B0866">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r w:rsidR="00A67267">
              <w:rPr>
                <w:rFonts w:ascii="Georgia" w:hAnsi="Georgia" w:cs="Arial"/>
                <w:b/>
                <w:bCs/>
                <w:color w:val="404040" w:themeColor="text1" w:themeTint="BF"/>
                <w:sz w:val="20"/>
                <w:szCs w:val="20"/>
                <w:lang w:eastAsia="en-GB"/>
              </w:rPr>
              <w:t xml:space="preserve"> </w:t>
            </w:r>
          </w:p>
        </w:tc>
      </w:tr>
      <w:tr w:rsidR="006C04E0" w:rsidRPr="008B08EF" w14:paraId="400B8E0C" w14:textId="77777777" w:rsidTr="0024470F">
        <w:trPr>
          <w:trHeight w:val="255"/>
        </w:trPr>
        <w:tc>
          <w:tcPr>
            <w:tcW w:w="2602" w:type="pct"/>
            <w:tcBorders>
              <w:top w:val="nil"/>
              <w:left w:val="nil"/>
              <w:bottom w:val="single" w:sz="4" w:space="0" w:color="auto"/>
              <w:right w:val="nil"/>
            </w:tcBorders>
            <w:shd w:val="clear" w:color="auto" w:fill="auto"/>
            <w:noWrap/>
            <w:vAlign w:val="bottom"/>
          </w:tcPr>
          <w:p w14:paraId="79877D87" w14:textId="77777777" w:rsidR="006C04E0" w:rsidRPr="009306C8" w:rsidRDefault="006C04E0" w:rsidP="008B08EF">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w:t>
            </w:r>
          </w:p>
        </w:tc>
        <w:tc>
          <w:tcPr>
            <w:tcW w:w="427" w:type="pct"/>
            <w:tcBorders>
              <w:top w:val="nil"/>
              <w:left w:val="nil"/>
              <w:bottom w:val="single" w:sz="4" w:space="0" w:color="auto"/>
              <w:right w:val="nil"/>
            </w:tcBorders>
            <w:shd w:val="clear" w:color="auto" w:fill="auto"/>
            <w:noWrap/>
            <w:vAlign w:val="bottom"/>
          </w:tcPr>
          <w:p w14:paraId="5DE7946F" w14:textId="77777777" w:rsidR="006C04E0" w:rsidRPr="009306C8" w:rsidRDefault="006C04E0" w:rsidP="008B08EF">
            <w:pPr>
              <w:jc w:val="cente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Note</w:t>
            </w:r>
          </w:p>
        </w:tc>
        <w:tc>
          <w:tcPr>
            <w:tcW w:w="1026" w:type="pct"/>
            <w:tcBorders>
              <w:top w:val="nil"/>
              <w:left w:val="nil"/>
              <w:bottom w:val="single" w:sz="4" w:space="0" w:color="auto"/>
              <w:right w:val="nil"/>
            </w:tcBorders>
          </w:tcPr>
          <w:p w14:paraId="183651D9" w14:textId="52F3768E" w:rsidR="006C04E0" w:rsidRPr="00E42A95" w:rsidRDefault="006C04E0" w:rsidP="008B08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B35940">
              <w:rPr>
                <w:rFonts w:ascii="Georgia" w:hAnsi="Georgia" w:cs="Arial"/>
                <w:b/>
                <w:bCs/>
                <w:color w:val="404040" w:themeColor="text1" w:themeTint="BF"/>
                <w:sz w:val="20"/>
                <w:szCs w:val="20"/>
                <w:lang w:eastAsia="en-GB"/>
              </w:rPr>
              <w:t>’000</w:t>
            </w:r>
          </w:p>
        </w:tc>
        <w:tc>
          <w:tcPr>
            <w:tcW w:w="945" w:type="pct"/>
            <w:tcBorders>
              <w:top w:val="nil"/>
              <w:left w:val="nil"/>
              <w:bottom w:val="single" w:sz="4" w:space="0" w:color="auto"/>
              <w:right w:val="nil"/>
            </w:tcBorders>
          </w:tcPr>
          <w:p w14:paraId="76EEBE68" w14:textId="74DCE23F" w:rsidR="006C04E0" w:rsidRPr="00E42A95" w:rsidRDefault="006C04E0" w:rsidP="008B08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B35940">
              <w:rPr>
                <w:rFonts w:ascii="Georgia" w:hAnsi="Georgia" w:cs="Arial"/>
                <w:b/>
                <w:bCs/>
                <w:color w:val="404040" w:themeColor="text1" w:themeTint="BF"/>
                <w:sz w:val="20"/>
                <w:szCs w:val="20"/>
                <w:lang w:eastAsia="en-GB"/>
              </w:rPr>
              <w:t>’000</w:t>
            </w:r>
          </w:p>
        </w:tc>
      </w:tr>
      <w:tr w:rsidR="006C04E0" w:rsidRPr="008B08EF" w14:paraId="1C44A813" w14:textId="77777777" w:rsidTr="0024470F">
        <w:trPr>
          <w:trHeight w:val="255"/>
        </w:trPr>
        <w:tc>
          <w:tcPr>
            <w:tcW w:w="2602" w:type="pct"/>
            <w:tcBorders>
              <w:top w:val="nil"/>
              <w:left w:val="nil"/>
              <w:bottom w:val="nil"/>
              <w:right w:val="nil"/>
            </w:tcBorders>
            <w:shd w:val="clear" w:color="auto" w:fill="auto"/>
            <w:noWrap/>
            <w:vAlign w:val="center"/>
          </w:tcPr>
          <w:p w14:paraId="16553C5A" w14:textId="77777777" w:rsidR="006C04E0" w:rsidRPr="009306C8" w:rsidRDefault="006C04E0" w:rsidP="00205CC7">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Income</w:t>
            </w:r>
          </w:p>
        </w:tc>
        <w:tc>
          <w:tcPr>
            <w:tcW w:w="427" w:type="pct"/>
            <w:tcBorders>
              <w:top w:val="nil"/>
              <w:left w:val="nil"/>
              <w:bottom w:val="nil"/>
              <w:right w:val="nil"/>
            </w:tcBorders>
            <w:shd w:val="clear" w:color="auto" w:fill="auto"/>
            <w:noWrap/>
            <w:vAlign w:val="bottom"/>
          </w:tcPr>
          <w:p w14:paraId="5EF901F0" w14:textId="77777777" w:rsidR="006C04E0" w:rsidRPr="009306C8" w:rsidRDefault="006C04E0" w:rsidP="008B08EF">
            <w:pPr>
              <w:rPr>
                <w:rFonts w:ascii="Georgia" w:hAnsi="Georgia" w:cs="Arial"/>
                <w:b/>
                <w:bCs/>
                <w:color w:val="404040" w:themeColor="text1" w:themeTint="BF"/>
                <w:sz w:val="20"/>
                <w:szCs w:val="20"/>
                <w:lang w:eastAsia="en-GB"/>
              </w:rPr>
            </w:pPr>
          </w:p>
        </w:tc>
        <w:tc>
          <w:tcPr>
            <w:tcW w:w="1026" w:type="pct"/>
            <w:tcBorders>
              <w:top w:val="nil"/>
              <w:left w:val="nil"/>
              <w:bottom w:val="nil"/>
              <w:right w:val="nil"/>
            </w:tcBorders>
          </w:tcPr>
          <w:p w14:paraId="11CC4BB4" w14:textId="77777777" w:rsidR="006C04E0" w:rsidRPr="009306C8" w:rsidRDefault="006C04E0" w:rsidP="008B08EF">
            <w:pPr>
              <w:rPr>
                <w:rFonts w:ascii="Georgia" w:hAnsi="Georgia" w:cs="Arial"/>
                <w:b/>
                <w:bCs/>
                <w:color w:val="404040" w:themeColor="text1" w:themeTint="BF"/>
                <w:sz w:val="20"/>
                <w:szCs w:val="20"/>
                <w:lang w:eastAsia="en-GB"/>
              </w:rPr>
            </w:pPr>
          </w:p>
        </w:tc>
        <w:tc>
          <w:tcPr>
            <w:tcW w:w="945" w:type="pct"/>
            <w:tcBorders>
              <w:top w:val="nil"/>
              <w:left w:val="nil"/>
              <w:bottom w:val="nil"/>
              <w:right w:val="nil"/>
            </w:tcBorders>
          </w:tcPr>
          <w:p w14:paraId="6580E100" w14:textId="77777777" w:rsidR="006C04E0" w:rsidRPr="009306C8" w:rsidRDefault="006C04E0" w:rsidP="008B08EF">
            <w:pPr>
              <w:rPr>
                <w:rFonts w:ascii="Georgia" w:hAnsi="Georgia" w:cs="Arial"/>
                <w:b/>
                <w:bCs/>
                <w:color w:val="404040" w:themeColor="text1" w:themeTint="BF"/>
                <w:sz w:val="20"/>
                <w:szCs w:val="20"/>
                <w:lang w:eastAsia="en-GB"/>
              </w:rPr>
            </w:pPr>
          </w:p>
        </w:tc>
      </w:tr>
      <w:tr w:rsidR="0050064D" w:rsidRPr="008B08EF" w14:paraId="10A95A46" w14:textId="77777777" w:rsidTr="000B0866">
        <w:trPr>
          <w:trHeight w:val="255"/>
        </w:trPr>
        <w:tc>
          <w:tcPr>
            <w:tcW w:w="2602" w:type="pct"/>
            <w:tcBorders>
              <w:top w:val="nil"/>
              <w:left w:val="nil"/>
              <w:bottom w:val="nil"/>
              <w:right w:val="nil"/>
            </w:tcBorders>
            <w:shd w:val="clear" w:color="auto" w:fill="auto"/>
            <w:noWrap/>
            <w:vAlign w:val="center"/>
          </w:tcPr>
          <w:p w14:paraId="10F0AA09" w14:textId="77777777" w:rsidR="0050064D" w:rsidRPr="009306C8" w:rsidRDefault="0050064D" w:rsidP="0050064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Investment income</w:t>
            </w:r>
          </w:p>
        </w:tc>
        <w:tc>
          <w:tcPr>
            <w:tcW w:w="427" w:type="pct"/>
            <w:tcBorders>
              <w:top w:val="nil"/>
              <w:left w:val="nil"/>
              <w:bottom w:val="nil"/>
              <w:right w:val="nil"/>
            </w:tcBorders>
            <w:shd w:val="clear" w:color="auto" w:fill="auto"/>
            <w:noWrap/>
            <w:vAlign w:val="center"/>
          </w:tcPr>
          <w:p w14:paraId="7BB7D988" w14:textId="77777777" w:rsidR="0050064D" w:rsidRPr="00942AD0" w:rsidRDefault="0050064D" w:rsidP="0050064D">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4</w:t>
            </w:r>
          </w:p>
        </w:tc>
        <w:tc>
          <w:tcPr>
            <w:tcW w:w="1026" w:type="pct"/>
            <w:tcBorders>
              <w:top w:val="nil"/>
              <w:left w:val="nil"/>
              <w:bottom w:val="nil"/>
              <w:right w:val="nil"/>
            </w:tcBorders>
            <w:vAlign w:val="bottom"/>
          </w:tcPr>
          <w:p w14:paraId="5721346F" w14:textId="27B6CCB7" w:rsidR="0050064D" w:rsidRPr="00177B86" w:rsidRDefault="00B35940" w:rsidP="0050064D">
            <w:pPr>
              <w:jc w:val="right"/>
              <w:rPr>
                <w:rFonts w:ascii="Georgia" w:hAnsi="Georgia" w:cs="Arial"/>
                <w:color w:val="404040" w:themeColor="text1" w:themeTint="BF"/>
                <w:sz w:val="20"/>
                <w:szCs w:val="20"/>
                <w:lang w:eastAsia="en-GB"/>
              </w:rPr>
            </w:pPr>
            <w:r w:rsidRPr="00177B86">
              <w:rPr>
                <w:rFonts w:ascii="Georgia" w:hAnsi="Georgia" w:cs="Arial"/>
                <w:color w:val="404040" w:themeColor="text1" w:themeTint="BF"/>
                <w:sz w:val="20"/>
                <w:szCs w:val="20"/>
                <w:lang w:eastAsia="en-GB"/>
              </w:rPr>
              <w:t>725</w:t>
            </w:r>
          </w:p>
        </w:tc>
        <w:tc>
          <w:tcPr>
            <w:tcW w:w="945" w:type="pct"/>
            <w:tcBorders>
              <w:top w:val="nil"/>
              <w:left w:val="nil"/>
              <w:bottom w:val="nil"/>
              <w:right w:val="nil"/>
            </w:tcBorders>
            <w:vAlign w:val="bottom"/>
          </w:tcPr>
          <w:p w14:paraId="2FE5743F" w14:textId="069AC1DB" w:rsidR="0050064D" w:rsidRPr="00E42A95" w:rsidRDefault="00B35940" w:rsidP="0050064D">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725</w:t>
            </w:r>
          </w:p>
        </w:tc>
      </w:tr>
      <w:tr w:rsidR="0050064D" w:rsidRPr="008B08EF" w14:paraId="7EE6B5E3" w14:textId="77777777" w:rsidTr="000B0866">
        <w:trPr>
          <w:trHeight w:val="255"/>
        </w:trPr>
        <w:tc>
          <w:tcPr>
            <w:tcW w:w="2602" w:type="pct"/>
            <w:tcBorders>
              <w:top w:val="nil"/>
              <w:left w:val="nil"/>
              <w:bottom w:val="single" w:sz="4" w:space="0" w:color="auto"/>
              <w:right w:val="nil"/>
            </w:tcBorders>
            <w:shd w:val="clear" w:color="auto" w:fill="auto"/>
            <w:noWrap/>
            <w:vAlign w:val="center"/>
          </w:tcPr>
          <w:p w14:paraId="4BF8EA8C" w14:textId="77777777" w:rsidR="0050064D" w:rsidRPr="009306C8" w:rsidRDefault="0050064D" w:rsidP="0050064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Interest income from cash and cash equivalents</w:t>
            </w:r>
          </w:p>
        </w:tc>
        <w:tc>
          <w:tcPr>
            <w:tcW w:w="427" w:type="pct"/>
            <w:tcBorders>
              <w:top w:val="nil"/>
              <w:left w:val="nil"/>
              <w:bottom w:val="single" w:sz="4" w:space="0" w:color="auto"/>
              <w:right w:val="nil"/>
            </w:tcBorders>
            <w:shd w:val="clear" w:color="auto" w:fill="auto"/>
            <w:noWrap/>
            <w:vAlign w:val="center"/>
          </w:tcPr>
          <w:p w14:paraId="274AE2C4"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single" w:sz="4" w:space="0" w:color="auto"/>
              <w:right w:val="nil"/>
            </w:tcBorders>
            <w:vAlign w:val="bottom"/>
          </w:tcPr>
          <w:p w14:paraId="7EEA2DE0" w14:textId="1993208D" w:rsidR="0050064D" w:rsidRPr="00177B86" w:rsidRDefault="00177B86" w:rsidP="0050064D">
            <w:pPr>
              <w:jc w:val="right"/>
              <w:rPr>
                <w:rFonts w:ascii="Georgia" w:hAnsi="Georgia" w:cs="Arial"/>
                <w:color w:val="404040" w:themeColor="text1" w:themeTint="BF"/>
                <w:sz w:val="20"/>
                <w:szCs w:val="20"/>
                <w:lang w:eastAsia="en-GB"/>
              </w:rPr>
            </w:pPr>
            <w:r w:rsidRPr="00177B86">
              <w:rPr>
                <w:rFonts w:ascii="Georgia" w:hAnsi="Georgia" w:cs="Arial"/>
                <w:color w:val="404040" w:themeColor="text1" w:themeTint="BF"/>
                <w:sz w:val="20"/>
                <w:szCs w:val="20"/>
                <w:lang w:eastAsia="en-GB"/>
              </w:rPr>
              <w:t>2</w:t>
            </w:r>
          </w:p>
        </w:tc>
        <w:tc>
          <w:tcPr>
            <w:tcW w:w="945" w:type="pct"/>
            <w:tcBorders>
              <w:top w:val="nil"/>
              <w:left w:val="nil"/>
              <w:bottom w:val="single" w:sz="4" w:space="0" w:color="auto"/>
              <w:right w:val="nil"/>
            </w:tcBorders>
            <w:vAlign w:val="bottom"/>
          </w:tcPr>
          <w:p w14:paraId="78EEDECF" w14:textId="31B93206" w:rsidR="0050064D" w:rsidRPr="00E42A95" w:rsidRDefault="00B35940" w:rsidP="0050064D">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1</w:t>
            </w:r>
          </w:p>
        </w:tc>
      </w:tr>
      <w:tr w:rsidR="0050064D" w:rsidRPr="008B08EF" w14:paraId="0FEEB14F" w14:textId="77777777" w:rsidTr="00CC1553">
        <w:trPr>
          <w:trHeight w:val="255"/>
        </w:trPr>
        <w:tc>
          <w:tcPr>
            <w:tcW w:w="2602" w:type="pct"/>
            <w:tcBorders>
              <w:top w:val="nil"/>
              <w:left w:val="nil"/>
              <w:bottom w:val="nil"/>
              <w:right w:val="nil"/>
            </w:tcBorders>
            <w:shd w:val="clear" w:color="auto" w:fill="auto"/>
            <w:noWrap/>
            <w:vAlign w:val="center"/>
          </w:tcPr>
          <w:p w14:paraId="4031FA18" w14:textId="77777777" w:rsidR="0050064D" w:rsidRPr="009306C8" w:rsidRDefault="0050064D" w:rsidP="0050064D">
            <w:pPr>
              <w:rPr>
                <w:rFonts w:ascii="Georgia" w:hAnsi="Georgia" w:cs="Arial"/>
                <w:b/>
                <w:bCs/>
                <w:color w:val="404040" w:themeColor="text1" w:themeTint="BF"/>
                <w:sz w:val="20"/>
                <w:szCs w:val="20"/>
                <w:lang w:eastAsia="en-GB"/>
              </w:rPr>
            </w:pPr>
          </w:p>
        </w:tc>
        <w:tc>
          <w:tcPr>
            <w:tcW w:w="427" w:type="pct"/>
            <w:tcBorders>
              <w:top w:val="nil"/>
              <w:left w:val="nil"/>
              <w:bottom w:val="nil"/>
              <w:right w:val="nil"/>
            </w:tcBorders>
            <w:shd w:val="clear" w:color="auto" w:fill="auto"/>
            <w:noWrap/>
            <w:vAlign w:val="center"/>
          </w:tcPr>
          <w:p w14:paraId="58544D06"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nil"/>
              <w:right w:val="nil"/>
            </w:tcBorders>
            <w:vAlign w:val="center"/>
          </w:tcPr>
          <w:p w14:paraId="351BC502" w14:textId="3640B516" w:rsidR="0050064D" w:rsidRPr="00177B86" w:rsidRDefault="00177B86" w:rsidP="0050064D">
            <w:pPr>
              <w:jc w:val="right"/>
              <w:rPr>
                <w:rFonts w:ascii="Georgia" w:hAnsi="Georgia" w:cs="Arial"/>
                <w:b/>
                <w:color w:val="404040" w:themeColor="text1" w:themeTint="BF"/>
                <w:sz w:val="20"/>
                <w:szCs w:val="20"/>
                <w:lang w:eastAsia="en-GB"/>
              </w:rPr>
            </w:pPr>
            <w:r w:rsidRPr="00177B86">
              <w:rPr>
                <w:rFonts w:ascii="Georgia" w:hAnsi="Georgia" w:cs="Arial"/>
                <w:b/>
                <w:color w:val="404040" w:themeColor="text1" w:themeTint="BF"/>
                <w:sz w:val="20"/>
                <w:szCs w:val="20"/>
                <w:lang w:eastAsia="en-GB"/>
              </w:rPr>
              <w:t>727</w:t>
            </w:r>
          </w:p>
        </w:tc>
        <w:tc>
          <w:tcPr>
            <w:tcW w:w="945" w:type="pct"/>
            <w:tcBorders>
              <w:top w:val="nil"/>
              <w:left w:val="nil"/>
              <w:bottom w:val="nil"/>
              <w:right w:val="nil"/>
            </w:tcBorders>
            <w:vAlign w:val="center"/>
          </w:tcPr>
          <w:p w14:paraId="0561B1CD" w14:textId="16D9D07E" w:rsidR="0050064D" w:rsidRDefault="00B35940" w:rsidP="0050064D">
            <w:pPr>
              <w:jc w:val="right"/>
              <w:rPr>
                <w:rFonts w:ascii="Georgia" w:hAnsi="Georgia" w:cs="Arial"/>
                <w:b/>
                <w:bCs/>
                <w:color w:val="333333"/>
                <w:sz w:val="20"/>
                <w:szCs w:val="20"/>
              </w:rPr>
            </w:pPr>
            <w:r>
              <w:rPr>
                <w:rFonts w:ascii="Georgia" w:hAnsi="Georgia" w:cs="Arial"/>
                <w:b/>
                <w:color w:val="404040" w:themeColor="text1" w:themeTint="BF"/>
                <w:sz w:val="20"/>
                <w:szCs w:val="20"/>
                <w:lang w:eastAsia="en-GB"/>
              </w:rPr>
              <w:t>726</w:t>
            </w:r>
          </w:p>
        </w:tc>
      </w:tr>
      <w:tr w:rsidR="0050064D" w:rsidRPr="008B08EF" w14:paraId="39D8797F" w14:textId="77777777" w:rsidTr="000B0866">
        <w:trPr>
          <w:trHeight w:val="255"/>
        </w:trPr>
        <w:tc>
          <w:tcPr>
            <w:tcW w:w="2602" w:type="pct"/>
            <w:tcBorders>
              <w:top w:val="nil"/>
              <w:left w:val="nil"/>
              <w:bottom w:val="nil"/>
              <w:right w:val="nil"/>
            </w:tcBorders>
            <w:shd w:val="clear" w:color="auto" w:fill="auto"/>
            <w:noWrap/>
            <w:vAlign w:val="center"/>
          </w:tcPr>
          <w:p w14:paraId="2C135F4C" w14:textId="77777777" w:rsidR="0050064D" w:rsidRPr="009306C8" w:rsidRDefault="0050064D" w:rsidP="0050064D">
            <w:pPr>
              <w:rPr>
                <w:rFonts w:ascii="Georgia" w:hAnsi="Georgia" w:cs="Arial"/>
                <w:color w:val="404040" w:themeColor="text1" w:themeTint="BF"/>
                <w:sz w:val="20"/>
                <w:szCs w:val="20"/>
                <w:lang w:eastAsia="en-GB"/>
              </w:rPr>
            </w:pPr>
          </w:p>
        </w:tc>
        <w:tc>
          <w:tcPr>
            <w:tcW w:w="427" w:type="pct"/>
            <w:tcBorders>
              <w:top w:val="nil"/>
              <w:left w:val="nil"/>
              <w:bottom w:val="nil"/>
              <w:right w:val="nil"/>
            </w:tcBorders>
            <w:shd w:val="clear" w:color="auto" w:fill="auto"/>
            <w:noWrap/>
            <w:vAlign w:val="center"/>
          </w:tcPr>
          <w:p w14:paraId="7E3BC1CB"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nil"/>
              <w:right w:val="nil"/>
            </w:tcBorders>
            <w:vAlign w:val="bottom"/>
          </w:tcPr>
          <w:p w14:paraId="55868B1F" w14:textId="77777777" w:rsidR="0050064D" w:rsidRPr="00337E42" w:rsidRDefault="0050064D" w:rsidP="0050064D">
            <w:pPr>
              <w:jc w:val="right"/>
              <w:rPr>
                <w:rFonts w:ascii="Georgia" w:hAnsi="Georgia" w:cs="Arial"/>
                <w:color w:val="404040" w:themeColor="text1" w:themeTint="BF"/>
                <w:sz w:val="20"/>
                <w:szCs w:val="20"/>
                <w:highlight w:val="yellow"/>
                <w:lang w:eastAsia="en-GB"/>
              </w:rPr>
            </w:pPr>
          </w:p>
        </w:tc>
        <w:tc>
          <w:tcPr>
            <w:tcW w:w="945" w:type="pct"/>
            <w:tcBorders>
              <w:top w:val="nil"/>
              <w:left w:val="nil"/>
              <w:bottom w:val="nil"/>
              <w:right w:val="nil"/>
            </w:tcBorders>
            <w:vAlign w:val="bottom"/>
          </w:tcPr>
          <w:p w14:paraId="25940033" w14:textId="77777777" w:rsidR="0050064D" w:rsidRPr="00E42A95" w:rsidRDefault="0050064D" w:rsidP="0050064D">
            <w:pPr>
              <w:jc w:val="right"/>
              <w:rPr>
                <w:rFonts w:ascii="Georgia" w:hAnsi="Georgia" w:cs="Arial"/>
                <w:color w:val="404040" w:themeColor="text1" w:themeTint="BF"/>
                <w:sz w:val="20"/>
                <w:szCs w:val="20"/>
                <w:lang w:eastAsia="en-GB"/>
              </w:rPr>
            </w:pPr>
          </w:p>
        </w:tc>
      </w:tr>
      <w:tr w:rsidR="0050064D" w:rsidRPr="008B08EF" w14:paraId="0734F564" w14:textId="77777777" w:rsidTr="000B0866">
        <w:trPr>
          <w:trHeight w:val="255"/>
        </w:trPr>
        <w:tc>
          <w:tcPr>
            <w:tcW w:w="2602" w:type="pct"/>
            <w:tcBorders>
              <w:top w:val="nil"/>
              <w:left w:val="nil"/>
              <w:bottom w:val="nil"/>
              <w:right w:val="nil"/>
            </w:tcBorders>
            <w:shd w:val="clear" w:color="auto" w:fill="auto"/>
            <w:vAlign w:val="center"/>
          </w:tcPr>
          <w:p w14:paraId="40B9D63A" w14:textId="7AA8152F" w:rsidR="0050064D" w:rsidRPr="0024470F" w:rsidRDefault="0050064D" w:rsidP="0050064D">
            <w:pPr>
              <w:rPr>
                <w:rFonts w:ascii="Georgia" w:hAnsi="Georgia" w:cs="Arial"/>
                <w:color w:val="404040" w:themeColor="text1" w:themeTint="BF"/>
                <w:sz w:val="20"/>
                <w:szCs w:val="20"/>
                <w:lang w:eastAsia="en-GB"/>
              </w:rPr>
            </w:pPr>
            <w:r w:rsidRPr="0024470F">
              <w:rPr>
                <w:rFonts w:ascii="Georgia" w:hAnsi="Georgia" w:cs="Arial"/>
                <w:color w:val="404040" w:themeColor="text1" w:themeTint="BF"/>
                <w:sz w:val="20"/>
                <w:szCs w:val="20"/>
                <w:lang w:eastAsia="en-GB"/>
              </w:rPr>
              <w:t>Net gains</w:t>
            </w:r>
            <w:r>
              <w:rPr>
                <w:rFonts w:ascii="Georgia" w:hAnsi="Georgia" w:cs="Arial"/>
                <w:color w:val="404040" w:themeColor="text1" w:themeTint="BF"/>
                <w:sz w:val="20"/>
                <w:szCs w:val="20"/>
                <w:lang w:eastAsia="en-GB"/>
              </w:rPr>
              <w:t xml:space="preserve"> </w:t>
            </w:r>
            <w:r w:rsidRPr="0024470F">
              <w:rPr>
                <w:rFonts w:ascii="Georgia" w:hAnsi="Georgia" w:cs="Arial"/>
                <w:color w:val="404040" w:themeColor="text1" w:themeTint="BF"/>
                <w:sz w:val="20"/>
                <w:szCs w:val="20"/>
                <w:lang w:eastAsia="en-GB"/>
              </w:rPr>
              <w:t>on financial assets held at fair value through profit or loss</w:t>
            </w:r>
          </w:p>
        </w:tc>
        <w:tc>
          <w:tcPr>
            <w:tcW w:w="427" w:type="pct"/>
            <w:tcBorders>
              <w:top w:val="nil"/>
              <w:left w:val="nil"/>
              <w:bottom w:val="nil"/>
              <w:right w:val="nil"/>
            </w:tcBorders>
            <w:shd w:val="clear" w:color="auto" w:fill="auto"/>
            <w:noWrap/>
            <w:vAlign w:val="bottom"/>
          </w:tcPr>
          <w:p w14:paraId="345C47C9" w14:textId="5CA80B11" w:rsidR="0050064D" w:rsidRPr="00942AD0" w:rsidRDefault="0050064D" w:rsidP="0050064D">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8</w:t>
            </w:r>
          </w:p>
        </w:tc>
        <w:tc>
          <w:tcPr>
            <w:tcW w:w="1026" w:type="pct"/>
            <w:tcBorders>
              <w:top w:val="nil"/>
              <w:left w:val="nil"/>
              <w:bottom w:val="nil"/>
              <w:right w:val="nil"/>
            </w:tcBorders>
            <w:vAlign w:val="bottom"/>
          </w:tcPr>
          <w:p w14:paraId="533AC641" w14:textId="31135208" w:rsidR="0050064D" w:rsidRPr="00177B86" w:rsidRDefault="00C8198B" w:rsidP="0050064D">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28,851</w:t>
            </w:r>
          </w:p>
        </w:tc>
        <w:tc>
          <w:tcPr>
            <w:tcW w:w="945" w:type="pct"/>
            <w:tcBorders>
              <w:top w:val="nil"/>
              <w:left w:val="nil"/>
              <w:bottom w:val="nil"/>
              <w:right w:val="nil"/>
            </w:tcBorders>
            <w:vAlign w:val="bottom"/>
          </w:tcPr>
          <w:p w14:paraId="4782FD1C" w14:textId="667E96FE" w:rsidR="0050064D" w:rsidRPr="00E42A95" w:rsidRDefault="00B35940" w:rsidP="0050064D">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46,166</w:t>
            </w:r>
          </w:p>
        </w:tc>
      </w:tr>
      <w:tr w:rsidR="0050064D" w:rsidRPr="008B08EF" w14:paraId="225A4B51" w14:textId="77777777" w:rsidTr="000B0866">
        <w:trPr>
          <w:trHeight w:val="255"/>
        </w:trPr>
        <w:tc>
          <w:tcPr>
            <w:tcW w:w="2602" w:type="pct"/>
            <w:tcBorders>
              <w:top w:val="single" w:sz="4" w:space="0" w:color="auto"/>
              <w:left w:val="nil"/>
              <w:bottom w:val="single" w:sz="4" w:space="0" w:color="auto"/>
              <w:right w:val="nil"/>
            </w:tcBorders>
            <w:shd w:val="clear" w:color="auto" w:fill="auto"/>
            <w:noWrap/>
            <w:vAlign w:val="center"/>
          </w:tcPr>
          <w:p w14:paraId="15B6A51E" w14:textId="77777777" w:rsidR="0050064D" w:rsidRPr="009306C8" w:rsidRDefault="0050064D" w:rsidP="0050064D">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Operating income</w:t>
            </w:r>
          </w:p>
        </w:tc>
        <w:tc>
          <w:tcPr>
            <w:tcW w:w="427" w:type="pct"/>
            <w:tcBorders>
              <w:top w:val="single" w:sz="4" w:space="0" w:color="auto"/>
              <w:left w:val="nil"/>
              <w:bottom w:val="single" w:sz="4" w:space="0" w:color="auto"/>
              <w:right w:val="nil"/>
            </w:tcBorders>
            <w:shd w:val="clear" w:color="auto" w:fill="auto"/>
            <w:noWrap/>
            <w:vAlign w:val="center"/>
          </w:tcPr>
          <w:p w14:paraId="1AE934AF"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single" w:sz="4" w:space="0" w:color="auto"/>
              <w:left w:val="nil"/>
              <w:bottom w:val="single" w:sz="4" w:space="0" w:color="auto"/>
              <w:right w:val="nil"/>
            </w:tcBorders>
            <w:vAlign w:val="bottom"/>
          </w:tcPr>
          <w:p w14:paraId="7F96EDAB" w14:textId="69233DEE" w:rsidR="0050064D" w:rsidRPr="00177B86" w:rsidRDefault="00C8198B" w:rsidP="0050064D">
            <w:pPr>
              <w:jc w:val="right"/>
              <w:rPr>
                <w:rFonts w:ascii="Georgia" w:hAnsi="Georgia" w:cs="Arial"/>
                <w:b/>
                <w:color w:val="404040" w:themeColor="text1" w:themeTint="BF"/>
                <w:sz w:val="20"/>
                <w:szCs w:val="20"/>
                <w:lang w:eastAsia="en-GB"/>
              </w:rPr>
            </w:pPr>
            <w:r>
              <w:rPr>
                <w:rFonts w:ascii="Georgia" w:hAnsi="Georgia" w:cs="Arial"/>
                <w:b/>
                <w:color w:val="404040" w:themeColor="text1" w:themeTint="BF"/>
                <w:sz w:val="20"/>
                <w:szCs w:val="20"/>
                <w:lang w:eastAsia="en-GB"/>
              </w:rPr>
              <w:t>29,578</w:t>
            </w:r>
          </w:p>
        </w:tc>
        <w:tc>
          <w:tcPr>
            <w:tcW w:w="945" w:type="pct"/>
            <w:tcBorders>
              <w:top w:val="single" w:sz="4" w:space="0" w:color="auto"/>
              <w:left w:val="nil"/>
              <w:bottom w:val="single" w:sz="4" w:space="0" w:color="auto"/>
              <w:right w:val="nil"/>
            </w:tcBorders>
            <w:vAlign w:val="bottom"/>
          </w:tcPr>
          <w:p w14:paraId="5C28BFFE" w14:textId="487862E6" w:rsidR="0050064D" w:rsidRPr="00E42A95" w:rsidRDefault="00B35940" w:rsidP="0050064D">
            <w:pPr>
              <w:jc w:val="right"/>
              <w:rPr>
                <w:rFonts w:ascii="Georgia" w:hAnsi="Georgia" w:cs="Arial"/>
                <w:b/>
                <w:bCs/>
                <w:color w:val="404040" w:themeColor="text1" w:themeTint="BF"/>
                <w:sz w:val="20"/>
                <w:szCs w:val="20"/>
                <w:lang w:eastAsia="en-GB"/>
              </w:rPr>
            </w:pPr>
            <w:r>
              <w:rPr>
                <w:rFonts w:ascii="Georgia" w:hAnsi="Georgia" w:cs="Arial"/>
                <w:b/>
                <w:color w:val="404040" w:themeColor="text1" w:themeTint="BF"/>
                <w:sz w:val="20"/>
                <w:szCs w:val="20"/>
                <w:lang w:eastAsia="en-GB"/>
              </w:rPr>
              <w:t>46,892</w:t>
            </w:r>
          </w:p>
        </w:tc>
      </w:tr>
      <w:tr w:rsidR="0050064D" w:rsidRPr="008B08EF" w14:paraId="66FCC8FC" w14:textId="77777777" w:rsidTr="000B0866">
        <w:trPr>
          <w:trHeight w:val="255"/>
        </w:trPr>
        <w:tc>
          <w:tcPr>
            <w:tcW w:w="2602" w:type="pct"/>
            <w:tcBorders>
              <w:top w:val="nil"/>
              <w:left w:val="nil"/>
              <w:bottom w:val="nil"/>
              <w:right w:val="nil"/>
            </w:tcBorders>
            <w:shd w:val="clear" w:color="auto" w:fill="auto"/>
            <w:noWrap/>
            <w:vAlign w:val="center"/>
          </w:tcPr>
          <w:p w14:paraId="7D08264F" w14:textId="77777777" w:rsidR="0050064D" w:rsidRPr="009306C8" w:rsidRDefault="0050064D" w:rsidP="0050064D">
            <w:pPr>
              <w:rPr>
                <w:rFonts w:ascii="Georgia" w:hAnsi="Georgia" w:cs="Arial"/>
                <w:b/>
                <w:bCs/>
                <w:color w:val="404040" w:themeColor="text1" w:themeTint="BF"/>
                <w:sz w:val="20"/>
                <w:szCs w:val="20"/>
                <w:lang w:eastAsia="en-GB"/>
              </w:rPr>
            </w:pPr>
          </w:p>
        </w:tc>
        <w:tc>
          <w:tcPr>
            <w:tcW w:w="427" w:type="pct"/>
            <w:tcBorders>
              <w:top w:val="nil"/>
              <w:left w:val="nil"/>
              <w:bottom w:val="nil"/>
              <w:right w:val="nil"/>
            </w:tcBorders>
            <w:shd w:val="clear" w:color="auto" w:fill="auto"/>
            <w:noWrap/>
            <w:vAlign w:val="center"/>
          </w:tcPr>
          <w:p w14:paraId="3CB29445"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nil"/>
              <w:right w:val="nil"/>
            </w:tcBorders>
            <w:vAlign w:val="bottom"/>
          </w:tcPr>
          <w:p w14:paraId="29EEE060" w14:textId="77777777" w:rsidR="0050064D" w:rsidRPr="00337E42" w:rsidRDefault="0050064D" w:rsidP="0050064D">
            <w:pPr>
              <w:jc w:val="right"/>
              <w:rPr>
                <w:rFonts w:ascii="Georgia" w:hAnsi="Georgia"/>
                <w:color w:val="404040" w:themeColor="text1" w:themeTint="BF"/>
                <w:sz w:val="20"/>
                <w:highlight w:val="yellow"/>
              </w:rPr>
            </w:pPr>
          </w:p>
        </w:tc>
        <w:tc>
          <w:tcPr>
            <w:tcW w:w="945" w:type="pct"/>
            <w:tcBorders>
              <w:top w:val="nil"/>
              <w:left w:val="nil"/>
              <w:bottom w:val="nil"/>
              <w:right w:val="nil"/>
            </w:tcBorders>
            <w:vAlign w:val="bottom"/>
          </w:tcPr>
          <w:p w14:paraId="4C229D63" w14:textId="77777777" w:rsidR="0050064D" w:rsidRPr="00E42A95" w:rsidRDefault="0050064D" w:rsidP="0050064D">
            <w:pPr>
              <w:jc w:val="right"/>
              <w:rPr>
                <w:rFonts w:ascii="Georgia" w:hAnsi="Georgia" w:cs="Arial"/>
                <w:b/>
                <w:bCs/>
                <w:color w:val="404040" w:themeColor="text1" w:themeTint="BF"/>
                <w:sz w:val="20"/>
                <w:szCs w:val="20"/>
                <w:lang w:eastAsia="en-GB"/>
              </w:rPr>
            </w:pPr>
          </w:p>
        </w:tc>
      </w:tr>
      <w:tr w:rsidR="0050064D" w:rsidRPr="008B08EF" w14:paraId="4D56C782" w14:textId="77777777" w:rsidTr="000B0866">
        <w:trPr>
          <w:trHeight w:val="255"/>
        </w:trPr>
        <w:tc>
          <w:tcPr>
            <w:tcW w:w="2602" w:type="pct"/>
            <w:tcBorders>
              <w:top w:val="nil"/>
              <w:left w:val="nil"/>
              <w:bottom w:val="nil"/>
              <w:right w:val="nil"/>
            </w:tcBorders>
            <w:shd w:val="clear" w:color="auto" w:fill="auto"/>
            <w:noWrap/>
            <w:vAlign w:val="center"/>
          </w:tcPr>
          <w:p w14:paraId="0AB76C94" w14:textId="77777777" w:rsidR="0050064D" w:rsidRPr="009306C8" w:rsidRDefault="0050064D" w:rsidP="0050064D">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Expenses</w:t>
            </w:r>
          </w:p>
        </w:tc>
        <w:tc>
          <w:tcPr>
            <w:tcW w:w="427" w:type="pct"/>
            <w:tcBorders>
              <w:top w:val="nil"/>
              <w:left w:val="nil"/>
              <w:bottom w:val="nil"/>
              <w:right w:val="nil"/>
            </w:tcBorders>
            <w:shd w:val="clear" w:color="auto" w:fill="auto"/>
            <w:noWrap/>
            <w:vAlign w:val="center"/>
          </w:tcPr>
          <w:p w14:paraId="39CD1500"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right w:val="nil"/>
            </w:tcBorders>
            <w:vAlign w:val="bottom"/>
          </w:tcPr>
          <w:p w14:paraId="0BAB736D" w14:textId="77777777" w:rsidR="0050064D" w:rsidRPr="00337E42" w:rsidRDefault="0050064D" w:rsidP="0050064D">
            <w:pPr>
              <w:jc w:val="right"/>
              <w:rPr>
                <w:rFonts w:ascii="Georgia" w:hAnsi="Georgia"/>
                <w:color w:val="404040" w:themeColor="text1" w:themeTint="BF"/>
                <w:sz w:val="20"/>
                <w:highlight w:val="yellow"/>
              </w:rPr>
            </w:pPr>
          </w:p>
        </w:tc>
        <w:tc>
          <w:tcPr>
            <w:tcW w:w="945" w:type="pct"/>
            <w:tcBorders>
              <w:top w:val="nil"/>
              <w:left w:val="nil"/>
              <w:right w:val="nil"/>
            </w:tcBorders>
            <w:vAlign w:val="bottom"/>
          </w:tcPr>
          <w:p w14:paraId="4B77C895" w14:textId="77777777" w:rsidR="0050064D" w:rsidRPr="00E42A95" w:rsidRDefault="0050064D" w:rsidP="0050064D">
            <w:pPr>
              <w:jc w:val="right"/>
              <w:rPr>
                <w:rFonts w:ascii="Georgia" w:hAnsi="Georgia" w:cs="Arial"/>
                <w:b/>
                <w:bCs/>
                <w:color w:val="404040" w:themeColor="text1" w:themeTint="BF"/>
                <w:sz w:val="20"/>
                <w:szCs w:val="20"/>
                <w:lang w:eastAsia="en-GB"/>
              </w:rPr>
            </w:pPr>
          </w:p>
        </w:tc>
      </w:tr>
      <w:tr w:rsidR="0050064D" w:rsidRPr="008B08EF" w14:paraId="0D59BAA9" w14:textId="77777777" w:rsidTr="00EE74A8">
        <w:trPr>
          <w:trHeight w:val="255"/>
        </w:trPr>
        <w:tc>
          <w:tcPr>
            <w:tcW w:w="2602" w:type="pct"/>
            <w:tcBorders>
              <w:top w:val="nil"/>
              <w:left w:val="nil"/>
              <w:bottom w:val="nil"/>
              <w:right w:val="nil"/>
            </w:tcBorders>
            <w:shd w:val="clear" w:color="auto" w:fill="auto"/>
            <w:noWrap/>
            <w:vAlign w:val="center"/>
          </w:tcPr>
          <w:p w14:paraId="153095BA" w14:textId="77777777" w:rsidR="0050064D" w:rsidRPr="009306C8" w:rsidRDefault="0050064D" w:rsidP="0050064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Administrative expenses</w:t>
            </w:r>
          </w:p>
        </w:tc>
        <w:tc>
          <w:tcPr>
            <w:tcW w:w="427" w:type="pct"/>
            <w:tcBorders>
              <w:top w:val="nil"/>
              <w:left w:val="nil"/>
              <w:bottom w:val="nil"/>
              <w:right w:val="nil"/>
            </w:tcBorders>
            <w:shd w:val="clear" w:color="auto" w:fill="auto"/>
            <w:noWrap/>
            <w:vAlign w:val="center"/>
          </w:tcPr>
          <w:p w14:paraId="03ECCFB3" w14:textId="77777777" w:rsidR="0050064D" w:rsidRPr="00942AD0" w:rsidRDefault="0050064D" w:rsidP="0050064D">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5</w:t>
            </w:r>
          </w:p>
        </w:tc>
        <w:tc>
          <w:tcPr>
            <w:tcW w:w="1026" w:type="pct"/>
            <w:tcBorders>
              <w:top w:val="nil"/>
              <w:left w:val="nil"/>
              <w:bottom w:val="single" w:sz="4" w:space="0" w:color="auto"/>
              <w:right w:val="nil"/>
            </w:tcBorders>
            <w:vAlign w:val="bottom"/>
          </w:tcPr>
          <w:p w14:paraId="2EE8B250" w14:textId="20583D92" w:rsidR="0050064D" w:rsidRPr="00177B86" w:rsidRDefault="00E119EE" w:rsidP="00177B86">
            <w:pPr>
              <w:jc w:val="right"/>
              <w:rPr>
                <w:rFonts w:ascii="Georgia" w:hAnsi="Georgia" w:cs="Arial"/>
                <w:color w:val="404040" w:themeColor="text1" w:themeTint="BF"/>
                <w:sz w:val="20"/>
                <w:szCs w:val="20"/>
                <w:lang w:eastAsia="en-GB"/>
              </w:rPr>
            </w:pPr>
            <w:r w:rsidRPr="00177B86">
              <w:rPr>
                <w:rFonts w:ascii="Georgia" w:hAnsi="Georgia" w:cs="Arial"/>
                <w:color w:val="404040" w:themeColor="text1" w:themeTint="BF"/>
                <w:sz w:val="20"/>
                <w:szCs w:val="20"/>
                <w:lang w:eastAsia="en-GB"/>
              </w:rPr>
              <w:t>1,</w:t>
            </w:r>
            <w:r w:rsidR="00177B86" w:rsidRPr="00177B86">
              <w:rPr>
                <w:rFonts w:ascii="Georgia" w:hAnsi="Georgia" w:cs="Arial"/>
                <w:color w:val="404040" w:themeColor="text1" w:themeTint="BF"/>
                <w:sz w:val="20"/>
                <w:szCs w:val="20"/>
                <w:lang w:eastAsia="en-GB"/>
              </w:rPr>
              <w:t>338</w:t>
            </w:r>
          </w:p>
        </w:tc>
        <w:tc>
          <w:tcPr>
            <w:tcW w:w="945" w:type="pct"/>
            <w:tcBorders>
              <w:top w:val="nil"/>
              <w:left w:val="nil"/>
              <w:bottom w:val="single" w:sz="4" w:space="0" w:color="auto"/>
              <w:right w:val="nil"/>
            </w:tcBorders>
            <w:vAlign w:val="bottom"/>
          </w:tcPr>
          <w:p w14:paraId="300D67F4" w14:textId="21AB01D1" w:rsidR="0050064D" w:rsidRPr="00E42A95" w:rsidRDefault="00E119EE" w:rsidP="0050064D">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1,967</w:t>
            </w:r>
          </w:p>
        </w:tc>
      </w:tr>
      <w:tr w:rsidR="0050064D" w:rsidRPr="008B08EF" w14:paraId="78592315" w14:textId="77777777" w:rsidTr="000B0866">
        <w:trPr>
          <w:trHeight w:val="255"/>
        </w:trPr>
        <w:tc>
          <w:tcPr>
            <w:tcW w:w="2602" w:type="pct"/>
            <w:tcBorders>
              <w:top w:val="single" w:sz="4" w:space="0" w:color="auto"/>
              <w:left w:val="nil"/>
              <w:bottom w:val="single" w:sz="4" w:space="0" w:color="auto"/>
              <w:right w:val="nil"/>
            </w:tcBorders>
            <w:shd w:val="clear" w:color="auto" w:fill="auto"/>
            <w:noWrap/>
            <w:vAlign w:val="center"/>
          </w:tcPr>
          <w:p w14:paraId="44EF19F6" w14:textId="77777777" w:rsidR="0050064D" w:rsidRPr="009306C8" w:rsidRDefault="0050064D" w:rsidP="0050064D">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Operating expenses</w:t>
            </w:r>
          </w:p>
        </w:tc>
        <w:tc>
          <w:tcPr>
            <w:tcW w:w="427" w:type="pct"/>
            <w:tcBorders>
              <w:top w:val="single" w:sz="4" w:space="0" w:color="auto"/>
              <w:left w:val="nil"/>
              <w:bottom w:val="single" w:sz="4" w:space="0" w:color="auto"/>
              <w:right w:val="nil"/>
            </w:tcBorders>
            <w:shd w:val="clear" w:color="auto" w:fill="auto"/>
            <w:noWrap/>
            <w:vAlign w:val="center"/>
          </w:tcPr>
          <w:p w14:paraId="23C3D307" w14:textId="77777777" w:rsidR="0050064D" w:rsidRPr="00942AD0" w:rsidRDefault="0050064D" w:rsidP="0050064D">
            <w:pPr>
              <w:jc w:val="center"/>
              <w:rPr>
                <w:rFonts w:ascii="Georgia" w:hAnsi="Georgia" w:cs="Arial"/>
                <w:color w:val="404040" w:themeColor="text1" w:themeTint="BF"/>
                <w:sz w:val="20"/>
                <w:szCs w:val="20"/>
                <w:lang w:eastAsia="en-GB"/>
              </w:rPr>
            </w:pPr>
          </w:p>
        </w:tc>
        <w:tc>
          <w:tcPr>
            <w:tcW w:w="1026" w:type="pct"/>
            <w:tcBorders>
              <w:top w:val="single" w:sz="4" w:space="0" w:color="auto"/>
              <w:left w:val="nil"/>
              <w:bottom w:val="single" w:sz="4" w:space="0" w:color="auto"/>
              <w:right w:val="nil"/>
            </w:tcBorders>
            <w:vAlign w:val="bottom"/>
          </w:tcPr>
          <w:p w14:paraId="2A837329" w14:textId="409952C1" w:rsidR="0050064D" w:rsidRPr="00177B86" w:rsidRDefault="00177B86" w:rsidP="0050064D">
            <w:pPr>
              <w:jc w:val="right"/>
              <w:rPr>
                <w:rFonts w:ascii="Georgia" w:hAnsi="Georgia" w:cs="Arial"/>
                <w:b/>
                <w:color w:val="404040" w:themeColor="text1" w:themeTint="BF"/>
                <w:sz w:val="20"/>
                <w:szCs w:val="20"/>
                <w:lang w:eastAsia="en-GB"/>
              </w:rPr>
            </w:pPr>
            <w:r w:rsidRPr="00177B86">
              <w:rPr>
                <w:rFonts w:ascii="Georgia" w:hAnsi="Georgia" w:cs="Arial"/>
                <w:b/>
                <w:color w:val="404040" w:themeColor="text1" w:themeTint="BF"/>
                <w:sz w:val="20"/>
                <w:szCs w:val="20"/>
                <w:lang w:eastAsia="en-GB"/>
              </w:rPr>
              <w:t>1,338</w:t>
            </w:r>
          </w:p>
        </w:tc>
        <w:tc>
          <w:tcPr>
            <w:tcW w:w="945" w:type="pct"/>
            <w:tcBorders>
              <w:top w:val="single" w:sz="4" w:space="0" w:color="auto"/>
              <w:left w:val="nil"/>
              <w:bottom w:val="single" w:sz="4" w:space="0" w:color="auto"/>
              <w:right w:val="nil"/>
            </w:tcBorders>
            <w:vAlign w:val="bottom"/>
          </w:tcPr>
          <w:p w14:paraId="0FE5A78A" w14:textId="6E8E37AD" w:rsidR="0050064D" w:rsidRPr="00E42A95" w:rsidRDefault="00E119EE" w:rsidP="0050064D">
            <w:pPr>
              <w:jc w:val="right"/>
              <w:rPr>
                <w:rFonts w:ascii="Georgia" w:hAnsi="Georgia" w:cs="Arial"/>
                <w:b/>
                <w:bCs/>
                <w:color w:val="404040" w:themeColor="text1" w:themeTint="BF"/>
                <w:sz w:val="20"/>
                <w:szCs w:val="20"/>
                <w:lang w:eastAsia="en-GB"/>
              </w:rPr>
            </w:pPr>
            <w:r>
              <w:rPr>
                <w:rFonts w:ascii="Georgia" w:hAnsi="Georgia" w:cs="Arial"/>
                <w:b/>
                <w:color w:val="404040" w:themeColor="text1" w:themeTint="BF"/>
                <w:sz w:val="20"/>
                <w:szCs w:val="20"/>
                <w:lang w:eastAsia="en-GB"/>
              </w:rPr>
              <w:t>1,967</w:t>
            </w:r>
          </w:p>
        </w:tc>
      </w:tr>
      <w:tr w:rsidR="0050064D" w:rsidRPr="008B08EF" w14:paraId="398639C4" w14:textId="77777777" w:rsidTr="000B0866">
        <w:trPr>
          <w:trHeight w:val="255"/>
        </w:trPr>
        <w:tc>
          <w:tcPr>
            <w:tcW w:w="2602" w:type="pct"/>
            <w:tcBorders>
              <w:top w:val="nil"/>
              <w:left w:val="nil"/>
              <w:bottom w:val="nil"/>
              <w:right w:val="nil"/>
            </w:tcBorders>
            <w:shd w:val="clear" w:color="auto" w:fill="auto"/>
            <w:noWrap/>
            <w:vAlign w:val="center"/>
          </w:tcPr>
          <w:p w14:paraId="0EA3E78D" w14:textId="77777777" w:rsidR="0050064D" w:rsidRPr="009306C8" w:rsidRDefault="0050064D" w:rsidP="0050064D">
            <w:pPr>
              <w:rPr>
                <w:rFonts w:ascii="Georgia" w:hAnsi="Georgia" w:cs="Arial"/>
                <w:color w:val="404040" w:themeColor="text1" w:themeTint="BF"/>
                <w:sz w:val="20"/>
                <w:szCs w:val="20"/>
                <w:lang w:eastAsia="en-GB"/>
              </w:rPr>
            </w:pPr>
          </w:p>
        </w:tc>
        <w:tc>
          <w:tcPr>
            <w:tcW w:w="427" w:type="pct"/>
            <w:tcBorders>
              <w:top w:val="nil"/>
              <w:left w:val="nil"/>
              <w:bottom w:val="nil"/>
              <w:right w:val="nil"/>
            </w:tcBorders>
            <w:shd w:val="clear" w:color="auto" w:fill="auto"/>
            <w:noWrap/>
            <w:vAlign w:val="center"/>
          </w:tcPr>
          <w:p w14:paraId="40F6B6B5"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single" w:sz="4" w:space="0" w:color="auto"/>
              <w:right w:val="nil"/>
            </w:tcBorders>
            <w:vAlign w:val="bottom"/>
          </w:tcPr>
          <w:p w14:paraId="53CC1738" w14:textId="77777777" w:rsidR="0050064D" w:rsidRPr="00337E42" w:rsidRDefault="0050064D" w:rsidP="0050064D">
            <w:pPr>
              <w:jc w:val="right"/>
              <w:rPr>
                <w:rFonts w:ascii="Georgia" w:hAnsi="Georgia"/>
                <w:b/>
                <w:color w:val="404040" w:themeColor="text1" w:themeTint="BF"/>
                <w:sz w:val="20"/>
                <w:highlight w:val="yellow"/>
              </w:rPr>
            </w:pPr>
          </w:p>
        </w:tc>
        <w:tc>
          <w:tcPr>
            <w:tcW w:w="945" w:type="pct"/>
            <w:tcBorders>
              <w:top w:val="nil"/>
              <w:left w:val="nil"/>
              <w:bottom w:val="single" w:sz="4" w:space="0" w:color="auto"/>
              <w:right w:val="nil"/>
            </w:tcBorders>
            <w:vAlign w:val="bottom"/>
          </w:tcPr>
          <w:p w14:paraId="57A39489" w14:textId="77777777" w:rsidR="0050064D" w:rsidRPr="00E42A95" w:rsidRDefault="0050064D" w:rsidP="0050064D">
            <w:pPr>
              <w:jc w:val="right"/>
              <w:rPr>
                <w:rFonts w:ascii="Georgia" w:hAnsi="Georgia" w:cs="Arial"/>
                <w:color w:val="404040" w:themeColor="text1" w:themeTint="BF"/>
                <w:sz w:val="20"/>
                <w:szCs w:val="20"/>
                <w:lang w:eastAsia="en-GB"/>
              </w:rPr>
            </w:pPr>
          </w:p>
        </w:tc>
      </w:tr>
      <w:tr w:rsidR="0050064D" w:rsidRPr="008B08EF" w14:paraId="3E34780A" w14:textId="77777777" w:rsidTr="000B0866">
        <w:trPr>
          <w:trHeight w:val="255"/>
        </w:trPr>
        <w:tc>
          <w:tcPr>
            <w:tcW w:w="2602" w:type="pct"/>
            <w:tcBorders>
              <w:top w:val="single" w:sz="4" w:space="0" w:color="auto"/>
              <w:left w:val="nil"/>
              <w:bottom w:val="single" w:sz="4" w:space="0" w:color="auto"/>
              <w:right w:val="nil"/>
            </w:tcBorders>
            <w:shd w:val="clear" w:color="auto" w:fill="auto"/>
            <w:noWrap/>
            <w:vAlign w:val="center"/>
          </w:tcPr>
          <w:p w14:paraId="6D62E08D" w14:textId="77777777" w:rsidR="0050064D" w:rsidRPr="009306C8" w:rsidRDefault="0050064D" w:rsidP="0050064D">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Operating profit</w:t>
            </w:r>
          </w:p>
        </w:tc>
        <w:tc>
          <w:tcPr>
            <w:tcW w:w="427" w:type="pct"/>
            <w:tcBorders>
              <w:top w:val="single" w:sz="4" w:space="0" w:color="auto"/>
              <w:left w:val="nil"/>
              <w:bottom w:val="single" w:sz="4" w:space="0" w:color="auto"/>
              <w:right w:val="nil"/>
            </w:tcBorders>
            <w:shd w:val="clear" w:color="auto" w:fill="auto"/>
            <w:noWrap/>
            <w:vAlign w:val="center"/>
          </w:tcPr>
          <w:p w14:paraId="054D84F3"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single" w:sz="4" w:space="0" w:color="auto"/>
              <w:right w:val="nil"/>
            </w:tcBorders>
            <w:vAlign w:val="bottom"/>
          </w:tcPr>
          <w:p w14:paraId="09F21E58" w14:textId="27FC22AE" w:rsidR="0050064D" w:rsidRPr="00177B86" w:rsidRDefault="00430F96" w:rsidP="00C8198B">
            <w:pPr>
              <w:jc w:val="right"/>
              <w:rPr>
                <w:rFonts w:ascii="Georgia" w:hAnsi="Georgia" w:cs="Arial"/>
                <w:b/>
                <w:color w:val="404040" w:themeColor="text1" w:themeTint="BF"/>
                <w:sz w:val="20"/>
                <w:szCs w:val="20"/>
                <w:lang w:eastAsia="en-GB"/>
              </w:rPr>
            </w:pPr>
            <w:r>
              <w:rPr>
                <w:rFonts w:ascii="Georgia" w:hAnsi="Georgia" w:cs="Arial"/>
                <w:b/>
                <w:color w:val="404040" w:themeColor="text1" w:themeTint="BF"/>
                <w:sz w:val="20"/>
                <w:szCs w:val="20"/>
                <w:lang w:eastAsia="en-GB"/>
              </w:rPr>
              <w:t>28,</w:t>
            </w:r>
            <w:r w:rsidR="00C8198B">
              <w:rPr>
                <w:rFonts w:ascii="Georgia" w:hAnsi="Georgia" w:cs="Arial"/>
                <w:b/>
                <w:color w:val="404040" w:themeColor="text1" w:themeTint="BF"/>
                <w:sz w:val="20"/>
                <w:szCs w:val="20"/>
                <w:lang w:eastAsia="en-GB"/>
              </w:rPr>
              <w:t>240</w:t>
            </w:r>
          </w:p>
        </w:tc>
        <w:tc>
          <w:tcPr>
            <w:tcW w:w="945" w:type="pct"/>
            <w:tcBorders>
              <w:top w:val="nil"/>
              <w:left w:val="nil"/>
              <w:bottom w:val="single" w:sz="4" w:space="0" w:color="auto"/>
              <w:right w:val="nil"/>
            </w:tcBorders>
            <w:vAlign w:val="bottom"/>
          </w:tcPr>
          <w:p w14:paraId="2882D50F" w14:textId="5D57025D" w:rsidR="0050064D" w:rsidRPr="00E42A95" w:rsidRDefault="0050064D" w:rsidP="00B823B4">
            <w:pPr>
              <w:jc w:val="right"/>
              <w:rPr>
                <w:rFonts w:ascii="Georgia" w:hAnsi="Georgia" w:cs="Arial"/>
                <w:b/>
                <w:bCs/>
                <w:color w:val="404040" w:themeColor="text1" w:themeTint="BF"/>
                <w:sz w:val="20"/>
                <w:szCs w:val="20"/>
                <w:lang w:eastAsia="en-GB"/>
              </w:rPr>
            </w:pPr>
            <w:r>
              <w:rPr>
                <w:rFonts w:ascii="Georgia" w:hAnsi="Georgia" w:cs="Arial"/>
                <w:b/>
                <w:color w:val="404040" w:themeColor="text1" w:themeTint="BF"/>
                <w:sz w:val="20"/>
                <w:szCs w:val="20"/>
                <w:lang w:eastAsia="en-GB"/>
              </w:rPr>
              <w:t>44,925</w:t>
            </w:r>
          </w:p>
        </w:tc>
      </w:tr>
      <w:tr w:rsidR="0050064D" w:rsidRPr="008B08EF" w14:paraId="5856165C" w14:textId="77777777" w:rsidTr="000B0866">
        <w:trPr>
          <w:trHeight w:val="255"/>
        </w:trPr>
        <w:tc>
          <w:tcPr>
            <w:tcW w:w="2602" w:type="pct"/>
            <w:tcBorders>
              <w:top w:val="nil"/>
              <w:left w:val="nil"/>
              <w:bottom w:val="nil"/>
              <w:right w:val="nil"/>
            </w:tcBorders>
            <w:shd w:val="clear" w:color="auto" w:fill="auto"/>
            <w:noWrap/>
            <w:vAlign w:val="center"/>
          </w:tcPr>
          <w:p w14:paraId="7DEDFE6E" w14:textId="77777777" w:rsidR="0050064D" w:rsidRPr="009306C8" w:rsidRDefault="0050064D" w:rsidP="0050064D">
            <w:pPr>
              <w:rPr>
                <w:rFonts w:ascii="Georgia" w:hAnsi="Georgia" w:cs="Arial"/>
                <w:b/>
                <w:bCs/>
                <w:color w:val="404040" w:themeColor="text1" w:themeTint="BF"/>
                <w:sz w:val="20"/>
                <w:szCs w:val="20"/>
                <w:lang w:eastAsia="en-GB"/>
              </w:rPr>
            </w:pPr>
          </w:p>
        </w:tc>
        <w:tc>
          <w:tcPr>
            <w:tcW w:w="427" w:type="pct"/>
            <w:tcBorders>
              <w:top w:val="nil"/>
              <w:left w:val="nil"/>
              <w:bottom w:val="nil"/>
              <w:right w:val="nil"/>
            </w:tcBorders>
            <w:shd w:val="clear" w:color="auto" w:fill="auto"/>
            <w:noWrap/>
            <w:vAlign w:val="center"/>
          </w:tcPr>
          <w:p w14:paraId="2E46CA42"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nil"/>
              <w:right w:val="nil"/>
            </w:tcBorders>
            <w:vAlign w:val="bottom"/>
          </w:tcPr>
          <w:p w14:paraId="6CCA0909" w14:textId="77777777" w:rsidR="0050064D" w:rsidRPr="00177B86" w:rsidRDefault="0050064D" w:rsidP="0050064D">
            <w:pPr>
              <w:jc w:val="right"/>
              <w:rPr>
                <w:rFonts w:ascii="Georgia" w:hAnsi="Georgia"/>
                <w:b/>
                <w:color w:val="404040" w:themeColor="text1" w:themeTint="BF"/>
                <w:sz w:val="20"/>
              </w:rPr>
            </w:pPr>
          </w:p>
        </w:tc>
        <w:tc>
          <w:tcPr>
            <w:tcW w:w="945" w:type="pct"/>
            <w:tcBorders>
              <w:top w:val="nil"/>
              <w:left w:val="nil"/>
              <w:bottom w:val="nil"/>
              <w:right w:val="nil"/>
            </w:tcBorders>
            <w:vAlign w:val="bottom"/>
          </w:tcPr>
          <w:p w14:paraId="1DC98DEA" w14:textId="77777777" w:rsidR="0050064D" w:rsidRPr="00470E24" w:rsidRDefault="0050064D" w:rsidP="0050064D">
            <w:pPr>
              <w:jc w:val="right"/>
              <w:rPr>
                <w:rFonts w:ascii="Georgia" w:hAnsi="Georgia" w:cs="Arial"/>
                <w:color w:val="404040" w:themeColor="text1" w:themeTint="BF"/>
                <w:sz w:val="20"/>
                <w:szCs w:val="20"/>
                <w:lang w:eastAsia="en-GB"/>
              </w:rPr>
            </w:pPr>
          </w:p>
        </w:tc>
      </w:tr>
      <w:tr w:rsidR="0050064D" w:rsidRPr="008B08EF" w14:paraId="4B98CE8C" w14:textId="77777777" w:rsidTr="003C5835">
        <w:trPr>
          <w:trHeight w:val="270"/>
        </w:trPr>
        <w:tc>
          <w:tcPr>
            <w:tcW w:w="2602" w:type="pct"/>
            <w:tcBorders>
              <w:top w:val="single" w:sz="4" w:space="0" w:color="auto"/>
              <w:left w:val="nil"/>
              <w:bottom w:val="single" w:sz="4" w:space="0" w:color="auto"/>
              <w:right w:val="nil"/>
            </w:tcBorders>
            <w:shd w:val="clear" w:color="auto" w:fill="auto"/>
            <w:noWrap/>
            <w:vAlign w:val="center"/>
          </w:tcPr>
          <w:p w14:paraId="5B2669A4" w14:textId="77777777" w:rsidR="0050064D" w:rsidRPr="009306C8" w:rsidRDefault="0050064D" w:rsidP="0050064D">
            <w:pP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Profit and t</w:t>
            </w:r>
            <w:r w:rsidRPr="00E42A95">
              <w:rPr>
                <w:rFonts w:ascii="Georgia" w:hAnsi="Georgia" w:cs="Arial"/>
                <w:b/>
                <w:bCs/>
                <w:color w:val="404040" w:themeColor="text1" w:themeTint="BF"/>
                <w:sz w:val="20"/>
                <w:szCs w:val="20"/>
                <w:lang w:eastAsia="en-GB"/>
              </w:rPr>
              <w:t xml:space="preserve">otal comprehensive income for the </w:t>
            </w:r>
            <w:r>
              <w:rPr>
                <w:rFonts w:ascii="Georgia" w:hAnsi="Georgia" w:cs="Arial"/>
                <w:b/>
                <w:bCs/>
                <w:color w:val="404040" w:themeColor="text1" w:themeTint="BF"/>
                <w:sz w:val="20"/>
                <w:szCs w:val="20"/>
                <w:lang w:eastAsia="en-GB"/>
              </w:rPr>
              <w:t>year</w:t>
            </w:r>
            <w:r w:rsidRPr="00E42A95">
              <w:rPr>
                <w:rFonts w:ascii="Georgia" w:hAnsi="Georgia" w:cs="Arial"/>
                <w:b/>
                <w:bCs/>
                <w:color w:val="404040" w:themeColor="text1" w:themeTint="BF"/>
                <w:sz w:val="20"/>
                <w:szCs w:val="20"/>
                <w:lang w:eastAsia="en-GB"/>
              </w:rPr>
              <w:t xml:space="preserve"> </w:t>
            </w:r>
          </w:p>
        </w:tc>
        <w:tc>
          <w:tcPr>
            <w:tcW w:w="427" w:type="pct"/>
            <w:tcBorders>
              <w:top w:val="single" w:sz="4" w:space="0" w:color="auto"/>
              <w:left w:val="nil"/>
              <w:bottom w:val="single" w:sz="4" w:space="0" w:color="auto"/>
              <w:right w:val="nil"/>
            </w:tcBorders>
            <w:shd w:val="clear" w:color="auto" w:fill="auto"/>
            <w:noWrap/>
            <w:vAlign w:val="center"/>
          </w:tcPr>
          <w:p w14:paraId="6BAFA9A4"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single" w:sz="4" w:space="0" w:color="auto"/>
              <w:left w:val="nil"/>
              <w:bottom w:val="single" w:sz="4" w:space="0" w:color="auto"/>
              <w:right w:val="nil"/>
            </w:tcBorders>
            <w:vAlign w:val="center"/>
          </w:tcPr>
          <w:p w14:paraId="4D0BFC74" w14:textId="33FD0EDA" w:rsidR="0050064D" w:rsidRPr="00177B86" w:rsidRDefault="00177B86" w:rsidP="0050064D">
            <w:pPr>
              <w:jc w:val="right"/>
              <w:rPr>
                <w:rFonts w:ascii="Georgia" w:hAnsi="Georgia" w:cs="Arial"/>
                <w:b/>
                <w:color w:val="404040" w:themeColor="text1" w:themeTint="BF"/>
                <w:sz w:val="20"/>
                <w:szCs w:val="20"/>
                <w:lang w:eastAsia="en-GB"/>
              </w:rPr>
            </w:pPr>
            <w:r w:rsidRPr="00177B86">
              <w:rPr>
                <w:rFonts w:ascii="Georgia" w:hAnsi="Georgia" w:cs="Arial"/>
                <w:b/>
                <w:color w:val="404040" w:themeColor="text1" w:themeTint="BF"/>
                <w:sz w:val="20"/>
                <w:szCs w:val="20"/>
                <w:lang w:eastAsia="en-GB"/>
              </w:rPr>
              <w:t>2</w:t>
            </w:r>
            <w:r w:rsidR="00C8198B">
              <w:rPr>
                <w:rFonts w:ascii="Georgia" w:hAnsi="Georgia" w:cs="Arial"/>
                <w:b/>
                <w:color w:val="404040" w:themeColor="text1" w:themeTint="BF"/>
                <w:sz w:val="20"/>
                <w:szCs w:val="20"/>
                <w:lang w:eastAsia="en-GB"/>
              </w:rPr>
              <w:t>8,240</w:t>
            </w:r>
          </w:p>
        </w:tc>
        <w:tc>
          <w:tcPr>
            <w:tcW w:w="945" w:type="pct"/>
            <w:tcBorders>
              <w:top w:val="single" w:sz="4" w:space="0" w:color="auto"/>
              <w:left w:val="nil"/>
              <w:bottom w:val="single" w:sz="4" w:space="0" w:color="auto"/>
              <w:right w:val="nil"/>
            </w:tcBorders>
            <w:vAlign w:val="center"/>
          </w:tcPr>
          <w:p w14:paraId="5FE0BBFD" w14:textId="22EE4125" w:rsidR="0050064D" w:rsidRPr="00E42A95" w:rsidRDefault="00B823B4" w:rsidP="0050064D">
            <w:pPr>
              <w:jc w:val="right"/>
              <w:rPr>
                <w:rFonts w:ascii="Georgia" w:hAnsi="Georgia" w:cs="Arial"/>
                <w:b/>
                <w:bCs/>
                <w:color w:val="404040" w:themeColor="text1" w:themeTint="BF"/>
                <w:sz w:val="20"/>
                <w:szCs w:val="20"/>
                <w:lang w:eastAsia="en-GB"/>
              </w:rPr>
            </w:pPr>
            <w:r>
              <w:rPr>
                <w:rFonts w:ascii="Georgia" w:hAnsi="Georgia" w:cs="Arial"/>
                <w:b/>
                <w:color w:val="404040" w:themeColor="text1" w:themeTint="BF"/>
                <w:sz w:val="20"/>
                <w:szCs w:val="20"/>
                <w:lang w:eastAsia="en-GB"/>
              </w:rPr>
              <w:t>44,925</w:t>
            </w:r>
          </w:p>
        </w:tc>
      </w:tr>
      <w:tr w:rsidR="0050064D" w:rsidRPr="008B08EF" w14:paraId="27B1670C" w14:textId="77777777" w:rsidTr="000B0866">
        <w:trPr>
          <w:trHeight w:val="270"/>
        </w:trPr>
        <w:tc>
          <w:tcPr>
            <w:tcW w:w="2602" w:type="pct"/>
            <w:tcBorders>
              <w:top w:val="single" w:sz="4" w:space="0" w:color="auto"/>
              <w:left w:val="nil"/>
              <w:bottom w:val="nil"/>
              <w:right w:val="nil"/>
            </w:tcBorders>
            <w:shd w:val="clear" w:color="auto" w:fill="auto"/>
            <w:noWrap/>
            <w:vAlign w:val="center"/>
          </w:tcPr>
          <w:p w14:paraId="4038B171" w14:textId="77777777" w:rsidR="0050064D" w:rsidRPr="009306C8" w:rsidRDefault="0050064D" w:rsidP="0050064D">
            <w:pPr>
              <w:rPr>
                <w:rFonts w:ascii="Georgia" w:hAnsi="Georgia" w:cs="Arial"/>
                <w:b/>
                <w:bCs/>
                <w:color w:val="404040" w:themeColor="text1" w:themeTint="BF"/>
                <w:sz w:val="20"/>
                <w:szCs w:val="20"/>
                <w:lang w:eastAsia="en-GB"/>
              </w:rPr>
            </w:pPr>
          </w:p>
        </w:tc>
        <w:tc>
          <w:tcPr>
            <w:tcW w:w="427" w:type="pct"/>
            <w:tcBorders>
              <w:top w:val="single" w:sz="4" w:space="0" w:color="auto"/>
              <w:left w:val="nil"/>
              <w:bottom w:val="nil"/>
              <w:right w:val="nil"/>
            </w:tcBorders>
            <w:shd w:val="clear" w:color="auto" w:fill="auto"/>
            <w:noWrap/>
            <w:vAlign w:val="center"/>
          </w:tcPr>
          <w:p w14:paraId="59FC1B0F"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single" w:sz="4" w:space="0" w:color="auto"/>
              <w:left w:val="nil"/>
              <w:bottom w:val="nil"/>
              <w:right w:val="nil"/>
            </w:tcBorders>
            <w:vAlign w:val="bottom"/>
          </w:tcPr>
          <w:p w14:paraId="37A6F494" w14:textId="77777777" w:rsidR="0050064D" w:rsidRPr="00337E42" w:rsidRDefault="0050064D" w:rsidP="0050064D">
            <w:pPr>
              <w:jc w:val="right"/>
              <w:rPr>
                <w:rFonts w:ascii="Georgia" w:hAnsi="Georgia" w:cs="Arial"/>
                <w:b/>
                <w:color w:val="404040" w:themeColor="text1" w:themeTint="BF"/>
                <w:sz w:val="20"/>
                <w:szCs w:val="20"/>
                <w:highlight w:val="yellow"/>
                <w:lang w:eastAsia="en-GB"/>
              </w:rPr>
            </w:pPr>
          </w:p>
        </w:tc>
        <w:tc>
          <w:tcPr>
            <w:tcW w:w="945" w:type="pct"/>
            <w:tcBorders>
              <w:top w:val="single" w:sz="4" w:space="0" w:color="auto"/>
              <w:left w:val="nil"/>
              <w:bottom w:val="nil"/>
              <w:right w:val="nil"/>
            </w:tcBorders>
            <w:vAlign w:val="bottom"/>
          </w:tcPr>
          <w:p w14:paraId="1B019B59" w14:textId="77777777" w:rsidR="0050064D" w:rsidRPr="00E42A95" w:rsidRDefault="0050064D" w:rsidP="0050064D">
            <w:pPr>
              <w:jc w:val="right"/>
              <w:rPr>
                <w:rFonts w:ascii="Georgia" w:hAnsi="Georgia" w:cs="Arial"/>
                <w:b/>
                <w:bCs/>
                <w:color w:val="404040" w:themeColor="text1" w:themeTint="BF"/>
                <w:sz w:val="20"/>
                <w:szCs w:val="20"/>
                <w:lang w:eastAsia="en-GB"/>
              </w:rPr>
            </w:pPr>
          </w:p>
        </w:tc>
      </w:tr>
      <w:tr w:rsidR="0050064D" w:rsidRPr="008B08EF" w14:paraId="49D70A15" w14:textId="77777777" w:rsidTr="000B0866">
        <w:trPr>
          <w:trHeight w:val="255"/>
        </w:trPr>
        <w:tc>
          <w:tcPr>
            <w:tcW w:w="2602" w:type="pct"/>
            <w:tcBorders>
              <w:top w:val="nil"/>
              <w:left w:val="nil"/>
              <w:bottom w:val="nil"/>
              <w:right w:val="nil"/>
            </w:tcBorders>
            <w:shd w:val="clear" w:color="auto" w:fill="auto"/>
            <w:noWrap/>
            <w:vAlign w:val="center"/>
          </w:tcPr>
          <w:p w14:paraId="381EE61A" w14:textId="77777777" w:rsidR="0050064D" w:rsidRPr="009306C8" w:rsidRDefault="0050064D" w:rsidP="0050064D">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Earnings per share:</w:t>
            </w:r>
          </w:p>
        </w:tc>
        <w:tc>
          <w:tcPr>
            <w:tcW w:w="427" w:type="pct"/>
            <w:tcBorders>
              <w:top w:val="nil"/>
              <w:left w:val="nil"/>
              <w:bottom w:val="nil"/>
              <w:right w:val="nil"/>
            </w:tcBorders>
            <w:shd w:val="clear" w:color="auto" w:fill="auto"/>
            <w:noWrap/>
            <w:vAlign w:val="center"/>
          </w:tcPr>
          <w:p w14:paraId="146E4EC9" w14:textId="77777777" w:rsidR="0050064D" w:rsidRPr="00942AD0" w:rsidRDefault="0050064D" w:rsidP="0050064D">
            <w:pPr>
              <w:jc w:val="center"/>
              <w:rPr>
                <w:rFonts w:ascii="Georgia" w:hAnsi="Georgia" w:cs="Arial"/>
                <w:b/>
                <w:bCs/>
                <w:color w:val="404040" w:themeColor="text1" w:themeTint="BF"/>
                <w:sz w:val="20"/>
                <w:szCs w:val="20"/>
                <w:lang w:eastAsia="en-GB"/>
              </w:rPr>
            </w:pPr>
          </w:p>
        </w:tc>
        <w:tc>
          <w:tcPr>
            <w:tcW w:w="1026" w:type="pct"/>
            <w:tcBorders>
              <w:top w:val="nil"/>
              <w:left w:val="nil"/>
              <w:bottom w:val="nil"/>
              <w:right w:val="nil"/>
            </w:tcBorders>
            <w:vAlign w:val="bottom"/>
          </w:tcPr>
          <w:p w14:paraId="66D1389A" w14:textId="77777777" w:rsidR="0050064D" w:rsidRPr="00337E42" w:rsidRDefault="0050064D" w:rsidP="0050064D">
            <w:pPr>
              <w:jc w:val="right"/>
              <w:rPr>
                <w:rFonts w:ascii="Georgia" w:hAnsi="Georgia"/>
                <w:b/>
                <w:color w:val="404040" w:themeColor="text1" w:themeTint="BF"/>
                <w:sz w:val="20"/>
                <w:highlight w:val="yellow"/>
              </w:rPr>
            </w:pPr>
          </w:p>
        </w:tc>
        <w:tc>
          <w:tcPr>
            <w:tcW w:w="945" w:type="pct"/>
            <w:tcBorders>
              <w:top w:val="nil"/>
              <w:left w:val="nil"/>
              <w:bottom w:val="nil"/>
              <w:right w:val="nil"/>
            </w:tcBorders>
            <w:vAlign w:val="bottom"/>
          </w:tcPr>
          <w:p w14:paraId="03756602" w14:textId="77777777" w:rsidR="0050064D" w:rsidRPr="00470E24" w:rsidRDefault="0050064D" w:rsidP="0050064D">
            <w:pPr>
              <w:jc w:val="right"/>
              <w:rPr>
                <w:rFonts w:ascii="Georgia" w:hAnsi="Georgia" w:cs="Arial"/>
                <w:color w:val="404040" w:themeColor="text1" w:themeTint="BF"/>
                <w:sz w:val="20"/>
                <w:szCs w:val="20"/>
                <w:lang w:eastAsia="en-GB"/>
              </w:rPr>
            </w:pPr>
          </w:p>
        </w:tc>
      </w:tr>
      <w:tr w:rsidR="0050064D" w:rsidRPr="008B08EF" w14:paraId="7541F6C1" w14:textId="77777777" w:rsidTr="00FE79EA">
        <w:trPr>
          <w:trHeight w:val="270"/>
        </w:trPr>
        <w:tc>
          <w:tcPr>
            <w:tcW w:w="2602" w:type="pct"/>
            <w:tcBorders>
              <w:top w:val="nil"/>
              <w:left w:val="nil"/>
              <w:bottom w:val="single" w:sz="12" w:space="0" w:color="auto"/>
              <w:right w:val="nil"/>
            </w:tcBorders>
            <w:shd w:val="clear" w:color="auto" w:fill="auto"/>
            <w:noWrap/>
            <w:vAlign w:val="center"/>
          </w:tcPr>
          <w:p w14:paraId="59AA99AD" w14:textId="77777777" w:rsidR="0050064D" w:rsidRPr="009306C8" w:rsidRDefault="0050064D" w:rsidP="0050064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Basic and diluted (pence)</w:t>
            </w:r>
          </w:p>
        </w:tc>
        <w:tc>
          <w:tcPr>
            <w:tcW w:w="427" w:type="pct"/>
            <w:tcBorders>
              <w:top w:val="nil"/>
              <w:left w:val="nil"/>
              <w:bottom w:val="single" w:sz="12" w:space="0" w:color="auto"/>
              <w:right w:val="nil"/>
            </w:tcBorders>
            <w:shd w:val="clear" w:color="auto" w:fill="auto"/>
            <w:noWrap/>
            <w:vAlign w:val="center"/>
          </w:tcPr>
          <w:p w14:paraId="00D657B8" w14:textId="4296258D" w:rsidR="0050064D" w:rsidRPr="00942AD0" w:rsidRDefault="0050064D" w:rsidP="0050064D">
            <w:pPr>
              <w:jc w:val="center"/>
              <w:rPr>
                <w:rFonts w:ascii="Georgia" w:hAnsi="Georgia" w:cs="Arial"/>
                <w:b/>
                <w:bCs/>
                <w:color w:val="404040" w:themeColor="text1" w:themeTint="BF"/>
                <w:sz w:val="20"/>
                <w:szCs w:val="20"/>
                <w:lang w:eastAsia="en-GB"/>
              </w:rPr>
            </w:pPr>
            <w:r w:rsidRPr="00942AD0">
              <w:rPr>
                <w:rFonts w:ascii="Georgia" w:hAnsi="Georgia" w:cs="Arial"/>
                <w:b/>
                <w:bCs/>
                <w:color w:val="404040" w:themeColor="text1" w:themeTint="BF"/>
                <w:sz w:val="20"/>
                <w:szCs w:val="20"/>
                <w:lang w:eastAsia="en-GB"/>
              </w:rPr>
              <w:t>12</w:t>
            </w:r>
          </w:p>
        </w:tc>
        <w:tc>
          <w:tcPr>
            <w:tcW w:w="1026" w:type="pct"/>
            <w:tcBorders>
              <w:top w:val="nil"/>
              <w:left w:val="nil"/>
              <w:bottom w:val="single" w:sz="12" w:space="0" w:color="auto"/>
              <w:right w:val="nil"/>
            </w:tcBorders>
            <w:vAlign w:val="center"/>
          </w:tcPr>
          <w:p w14:paraId="39EFE777" w14:textId="1FC15A1C" w:rsidR="0050064D" w:rsidRPr="00337E42" w:rsidRDefault="00C8198B" w:rsidP="0050064D">
            <w:pPr>
              <w:jc w:val="right"/>
              <w:rPr>
                <w:rFonts w:ascii="Georgia" w:hAnsi="Georgia" w:cs="Arial"/>
                <w:b/>
                <w:color w:val="404040" w:themeColor="text1" w:themeTint="BF"/>
                <w:sz w:val="20"/>
                <w:szCs w:val="20"/>
                <w:highlight w:val="yellow"/>
                <w:lang w:eastAsia="en-GB"/>
              </w:rPr>
            </w:pPr>
            <w:r>
              <w:rPr>
                <w:rFonts w:ascii="Georgia" w:hAnsi="Georgia" w:cs="Arial"/>
                <w:b/>
                <w:color w:val="404040" w:themeColor="text1" w:themeTint="BF"/>
                <w:sz w:val="20"/>
                <w:szCs w:val="20"/>
                <w:lang w:eastAsia="en-GB"/>
              </w:rPr>
              <w:t>7.6</w:t>
            </w:r>
            <w:r w:rsidR="00430F96">
              <w:rPr>
                <w:rFonts w:ascii="Georgia" w:hAnsi="Georgia" w:cs="Arial"/>
                <w:b/>
                <w:color w:val="404040" w:themeColor="text1" w:themeTint="BF"/>
                <w:sz w:val="20"/>
                <w:szCs w:val="20"/>
                <w:lang w:eastAsia="en-GB"/>
              </w:rPr>
              <w:t>3</w:t>
            </w:r>
          </w:p>
        </w:tc>
        <w:tc>
          <w:tcPr>
            <w:tcW w:w="945" w:type="pct"/>
            <w:tcBorders>
              <w:top w:val="nil"/>
              <w:left w:val="nil"/>
              <w:bottom w:val="single" w:sz="12" w:space="0" w:color="auto"/>
              <w:right w:val="nil"/>
            </w:tcBorders>
            <w:vAlign w:val="center"/>
          </w:tcPr>
          <w:p w14:paraId="438F8DDC" w14:textId="71C39D36" w:rsidR="0050064D" w:rsidRPr="00E42A95" w:rsidRDefault="0050064D" w:rsidP="0050064D">
            <w:pPr>
              <w:jc w:val="right"/>
              <w:rPr>
                <w:rFonts w:ascii="Georgia" w:hAnsi="Georgia" w:cs="Arial"/>
                <w:b/>
                <w:bCs/>
                <w:color w:val="404040" w:themeColor="text1" w:themeTint="BF"/>
                <w:sz w:val="20"/>
                <w:szCs w:val="20"/>
                <w:lang w:eastAsia="en-GB"/>
              </w:rPr>
            </w:pPr>
            <w:r>
              <w:rPr>
                <w:rFonts w:ascii="Georgia" w:hAnsi="Georgia" w:cs="Arial"/>
                <w:b/>
                <w:color w:val="404040" w:themeColor="text1" w:themeTint="BF"/>
                <w:sz w:val="20"/>
                <w:szCs w:val="20"/>
                <w:lang w:eastAsia="en-GB"/>
              </w:rPr>
              <w:t>12.15</w:t>
            </w:r>
          </w:p>
        </w:tc>
      </w:tr>
    </w:tbl>
    <w:p w14:paraId="7EA42F0A" w14:textId="77777777" w:rsidR="00994172" w:rsidRDefault="00994172" w:rsidP="000F51FA">
      <w:pPr>
        <w:pStyle w:val="body"/>
        <w:rPr>
          <w:rFonts w:ascii="Times New Roman" w:hAnsi="Times New Roman" w:cs="Times New Roman"/>
          <w:color w:val="auto"/>
          <w:sz w:val="24"/>
          <w:lang w:eastAsia="en-GB"/>
        </w:rPr>
      </w:pPr>
    </w:p>
    <w:p w14:paraId="7BAD863E" w14:textId="77777777" w:rsidR="00994172" w:rsidRDefault="00994172" w:rsidP="000F51FA">
      <w:pPr>
        <w:pStyle w:val="body"/>
        <w:rPr>
          <w:rFonts w:ascii="Times New Roman" w:hAnsi="Times New Roman" w:cs="Times New Roman"/>
          <w:color w:val="auto"/>
          <w:sz w:val="24"/>
          <w:lang w:eastAsia="en-GB"/>
        </w:rPr>
      </w:pPr>
    </w:p>
    <w:p w14:paraId="4B040337" w14:textId="77777777" w:rsidR="009D4DDE" w:rsidRDefault="009D4DDE" w:rsidP="000F51FA">
      <w:pPr>
        <w:pStyle w:val="body"/>
        <w:rPr>
          <w:rFonts w:ascii="Times New Roman" w:hAnsi="Times New Roman" w:cs="Times New Roman"/>
          <w:color w:val="auto"/>
          <w:sz w:val="24"/>
          <w:lang w:eastAsia="en-GB"/>
        </w:rPr>
      </w:pPr>
    </w:p>
    <w:p w14:paraId="73FC3735" w14:textId="77777777" w:rsidR="00D47406" w:rsidRDefault="00D47406" w:rsidP="000F51FA">
      <w:pPr>
        <w:pStyle w:val="body"/>
        <w:rPr>
          <w:rFonts w:ascii="Times New Roman" w:hAnsi="Times New Roman" w:cs="Times New Roman"/>
          <w:color w:val="auto"/>
          <w:sz w:val="24"/>
          <w:lang w:eastAsia="en-GB"/>
        </w:rPr>
      </w:pPr>
    </w:p>
    <w:p w14:paraId="2DDEF17A" w14:textId="77777777" w:rsidR="000F51FA" w:rsidRDefault="000F51FA" w:rsidP="000F51FA">
      <w:pPr>
        <w:pStyle w:val="body"/>
        <w:rPr>
          <w:rFonts w:ascii="Times New Roman" w:hAnsi="Times New Roman" w:cs="Times New Roman"/>
          <w:color w:val="auto"/>
          <w:sz w:val="24"/>
          <w:lang w:eastAsia="en-GB"/>
        </w:rPr>
      </w:pPr>
    </w:p>
    <w:p w14:paraId="5CE2ADA9" w14:textId="77777777" w:rsidR="000F51FA" w:rsidRDefault="008B22DC" w:rsidP="00E85EF6">
      <w:pPr>
        <w:pStyle w:val="body"/>
        <w:tabs>
          <w:tab w:val="left" w:pos="2194"/>
        </w:tabs>
        <w:rPr>
          <w:rFonts w:ascii="Times New Roman" w:hAnsi="Times New Roman" w:cs="Times New Roman"/>
          <w:color w:val="auto"/>
          <w:sz w:val="24"/>
          <w:lang w:eastAsia="en-GB"/>
        </w:rPr>
      </w:pPr>
      <w:r>
        <w:rPr>
          <w:rFonts w:ascii="Times New Roman" w:hAnsi="Times New Roman" w:cs="Times New Roman"/>
          <w:color w:val="auto"/>
          <w:sz w:val="24"/>
          <w:lang w:eastAsia="en-GB"/>
        </w:rPr>
        <w:tab/>
      </w:r>
    </w:p>
    <w:p w14:paraId="7F2D0C26" w14:textId="77777777" w:rsidR="000F51FA" w:rsidRDefault="000F51FA" w:rsidP="000F51FA">
      <w:pPr>
        <w:pStyle w:val="body"/>
      </w:pPr>
    </w:p>
    <w:p w14:paraId="7E381340" w14:textId="77777777" w:rsidR="000F51FA" w:rsidRDefault="000F51FA" w:rsidP="000F51FA">
      <w:pPr>
        <w:pStyle w:val="body"/>
      </w:pPr>
    </w:p>
    <w:p w14:paraId="48476B6C" w14:textId="77777777" w:rsidR="000F51FA" w:rsidRDefault="000F51FA" w:rsidP="000F51FA">
      <w:pPr>
        <w:pStyle w:val="body"/>
      </w:pPr>
    </w:p>
    <w:p w14:paraId="76F0DABC" w14:textId="77777777" w:rsidR="00872CCD" w:rsidRDefault="00872CCD" w:rsidP="000F51FA">
      <w:pPr>
        <w:pStyle w:val="body"/>
      </w:pPr>
    </w:p>
    <w:p w14:paraId="11044999" w14:textId="77777777" w:rsidR="00872CCD" w:rsidRDefault="00872CCD" w:rsidP="000F51FA">
      <w:pPr>
        <w:pStyle w:val="body"/>
      </w:pPr>
    </w:p>
    <w:p w14:paraId="507F93C6" w14:textId="158A6B1E" w:rsidR="005B42BD" w:rsidRDefault="005B42BD" w:rsidP="000F51FA">
      <w:pPr>
        <w:pStyle w:val="body"/>
      </w:pPr>
    </w:p>
    <w:p w14:paraId="4954E4D4" w14:textId="77777777" w:rsidR="005B42BD" w:rsidRDefault="005B42BD" w:rsidP="000F51FA">
      <w:pPr>
        <w:pStyle w:val="body"/>
      </w:pPr>
    </w:p>
    <w:p w14:paraId="58DB77F3" w14:textId="77777777" w:rsidR="005B42BD" w:rsidRDefault="005B42BD" w:rsidP="000F51FA">
      <w:pPr>
        <w:pStyle w:val="body"/>
      </w:pPr>
    </w:p>
    <w:p w14:paraId="7695846F" w14:textId="77777777" w:rsidR="005B42BD" w:rsidRDefault="005B42BD" w:rsidP="000F51FA">
      <w:pPr>
        <w:pStyle w:val="body"/>
      </w:pPr>
    </w:p>
    <w:p w14:paraId="3EC9D7E1" w14:textId="77777777" w:rsidR="000F51FA" w:rsidRDefault="000F51FA" w:rsidP="000F51FA">
      <w:pPr>
        <w:pStyle w:val="body"/>
      </w:pPr>
    </w:p>
    <w:p w14:paraId="606BABAD" w14:textId="77777777" w:rsidR="000F51FA" w:rsidRDefault="000F51FA" w:rsidP="000F51FA">
      <w:pPr>
        <w:pStyle w:val="body"/>
      </w:pPr>
      <w:r w:rsidRPr="00D44FC2">
        <w:t>All items within the above statement have been derived from continuing activities.</w:t>
      </w:r>
    </w:p>
    <w:p w14:paraId="1DA5FCFE" w14:textId="77777777" w:rsidR="000F51FA" w:rsidRPr="004C65C8" w:rsidRDefault="000F51FA" w:rsidP="000F51FA">
      <w:pPr>
        <w:pStyle w:val="body"/>
      </w:pPr>
    </w:p>
    <w:p w14:paraId="03E75A65" w14:textId="5D19A4A2" w:rsidR="000F51FA" w:rsidRPr="004C65C8" w:rsidRDefault="000F51FA" w:rsidP="000F51FA">
      <w:pPr>
        <w:tabs>
          <w:tab w:val="right" w:pos="8460"/>
        </w:tabs>
        <w:rPr>
          <w:rFonts w:ascii="Georgia" w:hAnsi="Georgia" w:cs="Calibri"/>
          <w:color w:val="404040" w:themeColor="text1" w:themeTint="BF"/>
          <w:sz w:val="20"/>
        </w:rPr>
      </w:pPr>
      <w:r w:rsidRPr="004C65C8">
        <w:rPr>
          <w:rFonts w:ascii="Georgia" w:hAnsi="Georgia" w:cs="Calibri"/>
          <w:color w:val="404040" w:themeColor="text1" w:themeTint="BF"/>
          <w:sz w:val="20"/>
        </w:rPr>
        <w:t>The accompanying notes form an inte</w:t>
      </w:r>
      <w:r w:rsidR="00352D3C">
        <w:rPr>
          <w:rFonts w:ascii="Georgia" w:hAnsi="Georgia" w:cs="Calibri"/>
          <w:color w:val="404040" w:themeColor="text1" w:themeTint="BF"/>
          <w:sz w:val="20"/>
        </w:rPr>
        <w:t xml:space="preserve">gral part of these </w:t>
      </w:r>
      <w:r w:rsidRPr="004C65C8">
        <w:rPr>
          <w:rFonts w:ascii="Georgia" w:hAnsi="Georgia" w:cs="Calibri"/>
          <w:color w:val="404040" w:themeColor="text1" w:themeTint="BF"/>
          <w:sz w:val="20"/>
        </w:rPr>
        <w:t>financial statements.</w:t>
      </w:r>
    </w:p>
    <w:p w14:paraId="5D83780E" w14:textId="7BDE66BD" w:rsidR="000F51FA" w:rsidRPr="00D44FC2" w:rsidRDefault="000F51FA" w:rsidP="00E85EF6">
      <w:pPr>
        <w:pStyle w:val="Heading2"/>
        <w:spacing w:before="0"/>
      </w:pPr>
      <w:r w:rsidRPr="00D44FC2">
        <w:br w:type="page"/>
      </w:r>
      <w:bookmarkStart w:id="48" w:name="_Toc254209590"/>
      <w:r w:rsidRPr="004629C1">
        <w:rPr>
          <w:color w:val="auto"/>
        </w:rPr>
        <w:lastRenderedPageBreak/>
        <w:t>Statement of Changes in Equity</w:t>
      </w:r>
      <w:bookmarkEnd w:id="48"/>
    </w:p>
    <w:p w14:paraId="17A1A71A" w14:textId="52C0B25B" w:rsidR="000F51FA" w:rsidRDefault="000F51FA" w:rsidP="000F51FA">
      <w:pPr>
        <w:pStyle w:val="body"/>
        <w:rPr>
          <w:i/>
        </w:rPr>
      </w:pPr>
      <w:r w:rsidRPr="00E7529D">
        <w:rPr>
          <w:i/>
        </w:rPr>
        <w:t xml:space="preserve">For the </w:t>
      </w:r>
      <w:r w:rsidR="00F4182A">
        <w:rPr>
          <w:i/>
        </w:rPr>
        <w:t>year ended</w:t>
      </w:r>
      <w:r w:rsidRPr="00E7529D">
        <w:rPr>
          <w:i/>
        </w:rPr>
        <w:t xml:space="preserve"> </w:t>
      </w:r>
      <w:r w:rsidR="00F4182A">
        <w:rPr>
          <w:i/>
        </w:rPr>
        <w:t xml:space="preserve">30 June </w:t>
      </w:r>
      <w:r w:rsidR="00904E51">
        <w:rPr>
          <w:i/>
        </w:rPr>
        <w:t>2020</w:t>
      </w:r>
    </w:p>
    <w:tbl>
      <w:tblPr>
        <w:tblW w:w="5720" w:type="pct"/>
        <w:tblInd w:w="-779" w:type="dxa"/>
        <w:tblLayout w:type="fixed"/>
        <w:tblLook w:val="04A0" w:firstRow="1" w:lastRow="0" w:firstColumn="1" w:lastColumn="0" w:noHBand="0" w:noVBand="1"/>
      </w:tblPr>
      <w:tblGrid>
        <w:gridCol w:w="2516"/>
        <w:gridCol w:w="801"/>
        <w:gridCol w:w="1570"/>
        <w:gridCol w:w="1529"/>
        <w:gridCol w:w="1204"/>
        <w:gridCol w:w="1469"/>
        <w:gridCol w:w="1619"/>
      </w:tblGrid>
      <w:tr w:rsidR="00DA0B79" w:rsidRPr="00894FC4" w14:paraId="3D2404B0" w14:textId="77777777" w:rsidTr="00EF6D72">
        <w:trPr>
          <w:trHeight w:val="255"/>
        </w:trPr>
        <w:tc>
          <w:tcPr>
            <w:tcW w:w="1175" w:type="pct"/>
            <w:tcBorders>
              <w:top w:val="nil"/>
              <w:left w:val="nil"/>
              <w:bottom w:val="nil"/>
              <w:right w:val="nil"/>
            </w:tcBorders>
            <w:shd w:val="clear" w:color="auto" w:fill="auto"/>
            <w:noWrap/>
            <w:vAlign w:val="bottom"/>
          </w:tcPr>
          <w:p w14:paraId="36BA21C6" w14:textId="77777777" w:rsidR="00527EA4" w:rsidRPr="00894FC4" w:rsidRDefault="00527EA4" w:rsidP="00F704D4">
            <w:pPr>
              <w:pStyle w:val="BluefieldBody"/>
              <w:jc w:val="right"/>
              <w:rPr>
                <w:b/>
                <w:lang w:eastAsia="en-GB"/>
              </w:rPr>
            </w:pPr>
          </w:p>
        </w:tc>
        <w:tc>
          <w:tcPr>
            <w:tcW w:w="374" w:type="pct"/>
            <w:tcBorders>
              <w:top w:val="nil"/>
              <w:left w:val="nil"/>
              <w:bottom w:val="nil"/>
              <w:right w:val="nil"/>
            </w:tcBorders>
            <w:shd w:val="clear" w:color="auto" w:fill="auto"/>
            <w:noWrap/>
            <w:vAlign w:val="bottom"/>
          </w:tcPr>
          <w:p w14:paraId="1DAE8000" w14:textId="77777777" w:rsidR="00527EA4" w:rsidRPr="00894FC4" w:rsidRDefault="00527EA4" w:rsidP="00F704D4">
            <w:pPr>
              <w:pStyle w:val="BluefieldBody"/>
              <w:jc w:val="right"/>
              <w:rPr>
                <w:b/>
                <w:sz w:val="19"/>
                <w:lang w:eastAsia="en-GB"/>
              </w:rPr>
            </w:pPr>
          </w:p>
        </w:tc>
        <w:tc>
          <w:tcPr>
            <w:tcW w:w="733" w:type="pct"/>
            <w:vMerge w:val="restart"/>
            <w:tcBorders>
              <w:top w:val="nil"/>
              <w:left w:val="nil"/>
              <w:right w:val="nil"/>
            </w:tcBorders>
            <w:shd w:val="clear" w:color="auto" w:fill="auto"/>
            <w:noWrap/>
            <w:vAlign w:val="center"/>
          </w:tcPr>
          <w:p w14:paraId="4A713606" w14:textId="77777777" w:rsidR="00527EA4" w:rsidRPr="00894FC4" w:rsidRDefault="00527EA4" w:rsidP="00F704D4">
            <w:pPr>
              <w:pStyle w:val="BluefieldBody"/>
              <w:jc w:val="right"/>
              <w:rPr>
                <w:b/>
                <w:sz w:val="19"/>
                <w:lang w:eastAsia="en-GB"/>
              </w:rPr>
            </w:pPr>
            <w:r w:rsidRPr="00894FC4">
              <w:rPr>
                <w:b/>
                <w:sz w:val="19"/>
                <w:lang w:eastAsia="en-GB"/>
              </w:rPr>
              <w:t>Number of</w:t>
            </w:r>
          </w:p>
          <w:p w14:paraId="74325C98" w14:textId="77777777" w:rsidR="00527EA4" w:rsidRPr="00894FC4" w:rsidRDefault="00527EA4" w:rsidP="00F704D4">
            <w:pPr>
              <w:pStyle w:val="BluefieldBody"/>
              <w:jc w:val="right"/>
              <w:rPr>
                <w:b/>
                <w:sz w:val="19"/>
                <w:lang w:eastAsia="en-GB"/>
              </w:rPr>
            </w:pPr>
            <w:r w:rsidRPr="00894FC4">
              <w:rPr>
                <w:b/>
                <w:sz w:val="19"/>
                <w:lang w:eastAsia="en-GB"/>
              </w:rPr>
              <w:t>Ordinary Shares</w:t>
            </w:r>
          </w:p>
        </w:tc>
        <w:tc>
          <w:tcPr>
            <w:tcW w:w="714" w:type="pct"/>
            <w:tcBorders>
              <w:top w:val="nil"/>
              <w:left w:val="nil"/>
              <w:right w:val="nil"/>
            </w:tcBorders>
          </w:tcPr>
          <w:p w14:paraId="4B1719F2" w14:textId="77777777" w:rsidR="00527EA4" w:rsidRPr="00894FC4" w:rsidRDefault="00527EA4" w:rsidP="00F704D4">
            <w:pPr>
              <w:pStyle w:val="BluefieldBody"/>
              <w:jc w:val="right"/>
              <w:rPr>
                <w:b/>
                <w:sz w:val="19"/>
                <w:lang w:eastAsia="en-GB"/>
              </w:rPr>
            </w:pPr>
          </w:p>
        </w:tc>
        <w:tc>
          <w:tcPr>
            <w:tcW w:w="562" w:type="pct"/>
            <w:tcBorders>
              <w:top w:val="nil"/>
              <w:left w:val="nil"/>
              <w:bottom w:val="nil"/>
              <w:right w:val="nil"/>
            </w:tcBorders>
            <w:shd w:val="clear" w:color="auto" w:fill="auto"/>
            <w:noWrap/>
            <w:vAlign w:val="center"/>
          </w:tcPr>
          <w:p w14:paraId="504B33F4" w14:textId="77777777" w:rsidR="00527EA4" w:rsidRPr="00894FC4" w:rsidRDefault="00527EA4" w:rsidP="00F704D4">
            <w:pPr>
              <w:pStyle w:val="BluefieldBody"/>
              <w:jc w:val="right"/>
              <w:rPr>
                <w:b/>
                <w:sz w:val="19"/>
                <w:lang w:eastAsia="en-GB"/>
              </w:rPr>
            </w:pPr>
          </w:p>
        </w:tc>
        <w:tc>
          <w:tcPr>
            <w:tcW w:w="686" w:type="pct"/>
            <w:tcBorders>
              <w:top w:val="nil"/>
              <w:left w:val="nil"/>
              <w:bottom w:val="nil"/>
              <w:right w:val="nil"/>
            </w:tcBorders>
            <w:shd w:val="clear" w:color="auto" w:fill="auto"/>
            <w:noWrap/>
            <w:vAlign w:val="center"/>
          </w:tcPr>
          <w:p w14:paraId="7014E5B7" w14:textId="77777777" w:rsidR="00527EA4" w:rsidRPr="00894FC4" w:rsidRDefault="00527EA4" w:rsidP="00F704D4">
            <w:pPr>
              <w:pStyle w:val="BluefieldBody"/>
              <w:jc w:val="right"/>
              <w:rPr>
                <w:b/>
                <w:sz w:val="19"/>
                <w:lang w:eastAsia="en-GB"/>
              </w:rPr>
            </w:pPr>
          </w:p>
        </w:tc>
        <w:tc>
          <w:tcPr>
            <w:tcW w:w="756" w:type="pct"/>
            <w:tcBorders>
              <w:top w:val="nil"/>
              <w:left w:val="nil"/>
              <w:bottom w:val="nil"/>
              <w:right w:val="nil"/>
            </w:tcBorders>
            <w:shd w:val="clear" w:color="auto" w:fill="auto"/>
            <w:noWrap/>
            <w:vAlign w:val="center"/>
          </w:tcPr>
          <w:p w14:paraId="6CBD81A8" w14:textId="77777777" w:rsidR="00527EA4" w:rsidRPr="00894FC4" w:rsidRDefault="00527EA4" w:rsidP="00F704D4">
            <w:pPr>
              <w:pStyle w:val="BluefieldBody"/>
              <w:jc w:val="right"/>
              <w:rPr>
                <w:b/>
                <w:sz w:val="19"/>
                <w:lang w:eastAsia="en-GB"/>
              </w:rPr>
            </w:pPr>
          </w:p>
        </w:tc>
      </w:tr>
      <w:tr w:rsidR="00DA0B79" w:rsidRPr="00894FC4" w14:paraId="2332BEBE" w14:textId="77777777" w:rsidTr="00EF6D72">
        <w:trPr>
          <w:trHeight w:val="510"/>
        </w:trPr>
        <w:tc>
          <w:tcPr>
            <w:tcW w:w="1175" w:type="pct"/>
            <w:tcBorders>
              <w:top w:val="nil"/>
              <w:left w:val="nil"/>
              <w:bottom w:val="nil"/>
              <w:right w:val="nil"/>
            </w:tcBorders>
            <w:shd w:val="clear" w:color="auto" w:fill="auto"/>
            <w:noWrap/>
            <w:vAlign w:val="bottom"/>
          </w:tcPr>
          <w:p w14:paraId="29D4BB1E" w14:textId="77777777" w:rsidR="00527EA4" w:rsidRPr="00894FC4" w:rsidRDefault="00527EA4" w:rsidP="00F704D4">
            <w:pPr>
              <w:pStyle w:val="BluefieldBody"/>
              <w:jc w:val="right"/>
              <w:rPr>
                <w:b/>
                <w:lang w:eastAsia="en-GB"/>
              </w:rPr>
            </w:pPr>
          </w:p>
        </w:tc>
        <w:tc>
          <w:tcPr>
            <w:tcW w:w="374" w:type="pct"/>
            <w:tcBorders>
              <w:top w:val="nil"/>
              <w:left w:val="nil"/>
              <w:bottom w:val="nil"/>
              <w:right w:val="nil"/>
            </w:tcBorders>
            <w:shd w:val="clear" w:color="auto" w:fill="auto"/>
            <w:noWrap/>
            <w:vAlign w:val="center"/>
          </w:tcPr>
          <w:p w14:paraId="611B25F1" w14:textId="77777777" w:rsidR="00527EA4" w:rsidRPr="00894FC4" w:rsidRDefault="00527EA4" w:rsidP="00F704D4">
            <w:pPr>
              <w:pStyle w:val="BluefieldBody"/>
              <w:jc w:val="center"/>
              <w:rPr>
                <w:b/>
                <w:sz w:val="19"/>
                <w:lang w:eastAsia="en-GB"/>
              </w:rPr>
            </w:pPr>
            <w:r w:rsidRPr="00894FC4">
              <w:rPr>
                <w:b/>
                <w:sz w:val="19"/>
                <w:lang w:eastAsia="en-GB"/>
              </w:rPr>
              <w:t>Note</w:t>
            </w:r>
          </w:p>
        </w:tc>
        <w:tc>
          <w:tcPr>
            <w:tcW w:w="733" w:type="pct"/>
            <w:vMerge/>
            <w:tcBorders>
              <w:left w:val="nil"/>
              <w:bottom w:val="nil"/>
              <w:right w:val="nil"/>
            </w:tcBorders>
            <w:shd w:val="clear" w:color="auto" w:fill="auto"/>
            <w:vAlign w:val="center"/>
          </w:tcPr>
          <w:p w14:paraId="698B89A8" w14:textId="77777777" w:rsidR="00527EA4" w:rsidRPr="00894FC4" w:rsidRDefault="00527EA4" w:rsidP="00F704D4">
            <w:pPr>
              <w:pStyle w:val="BluefieldBody"/>
              <w:jc w:val="right"/>
              <w:rPr>
                <w:b/>
                <w:sz w:val="19"/>
                <w:lang w:eastAsia="en-GB"/>
              </w:rPr>
            </w:pPr>
          </w:p>
        </w:tc>
        <w:tc>
          <w:tcPr>
            <w:tcW w:w="714" w:type="pct"/>
            <w:tcBorders>
              <w:left w:val="nil"/>
              <w:bottom w:val="nil"/>
              <w:right w:val="nil"/>
            </w:tcBorders>
            <w:vAlign w:val="center"/>
          </w:tcPr>
          <w:p w14:paraId="292CDC95" w14:textId="77777777" w:rsidR="00527EA4" w:rsidRPr="00894FC4" w:rsidRDefault="00527EA4" w:rsidP="00F704D4">
            <w:pPr>
              <w:pStyle w:val="BluefieldBody"/>
              <w:jc w:val="right"/>
              <w:rPr>
                <w:b/>
                <w:sz w:val="19"/>
                <w:lang w:eastAsia="en-GB"/>
              </w:rPr>
            </w:pPr>
            <w:r w:rsidRPr="00894FC4">
              <w:rPr>
                <w:b/>
                <w:sz w:val="19"/>
                <w:lang w:eastAsia="en-GB"/>
              </w:rPr>
              <w:t>Share capital</w:t>
            </w:r>
          </w:p>
          <w:p w14:paraId="3916FED8" w14:textId="77777777" w:rsidR="00527EA4" w:rsidRPr="00894FC4" w:rsidRDefault="00527EA4" w:rsidP="00F704D4">
            <w:pPr>
              <w:pStyle w:val="BluefieldBody"/>
              <w:jc w:val="right"/>
              <w:rPr>
                <w:b/>
                <w:sz w:val="19"/>
                <w:lang w:eastAsia="en-GB"/>
              </w:rPr>
            </w:pPr>
          </w:p>
        </w:tc>
        <w:tc>
          <w:tcPr>
            <w:tcW w:w="562" w:type="pct"/>
            <w:tcBorders>
              <w:top w:val="nil"/>
              <w:left w:val="nil"/>
              <w:bottom w:val="nil"/>
              <w:right w:val="nil"/>
            </w:tcBorders>
            <w:shd w:val="clear" w:color="auto" w:fill="auto"/>
            <w:vAlign w:val="center"/>
          </w:tcPr>
          <w:p w14:paraId="423B7F95" w14:textId="77777777" w:rsidR="00527EA4" w:rsidRPr="00894FC4" w:rsidRDefault="00527EA4" w:rsidP="00F704D4">
            <w:pPr>
              <w:pStyle w:val="BluefieldBody"/>
              <w:jc w:val="right"/>
              <w:rPr>
                <w:b/>
                <w:sz w:val="19"/>
                <w:lang w:eastAsia="en-GB"/>
              </w:rPr>
            </w:pPr>
            <w:r w:rsidRPr="00894FC4">
              <w:rPr>
                <w:b/>
                <w:sz w:val="19"/>
                <w:lang w:eastAsia="en-GB"/>
              </w:rPr>
              <w:t>Other reserves</w:t>
            </w:r>
          </w:p>
        </w:tc>
        <w:tc>
          <w:tcPr>
            <w:tcW w:w="686" w:type="pct"/>
            <w:tcBorders>
              <w:top w:val="nil"/>
              <w:left w:val="nil"/>
              <w:bottom w:val="nil"/>
              <w:right w:val="nil"/>
            </w:tcBorders>
            <w:shd w:val="clear" w:color="auto" w:fill="auto"/>
            <w:vAlign w:val="center"/>
          </w:tcPr>
          <w:p w14:paraId="7F9A4C2B" w14:textId="77777777" w:rsidR="00527EA4" w:rsidRPr="00894FC4" w:rsidRDefault="00527EA4" w:rsidP="00F704D4">
            <w:pPr>
              <w:pStyle w:val="BluefieldBody"/>
              <w:jc w:val="right"/>
              <w:rPr>
                <w:b/>
                <w:sz w:val="19"/>
                <w:lang w:eastAsia="en-GB"/>
              </w:rPr>
            </w:pPr>
            <w:r w:rsidRPr="00894FC4">
              <w:rPr>
                <w:b/>
                <w:sz w:val="19"/>
                <w:lang w:eastAsia="en-GB"/>
              </w:rPr>
              <w:t>Retained earnings</w:t>
            </w:r>
          </w:p>
        </w:tc>
        <w:tc>
          <w:tcPr>
            <w:tcW w:w="756" w:type="pct"/>
            <w:tcBorders>
              <w:top w:val="nil"/>
              <w:left w:val="nil"/>
              <w:bottom w:val="nil"/>
              <w:right w:val="nil"/>
            </w:tcBorders>
            <w:shd w:val="clear" w:color="auto" w:fill="auto"/>
            <w:vAlign w:val="center"/>
          </w:tcPr>
          <w:p w14:paraId="5D69140A" w14:textId="77777777" w:rsidR="00527EA4" w:rsidRPr="00894FC4" w:rsidRDefault="00527EA4" w:rsidP="00F704D4">
            <w:pPr>
              <w:pStyle w:val="BluefieldBody"/>
              <w:jc w:val="right"/>
              <w:rPr>
                <w:b/>
                <w:sz w:val="19"/>
                <w:lang w:eastAsia="en-GB"/>
              </w:rPr>
            </w:pPr>
            <w:r w:rsidRPr="00894FC4">
              <w:rPr>
                <w:b/>
                <w:sz w:val="19"/>
                <w:lang w:eastAsia="en-GB"/>
              </w:rPr>
              <w:t>Total equity</w:t>
            </w:r>
          </w:p>
        </w:tc>
      </w:tr>
      <w:tr w:rsidR="00031D43" w:rsidRPr="00894FC4" w14:paraId="3BF48E09" w14:textId="77777777" w:rsidTr="00EF6D72">
        <w:trPr>
          <w:trHeight w:val="255"/>
        </w:trPr>
        <w:tc>
          <w:tcPr>
            <w:tcW w:w="1175" w:type="pct"/>
            <w:tcBorders>
              <w:top w:val="nil"/>
              <w:left w:val="nil"/>
              <w:bottom w:val="single" w:sz="4" w:space="0" w:color="auto"/>
              <w:right w:val="nil"/>
            </w:tcBorders>
            <w:shd w:val="clear" w:color="auto" w:fill="auto"/>
            <w:noWrap/>
            <w:vAlign w:val="bottom"/>
          </w:tcPr>
          <w:p w14:paraId="6CCC4335" w14:textId="77777777" w:rsidR="00527EA4" w:rsidRPr="00894FC4" w:rsidRDefault="00527EA4" w:rsidP="00F704D4">
            <w:pPr>
              <w:pStyle w:val="BluefieldBody"/>
              <w:jc w:val="right"/>
              <w:rPr>
                <w:b/>
                <w:lang w:eastAsia="en-GB"/>
              </w:rPr>
            </w:pPr>
            <w:r w:rsidRPr="00894FC4">
              <w:rPr>
                <w:b/>
                <w:lang w:eastAsia="en-GB"/>
              </w:rPr>
              <w:t> </w:t>
            </w:r>
          </w:p>
        </w:tc>
        <w:tc>
          <w:tcPr>
            <w:tcW w:w="374" w:type="pct"/>
            <w:tcBorders>
              <w:top w:val="nil"/>
              <w:left w:val="nil"/>
              <w:bottom w:val="single" w:sz="4" w:space="0" w:color="auto"/>
              <w:right w:val="nil"/>
            </w:tcBorders>
            <w:shd w:val="clear" w:color="auto" w:fill="auto"/>
            <w:noWrap/>
            <w:vAlign w:val="bottom"/>
          </w:tcPr>
          <w:p w14:paraId="733B2D54" w14:textId="77777777" w:rsidR="00527EA4" w:rsidRPr="00894FC4" w:rsidRDefault="00527EA4" w:rsidP="00F704D4">
            <w:pPr>
              <w:pStyle w:val="BluefieldBody"/>
              <w:jc w:val="right"/>
              <w:rPr>
                <w:b/>
                <w:sz w:val="19"/>
                <w:lang w:eastAsia="en-GB"/>
              </w:rPr>
            </w:pPr>
            <w:r w:rsidRPr="00894FC4">
              <w:rPr>
                <w:b/>
                <w:sz w:val="19"/>
                <w:lang w:eastAsia="en-GB"/>
              </w:rPr>
              <w:t> </w:t>
            </w:r>
          </w:p>
        </w:tc>
        <w:tc>
          <w:tcPr>
            <w:tcW w:w="733" w:type="pct"/>
            <w:tcBorders>
              <w:top w:val="nil"/>
              <w:left w:val="nil"/>
              <w:bottom w:val="single" w:sz="4" w:space="0" w:color="auto"/>
              <w:right w:val="nil"/>
            </w:tcBorders>
            <w:shd w:val="clear" w:color="auto" w:fill="auto"/>
            <w:noWrap/>
            <w:vAlign w:val="center"/>
          </w:tcPr>
          <w:p w14:paraId="4046F111" w14:textId="77777777" w:rsidR="00527EA4" w:rsidRPr="00894FC4" w:rsidRDefault="00527EA4" w:rsidP="00F704D4">
            <w:pPr>
              <w:pStyle w:val="BluefieldBody"/>
              <w:jc w:val="right"/>
              <w:rPr>
                <w:b/>
                <w:sz w:val="19"/>
                <w:lang w:eastAsia="en-GB"/>
              </w:rPr>
            </w:pPr>
            <w:r w:rsidRPr="00894FC4">
              <w:rPr>
                <w:b/>
                <w:sz w:val="19"/>
                <w:lang w:eastAsia="en-GB"/>
              </w:rPr>
              <w:t> </w:t>
            </w:r>
          </w:p>
        </w:tc>
        <w:tc>
          <w:tcPr>
            <w:tcW w:w="714" w:type="pct"/>
            <w:tcBorders>
              <w:top w:val="nil"/>
              <w:left w:val="nil"/>
              <w:bottom w:val="single" w:sz="4" w:space="0" w:color="auto"/>
              <w:right w:val="nil"/>
            </w:tcBorders>
          </w:tcPr>
          <w:p w14:paraId="7C9AF542" w14:textId="1DB6CCCE" w:rsidR="00527EA4" w:rsidRPr="00894FC4" w:rsidRDefault="00527EA4" w:rsidP="00F704D4">
            <w:pPr>
              <w:pStyle w:val="BluefieldBody"/>
              <w:jc w:val="right"/>
              <w:rPr>
                <w:b/>
                <w:sz w:val="19"/>
                <w:lang w:eastAsia="en-GB"/>
              </w:rPr>
            </w:pPr>
            <w:r w:rsidRPr="00894FC4">
              <w:rPr>
                <w:b/>
                <w:sz w:val="19"/>
                <w:lang w:eastAsia="en-GB"/>
              </w:rPr>
              <w:t>£</w:t>
            </w:r>
            <w:r w:rsidR="00655F1F">
              <w:rPr>
                <w:b/>
                <w:sz w:val="19"/>
                <w:lang w:eastAsia="en-GB"/>
              </w:rPr>
              <w:t>’000</w:t>
            </w:r>
          </w:p>
        </w:tc>
        <w:tc>
          <w:tcPr>
            <w:tcW w:w="562" w:type="pct"/>
            <w:tcBorders>
              <w:top w:val="nil"/>
              <w:left w:val="nil"/>
              <w:bottom w:val="single" w:sz="4" w:space="0" w:color="auto"/>
              <w:right w:val="nil"/>
            </w:tcBorders>
            <w:shd w:val="clear" w:color="auto" w:fill="auto"/>
            <w:noWrap/>
            <w:vAlign w:val="center"/>
          </w:tcPr>
          <w:p w14:paraId="5FBFEE3E" w14:textId="2350C57F" w:rsidR="00527EA4" w:rsidRPr="00894FC4" w:rsidRDefault="00527EA4" w:rsidP="00F704D4">
            <w:pPr>
              <w:pStyle w:val="BluefieldBody"/>
              <w:jc w:val="right"/>
              <w:rPr>
                <w:b/>
                <w:sz w:val="19"/>
                <w:lang w:eastAsia="en-GB"/>
              </w:rPr>
            </w:pPr>
            <w:r w:rsidRPr="00894FC4">
              <w:rPr>
                <w:b/>
                <w:sz w:val="19"/>
                <w:lang w:eastAsia="en-GB"/>
              </w:rPr>
              <w:t>£</w:t>
            </w:r>
            <w:r w:rsidR="00655F1F">
              <w:rPr>
                <w:b/>
                <w:sz w:val="19"/>
                <w:lang w:eastAsia="en-GB"/>
              </w:rPr>
              <w:t>’000</w:t>
            </w:r>
          </w:p>
        </w:tc>
        <w:tc>
          <w:tcPr>
            <w:tcW w:w="686" w:type="pct"/>
            <w:tcBorders>
              <w:top w:val="nil"/>
              <w:left w:val="nil"/>
              <w:bottom w:val="single" w:sz="4" w:space="0" w:color="auto"/>
              <w:right w:val="nil"/>
            </w:tcBorders>
            <w:shd w:val="clear" w:color="auto" w:fill="auto"/>
            <w:noWrap/>
            <w:vAlign w:val="center"/>
          </w:tcPr>
          <w:p w14:paraId="6123B7BC" w14:textId="029ECAAD" w:rsidR="00527EA4" w:rsidRPr="00894FC4" w:rsidRDefault="00527EA4" w:rsidP="00F704D4">
            <w:pPr>
              <w:pStyle w:val="BluefieldBody"/>
              <w:jc w:val="right"/>
              <w:rPr>
                <w:b/>
                <w:sz w:val="19"/>
                <w:lang w:eastAsia="en-GB"/>
              </w:rPr>
            </w:pPr>
            <w:r w:rsidRPr="00894FC4">
              <w:rPr>
                <w:b/>
                <w:sz w:val="19"/>
                <w:lang w:eastAsia="en-GB"/>
              </w:rPr>
              <w:t>£</w:t>
            </w:r>
            <w:r w:rsidR="00655F1F">
              <w:rPr>
                <w:b/>
                <w:sz w:val="19"/>
                <w:lang w:eastAsia="en-GB"/>
              </w:rPr>
              <w:t>’000</w:t>
            </w:r>
          </w:p>
        </w:tc>
        <w:tc>
          <w:tcPr>
            <w:tcW w:w="756" w:type="pct"/>
            <w:tcBorders>
              <w:top w:val="nil"/>
              <w:left w:val="nil"/>
              <w:bottom w:val="single" w:sz="4" w:space="0" w:color="auto"/>
              <w:right w:val="nil"/>
            </w:tcBorders>
            <w:shd w:val="clear" w:color="auto" w:fill="auto"/>
            <w:noWrap/>
            <w:vAlign w:val="center"/>
          </w:tcPr>
          <w:p w14:paraId="324C80C3" w14:textId="27FAA117" w:rsidR="00527EA4" w:rsidRPr="00894FC4" w:rsidRDefault="00527EA4" w:rsidP="00F704D4">
            <w:pPr>
              <w:pStyle w:val="BluefieldBody"/>
              <w:jc w:val="right"/>
              <w:rPr>
                <w:b/>
                <w:sz w:val="19"/>
                <w:lang w:eastAsia="en-GB"/>
              </w:rPr>
            </w:pPr>
            <w:r w:rsidRPr="00894FC4">
              <w:rPr>
                <w:b/>
                <w:sz w:val="19"/>
                <w:lang w:eastAsia="en-GB"/>
              </w:rPr>
              <w:t>£</w:t>
            </w:r>
            <w:r w:rsidR="00655F1F">
              <w:rPr>
                <w:b/>
                <w:sz w:val="19"/>
                <w:lang w:eastAsia="en-GB"/>
              </w:rPr>
              <w:t>’000</w:t>
            </w:r>
          </w:p>
        </w:tc>
      </w:tr>
      <w:tr w:rsidR="00031D43" w:rsidRPr="00894FC4" w14:paraId="289C2C64" w14:textId="77777777" w:rsidTr="00EF6D72">
        <w:trPr>
          <w:trHeight w:val="510"/>
        </w:trPr>
        <w:tc>
          <w:tcPr>
            <w:tcW w:w="1175" w:type="pct"/>
            <w:tcBorders>
              <w:top w:val="nil"/>
              <w:left w:val="nil"/>
              <w:bottom w:val="single" w:sz="4" w:space="0" w:color="auto"/>
              <w:right w:val="nil"/>
            </w:tcBorders>
            <w:shd w:val="clear" w:color="auto" w:fill="auto"/>
            <w:vAlign w:val="center"/>
          </w:tcPr>
          <w:p w14:paraId="2FF9B6E7" w14:textId="4B573591" w:rsidR="00FF7A0A" w:rsidRPr="00FF7A0A" w:rsidRDefault="00FF7A0A" w:rsidP="00FF7A0A">
            <w:pPr>
              <w:rPr>
                <w:rFonts w:ascii="Georgia" w:hAnsi="Georgia" w:cs="Arial"/>
                <w:b/>
                <w:bCs/>
                <w:color w:val="404040" w:themeColor="text1" w:themeTint="BF"/>
                <w:sz w:val="19"/>
                <w:szCs w:val="19"/>
                <w:lang w:eastAsia="en-GB"/>
              </w:rPr>
            </w:pPr>
            <w:r w:rsidRPr="00FF7A0A">
              <w:rPr>
                <w:rFonts w:ascii="Georgia" w:hAnsi="Georgia" w:cs="Arial"/>
                <w:b/>
                <w:bCs/>
                <w:color w:val="404040" w:themeColor="text1" w:themeTint="BF"/>
                <w:sz w:val="19"/>
                <w:szCs w:val="19"/>
                <w:lang w:eastAsia="en-GB"/>
              </w:rPr>
              <w:t xml:space="preserve">Shareholders' equity at </w:t>
            </w:r>
            <w:r w:rsidRPr="00FF7A0A">
              <w:rPr>
                <w:rFonts w:ascii="Georgia" w:hAnsi="Georgia" w:cs="Arial"/>
                <w:b/>
                <w:bCs/>
                <w:color w:val="404040" w:themeColor="text1" w:themeTint="BF"/>
                <w:sz w:val="19"/>
                <w:szCs w:val="19"/>
                <w:lang w:eastAsia="en-GB"/>
              </w:rPr>
              <w:br/>
              <w:t>1 July 2019</w:t>
            </w:r>
          </w:p>
        </w:tc>
        <w:tc>
          <w:tcPr>
            <w:tcW w:w="374" w:type="pct"/>
            <w:tcBorders>
              <w:top w:val="nil"/>
              <w:left w:val="nil"/>
              <w:bottom w:val="single" w:sz="4" w:space="0" w:color="auto"/>
              <w:right w:val="nil"/>
            </w:tcBorders>
            <w:shd w:val="clear" w:color="auto" w:fill="auto"/>
            <w:noWrap/>
            <w:vAlign w:val="bottom"/>
          </w:tcPr>
          <w:p w14:paraId="19EA8846" w14:textId="77777777" w:rsidR="00FF7A0A" w:rsidRPr="00FF7A0A" w:rsidRDefault="00FF7A0A" w:rsidP="00FF7A0A">
            <w:pPr>
              <w:rPr>
                <w:rFonts w:ascii="Georgia" w:hAnsi="Georgia" w:cs="Arial"/>
                <w:b/>
                <w:bCs/>
                <w:color w:val="404040" w:themeColor="text1" w:themeTint="BF"/>
                <w:sz w:val="19"/>
                <w:szCs w:val="19"/>
                <w:lang w:eastAsia="en-GB"/>
              </w:rPr>
            </w:pPr>
            <w:r w:rsidRPr="00FF7A0A">
              <w:rPr>
                <w:rFonts w:ascii="Georgia" w:hAnsi="Georgia" w:cs="Arial"/>
                <w:b/>
                <w:bCs/>
                <w:color w:val="404040" w:themeColor="text1" w:themeTint="BF"/>
                <w:sz w:val="19"/>
                <w:szCs w:val="19"/>
                <w:lang w:eastAsia="en-GB"/>
              </w:rPr>
              <w:t> </w:t>
            </w:r>
          </w:p>
        </w:tc>
        <w:tc>
          <w:tcPr>
            <w:tcW w:w="733" w:type="pct"/>
            <w:tcBorders>
              <w:top w:val="nil"/>
              <w:left w:val="nil"/>
              <w:bottom w:val="single" w:sz="4" w:space="0" w:color="auto"/>
              <w:right w:val="nil"/>
            </w:tcBorders>
            <w:shd w:val="clear" w:color="auto" w:fill="auto"/>
            <w:noWrap/>
            <w:vAlign w:val="center"/>
          </w:tcPr>
          <w:p w14:paraId="557A9C6D" w14:textId="28BDE6EC" w:rsidR="00FF7A0A" w:rsidRPr="0050064D" w:rsidRDefault="00FF7A0A" w:rsidP="00FF7A0A">
            <w:pPr>
              <w:jc w:val="right"/>
              <w:rPr>
                <w:rFonts w:ascii="Georgia" w:hAnsi="Georgia" w:cs="Arial"/>
                <w:b/>
                <w:bCs/>
                <w:color w:val="404040" w:themeColor="text1" w:themeTint="BF"/>
                <w:sz w:val="19"/>
                <w:szCs w:val="19"/>
                <w:highlight w:val="yellow"/>
                <w:lang w:eastAsia="en-GB"/>
              </w:rPr>
            </w:pPr>
            <w:r>
              <w:rPr>
                <w:rFonts w:ascii="Georgia" w:hAnsi="Georgia" w:cs="Arial"/>
                <w:b/>
                <w:bCs/>
                <w:color w:val="333333"/>
                <w:sz w:val="20"/>
                <w:szCs w:val="20"/>
              </w:rPr>
              <w:t>369,883,530</w:t>
            </w:r>
          </w:p>
        </w:tc>
        <w:tc>
          <w:tcPr>
            <w:tcW w:w="714" w:type="pct"/>
            <w:tcBorders>
              <w:top w:val="nil"/>
              <w:left w:val="nil"/>
              <w:bottom w:val="single" w:sz="4" w:space="0" w:color="auto"/>
              <w:right w:val="nil"/>
            </w:tcBorders>
            <w:vAlign w:val="center"/>
          </w:tcPr>
          <w:p w14:paraId="5BCFE7E0" w14:textId="5601DB71" w:rsidR="00FF7A0A" w:rsidRPr="0050064D" w:rsidRDefault="00CB00EF" w:rsidP="00FF7A0A">
            <w:pPr>
              <w:jc w:val="right"/>
              <w:rPr>
                <w:rFonts w:ascii="Georgia" w:hAnsi="Georgia" w:cs="Arial"/>
                <w:b/>
                <w:bCs/>
                <w:color w:val="404040"/>
                <w:sz w:val="20"/>
                <w:szCs w:val="20"/>
                <w:highlight w:val="yellow"/>
              </w:rPr>
            </w:pPr>
            <w:r>
              <w:rPr>
                <w:rFonts w:ascii="Georgia" w:hAnsi="Georgia" w:cs="Arial"/>
                <w:b/>
                <w:bCs/>
                <w:color w:val="333333"/>
                <w:sz w:val="20"/>
                <w:szCs w:val="20"/>
              </w:rPr>
              <w:t>368,013</w:t>
            </w:r>
          </w:p>
        </w:tc>
        <w:tc>
          <w:tcPr>
            <w:tcW w:w="562" w:type="pct"/>
            <w:tcBorders>
              <w:top w:val="nil"/>
              <w:left w:val="nil"/>
              <w:bottom w:val="single" w:sz="4" w:space="0" w:color="auto"/>
              <w:right w:val="nil"/>
            </w:tcBorders>
            <w:shd w:val="clear" w:color="auto" w:fill="auto"/>
            <w:noWrap/>
            <w:vAlign w:val="center"/>
          </w:tcPr>
          <w:p w14:paraId="51FF53E4" w14:textId="22AED8B0" w:rsidR="00FF7A0A" w:rsidRPr="0050064D" w:rsidRDefault="00FF7A0A" w:rsidP="00FF7A0A">
            <w:pPr>
              <w:jc w:val="right"/>
              <w:rPr>
                <w:rFonts w:ascii="Georgia" w:hAnsi="Georgia" w:cs="Arial"/>
                <w:b/>
                <w:bCs/>
                <w:color w:val="404040" w:themeColor="text1" w:themeTint="BF"/>
                <w:sz w:val="19"/>
                <w:szCs w:val="19"/>
                <w:highlight w:val="yellow"/>
                <w:lang w:eastAsia="en-GB"/>
              </w:rPr>
            </w:pPr>
            <w:r w:rsidRPr="00CC7317">
              <w:rPr>
                <w:rFonts w:ascii="Georgia" w:hAnsi="Georgia"/>
                <w:b/>
                <w:color w:val="404040"/>
                <w:sz w:val="20"/>
              </w:rPr>
              <w:t>699</w:t>
            </w:r>
          </w:p>
        </w:tc>
        <w:tc>
          <w:tcPr>
            <w:tcW w:w="686" w:type="pct"/>
            <w:tcBorders>
              <w:top w:val="nil"/>
              <w:left w:val="nil"/>
              <w:bottom w:val="single" w:sz="4" w:space="0" w:color="auto"/>
              <w:right w:val="nil"/>
            </w:tcBorders>
            <w:shd w:val="clear" w:color="auto" w:fill="auto"/>
            <w:noWrap/>
            <w:vAlign w:val="center"/>
          </w:tcPr>
          <w:p w14:paraId="4B4231A9" w14:textId="49CF0EAA" w:rsidR="00FF7A0A" w:rsidRPr="0050064D" w:rsidRDefault="00FF7A0A" w:rsidP="00CB00EF">
            <w:pPr>
              <w:jc w:val="right"/>
              <w:rPr>
                <w:rFonts w:ascii="Georgia" w:hAnsi="Georgia" w:cs="Arial"/>
                <w:b/>
                <w:bCs/>
                <w:color w:val="404040" w:themeColor="text1" w:themeTint="BF"/>
                <w:sz w:val="19"/>
                <w:szCs w:val="19"/>
                <w:highlight w:val="yellow"/>
                <w:lang w:eastAsia="en-GB"/>
              </w:rPr>
            </w:pPr>
            <w:r w:rsidRPr="00CC7317">
              <w:rPr>
                <w:rFonts w:ascii="Georgia" w:hAnsi="Georgia" w:cs="Arial"/>
                <w:b/>
                <w:bCs/>
                <w:color w:val="333333"/>
                <w:sz w:val="20"/>
                <w:szCs w:val="20"/>
              </w:rPr>
              <w:t>67,68</w:t>
            </w:r>
            <w:r w:rsidR="00CB00EF">
              <w:rPr>
                <w:rFonts w:ascii="Georgia" w:hAnsi="Georgia" w:cs="Arial"/>
                <w:b/>
                <w:bCs/>
                <w:color w:val="333333"/>
                <w:sz w:val="20"/>
                <w:szCs w:val="20"/>
              </w:rPr>
              <w:t>4</w:t>
            </w:r>
          </w:p>
        </w:tc>
        <w:tc>
          <w:tcPr>
            <w:tcW w:w="756" w:type="pct"/>
            <w:tcBorders>
              <w:top w:val="nil"/>
              <w:left w:val="nil"/>
              <w:bottom w:val="single" w:sz="4" w:space="0" w:color="auto"/>
              <w:right w:val="nil"/>
            </w:tcBorders>
            <w:shd w:val="clear" w:color="auto" w:fill="auto"/>
            <w:noWrap/>
            <w:vAlign w:val="center"/>
          </w:tcPr>
          <w:p w14:paraId="45780672" w14:textId="1BD3A461" w:rsidR="00FF7A0A" w:rsidRPr="0050064D" w:rsidRDefault="00FF7A0A" w:rsidP="00FF7A0A">
            <w:pPr>
              <w:jc w:val="right"/>
              <w:rPr>
                <w:rFonts w:ascii="Georgia" w:hAnsi="Georgia" w:cs="Arial"/>
                <w:b/>
                <w:bCs/>
                <w:color w:val="404040" w:themeColor="text1" w:themeTint="BF"/>
                <w:sz w:val="19"/>
                <w:szCs w:val="19"/>
                <w:highlight w:val="yellow"/>
                <w:lang w:eastAsia="en-GB"/>
              </w:rPr>
            </w:pPr>
            <w:r w:rsidRPr="00CC7317">
              <w:rPr>
                <w:rFonts w:ascii="Georgia" w:hAnsi="Georgia" w:cs="Arial"/>
                <w:b/>
                <w:bCs/>
                <w:color w:val="333333"/>
                <w:sz w:val="20"/>
                <w:szCs w:val="20"/>
              </w:rPr>
              <w:t>436,396</w:t>
            </w:r>
          </w:p>
        </w:tc>
      </w:tr>
      <w:tr w:rsidR="00527EA4" w:rsidRPr="00894FC4" w14:paraId="74CE5576" w14:textId="77777777" w:rsidTr="00EF6D72">
        <w:trPr>
          <w:trHeight w:val="255"/>
        </w:trPr>
        <w:tc>
          <w:tcPr>
            <w:tcW w:w="1175" w:type="pct"/>
            <w:tcBorders>
              <w:top w:val="nil"/>
              <w:left w:val="nil"/>
              <w:bottom w:val="nil"/>
              <w:right w:val="nil"/>
            </w:tcBorders>
            <w:shd w:val="clear" w:color="auto" w:fill="auto"/>
            <w:noWrap/>
            <w:vAlign w:val="bottom"/>
          </w:tcPr>
          <w:p w14:paraId="0A5FBE2A" w14:textId="77777777" w:rsidR="00527EA4" w:rsidRPr="0050064D" w:rsidRDefault="00527EA4" w:rsidP="00F704D4">
            <w:pPr>
              <w:rPr>
                <w:rFonts w:ascii="Georgia" w:hAnsi="Georgia" w:cs="Arial"/>
                <w:b/>
                <w:bCs/>
                <w:color w:val="404040" w:themeColor="text1" w:themeTint="BF"/>
                <w:sz w:val="19"/>
                <w:szCs w:val="19"/>
                <w:highlight w:val="yellow"/>
                <w:lang w:eastAsia="en-GB"/>
              </w:rPr>
            </w:pPr>
          </w:p>
        </w:tc>
        <w:tc>
          <w:tcPr>
            <w:tcW w:w="374" w:type="pct"/>
            <w:tcBorders>
              <w:top w:val="nil"/>
              <w:left w:val="nil"/>
              <w:bottom w:val="nil"/>
              <w:right w:val="nil"/>
            </w:tcBorders>
            <w:shd w:val="clear" w:color="auto" w:fill="auto"/>
            <w:noWrap/>
            <w:vAlign w:val="bottom"/>
          </w:tcPr>
          <w:p w14:paraId="160F0FD3" w14:textId="77777777" w:rsidR="00527EA4" w:rsidRPr="0050064D" w:rsidRDefault="00527EA4" w:rsidP="00F704D4">
            <w:pPr>
              <w:rPr>
                <w:rFonts w:ascii="Georgia" w:hAnsi="Georgia" w:cs="Arial"/>
                <w:b/>
                <w:bCs/>
                <w:color w:val="404040" w:themeColor="text1" w:themeTint="BF"/>
                <w:sz w:val="19"/>
                <w:szCs w:val="19"/>
                <w:highlight w:val="yellow"/>
                <w:lang w:eastAsia="en-GB"/>
              </w:rPr>
            </w:pPr>
          </w:p>
        </w:tc>
        <w:tc>
          <w:tcPr>
            <w:tcW w:w="733" w:type="pct"/>
            <w:tcBorders>
              <w:top w:val="nil"/>
              <w:left w:val="nil"/>
              <w:bottom w:val="nil"/>
              <w:right w:val="nil"/>
            </w:tcBorders>
            <w:shd w:val="clear" w:color="auto" w:fill="auto"/>
            <w:noWrap/>
            <w:vAlign w:val="center"/>
          </w:tcPr>
          <w:p w14:paraId="5ADEDED4" w14:textId="77777777" w:rsidR="00527EA4" w:rsidRPr="0050064D" w:rsidRDefault="00527EA4" w:rsidP="00F704D4">
            <w:pPr>
              <w:jc w:val="right"/>
              <w:rPr>
                <w:rFonts w:ascii="Georgia" w:hAnsi="Georgia" w:cs="Arial"/>
                <w:b/>
                <w:bCs/>
                <w:color w:val="404040" w:themeColor="text1" w:themeTint="BF"/>
                <w:sz w:val="19"/>
                <w:szCs w:val="19"/>
                <w:highlight w:val="yellow"/>
                <w:lang w:eastAsia="en-GB"/>
              </w:rPr>
            </w:pPr>
          </w:p>
        </w:tc>
        <w:tc>
          <w:tcPr>
            <w:tcW w:w="714" w:type="pct"/>
            <w:tcBorders>
              <w:top w:val="nil"/>
              <w:left w:val="nil"/>
              <w:bottom w:val="nil"/>
              <w:right w:val="nil"/>
            </w:tcBorders>
          </w:tcPr>
          <w:p w14:paraId="3317484D"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c>
          <w:tcPr>
            <w:tcW w:w="562" w:type="pct"/>
            <w:tcBorders>
              <w:top w:val="nil"/>
              <w:left w:val="nil"/>
              <w:bottom w:val="nil"/>
              <w:right w:val="nil"/>
            </w:tcBorders>
            <w:shd w:val="clear" w:color="auto" w:fill="auto"/>
            <w:noWrap/>
            <w:vAlign w:val="center"/>
          </w:tcPr>
          <w:p w14:paraId="1F3D9149"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c>
          <w:tcPr>
            <w:tcW w:w="686" w:type="pct"/>
            <w:tcBorders>
              <w:top w:val="nil"/>
              <w:left w:val="nil"/>
              <w:bottom w:val="nil"/>
              <w:right w:val="nil"/>
            </w:tcBorders>
            <w:shd w:val="clear" w:color="auto" w:fill="auto"/>
            <w:noWrap/>
            <w:vAlign w:val="center"/>
          </w:tcPr>
          <w:p w14:paraId="17FB52CC"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c>
          <w:tcPr>
            <w:tcW w:w="756" w:type="pct"/>
            <w:tcBorders>
              <w:top w:val="nil"/>
              <w:left w:val="nil"/>
              <w:bottom w:val="nil"/>
              <w:right w:val="nil"/>
            </w:tcBorders>
            <w:shd w:val="clear" w:color="auto" w:fill="auto"/>
            <w:noWrap/>
            <w:vAlign w:val="center"/>
          </w:tcPr>
          <w:p w14:paraId="1FA41535"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r>
      <w:tr w:rsidR="00527EA4" w:rsidRPr="00894FC4" w14:paraId="5B13974F" w14:textId="77777777" w:rsidTr="00EF6D72">
        <w:trPr>
          <w:trHeight w:val="255"/>
        </w:trPr>
        <w:tc>
          <w:tcPr>
            <w:tcW w:w="1175" w:type="pct"/>
            <w:tcBorders>
              <w:top w:val="nil"/>
              <w:left w:val="nil"/>
              <w:bottom w:val="nil"/>
              <w:right w:val="nil"/>
            </w:tcBorders>
            <w:shd w:val="clear" w:color="auto" w:fill="auto"/>
            <w:noWrap/>
            <w:vAlign w:val="center"/>
          </w:tcPr>
          <w:p w14:paraId="2AB18D73" w14:textId="77777777" w:rsidR="00527EA4" w:rsidRPr="00894C8D" w:rsidRDefault="00527EA4" w:rsidP="00F704D4">
            <w:pPr>
              <w:rPr>
                <w:rFonts w:ascii="Georgia" w:hAnsi="Georgia" w:cs="Arial"/>
                <w:color w:val="404040" w:themeColor="text1" w:themeTint="BF"/>
                <w:sz w:val="19"/>
                <w:szCs w:val="19"/>
                <w:lang w:eastAsia="en-GB"/>
              </w:rPr>
            </w:pPr>
            <w:r w:rsidRPr="00894C8D">
              <w:rPr>
                <w:rFonts w:ascii="Georgia" w:hAnsi="Georgia" w:cs="Arial"/>
                <w:color w:val="404040" w:themeColor="text1" w:themeTint="BF"/>
                <w:sz w:val="19"/>
                <w:szCs w:val="19"/>
                <w:lang w:eastAsia="en-GB"/>
              </w:rPr>
              <w:t>Shares issued during the period:</w:t>
            </w:r>
          </w:p>
        </w:tc>
        <w:tc>
          <w:tcPr>
            <w:tcW w:w="374" w:type="pct"/>
            <w:tcBorders>
              <w:top w:val="nil"/>
              <w:left w:val="nil"/>
              <w:bottom w:val="nil"/>
              <w:right w:val="nil"/>
            </w:tcBorders>
            <w:shd w:val="clear" w:color="auto" w:fill="auto"/>
            <w:noWrap/>
            <w:vAlign w:val="center"/>
          </w:tcPr>
          <w:p w14:paraId="788C38BC" w14:textId="77777777" w:rsidR="00527EA4" w:rsidRPr="00894C8D" w:rsidRDefault="00527EA4" w:rsidP="00F704D4">
            <w:pPr>
              <w:jc w:val="center"/>
              <w:rPr>
                <w:rFonts w:ascii="Calibri" w:hAnsi="Calibri" w:cs="Arial"/>
                <w:color w:val="404040" w:themeColor="text1" w:themeTint="BF"/>
                <w:sz w:val="19"/>
                <w:szCs w:val="19"/>
                <w:lang w:eastAsia="en-GB"/>
              </w:rPr>
            </w:pPr>
          </w:p>
        </w:tc>
        <w:tc>
          <w:tcPr>
            <w:tcW w:w="733" w:type="pct"/>
            <w:tcBorders>
              <w:top w:val="nil"/>
              <w:left w:val="nil"/>
              <w:bottom w:val="nil"/>
              <w:right w:val="nil"/>
            </w:tcBorders>
            <w:shd w:val="clear" w:color="auto" w:fill="auto"/>
            <w:noWrap/>
            <w:vAlign w:val="center"/>
          </w:tcPr>
          <w:p w14:paraId="36697AD6" w14:textId="77777777" w:rsidR="00527EA4" w:rsidRPr="00894C8D" w:rsidRDefault="00527EA4" w:rsidP="00F704D4">
            <w:pPr>
              <w:jc w:val="right"/>
              <w:rPr>
                <w:rFonts w:ascii="Georgia" w:hAnsi="Georgia" w:cs="Arial"/>
                <w:color w:val="404040" w:themeColor="text1" w:themeTint="BF"/>
                <w:sz w:val="19"/>
                <w:szCs w:val="19"/>
                <w:lang w:eastAsia="en-GB"/>
              </w:rPr>
            </w:pPr>
          </w:p>
        </w:tc>
        <w:tc>
          <w:tcPr>
            <w:tcW w:w="714" w:type="pct"/>
            <w:tcBorders>
              <w:top w:val="nil"/>
              <w:left w:val="nil"/>
              <w:bottom w:val="nil"/>
              <w:right w:val="nil"/>
            </w:tcBorders>
          </w:tcPr>
          <w:p w14:paraId="079A2502"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c>
          <w:tcPr>
            <w:tcW w:w="562" w:type="pct"/>
            <w:tcBorders>
              <w:top w:val="nil"/>
              <w:left w:val="nil"/>
              <w:bottom w:val="nil"/>
              <w:right w:val="nil"/>
            </w:tcBorders>
            <w:shd w:val="clear" w:color="auto" w:fill="auto"/>
            <w:noWrap/>
            <w:vAlign w:val="center"/>
          </w:tcPr>
          <w:p w14:paraId="3F8A7938"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c>
          <w:tcPr>
            <w:tcW w:w="686" w:type="pct"/>
            <w:tcBorders>
              <w:top w:val="nil"/>
              <w:left w:val="nil"/>
              <w:bottom w:val="nil"/>
              <w:right w:val="nil"/>
            </w:tcBorders>
            <w:shd w:val="clear" w:color="auto" w:fill="auto"/>
            <w:noWrap/>
            <w:vAlign w:val="center"/>
          </w:tcPr>
          <w:p w14:paraId="3E593BBA"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c>
          <w:tcPr>
            <w:tcW w:w="756" w:type="pct"/>
            <w:tcBorders>
              <w:top w:val="nil"/>
              <w:left w:val="nil"/>
              <w:bottom w:val="nil"/>
              <w:right w:val="nil"/>
            </w:tcBorders>
            <w:shd w:val="clear" w:color="auto" w:fill="auto"/>
            <w:noWrap/>
            <w:vAlign w:val="center"/>
          </w:tcPr>
          <w:p w14:paraId="00551502" w14:textId="77777777" w:rsidR="00527EA4" w:rsidRPr="0050064D" w:rsidRDefault="00527EA4" w:rsidP="00F704D4">
            <w:pPr>
              <w:jc w:val="right"/>
              <w:rPr>
                <w:rFonts w:ascii="Georgia" w:hAnsi="Georgia" w:cs="Arial"/>
                <w:color w:val="404040" w:themeColor="text1" w:themeTint="BF"/>
                <w:sz w:val="19"/>
                <w:szCs w:val="19"/>
                <w:highlight w:val="yellow"/>
                <w:lang w:eastAsia="en-GB"/>
              </w:rPr>
            </w:pPr>
          </w:p>
        </w:tc>
      </w:tr>
      <w:tr w:rsidR="00527EA4" w:rsidRPr="00894FC4" w14:paraId="5C24BD79" w14:textId="77777777" w:rsidTr="00EF6D72">
        <w:trPr>
          <w:trHeight w:val="255"/>
        </w:trPr>
        <w:tc>
          <w:tcPr>
            <w:tcW w:w="1175" w:type="pct"/>
            <w:tcBorders>
              <w:top w:val="nil"/>
              <w:left w:val="nil"/>
              <w:bottom w:val="nil"/>
              <w:right w:val="nil"/>
            </w:tcBorders>
            <w:shd w:val="clear" w:color="auto" w:fill="auto"/>
            <w:noWrap/>
            <w:vAlign w:val="center"/>
          </w:tcPr>
          <w:p w14:paraId="19A0AAA3" w14:textId="060AD075" w:rsidR="00527EA4" w:rsidRPr="00894C8D" w:rsidRDefault="00527EA4" w:rsidP="00894C8D">
            <w:pPr>
              <w:rPr>
                <w:rFonts w:ascii="Georgia" w:hAnsi="Georgia" w:cs="Arial"/>
                <w:color w:val="404040" w:themeColor="text1" w:themeTint="BF"/>
                <w:sz w:val="19"/>
                <w:szCs w:val="19"/>
                <w:lang w:eastAsia="en-GB"/>
              </w:rPr>
            </w:pPr>
            <w:r w:rsidRPr="00894C8D">
              <w:rPr>
                <w:rFonts w:ascii="Georgia" w:hAnsi="Georgia" w:cs="Arial"/>
                <w:color w:val="404040" w:themeColor="text1" w:themeTint="BF"/>
                <w:sz w:val="19"/>
                <w:szCs w:val="19"/>
                <w:lang w:eastAsia="en-GB"/>
              </w:rPr>
              <w:t>Ordinary Shares issued in settlement of variable fee</w:t>
            </w:r>
          </w:p>
        </w:tc>
        <w:tc>
          <w:tcPr>
            <w:tcW w:w="374" w:type="pct"/>
            <w:tcBorders>
              <w:top w:val="nil"/>
              <w:left w:val="nil"/>
              <w:bottom w:val="nil"/>
              <w:right w:val="nil"/>
            </w:tcBorders>
            <w:shd w:val="clear" w:color="auto" w:fill="auto"/>
            <w:noWrap/>
            <w:vAlign w:val="center"/>
          </w:tcPr>
          <w:p w14:paraId="43BEF785" w14:textId="60AD4CA8" w:rsidR="00527EA4" w:rsidRPr="00894C8D" w:rsidRDefault="00527EA4" w:rsidP="00F704D4">
            <w:pPr>
              <w:jc w:val="center"/>
              <w:rPr>
                <w:rFonts w:ascii="Georgia" w:hAnsi="Georgia" w:cs="Arial"/>
                <w:b/>
                <w:bCs/>
                <w:color w:val="404040" w:themeColor="text1" w:themeTint="BF"/>
                <w:sz w:val="19"/>
                <w:szCs w:val="19"/>
                <w:lang w:eastAsia="en-GB"/>
              </w:rPr>
            </w:pPr>
            <w:r w:rsidRPr="00894C8D">
              <w:rPr>
                <w:rFonts w:ascii="Georgia" w:hAnsi="Georgia" w:cs="Arial"/>
                <w:b/>
                <w:bCs/>
                <w:color w:val="404040" w:themeColor="text1" w:themeTint="BF"/>
                <w:sz w:val="19"/>
                <w:szCs w:val="19"/>
                <w:lang w:eastAsia="en-GB"/>
              </w:rPr>
              <w:t>16</w:t>
            </w:r>
          </w:p>
        </w:tc>
        <w:tc>
          <w:tcPr>
            <w:tcW w:w="733" w:type="pct"/>
            <w:tcBorders>
              <w:top w:val="nil"/>
              <w:left w:val="nil"/>
              <w:bottom w:val="nil"/>
              <w:right w:val="nil"/>
            </w:tcBorders>
            <w:shd w:val="clear" w:color="auto" w:fill="auto"/>
            <w:noWrap/>
            <w:vAlign w:val="center"/>
          </w:tcPr>
          <w:p w14:paraId="102A8E06" w14:textId="28D9399E" w:rsidR="00527EA4" w:rsidRPr="00894C8D" w:rsidRDefault="00894C8D" w:rsidP="00F704D4">
            <w:pPr>
              <w:jc w:val="right"/>
              <w:rPr>
                <w:rFonts w:ascii="Georgia" w:hAnsi="Georgia"/>
                <w:color w:val="404040"/>
                <w:sz w:val="20"/>
              </w:rPr>
            </w:pPr>
            <w:r w:rsidRPr="00894C8D">
              <w:rPr>
                <w:rFonts w:ascii="Georgia" w:hAnsi="Georgia" w:cs="Arial"/>
                <w:color w:val="333333"/>
                <w:sz w:val="20"/>
                <w:szCs w:val="20"/>
              </w:rPr>
              <w:t>616,092</w:t>
            </w:r>
          </w:p>
        </w:tc>
        <w:tc>
          <w:tcPr>
            <w:tcW w:w="714" w:type="pct"/>
            <w:tcBorders>
              <w:top w:val="nil"/>
              <w:left w:val="nil"/>
              <w:bottom w:val="nil"/>
              <w:right w:val="nil"/>
            </w:tcBorders>
            <w:vAlign w:val="center"/>
          </w:tcPr>
          <w:p w14:paraId="4B973473" w14:textId="364700A2" w:rsidR="00527EA4" w:rsidRPr="00894C8D" w:rsidRDefault="00894C8D" w:rsidP="00894C8D">
            <w:pPr>
              <w:jc w:val="right"/>
              <w:rPr>
                <w:rFonts w:ascii="Georgia" w:hAnsi="Georgia" w:cs="Arial"/>
                <w:color w:val="404040"/>
                <w:sz w:val="20"/>
                <w:szCs w:val="20"/>
              </w:rPr>
            </w:pPr>
            <w:r w:rsidRPr="00894C8D">
              <w:rPr>
                <w:rFonts w:ascii="Georgia" w:hAnsi="Georgia" w:cs="Arial"/>
                <w:color w:val="404040"/>
                <w:sz w:val="20"/>
                <w:szCs w:val="20"/>
              </w:rPr>
              <w:t>699</w:t>
            </w:r>
          </w:p>
        </w:tc>
        <w:tc>
          <w:tcPr>
            <w:tcW w:w="562" w:type="pct"/>
            <w:tcBorders>
              <w:top w:val="nil"/>
              <w:left w:val="nil"/>
              <w:bottom w:val="nil"/>
              <w:right w:val="nil"/>
            </w:tcBorders>
            <w:shd w:val="clear" w:color="auto" w:fill="auto"/>
            <w:noWrap/>
            <w:vAlign w:val="center"/>
          </w:tcPr>
          <w:p w14:paraId="02C4096E" w14:textId="70C88CCF" w:rsidR="00527EA4" w:rsidRPr="00894C8D" w:rsidRDefault="00894C8D" w:rsidP="00894C8D">
            <w:pPr>
              <w:jc w:val="right"/>
              <w:rPr>
                <w:rFonts w:ascii="Georgia" w:hAnsi="Georgia" w:cs="Arial"/>
                <w:color w:val="404040"/>
                <w:sz w:val="20"/>
                <w:szCs w:val="20"/>
              </w:rPr>
            </w:pPr>
            <w:r w:rsidRPr="00894C8D">
              <w:rPr>
                <w:rFonts w:ascii="Georgia" w:hAnsi="Georgia" w:cs="Arial"/>
                <w:color w:val="404040"/>
                <w:sz w:val="20"/>
                <w:szCs w:val="20"/>
              </w:rPr>
              <w:t>(</w:t>
            </w:r>
            <w:r w:rsidR="00655F1F" w:rsidRPr="00894C8D">
              <w:rPr>
                <w:rFonts w:ascii="Georgia" w:hAnsi="Georgia" w:cs="Arial"/>
                <w:color w:val="404040"/>
                <w:sz w:val="20"/>
                <w:szCs w:val="20"/>
              </w:rPr>
              <w:t>699</w:t>
            </w:r>
            <w:r w:rsidRPr="00894C8D">
              <w:rPr>
                <w:rFonts w:ascii="Georgia" w:hAnsi="Georgia" w:cs="Arial"/>
                <w:color w:val="404040"/>
                <w:sz w:val="20"/>
                <w:szCs w:val="20"/>
              </w:rPr>
              <w:t>)</w:t>
            </w:r>
          </w:p>
        </w:tc>
        <w:tc>
          <w:tcPr>
            <w:tcW w:w="686" w:type="pct"/>
            <w:tcBorders>
              <w:top w:val="nil"/>
              <w:left w:val="nil"/>
              <w:bottom w:val="nil"/>
              <w:right w:val="nil"/>
            </w:tcBorders>
            <w:shd w:val="clear" w:color="auto" w:fill="auto"/>
            <w:noWrap/>
            <w:vAlign w:val="center"/>
          </w:tcPr>
          <w:p w14:paraId="35AA78C9" w14:textId="77777777" w:rsidR="00527EA4" w:rsidRPr="00894C8D" w:rsidRDefault="00527EA4" w:rsidP="00F704D4">
            <w:pPr>
              <w:jc w:val="right"/>
              <w:rPr>
                <w:rFonts w:ascii="Georgia" w:hAnsi="Georgia"/>
                <w:color w:val="404040"/>
                <w:sz w:val="20"/>
              </w:rPr>
            </w:pPr>
            <w:r w:rsidRPr="00894C8D">
              <w:rPr>
                <w:rFonts w:ascii="Georgia" w:hAnsi="Georgia"/>
                <w:color w:val="404040"/>
                <w:sz w:val="20"/>
              </w:rPr>
              <w:t>-</w:t>
            </w:r>
          </w:p>
        </w:tc>
        <w:tc>
          <w:tcPr>
            <w:tcW w:w="756" w:type="pct"/>
            <w:tcBorders>
              <w:top w:val="nil"/>
              <w:left w:val="nil"/>
              <w:bottom w:val="nil"/>
              <w:right w:val="nil"/>
            </w:tcBorders>
            <w:shd w:val="clear" w:color="auto" w:fill="auto"/>
            <w:noWrap/>
            <w:vAlign w:val="center"/>
          </w:tcPr>
          <w:p w14:paraId="67E876DC" w14:textId="2EFE8F74" w:rsidR="00527EA4" w:rsidRPr="00894C8D" w:rsidRDefault="00894C8D" w:rsidP="00655F1F">
            <w:pPr>
              <w:jc w:val="right"/>
              <w:rPr>
                <w:rFonts w:ascii="Georgia" w:hAnsi="Georgia" w:cs="Arial"/>
                <w:color w:val="404040"/>
                <w:sz w:val="20"/>
                <w:szCs w:val="20"/>
              </w:rPr>
            </w:pPr>
            <w:r w:rsidRPr="00894C8D">
              <w:rPr>
                <w:rFonts w:ascii="Georgia" w:hAnsi="Georgia" w:cs="Arial"/>
                <w:color w:val="404040"/>
                <w:sz w:val="20"/>
                <w:szCs w:val="20"/>
              </w:rPr>
              <w:t>-</w:t>
            </w:r>
          </w:p>
        </w:tc>
      </w:tr>
      <w:tr w:rsidR="00894C8D" w:rsidRPr="009C7A45" w14:paraId="65E384F4" w14:textId="77777777" w:rsidTr="00EF6D72">
        <w:trPr>
          <w:trHeight w:val="255"/>
        </w:trPr>
        <w:tc>
          <w:tcPr>
            <w:tcW w:w="1175" w:type="pct"/>
            <w:tcBorders>
              <w:top w:val="nil"/>
              <w:left w:val="nil"/>
              <w:bottom w:val="nil"/>
              <w:right w:val="nil"/>
            </w:tcBorders>
            <w:shd w:val="clear" w:color="auto" w:fill="auto"/>
            <w:noWrap/>
            <w:vAlign w:val="center"/>
          </w:tcPr>
          <w:p w14:paraId="0885A5D9" w14:textId="77777777" w:rsidR="00894C8D" w:rsidRPr="00894C8D" w:rsidRDefault="00894C8D" w:rsidP="00894C8D">
            <w:pPr>
              <w:rPr>
                <w:rFonts w:ascii="Georgia" w:hAnsi="Georgia" w:cs="Arial"/>
                <w:color w:val="404040" w:themeColor="text1" w:themeTint="BF"/>
                <w:sz w:val="19"/>
                <w:szCs w:val="19"/>
                <w:lang w:eastAsia="en-GB"/>
              </w:rPr>
            </w:pPr>
            <w:r w:rsidRPr="00894C8D">
              <w:rPr>
                <w:rFonts w:ascii="Georgia" w:hAnsi="Georgia" w:cs="Arial"/>
                <w:color w:val="404040" w:themeColor="text1" w:themeTint="BF"/>
                <w:sz w:val="19"/>
                <w:szCs w:val="19"/>
                <w:lang w:eastAsia="en-GB"/>
              </w:rPr>
              <w:t>Dividends paid</w:t>
            </w:r>
          </w:p>
        </w:tc>
        <w:tc>
          <w:tcPr>
            <w:tcW w:w="374" w:type="pct"/>
            <w:tcBorders>
              <w:top w:val="nil"/>
              <w:left w:val="nil"/>
              <w:bottom w:val="nil"/>
              <w:right w:val="nil"/>
            </w:tcBorders>
            <w:shd w:val="clear" w:color="auto" w:fill="auto"/>
            <w:noWrap/>
            <w:vAlign w:val="center"/>
          </w:tcPr>
          <w:p w14:paraId="0A3835F9" w14:textId="77777777" w:rsidR="00894C8D" w:rsidRPr="00894C8D" w:rsidRDefault="00894C8D" w:rsidP="00894C8D">
            <w:pPr>
              <w:jc w:val="center"/>
              <w:rPr>
                <w:rFonts w:ascii="Georgia" w:hAnsi="Georgia" w:cs="Arial"/>
                <w:b/>
                <w:bCs/>
                <w:color w:val="404040" w:themeColor="text1" w:themeTint="BF"/>
                <w:sz w:val="19"/>
                <w:szCs w:val="19"/>
                <w:lang w:eastAsia="en-GB"/>
              </w:rPr>
            </w:pPr>
            <w:r w:rsidRPr="00894C8D">
              <w:rPr>
                <w:rFonts w:ascii="Georgia" w:hAnsi="Georgia" w:cs="Arial"/>
                <w:b/>
                <w:bCs/>
                <w:color w:val="404040" w:themeColor="text1" w:themeTint="BF"/>
                <w:sz w:val="19"/>
                <w:szCs w:val="19"/>
                <w:lang w:eastAsia="en-GB"/>
              </w:rPr>
              <w:t>13,14</w:t>
            </w:r>
          </w:p>
        </w:tc>
        <w:tc>
          <w:tcPr>
            <w:tcW w:w="733" w:type="pct"/>
            <w:tcBorders>
              <w:top w:val="nil"/>
              <w:left w:val="nil"/>
              <w:bottom w:val="nil"/>
              <w:right w:val="nil"/>
            </w:tcBorders>
            <w:shd w:val="clear" w:color="auto" w:fill="auto"/>
            <w:noWrap/>
            <w:vAlign w:val="center"/>
          </w:tcPr>
          <w:p w14:paraId="297B5784" w14:textId="77777777" w:rsidR="00894C8D" w:rsidRPr="00894C8D" w:rsidRDefault="00894C8D" w:rsidP="00894C8D">
            <w:pPr>
              <w:jc w:val="right"/>
              <w:rPr>
                <w:rFonts w:ascii="Georgia" w:hAnsi="Georgia"/>
                <w:color w:val="404040"/>
                <w:sz w:val="20"/>
              </w:rPr>
            </w:pPr>
            <w:r w:rsidRPr="00894C8D">
              <w:rPr>
                <w:rFonts w:ascii="Georgia" w:hAnsi="Georgia"/>
                <w:color w:val="404040"/>
                <w:sz w:val="20"/>
              </w:rPr>
              <w:t>-</w:t>
            </w:r>
          </w:p>
        </w:tc>
        <w:tc>
          <w:tcPr>
            <w:tcW w:w="714" w:type="pct"/>
            <w:tcBorders>
              <w:top w:val="nil"/>
              <w:left w:val="nil"/>
              <w:bottom w:val="nil"/>
              <w:right w:val="nil"/>
            </w:tcBorders>
            <w:vAlign w:val="center"/>
          </w:tcPr>
          <w:p w14:paraId="7BD9366B" w14:textId="77777777" w:rsidR="00894C8D" w:rsidRPr="00894C8D" w:rsidRDefault="00894C8D" w:rsidP="00894C8D">
            <w:pPr>
              <w:jc w:val="right"/>
              <w:rPr>
                <w:rFonts w:ascii="Georgia" w:hAnsi="Georgia" w:cs="Arial"/>
                <w:color w:val="404040"/>
                <w:sz w:val="20"/>
                <w:szCs w:val="20"/>
              </w:rPr>
            </w:pPr>
            <w:r w:rsidRPr="00894C8D">
              <w:rPr>
                <w:rFonts w:ascii="Georgia" w:hAnsi="Georgia" w:cs="Arial"/>
                <w:color w:val="404040"/>
                <w:sz w:val="20"/>
                <w:szCs w:val="20"/>
              </w:rPr>
              <w:t>-</w:t>
            </w:r>
          </w:p>
        </w:tc>
        <w:tc>
          <w:tcPr>
            <w:tcW w:w="562" w:type="pct"/>
            <w:tcBorders>
              <w:top w:val="nil"/>
              <w:left w:val="nil"/>
              <w:bottom w:val="nil"/>
              <w:right w:val="nil"/>
            </w:tcBorders>
            <w:shd w:val="clear" w:color="auto" w:fill="auto"/>
            <w:noWrap/>
            <w:vAlign w:val="center"/>
          </w:tcPr>
          <w:p w14:paraId="5709B469" w14:textId="77777777" w:rsidR="00894C8D" w:rsidRPr="00894C8D" w:rsidRDefault="00894C8D" w:rsidP="00894C8D">
            <w:pPr>
              <w:jc w:val="right"/>
              <w:rPr>
                <w:rFonts w:ascii="Georgia" w:hAnsi="Georgia"/>
                <w:color w:val="404040"/>
                <w:sz w:val="20"/>
              </w:rPr>
            </w:pPr>
            <w:r w:rsidRPr="00894C8D">
              <w:rPr>
                <w:rFonts w:ascii="Georgia" w:hAnsi="Georgia"/>
                <w:color w:val="404040"/>
                <w:sz w:val="20"/>
              </w:rPr>
              <w:t>-</w:t>
            </w:r>
          </w:p>
        </w:tc>
        <w:tc>
          <w:tcPr>
            <w:tcW w:w="686" w:type="pct"/>
            <w:tcBorders>
              <w:top w:val="nil"/>
              <w:left w:val="nil"/>
              <w:bottom w:val="nil"/>
              <w:right w:val="nil"/>
            </w:tcBorders>
            <w:shd w:val="clear" w:color="auto" w:fill="auto"/>
            <w:noWrap/>
            <w:vAlign w:val="bottom"/>
          </w:tcPr>
          <w:p w14:paraId="2A5AFEA1" w14:textId="22E1924C" w:rsidR="00894C8D" w:rsidRPr="00894C8D" w:rsidRDefault="00894C8D" w:rsidP="00894C8D">
            <w:pPr>
              <w:jc w:val="right"/>
              <w:rPr>
                <w:rFonts w:ascii="Georgia" w:hAnsi="Georgia"/>
                <w:color w:val="404040"/>
                <w:sz w:val="20"/>
              </w:rPr>
            </w:pPr>
            <w:r w:rsidRPr="00894C8D">
              <w:rPr>
                <w:rFonts w:ascii="Georgia" w:hAnsi="Georgia" w:cs="Arial"/>
                <w:color w:val="333333"/>
                <w:sz w:val="20"/>
                <w:szCs w:val="20"/>
              </w:rPr>
              <w:t>(31,131)</w:t>
            </w:r>
          </w:p>
        </w:tc>
        <w:tc>
          <w:tcPr>
            <w:tcW w:w="756" w:type="pct"/>
            <w:tcBorders>
              <w:top w:val="nil"/>
              <w:left w:val="nil"/>
              <w:bottom w:val="nil"/>
              <w:right w:val="nil"/>
            </w:tcBorders>
            <w:shd w:val="clear" w:color="auto" w:fill="auto"/>
            <w:noWrap/>
            <w:vAlign w:val="bottom"/>
          </w:tcPr>
          <w:p w14:paraId="7FE74232" w14:textId="389C3CA6" w:rsidR="00894C8D" w:rsidRPr="00894C8D" w:rsidRDefault="00894C8D" w:rsidP="00894C8D">
            <w:pPr>
              <w:jc w:val="right"/>
              <w:rPr>
                <w:rFonts w:ascii="Georgia" w:hAnsi="Georgia"/>
                <w:color w:val="404040"/>
                <w:sz w:val="20"/>
              </w:rPr>
            </w:pPr>
            <w:r w:rsidRPr="00894C8D">
              <w:rPr>
                <w:rFonts w:ascii="Georgia" w:hAnsi="Georgia" w:cs="Arial"/>
                <w:color w:val="333333"/>
                <w:sz w:val="20"/>
                <w:szCs w:val="20"/>
              </w:rPr>
              <w:t>(31,131)</w:t>
            </w:r>
          </w:p>
        </w:tc>
      </w:tr>
      <w:tr w:rsidR="00894C8D" w:rsidRPr="009C7A45" w14:paraId="72630250" w14:textId="77777777" w:rsidTr="00EF6D72">
        <w:trPr>
          <w:trHeight w:val="510"/>
        </w:trPr>
        <w:tc>
          <w:tcPr>
            <w:tcW w:w="1175" w:type="pct"/>
            <w:tcBorders>
              <w:top w:val="nil"/>
              <w:left w:val="nil"/>
              <w:bottom w:val="nil"/>
              <w:right w:val="nil"/>
            </w:tcBorders>
            <w:shd w:val="clear" w:color="auto" w:fill="auto"/>
            <w:vAlign w:val="center"/>
          </w:tcPr>
          <w:p w14:paraId="64706A2B" w14:textId="77777777" w:rsidR="00894C8D" w:rsidRPr="00894C8D" w:rsidRDefault="00894C8D" w:rsidP="00894C8D">
            <w:pPr>
              <w:rPr>
                <w:rFonts w:ascii="Georgia" w:hAnsi="Georgia" w:cs="Arial"/>
                <w:color w:val="404040" w:themeColor="text1" w:themeTint="BF"/>
                <w:sz w:val="19"/>
                <w:szCs w:val="19"/>
                <w:lang w:eastAsia="en-GB"/>
              </w:rPr>
            </w:pPr>
            <w:r w:rsidRPr="00894C8D">
              <w:rPr>
                <w:rFonts w:ascii="Georgia" w:hAnsi="Georgia" w:cs="Arial"/>
                <w:color w:val="404040" w:themeColor="text1" w:themeTint="BF"/>
                <w:sz w:val="19"/>
                <w:szCs w:val="19"/>
                <w:lang w:eastAsia="en-GB"/>
              </w:rPr>
              <w:t>Total comprehensive income for the period</w:t>
            </w:r>
          </w:p>
        </w:tc>
        <w:tc>
          <w:tcPr>
            <w:tcW w:w="374" w:type="pct"/>
            <w:tcBorders>
              <w:top w:val="nil"/>
              <w:left w:val="nil"/>
              <w:bottom w:val="nil"/>
              <w:right w:val="nil"/>
            </w:tcBorders>
            <w:shd w:val="clear" w:color="auto" w:fill="auto"/>
            <w:noWrap/>
            <w:vAlign w:val="center"/>
          </w:tcPr>
          <w:p w14:paraId="47A5D22E" w14:textId="77777777" w:rsidR="00894C8D" w:rsidRPr="00894C8D" w:rsidRDefault="00894C8D" w:rsidP="00894C8D">
            <w:pPr>
              <w:jc w:val="center"/>
              <w:rPr>
                <w:rFonts w:ascii="Georgia" w:hAnsi="Georgia" w:cs="Arial"/>
                <w:color w:val="404040" w:themeColor="text1" w:themeTint="BF"/>
                <w:sz w:val="19"/>
                <w:szCs w:val="19"/>
                <w:lang w:eastAsia="en-GB"/>
              </w:rPr>
            </w:pPr>
          </w:p>
        </w:tc>
        <w:tc>
          <w:tcPr>
            <w:tcW w:w="733" w:type="pct"/>
            <w:tcBorders>
              <w:top w:val="nil"/>
              <w:left w:val="nil"/>
              <w:bottom w:val="nil"/>
              <w:right w:val="nil"/>
            </w:tcBorders>
            <w:shd w:val="clear" w:color="auto" w:fill="auto"/>
            <w:noWrap/>
            <w:vAlign w:val="center"/>
          </w:tcPr>
          <w:p w14:paraId="3F7D1164" w14:textId="77777777" w:rsidR="00894C8D" w:rsidRPr="00894C8D" w:rsidRDefault="00894C8D" w:rsidP="00894C8D">
            <w:pPr>
              <w:jc w:val="right"/>
              <w:rPr>
                <w:rFonts w:ascii="Georgia" w:hAnsi="Georgia"/>
                <w:color w:val="404040"/>
                <w:sz w:val="20"/>
              </w:rPr>
            </w:pPr>
            <w:r w:rsidRPr="00894C8D">
              <w:rPr>
                <w:rFonts w:ascii="Georgia" w:hAnsi="Georgia"/>
                <w:color w:val="404040"/>
                <w:sz w:val="20"/>
              </w:rPr>
              <w:t>-</w:t>
            </w:r>
          </w:p>
        </w:tc>
        <w:tc>
          <w:tcPr>
            <w:tcW w:w="714" w:type="pct"/>
            <w:tcBorders>
              <w:top w:val="nil"/>
              <w:left w:val="nil"/>
              <w:bottom w:val="nil"/>
              <w:right w:val="nil"/>
            </w:tcBorders>
            <w:vAlign w:val="center"/>
          </w:tcPr>
          <w:p w14:paraId="3C110BA2" w14:textId="77777777" w:rsidR="00894C8D" w:rsidRPr="00894C8D" w:rsidRDefault="00894C8D" w:rsidP="00894C8D">
            <w:pPr>
              <w:jc w:val="right"/>
              <w:rPr>
                <w:rFonts w:ascii="Georgia" w:hAnsi="Georgia"/>
                <w:color w:val="404040"/>
                <w:sz w:val="20"/>
              </w:rPr>
            </w:pPr>
            <w:r w:rsidRPr="00894C8D">
              <w:rPr>
                <w:rFonts w:ascii="Georgia" w:hAnsi="Georgia"/>
                <w:color w:val="404040"/>
                <w:sz w:val="20"/>
              </w:rPr>
              <w:t>-</w:t>
            </w:r>
          </w:p>
        </w:tc>
        <w:tc>
          <w:tcPr>
            <w:tcW w:w="562" w:type="pct"/>
            <w:tcBorders>
              <w:top w:val="nil"/>
              <w:left w:val="nil"/>
              <w:bottom w:val="nil"/>
              <w:right w:val="nil"/>
            </w:tcBorders>
            <w:shd w:val="clear" w:color="auto" w:fill="auto"/>
            <w:noWrap/>
            <w:vAlign w:val="center"/>
          </w:tcPr>
          <w:p w14:paraId="74F82BAD" w14:textId="77777777" w:rsidR="00894C8D" w:rsidRPr="00894C8D" w:rsidRDefault="00894C8D" w:rsidP="00894C8D">
            <w:pPr>
              <w:jc w:val="right"/>
              <w:rPr>
                <w:rFonts w:ascii="Georgia" w:hAnsi="Georgia"/>
                <w:color w:val="404040"/>
                <w:sz w:val="20"/>
              </w:rPr>
            </w:pPr>
            <w:r w:rsidRPr="00894C8D">
              <w:rPr>
                <w:rFonts w:ascii="Georgia" w:hAnsi="Georgia"/>
                <w:color w:val="404040"/>
                <w:sz w:val="20"/>
              </w:rPr>
              <w:t>-</w:t>
            </w:r>
          </w:p>
        </w:tc>
        <w:tc>
          <w:tcPr>
            <w:tcW w:w="686" w:type="pct"/>
            <w:tcBorders>
              <w:top w:val="nil"/>
              <w:left w:val="nil"/>
              <w:bottom w:val="nil"/>
              <w:right w:val="nil"/>
            </w:tcBorders>
            <w:shd w:val="clear" w:color="auto" w:fill="auto"/>
            <w:noWrap/>
            <w:vAlign w:val="center"/>
          </w:tcPr>
          <w:p w14:paraId="6FB08647" w14:textId="5278A134" w:rsidR="00894C8D" w:rsidRPr="00894C8D" w:rsidRDefault="00694FFE" w:rsidP="00C8198B">
            <w:pPr>
              <w:jc w:val="right"/>
              <w:rPr>
                <w:rFonts w:ascii="Georgia" w:hAnsi="Georgia"/>
                <w:color w:val="404040"/>
                <w:sz w:val="20"/>
              </w:rPr>
            </w:pPr>
            <w:r>
              <w:rPr>
                <w:rFonts w:ascii="Georgia" w:hAnsi="Georgia" w:cs="Arial"/>
                <w:color w:val="333333"/>
                <w:sz w:val="20"/>
                <w:szCs w:val="20"/>
              </w:rPr>
              <w:t>28,</w:t>
            </w:r>
            <w:r w:rsidR="00C8198B">
              <w:rPr>
                <w:rFonts w:ascii="Georgia" w:hAnsi="Georgia" w:cs="Arial"/>
                <w:color w:val="333333"/>
                <w:sz w:val="20"/>
                <w:szCs w:val="20"/>
              </w:rPr>
              <w:t>240</w:t>
            </w:r>
          </w:p>
        </w:tc>
        <w:tc>
          <w:tcPr>
            <w:tcW w:w="756" w:type="pct"/>
            <w:tcBorders>
              <w:top w:val="nil"/>
              <w:left w:val="nil"/>
              <w:bottom w:val="nil"/>
              <w:right w:val="nil"/>
            </w:tcBorders>
            <w:shd w:val="clear" w:color="auto" w:fill="auto"/>
            <w:noWrap/>
            <w:vAlign w:val="center"/>
          </w:tcPr>
          <w:p w14:paraId="621C4A80" w14:textId="01587AE5" w:rsidR="00894C8D" w:rsidRPr="00894C8D" w:rsidRDefault="00694FFE" w:rsidP="00894C8D">
            <w:pPr>
              <w:jc w:val="right"/>
              <w:rPr>
                <w:rFonts w:ascii="Georgia" w:hAnsi="Georgia"/>
                <w:color w:val="404040"/>
                <w:sz w:val="20"/>
              </w:rPr>
            </w:pPr>
            <w:r>
              <w:rPr>
                <w:rFonts w:ascii="Georgia" w:hAnsi="Georgia" w:cs="Arial"/>
                <w:color w:val="333333"/>
                <w:sz w:val="20"/>
                <w:szCs w:val="20"/>
              </w:rPr>
              <w:t>2</w:t>
            </w:r>
            <w:r w:rsidR="00C8198B">
              <w:rPr>
                <w:rFonts w:ascii="Georgia" w:hAnsi="Georgia" w:cs="Arial"/>
                <w:color w:val="333333"/>
                <w:sz w:val="20"/>
                <w:szCs w:val="20"/>
              </w:rPr>
              <w:t>8,240</w:t>
            </w:r>
          </w:p>
        </w:tc>
      </w:tr>
      <w:tr w:rsidR="00031D43" w:rsidRPr="009C7A45" w14:paraId="3F814CC1" w14:textId="77777777" w:rsidTr="00EF6D72">
        <w:trPr>
          <w:trHeight w:val="525"/>
        </w:trPr>
        <w:tc>
          <w:tcPr>
            <w:tcW w:w="1175" w:type="pct"/>
            <w:tcBorders>
              <w:top w:val="single" w:sz="4" w:space="0" w:color="auto"/>
              <w:left w:val="nil"/>
              <w:bottom w:val="single" w:sz="12" w:space="0" w:color="auto"/>
              <w:right w:val="nil"/>
            </w:tcBorders>
            <w:shd w:val="clear" w:color="auto" w:fill="auto"/>
            <w:vAlign w:val="center"/>
          </w:tcPr>
          <w:p w14:paraId="5B5CB3E4" w14:textId="6DA40EF2" w:rsidR="00527EA4" w:rsidRPr="00894C8D" w:rsidRDefault="00527EA4" w:rsidP="00F704D4">
            <w:pPr>
              <w:rPr>
                <w:rFonts w:ascii="Georgia" w:hAnsi="Georgia" w:cs="Arial"/>
                <w:b/>
                <w:bCs/>
                <w:color w:val="404040" w:themeColor="text1" w:themeTint="BF"/>
                <w:sz w:val="19"/>
                <w:szCs w:val="19"/>
                <w:lang w:eastAsia="en-GB"/>
              </w:rPr>
            </w:pPr>
            <w:r w:rsidRPr="00894C8D">
              <w:rPr>
                <w:rFonts w:ascii="Georgia" w:hAnsi="Georgia" w:cs="Arial"/>
                <w:b/>
                <w:bCs/>
                <w:color w:val="404040" w:themeColor="text1" w:themeTint="BF"/>
                <w:sz w:val="19"/>
                <w:szCs w:val="19"/>
                <w:lang w:eastAsia="en-GB"/>
              </w:rPr>
              <w:t xml:space="preserve">Shareholders' equity at </w:t>
            </w:r>
            <w:r w:rsidRPr="00894C8D">
              <w:rPr>
                <w:rFonts w:ascii="Georgia" w:hAnsi="Georgia" w:cs="Arial"/>
                <w:b/>
                <w:bCs/>
                <w:color w:val="404040" w:themeColor="text1" w:themeTint="BF"/>
                <w:sz w:val="19"/>
                <w:szCs w:val="19"/>
                <w:lang w:eastAsia="en-GB"/>
              </w:rPr>
              <w:br/>
              <w:t xml:space="preserve">30 June </w:t>
            </w:r>
            <w:r w:rsidR="00904E51" w:rsidRPr="00894C8D">
              <w:rPr>
                <w:rFonts w:ascii="Georgia" w:hAnsi="Georgia" w:cs="Arial"/>
                <w:b/>
                <w:bCs/>
                <w:color w:val="404040" w:themeColor="text1" w:themeTint="BF"/>
                <w:sz w:val="19"/>
                <w:szCs w:val="19"/>
                <w:lang w:eastAsia="en-GB"/>
              </w:rPr>
              <w:t>2020</w:t>
            </w:r>
          </w:p>
        </w:tc>
        <w:tc>
          <w:tcPr>
            <w:tcW w:w="374" w:type="pct"/>
            <w:tcBorders>
              <w:top w:val="single" w:sz="4" w:space="0" w:color="auto"/>
              <w:left w:val="nil"/>
              <w:bottom w:val="single" w:sz="12" w:space="0" w:color="auto"/>
              <w:right w:val="nil"/>
            </w:tcBorders>
            <w:shd w:val="clear" w:color="auto" w:fill="auto"/>
            <w:noWrap/>
            <w:vAlign w:val="center"/>
          </w:tcPr>
          <w:p w14:paraId="0E6E2359" w14:textId="77777777" w:rsidR="00527EA4" w:rsidRPr="00894C8D" w:rsidRDefault="00527EA4" w:rsidP="00F704D4">
            <w:pPr>
              <w:jc w:val="right"/>
              <w:rPr>
                <w:rFonts w:ascii="Georgia" w:hAnsi="Georgia" w:cs="Arial"/>
                <w:b/>
                <w:bCs/>
                <w:color w:val="404040" w:themeColor="text1" w:themeTint="BF"/>
                <w:sz w:val="19"/>
                <w:szCs w:val="19"/>
                <w:lang w:eastAsia="en-GB"/>
              </w:rPr>
            </w:pPr>
            <w:r w:rsidRPr="00894C8D">
              <w:rPr>
                <w:rFonts w:ascii="Georgia" w:hAnsi="Georgia" w:cs="Arial"/>
                <w:b/>
                <w:bCs/>
                <w:color w:val="404040" w:themeColor="text1" w:themeTint="BF"/>
                <w:sz w:val="19"/>
                <w:szCs w:val="19"/>
                <w:lang w:eastAsia="en-GB"/>
              </w:rPr>
              <w:t> </w:t>
            </w:r>
          </w:p>
        </w:tc>
        <w:tc>
          <w:tcPr>
            <w:tcW w:w="733" w:type="pct"/>
            <w:tcBorders>
              <w:top w:val="single" w:sz="4" w:space="0" w:color="auto"/>
              <w:left w:val="nil"/>
              <w:bottom w:val="single" w:sz="12" w:space="0" w:color="auto"/>
              <w:right w:val="nil"/>
            </w:tcBorders>
            <w:shd w:val="clear" w:color="auto" w:fill="auto"/>
            <w:noWrap/>
            <w:vAlign w:val="center"/>
          </w:tcPr>
          <w:p w14:paraId="324EC7ED" w14:textId="5BD07A2D" w:rsidR="00527EA4" w:rsidRPr="00894C8D" w:rsidRDefault="00894C8D" w:rsidP="00F704D4">
            <w:pPr>
              <w:jc w:val="right"/>
              <w:rPr>
                <w:rFonts w:ascii="Georgia" w:hAnsi="Georgia"/>
                <w:b/>
                <w:color w:val="404040"/>
                <w:sz w:val="20"/>
              </w:rPr>
            </w:pPr>
            <w:r w:rsidRPr="00894C8D">
              <w:rPr>
                <w:rFonts w:ascii="Georgia" w:hAnsi="Georgia" w:cs="Arial"/>
                <w:b/>
                <w:bCs/>
                <w:color w:val="333333"/>
                <w:sz w:val="20"/>
                <w:szCs w:val="20"/>
              </w:rPr>
              <w:t>370,499,622</w:t>
            </w:r>
          </w:p>
        </w:tc>
        <w:tc>
          <w:tcPr>
            <w:tcW w:w="714" w:type="pct"/>
            <w:tcBorders>
              <w:top w:val="single" w:sz="4" w:space="0" w:color="auto"/>
              <w:left w:val="nil"/>
              <w:bottom w:val="single" w:sz="12" w:space="0" w:color="auto"/>
              <w:right w:val="nil"/>
            </w:tcBorders>
            <w:vAlign w:val="center"/>
          </w:tcPr>
          <w:p w14:paraId="1358AA97" w14:textId="3727D3AB" w:rsidR="00527EA4" w:rsidRPr="00894C8D" w:rsidRDefault="00655F1F" w:rsidP="00894C8D">
            <w:pPr>
              <w:jc w:val="right"/>
              <w:rPr>
                <w:rFonts w:ascii="Georgia" w:hAnsi="Georgia" w:cs="Arial"/>
                <w:b/>
                <w:bCs/>
                <w:color w:val="404040"/>
                <w:sz w:val="20"/>
                <w:szCs w:val="20"/>
              </w:rPr>
            </w:pPr>
            <w:r w:rsidRPr="00894C8D">
              <w:rPr>
                <w:rFonts w:ascii="Georgia" w:hAnsi="Georgia" w:cs="Arial"/>
                <w:b/>
                <w:bCs/>
                <w:color w:val="333333"/>
                <w:sz w:val="20"/>
                <w:szCs w:val="20"/>
              </w:rPr>
              <w:t>368,</w:t>
            </w:r>
            <w:r w:rsidR="00CB00EF">
              <w:rPr>
                <w:rFonts w:ascii="Georgia" w:hAnsi="Georgia" w:cs="Arial"/>
                <w:b/>
                <w:bCs/>
                <w:color w:val="333333"/>
                <w:sz w:val="20"/>
                <w:szCs w:val="20"/>
              </w:rPr>
              <w:t>712</w:t>
            </w:r>
          </w:p>
        </w:tc>
        <w:tc>
          <w:tcPr>
            <w:tcW w:w="562" w:type="pct"/>
            <w:tcBorders>
              <w:top w:val="single" w:sz="4" w:space="0" w:color="auto"/>
              <w:left w:val="nil"/>
              <w:bottom w:val="single" w:sz="12" w:space="0" w:color="auto"/>
              <w:right w:val="nil"/>
            </w:tcBorders>
            <w:shd w:val="clear" w:color="auto" w:fill="auto"/>
            <w:noWrap/>
            <w:vAlign w:val="center"/>
          </w:tcPr>
          <w:p w14:paraId="4B950E04" w14:textId="42AB5D51" w:rsidR="00527EA4" w:rsidRPr="00894C8D" w:rsidRDefault="00894C8D" w:rsidP="00F704D4">
            <w:pPr>
              <w:jc w:val="right"/>
              <w:rPr>
                <w:rFonts w:ascii="Georgia" w:hAnsi="Georgia"/>
                <w:b/>
                <w:color w:val="404040"/>
                <w:sz w:val="20"/>
              </w:rPr>
            </w:pPr>
            <w:r w:rsidRPr="00894C8D">
              <w:rPr>
                <w:rFonts w:ascii="Georgia" w:hAnsi="Georgia"/>
                <w:b/>
                <w:color w:val="404040"/>
                <w:sz w:val="20"/>
              </w:rPr>
              <w:t>-</w:t>
            </w:r>
          </w:p>
        </w:tc>
        <w:tc>
          <w:tcPr>
            <w:tcW w:w="686" w:type="pct"/>
            <w:tcBorders>
              <w:top w:val="single" w:sz="4" w:space="0" w:color="auto"/>
              <w:left w:val="nil"/>
              <w:bottom w:val="single" w:sz="12" w:space="0" w:color="auto"/>
              <w:right w:val="nil"/>
            </w:tcBorders>
            <w:shd w:val="clear" w:color="auto" w:fill="auto"/>
            <w:noWrap/>
            <w:vAlign w:val="center"/>
          </w:tcPr>
          <w:p w14:paraId="30477AE8" w14:textId="040839B3" w:rsidR="00527EA4" w:rsidRPr="00894C8D" w:rsidRDefault="00C8198B" w:rsidP="00894C8D">
            <w:pPr>
              <w:jc w:val="right"/>
              <w:rPr>
                <w:rFonts w:ascii="Georgia" w:hAnsi="Georgia"/>
                <w:b/>
                <w:color w:val="404040"/>
                <w:sz w:val="20"/>
              </w:rPr>
            </w:pPr>
            <w:r>
              <w:rPr>
                <w:rFonts w:ascii="Georgia" w:hAnsi="Georgia" w:cs="Arial"/>
                <w:b/>
                <w:bCs/>
                <w:color w:val="333333"/>
                <w:sz w:val="20"/>
                <w:szCs w:val="20"/>
              </w:rPr>
              <w:t>64,793</w:t>
            </w:r>
          </w:p>
        </w:tc>
        <w:tc>
          <w:tcPr>
            <w:tcW w:w="756" w:type="pct"/>
            <w:tcBorders>
              <w:top w:val="single" w:sz="4" w:space="0" w:color="auto"/>
              <w:left w:val="nil"/>
              <w:bottom w:val="single" w:sz="12" w:space="0" w:color="auto"/>
              <w:right w:val="nil"/>
            </w:tcBorders>
            <w:shd w:val="clear" w:color="auto" w:fill="auto"/>
            <w:noWrap/>
            <w:vAlign w:val="center"/>
          </w:tcPr>
          <w:p w14:paraId="4142ECC0" w14:textId="2E1BBA2C" w:rsidR="00527EA4" w:rsidRPr="00894C8D" w:rsidRDefault="00C8198B" w:rsidP="00F704D4">
            <w:pPr>
              <w:jc w:val="right"/>
              <w:rPr>
                <w:rFonts w:ascii="Georgia" w:hAnsi="Georgia"/>
                <w:b/>
                <w:color w:val="404040"/>
                <w:sz w:val="20"/>
              </w:rPr>
            </w:pPr>
            <w:r>
              <w:rPr>
                <w:rFonts w:ascii="Georgia" w:hAnsi="Georgia" w:cs="Arial"/>
                <w:b/>
                <w:bCs/>
                <w:color w:val="333333"/>
                <w:sz w:val="20"/>
                <w:szCs w:val="20"/>
              </w:rPr>
              <w:t>433,505</w:t>
            </w:r>
          </w:p>
        </w:tc>
      </w:tr>
    </w:tbl>
    <w:p w14:paraId="1BBA2C5B" w14:textId="77777777" w:rsidR="00527EA4" w:rsidRDefault="00527EA4" w:rsidP="00300C82">
      <w:pPr>
        <w:pStyle w:val="body"/>
        <w:rPr>
          <w:i/>
        </w:rPr>
      </w:pPr>
    </w:p>
    <w:p w14:paraId="583DF806" w14:textId="2BFD293E" w:rsidR="004549C6" w:rsidRPr="00894FC4" w:rsidRDefault="00300C82" w:rsidP="00300C82">
      <w:pPr>
        <w:pStyle w:val="body"/>
      </w:pPr>
      <w:r w:rsidRPr="00894FC4">
        <w:rPr>
          <w:i/>
        </w:rPr>
        <w:t>F</w:t>
      </w:r>
      <w:r w:rsidR="00410C6B" w:rsidRPr="00894FC4">
        <w:rPr>
          <w:i/>
        </w:rPr>
        <w:t xml:space="preserve">or the year ended 30 June </w:t>
      </w:r>
      <w:r w:rsidR="00904E51">
        <w:rPr>
          <w:i/>
        </w:rPr>
        <w:t>2019</w:t>
      </w:r>
    </w:p>
    <w:tbl>
      <w:tblPr>
        <w:tblW w:w="5718" w:type="pct"/>
        <w:tblInd w:w="-779" w:type="dxa"/>
        <w:tblLayout w:type="fixed"/>
        <w:tblLook w:val="04A0" w:firstRow="1" w:lastRow="0" w:firstColumn="1" w:lastColumn="0" w:noHBand="0" w:noVBand="1"/>
      </w:tblPr>
      <w:tblGrid>
        <w:gridCol w:w="2515"/>
        <w:gridCol w:w="801"/>
        <w:gridCol w:w="1569"/>
        <w:gridCol w:w="1529"/>
        <w:gridCol w:w="1203"/>
        <w:gridCol w:w="1469"/>
        <w:gridCol w:w="1618"/>
      </w:tblGrid>
      <w:tr w:rsidR="00DA0B79" w:rsidRPr="00894FC4" w14:paraId="1E935071" w14:textId="77777777" w:rsidTr="00EF6D72">
        <w:trPr>
          <w:trHeight w:val="255"/>
        </w:trPr>
        <w:tc>
          <w:tcPr>
            <w:tcW w:w="1175" w:type="pct"/>
            <w:tcBorders>
              <w:top w:val="nil"/>
              <w:left w:val="nil"/>
              <w:bottom w:val="nil"/>
              <w:right w:val="nil"/>
            </w:tcBorders>
            <w:shd w:val="clear" w:color="auto" w:fill="auto"/>
            <w:noWrap/>
            <w:vAlign w:val="bottom"/>
          </w:tcPr>
          <w:p w14:paraId="7D3966EF" w14:textId="77777777" w:rsidR="00BC0999" w:rsidRPr="00894FC4" w:rsidRDefault="00BC0999" w:rsidP="00764871">
            <w:pPr>
              <w:pStyle w:val="BluefieldBody"/>
              <w:jc w:val="right"/>
              <w:rPr>
                <w:b/>
                <w:lang w:eastAsia="en-GB"/>
              </w:rPr>
            </w:pPr>
          </w:p>
        </w:tc>
        <w:tc>
          <w:tcPr>
            <w:tcW w:w="374" w:type="pct"/>
            <w:tcBorders>
              <w:top w:val="nil"/>
              <w:left w:val="nil"/>
              <w:bottom w:val="nil"/>
              <w:right w:val="nil"/>
            </w:tcBorders>
            <w:shd w:val="clear" w:color="auto" w:fill="auto"/>
            <w:noWrap/>
            <w:vAlign w:val="bottom"/>
          </w:tcPr>
          <w:p w14:paraId="1E2ED810" w14:textId="77777777" w:rsidR="00BC0999" w:rsidRPr="00894FC4" w:rsidRDefault="00BC0999" w:rsidP="00764871">
            <w:pPr>
              <w:pStyle w:val="BluefieldBody"/>
              <w:jc w:val="right"/>
              <w:rPr>
                <w:b/>
                <w:sz w:val="19"/>
                <w:lang w:eastAsia="en-GB"/>
              </w:rPr>
            </w:pPr>
          </w:p>
        </w:tc>
        <w:tc>
          <w:tcPr>
            <w:tcW w:w="733" w:type="pct"/>
            <w:vMerge w:val="restart"/>
            <w:tcBorders>
              <w:top w:val="nil"/>
              <w:left w:val="nil"/>
              <w:right w:val="nil"/>
            </w:tcBorders>
            <w:shd w:val="clear" w:color="auto" w:fill="auto"/>
            <w:noWrap/>
            <w:vAlign w:val="center"/>
          </w:tcPr>
          <w:p w14:paraId="06238D65" w14:textId="77777777" w:rsidR="00BC0999" w:rsidRPr="00894FC4" w:rsidRDefault="00BC0999" w:rsidP="00764871">
            <w:pPr>
              <w:pStyle w:val="BluefieldBody"/>
              <w:jc w:val="right"/>
              <w:rPr>
                <w:b/>
                <w:sz w:val="19"/>
                <w:lang w:eastAsia="en-GB"/>
              </w:rPr>
            </w:pPr>
            <w:r w:rsidRPr="00894FC4">
              <w:rPr>
                <w:b/>
                <w:sz w:val="19"/>
                <w:lang w:eastAsia="en-GB"/>
              </w:rPr>
              <w:t>Number of</w:t>
            </w:r>
          </w:p>
          <w:p w14:paraId="1CF41C48" w14:textId="77777777" w:rsidR="00BC0999" w:rsidRPr="00894FC4" w:rsidRDefault="00BC0999" w:rsidP="00764871">
            <w:pPr>
              <w:pStyle w:val="BluefieldBody"/>
              <w:jc w:val="right"/>
              <w:rPr>
                <w:b/>
                <w:sz w:val="19"/>
                <w:lang w:eastAsia="en-GB"/>
              </w:rPr>
            </w:pPr>
            <w:r w:rsidRPr="00894FC4">
              <w:rPr>
                <w:b/>
                <w:sz w:val="19"/>
                <w:lang w:eastAsia="en-GB"/>
              </w:rPr>
              <w:t>Ordinary Shares</w:t>
            </w:r>
          </w:p>
        </w:tc>
        <w:tc>
          <w:tcPr>
            <w:tcW w:w="714" w:type="pct"/>
            <w:tcBorders>
              <w:top w:val="nil"/>
              <w:left w:val="nil"/>
              <w:right w:val="nil"/>
            </w:tcBorders>
          </w:tcPr>
          <w:p w14:paraId="5BEDBFA9" w14:textId="77777777" w:rsidR="00BC0999" w:rsidRPr="00894FC4" w:rsidRDefault="00BC0999" w:rsidP="00764871">
            <w:pPr>
              <w:pStyle w:val="BluefieldBody"/>
              <w:jc w:val="right"/>
              <w:rPr>
                <w:b/>
                <w:sz w:val="19"/>
                <w:lang w:eastAsia="en-GB"/>
              </w:rPr>
            </w:pPr>
          </w:p>
        </w:tc>
        <w:tc>
          <w:tcPr>
            <w:tcW w:w="562" w:type="pct"/>
            <w:tcBorders>
              <w:top w:val="nil"/>
              <w:left w:val="nil"/>
              <w:bottom w:val="nil"/>
              <w:right w:val="nil"/>
            </w:tcBorders>
            <w:shd w:val="clear" w:color="auto" w:fill="auto"/>
            <w:noWrap/>
            <w:vAlign w:val="center"/>
          </w:tcPr>
          <w:p w14:paraId="4ADE9780" w14:textId="77777777" w:rsidR="00BC0999" w:rsidRPr="00894FC4" w:rsidRDefault="00BC0999" w:rsidP="00764871">
            <w:pPr>
              <w:pStyle w:val="BluefieldBody"/>
              <w:jc w:val="right"/>
              <w:rPr>
                <w:b/>
                <w:sz w:val="19"/>
                <w:lang w:eastAsia="en-GB"/>
              </w:rPr>
            </w:pPr>
          </w:p>
        </w:tc>
        <w:tc>
          <w:tcPr>
            <w:tcW w:w="686" w:type="pct"/>
            <w:tcBorders>
              <w:top w:val="nil"/>
              <w:left w:val="nil"/>
              <w:bottom w:val="nil"/>
              <w:right w:val="nil"/>
            </w:tcBorders>
            <w:shd w:val="clear" w:color="auto" w:fill="auto"/>
            <w:noWrap/>
            <w:vAlign w:val="center"/>
          </w:tcPr>
          <w:p w14:paraId="5866F2EC" w14:textId="77777777" w:rsidR="00BC0999" w:rsidRPr="00894FC4" w:rsidRDefault="00BC0999" w:rsidP="00764871">
            <w:pPr>
              <w:pStyle w:val="BluefieldBody"/>
              <w:jc w:val="right"/>
              <w:rPr>
                <w:b/>
                <w:sz w:val="19"/>
                <w:lang w:eastAsia="en-GB"/>
              </w:rPr>
            </w:pPr>
          </w:p>
        </w:tc>
        <w:tc>
          <w:tcPr>
            <w:tcW w:w="756" w:type="pct"/>
            <w:tcBorders>
              <w:top w:val="nil"/>
              <w:left w:val="nil"/>
              <w:bottom w:val="nil"/>
              <w:right w:val="nil"/>
            </w:tcBorders>
            <w:shd w:val="clear" w:color="auto" w:fill="auto"/>
            <w:noWrap/>
            <w:vAlign w:val="center"/>
          </w:tcPr>
          <w:p w14:paraId="00823762" w14:textId="77777777" w:rsidR="00BC0999" w:rsidRPr="00894FC4" w:rsidRDefault="00BC0999" w:rsidP="00764871">
            <w:pPr>
              <w:pStyle w:val="BluefieldBody"/>
              <w:jc w:val="right"/>
              <w:rPr>
                <w:b/>
                <w:sz w:val="19"/>
                <w:lang w:eastAsia="en-GB"/>
              </w:rPr>
            </w:pPr>
          </w:p>
        </w:tc>
      </w:tr>
      <w:tr w:rsidR="00DA0B79" w:rsidRPr="00894FC4" w14:paraId="4C87245D" w14:textId="77777777" w:rsidTr="00EF6D72">
        <w:trPr>
          <w:trHeight w:val="510"/>
        </w:trPr>
        <w:tc>
          <w:tcPr>
            <w:tcW w:w="1175" w:type="pct"/>
            <w:tcBorders>
              <w:top w:val="nil"/>
              <w:left w:val="nil"/>
              <w:bottom w:val="nil"/>
              <w:right w:val="nil"/>
            </w:tcBorders>
            <w:shd w:val="clear" w:color="auto" w:fill="auto"/>
            <w:noWrap/>
            <w:vAlign w:val="bottom"/>
          </w:tcPr>
          <w:p w14:paraId="1481CE7B" w14:textId="77777777" w:rsidR="00BC0999" w:rsidRPr="00894FC4" w:rsidRDefault="00BC0999" w:rsidP="00764871">
            <w:pPr>
              <w:pStyle w:val="BluefieldBody"/>
              <w:jc w:val="right"/>
              <w:rPr>
                <w:b/>
                <w:lang w:eastAsia="en-GB"/>
              </w:rPr>
            </w:pPr>
          </w:p>
        </w:tc>
        <w:tc>
          <w:tcPr>
            <w:tcW w:w="374" w:type="pct"/>
            <w:tcBorders>
              <w:top w:val="nil"/>
              <w:left w:val="nil"/>
              <w:bottom w:val="nil"/>
              <w:right w:val="nil"/>
            </w:tcBorders>
            <w:shd w:val="clear" w:color="auto" w:fill="auto"/>
            <w:noWrap/>
            <w:vAlign w:val="center"/>
          </w:tcPr>
          <w:p w14:paraId="52DAF1FA" w14:textId="77777777" w:rsidR="00BC0999" w:rsidRPr="00894FC4" w:rsidRDefault="00BC0999" w:rsidP="00764871">
            <w:pPr>
              <w:pStyle w:val="BluefieldBody"/>
              <w:jc w:val="center"/>
              <w:rPr>
                <w:b/>
                <w:sz w:val="19"/>
                <w:lang w:eastAsia="en-GB"/>
              </w:rPr>
            </w:pPr>
            <w:r w:rsidRPr="00894FC4">
              <w:rPr>
                <w:b/>
                <w:sz w:val="19"/>
                <w:lang w:eastAsia="en-GB"/>
              </w:rPr>
              <w:t>Note</w:t>
            </w:r>
          </w:p>
        </w:tc>
        <w:tc>
          <w:tcPr>
            <w:tcW w:w="733" w:type="pct"/>
            <w:vMerge/>
            <w:tcBorders>
              <w:left w:val="nil"/>
              <w:bottom w:val="nil"/>
              <w:right w:val="nil"/>
            </w:tcBorders>
            <w:shd w:val="clear" w:color="auto" w:fill="auto"/>
            <w:vAlign w:val="center"/>
          </w:tcPr>
          <w:p w14:paraId="3481E93D" w14:textId="77777777" w:rsidR="00BC0999" w:rsidRPr="00894FC4" w:rsidRDefault="00BC0999" w:rsidP="00764871">
            <w:pPr>
              <w:pStyle w:val="BluefieldBody"/>
              <w:jc w:val="right"/>
              <w:rPr>
                <w:b/>
                <w:sz w:val="19"/>
                <w:lang w:eastAsia="en-GB"/>
              </w:rPr>
            </w:pPr>
          </w:p>
        </w:tc>
        <w:tc>
          <w:tcPr>
            <w:tcW w:w="714" w:type="pct"/>
            <w:tcBorders>
              <w:left w:val="nil"/>
              <w:bottom w:val="nil"/>
              <w:right w:val="nil"/>
            </w:tcBorders>
            <w:vAlign w:val="center"/>
          </w:tcPr>
          <w:p w14:paraId="76DD8A0C" w14:textId="77777777" w:rsidR="00BC0999" w:rsidRPr="00894FC4" w:rsidRDefault="00BC0999" w:rsidP="00764871">
            <w:pPr>
              <w:pStyle w:val="BluefieldBody"/>
              <w:jc w:val="right"/>
              <w:rPr>
                <w:b/>
                <w:sz w:val="19"/>
                <w:lang w:eastAsia="en-GB"/>
              </w:rPr>
            </w:pPr>
            <w:r w:rsidRPr="00894FC4">
              <w:rPr>
                <w:b/>
                <w:sz w:val="19"/>
                <w:lang w:eastAsia="en-GB"/>
              </w:rPr>
              <w:t>Share capital</w:t>
            </w:r>
          </w:p>
          <w:p w14:paraId="2C05D3BD" w14:textId="77777777" w:rsidR="00BC0999" w:rsidRPr="00894FC4" w:rsidRDefault="00BC0999" w:rsidP="00764871">
            <w:pPr>
              <w:pStyle w:val="BluefieldBody"/>
              <w:jc w:val="right"/>
              <w:rPr>
                <w:b/>
                <w:sz w:val="19"/>
                <w:lang w:eastAsia="en-GB"/>
              </w:rPr>
            </w:pPr>
          </w:p>
        </w:tc>
        <w:tc>
          <w:tcPr>
            <w:tcW w:w="562" w:type="pct"/>
            <w:tcBorders>
              <w:top w:val="nil"/>
              <w:left w:val="nil"/>
              <w:bottom w:val="nil"/>
              <w:right w:val="nil"/>
            </w:tcBorders>
            <w:shd w:val="clear" w:color="auto" w:fill="auto"/>
            <w:vAlign w:val="center"/>
          </w:tcPr>
          <w:p w14:paraId="7698CA5B" w14:textId="77777777" w:rsidR="00BC0999" w:rsidRPr="00894FC4" w:rsidRDefault="00BC0999" w:rsidP="00764871">
            <w:pPr>
              <w:pStyle w:val="BluefieldBody"/>
              <w:jc w:val="right"/>
              <w:rPr>
                <w:b/>
                <w:sz w:val="19"/>
                <w:lang w:eastAsia="en-GB"/>
              </w:rPr>
            </w:pPr>
            <w:r w:rsidRPr="00894FC4">
              <w:rPr>
                <w:b/>
                <w:sz w:val="19"/>
                <w:lang w:eastAsia="en-GB"/>
              </w:rPr>
              <w:t>Other reserves</w:t>
            </w:r>
          </w:p>
        </w:tc>
        <w:tc>
          <w:tcPr>
            <w:tcW w:w="686" w:type="pct"/>
            <w:tcBorders>
              <w:top w:val="nil"/>
              <w:left w:val="nil"/>
              <w:bottom w:val="nil"/>
              <w:right w:val="nil"/>
            </w:tcBorders>
            <w:shd w:val="clear" w:color="auto" w:fill="auto"/>
            <w:vAlign w:val="center"/>
          </w:tcPr>
          <w:p w14:paraId="5E97F6F3" w14:textId="77777777" w:rsidR="00BC0999" w:rsidRPr="00894FC4" w:rsidRDefault="00BC0999" w:rsidP="00764871">
            <w:pPr>
              <w:pStyle w:val="BluefieldBody"/>
              <w:jc w:val="right"/>
              <w:rPr>
                <w:b/>
                <w:sz w:val="19"/>
                <w:lang w:eastAsia="en-GB"/>
              </w:rPr>
            </w:pPr>
            <w:r w:rsidRPr="00894FC4">
              <w:rPr>
                <w:b/>
                <w:sz w:val="19"/>
                <w:lang w:eastAsia="en-GB"/>
              </w:rPr>
              <w:t>Retained earnings</w:t>
            </w:r>
          </w:p>
        </w:tc>
        <w:tc>
          <w:tcPr>
            <w:tcW w:w="756" w:type="pct"/>
            <w:tcBorders>
              <w:top w:val="nil"/>
              <w:left w:val="nil"/>
              <w:bottom w:val="nil"/>
              <w:right w:val="nil"/>
            </w:tcBorders>
            <w:shd w:val="clear" w:color="auto" w:fill="auto"/>
            <w:vAlign w:val="center"/>
          </w:tcPr>
          <w:p w14:paraId="06E9A5B7" w14:textId="77777777" w:rsidR="00BC0999" w:rsidRPr="00894FC4" w:rsidRDefault="00BC0999" w:rsidP="00764871">
            <w:pPr>
              <w:pStyle w:val="BluefieldBody"/>
              <w:jc w:val="right"/>
              <w:rPr>
                <w:b/>
                <w:sz w:val="19"/>
                <w:lang w:eastAsia="en-GB"/>
              </w:rPr>
            </w:pPr>
            <w:r w:rsidRPr="00894FC4">
              <w:rPr>
                <w:b/>
                <w:sz w:val="19"/>
                <w:lang w:eastAsia="en-GB"/>
              </w:rPr>
              <w:t>Total equity</w:t>
            </w:r>
          </w:p>
        </w:tc>
      </w:tr>
      <w:tr w:rsidR="00031D43" w:rsidRPr="00894FC4" w14:paraId="3B74A438" w14:textId="77777777" w:rsidTr="00EF6D72">
        <w:trPr>
          <w:trHeight w:val="255"/>
        </w:trPr>
        <w:tc>
          <w:tcPr>
            <w:tcW w:w="1175" w:type="pct"/>
            <w:tcBorders>
              <w:top w:val="nil"/>
              <w:left w:val="nil"/>
              <w:bottom w:val="single" w:sz="4" w:space="0" w:color="auto"/>
              <w:right w:val="nil"/>
            </w:tcBorders>
            <w:shd w:val="clear" w:color="auto" w:fill="auto"/>
            <w:noWrap/>
            <w:vAlign w:val="bottom"/>
          </w:tcPr>
          <w:p w14:paraId="778AD72D" w14:textId="77777777" w:rsidR="00BC0999" w:rsidRPr="00894FC4" w:rsidRDefault="00BC0999" w:rsidP="00764871">
            <w:pPr>
              <w:pStyle w:val="BluefieldBody"/>
              <w:jc w:val="right"/>
              <w:rPr>
                <w:b/>
                <w:lang w:eastAsia="en-GB"/>
              </w:rPr>
            </w:pPr>
            <w:r w:rsidRPr="00894FC4">
              <w:rPr>
                <w:b/>
                <w:lang w:eastAsia="en-GB"/>
              </w:rPr>
              <w:t> </w:t>
            </w:r>
          </w:p>
        </w:tc>
        <w:tc>
          <w:tcPr>
            <w:tcW w:w="374" w:type="pct"/>
            <w:tcBorders>
              <w:top w:val="nil"/>
              <w:left w:val="nil"/>
              <w:bottom w:val="single" w:sz="4" w:space="0" w:color="auto"/>
              <w:right w:val="nil"/>
            </w:tcBorders>
            <w:shd w:val="clear" w:color="auto" w:fill="auto"/>
            <w:noWrap/>
            <w:vAlign w:val="bottom"/>
          </w:tcPr>
          <w:p w14:paraId="246DDFEC" w14:textId="77777777" w:rsidR="00BC0999" w:rsidRPr="00894FC4" w:rsidRDefault="00BC0999" w:rsidP="00764871">
            <w:pPr>
              <w:pStyle w:val="BluefieldBody"/>
              <w:jc w:val="right"/>
              <w:rPr>
                <w:b/>
                <w:sz w:val="19"/>
                <w:lang w:eastAsia="en-GB"/>
              </w:rPr>
            </w:pPr>
            <w:r w:rsidRPr="00894FC4">
              <w:rPr>
                <w:b/>
                <w:sz w:val="19"/>
                <w:lang w:eastAsia="en-GB"/>
              </w:rPr>
              <w:t> </w:t>
            </w:r>
          </w:p>
        </w:tc>
        <w:tc>
          <w:tcPr>
            <w:tcW w:w="733" w:type="pct"/>
            <w:tcBorders>
              <w:top w:val="nil"/>
              <w:left w:val="nil"/>
              <w:bottom w:val="single" w:sz="4" w:space="0" w:color="auto"/>
              <w:right w:val="nil"/>
            </w:tcBorders>
            <w:shd w:val="clear" w:color="auto" w:fill="auto"/>
            <w:noWrap/>
            <w:vAlign w:val="center"/>
          </w:tcPr>
          <w:p w14:paraId="26341CE7" w14:textId="77777777" w:rsidR="00BC0999" w:rsidRPr="00894FC4" w:rsidRDefault="00BC0999" w:rsidP="00764871">
            <w:pPr>
              <w:pStyle w:val="BluefieldBody"/>
              <w:jc w:val="right"/>
              <w:rPr>
                <w:b/>
                <w:sz w:val="19"/>
                <w:lang w:eastAsia="en-GB"/>
              </w:rPr>
            </w:pPr>
            <w:r w:rsidRPr="00894FC4">
              <w:rPr>
                <w:b/>
                <w:sz w:val="19"/>
                <w:lang w:eastAsia="en-GB"/>
              </w:rPr>
              <w:t> </w:t>
            </w:r>
          </w:p>
        </w:tc>
        <w:tc>
          <w:tcPr>
            <w:tcW w:w="714" w:type="pct"/>
            <w:tcBorders>
              <w:top w:val="nil"/>
              <w:left w:val="nil"/>
              <w:bottom w:val="single" w:sz="4" w:space="0" w:color="auto"/>
              <w:right w:val="nil"/>
            </w:tcBorders>
          </w:tcPr>
          <w:p w14:paraId="38459E4A" w14:textId="2B9540B7" w:rsidR="00BC0999" w:rsidRPr="00894FC4" w:rsidRDefault="00BC0999" w:rsidP="00764871">
            <w:pPr>
              <w:pStyle w:val="BluefieldBody"/>
              <w:jc w:val="right"/>
              <w:rPr>
                <w:b/>
                <w:sz w:val="19"/>
                <w:lang w:eastAsia="en-GB"/>
              </w:rPr>
            </w:pPr>
            <w:r w:rsidRPr="00894FC4">
              <w:rPr>
                <w:b/>
                <w:sz w:val="19"/>
                <w:lang w:eastAsia="en-GB"/>
              </w:rPr>
              <w:t>£</w:t>
            </w:r>
            <w:r w:rsidR="00686DCF">
              <w:rPr>
                <w:b/>
                <w:sz w:val="19"/>
                <w:lang w:eastAsia="en-GB"/>
              </w:rPr>
              <w:t>’000</w:t>
            </w:r>
          </w:p>
        </w:tc>
        <w:tc>
          <w:tcPr>
            <w:tcW w:w="562" w:type="pct"/>
            <w:tcBorders>
              <w:top w:val="nil"/>
              <w:left w:val="nil"/>
              <w:bottom w:val="single" w:sz="4" w:space="0" w:color="auto"/>
              <w:right w:val="nil"/>
            </w:tcBorders>
            <w:shd w:val="clear" w:color="auto" w:fill="auto"/>
            <w:noWrap/>
            <w:vAlign w:val="center"/>
          </w:tcPr>
          <w:p w14:paraId="61D64496" w14:textId="26496E7E" w:rsidR="00BC0999" w:rsidRPr="00894FC4" w:rsidRDefault="00BC0999" w:rsidP="00764871">
            <w:pPr>
              <w:pStyle w:val="BluefieldBody"/>
              <w:jc w:val="right"/>
              <w:rPr>
                <w:b/>
                <w:sz w:val="19"/>
                <w:lang w:eastAsia="en-GB"/>
              </w:rPr>
            </w:pPr>
            <w:r w:rsidRPr="00894FC4">
              <w:rPr>
                <w:b/>
                <w:sz w:val="19"/>
                <w:lang w:eastAsia="en-GB"/>
              </w:rPr>
              <w:t>£</w:t>
            </w:r>
            <w:r w:rsidR="00686DCF">
              <w:rPr>
                <w:b/>
                <w:sz w:val="19"/>
                <w:lang w:eastAsia="en-GB"/>
              </w:rPr>
              <w:t>’000</w:t>
            </w:r>
          </w:p>
        </w:tc>
        <w:tc>
          <w:tcPr>
            <w:tcW w:w="686" w:type="pct"/>
            <w:tcBorders>
              <w:top w:val="nil"/>
              <w:left w:val="nil"/>
              <w:bottom w:val="single" w:sz="4" w:space="0" w:color="auto"/>
              <w:right w:val="nil"/>
            </w:tcBorders>
            <w:shd w:val="clear" w:color="auto" w:fill="auto"/>
            <w:noWrap/>
            <w:vAlign w:val="center"/>
          </w:tcPr>
          <w:p w14:paraId="7412282C" w14:textId="795E21D6" w:rsidR="00BC0999" w:rsidRPr="00894FC4" w:rsidRDefault="00BC0999" w:rsidP="00764871">
            <w:pPr>
              <w:pStyle w:val="BluefieldBody"/>
              <w:jc w:val="right"/>
              <w:rPr>
                <w:b/>
                <w:sz w:val="19"/>
                <w:lang w:eastAsia="en-GB"/>
              </w:rPr>
            </w:pPr>
            <w:r w:rsidRPr="00894FC4">
              <w:rPr>
                <w:b/>
                <w:sz w:val="19"/>
                <w:lang w:eastAsia="en-GB"/>
              </w:rPr>
              <w:t>£</w:t>
            </w:r>
            <w:r w:rsidR="00686DCF">
              <w:rPr>
                <w:b/>
                <w:sz w:val="19"/>
                <w:lang w:eastAsia="en-GB"/>
              </w:rPr>
              <w:t>’000</w:t>
            </w:r>
          </w:p>
        </w:tc>
        <w:tc>
          <w:tcPr>
            <w:tcW w:w="756" w:type="pct"/>
            <w:tcBorders>
              <w:top w:val="nil"/>
              <w:left w:val="nil"/>
              <w:bottom w:val="single" w:sz="4" w:space="0" w:color="auto"/>
              <w:right w:val="nil"/>
            </w:tcBorders>
            <w:shd w:val="clear" w:color="auto" w:fill="auto"/>
            <w:noWrap/>
            <w:vAlign w:val="center"/>
          </w:tcPr>
          <w:p w14:paraId="779C1F96" w14:textId="0D1FC834" w:rsidR="00BC0999" w:rsidRPr="00894FC4" w:rsidRDefault="00BC0999" w:rsidP="00764871">
            <w:pPr>
              <w:pStyle w:val="BluefieldBody"/>
              <w:jc w:val="right"/>
              <w:rPr>
                <w:b/>
                <w:sz w:val="19"/>
                <w:lang w:eastAsia="en-GB"/>
              </w:rPr>
            </w:pPr>
            <w:r w:rsidRPr="00894FC4">
              <w:rPr>
                <w:b/>
                <w:sz w:val="19"/>
                <w:lang w:eastAsia="en-GB"/>
              </w:rPr>
              <w:t>£</w:t>
            </w:r>
            <w:r w:rsidR="00686DCF">
              <w:rPr>
                <w:b/>
                <w:sz w:val="19"/>
                <w:lang w:eastAsia="en-GB"/>
              </w:rPr>
              <w:t>’000</w:t>
            </w:r>
          </w:p>
        </w:tc>
      </w:tr>
      <w:tr w:rsidR="00031D43" w:rsidRPr="00894FC4" w14:paraId="4314BB08" w14:textId="77777777" w:rsidTr="00EF6D72">
        <w:trPr>
          <w:trHeight w:val="510"/>
        </w:trPr>
        <w:tc>
          <w:tcPr>
            <w:tcW w:w="1175" w:type="pct"/>
            <w:tcBorders>
              <w:top w:val="nil"/>
              <w:left w:val="nil"/>
              <w:bottom w:val="single" w:sz="4" w:space="0" w:color="auto"/>
              <w:right w:val="nil"/>
            </w:tcBorders>
            <w:shd w:val="clear" w:color="auto" w:fill="auto"/>
            <w:vAlign w:val="center"/>
          </w:tcPr>
          <w:p w14:paraId="04CCD363" w14:textId="2C5EDD81" w:rsidR="00CC7317" w:rsidRPr="00894FC4" w:rsidRDefault="00CC7317" w:rsidP="00CC7317">
            <w:pPr>
              <w:rPr>
                <w:rFonts w:ascii="Georgia" w:hAnsi="Georgia" w:cs="Arial"/>
                <w:b/>
                <w:bCs/>
                <w:color w:val="404040" w:themeColor="text1" w:themeTint="BF"/>
                <w:sz w:val="19"/>
                <w:szCs w:val="19"/>
                <w:lang w:eastAsia="en-GB"/>
              </w:rPr>
            </w:pPr>
            <w:r w:rsidRPr="00894FC4">
              <w:rPr>
                <w:rFonts w:ascii="Georgia" w:hAnsi="Georgia" w:cs="Arial"/>
                <w:b/>
                <w:bCs/>
                <w:color w:val="404040" w:themeColor="text1" w:themeTint="BF"/>
                <w:sz w:val="19"/>
                <w:szCs w:val="19"/>
                <w:lang w:eastAsia="en-GB"/>
              </w:rPr>
              <w:t>Shar</w:t>
            </w:r>
            <w:r>
              <w:rPr>
                <w:rFonts w:ascii="Georgia" w:hAnsi="Georgia" w:cs="Arial"/>
                <w:b/>
                <w:bCs/>
                <w:color w:val="404040" w:themeColor="text1" w:themeTint="BF"/>
                <w:sz w:val="19"/>
                <w:szCs w:val="19"/>
                <w:lang w:eastAsia="en-GB"/>
              </w:rPr>
              <w:t xml:space="preserve">eholders' equity at </w:t>
            </w:r>
            <w:r>
              <w:rPr>
                <w:rFonts w:ascii="Georgia" w:hAnsi="Georgia" w:cs="Arial"/>
                <w:b/>
                <w:bCs/>
                <w:color w:val="404040" w:themeColor="text1" w:themeTint="BF"/>
                <w:sz w:val="19"/>
                <w:szCs w:val="19"/>
                <w:lang w:eastAsia="en-GB"/>
              </w:rPr>
              <w:br/>
              <w:t>1 July 2018</w:t>
            </w:r>
          </w:p>
        </w:tc>
        <w:tc>
          <w:tcPr>
            <w:tcW w:w="374" w:type="pct"/>
            <w:tcBorders>
              <w:top w:val="nil"/>
              <w:left w:val="nil"/>
              <w:bottom w:val="single" w:sz="4" w:space="0" w:color="auto"/>
              <w:right w:val="nil"/>
            </w:tcBorders>
            <w:shd w:val="clear" w:color="auto" w:fill="auto"/>
            <w:noWrap/>
            <w:vAlign w:val="bottom"/>
          </w:tcPr>
          <w:p w14:paraId="40D624AD" w14:textId="1641D0BE" w:rsidR="00CC7317" w:rsidRPr="00894FC4" w:rsidRDefault="00CC7317" w:rsidP="00CC7317">
            <w:pPr>
              <w:rPr>
                <w:rFonts w:ascii="Georgia" w:hAnsi="Georgia" w:cs="Arial"/>
                <w:b/>
                <w:bCs/>
                <w:color w:val="404040" w:themeColor="text1" w:themeTint="BF"/>
                <w:sz w:val="19"/>
                <w:szCs w:val="19"/>
                <w:lang w:eastAsia="en-GB"/>
              </w:rPr>
            </w:pPr>
            <w:r w:rsidRPr="00894FC4">
              <w:rPr>
                <w:rFonts w:ascii="Georgia" w:hAnsi="Georgia" w:cs="Arial"/>
                <w:b/>
                <w:bCs/>
                <w:color w:val="404040" w:themeColor="text1" w:themeTint="BF"/>
                <w:sz w:val="19"/>
                <w:szCs w:val="19"/>
                <w:lang w:eastAsia="en-GB"/>
              </w:rPr>
              <w:t> </w:t>
            </w:r>
          </w:p>
        </w:tc>
        <w:tc>
          <w:tcPr>
            <w:tcW w:w="733" w:type="pct"/>
            <w:tcBorders>
              <w:top w:val="nil"/>
              <w:left w:val="nil"/>
              <w:bottom w:val="single" w:sz="4" w:space="0" w:color="auto"/>
              <w:right w:val="nil"/>
            </w:tcBorders>
            <w:shd w:val="clear" w:color="auto" w:fill="auto"/>
            <w:noWrap/>
            <w:vAlign w:val="center"/>
          </w:tcPr>
          <w:p w14:paraId="7249E506" w14:textId="484568D2" w:rsidR="00CC7317" w:rsidRPr="00894FC4" w:rsidRDefault="00CC7317" w:rsidP="00CC7317">
            <w:pPr>
              <w:jc w:val="right"/>
              <w:rPr>
                <w:rFonts w:ascii="Georgia" w:hAnsi="Georgia" w:cs="Arial"/>
                <w:b/>
                <w:bCs/>
                <w:color w:val="404040" w:themeColor="text1" w:themeTint="BF"/>
                <w:sz w:val="19"/>
                <w:szCs w:val="19"/>
                <w:lang w:eastAsia="en-GB"/>
              </w:rPr>
            </w:pPr>
            <w:r w:rsidRPr="00894FC4">
              <w:rPr>
                <w:rFonts w:ascii="Georgia" w:hAnsi="Georgia"/>
                <w:b/>
                <w:color w:val="404040"/>
                <w:sz w:val="20"/>
              </w:rPr>
              <w:t>369,8</w:t>
            </w:r>
            <w:r w:rsidR="00D6345B">
              <w:rPr>
                <w:rFonts w:ascii="Georgia" w:hAnsi="Georgia"/>
                <w:b/>
                <w:color w:val="404040"/>
                <w:sz w:val="20"/>
              </w:rPr>
              <w:t>8</w:t>
            </w:r>
            <w:r>
              <w:rPr>
                <w:rFonts w:ascii="Georgia" w:hAnsi="Georgia"/>
                <w:b/>
                <w:color w:val="404040"/>
                <w:sz w:val="20"/>
              </w:rPr>
              <w:t>3,530</w:t>
            </w:r>
          </w:p>
        </w:tc>
        <w:tc>
          <w:tcPr>
            <w:tcW w:w="714" w:type="pct"/>
            <w:tcBorders>
              <w:top w:val="nil"/>
              <w:left w:val="nil"/>
              <w:bottom w:val="single" w:sz="4" w:space="0" w:color="auto"/>
              <w:right w:val="nil"/>
            </w:tcBorders>
            <w:vAlign w:val="center"/>
          </w:tcPr>
          <w:p w14:paraId="17E411C4" w14:textId="31CF814C" w:rsidR="00CC7317" w:rsidRPr="00CC7317" w:rsidRDefault="00CB00EF" w:rsidP="00CC7317">
            <w:pPr>
              <w:jc w:val="right"/>
              <w:rPr>
                <w:rFonts w:ascii="Georgia" w:hAnsi="Georgia" w:cs="Arial"/>
                <w:b/>
                <w:bCs/>
                <w:color w:val="404040"/>
                <w:sz w:val="20"/>
                <w:szCs w:val="20"/>
              </w:rPr>
            </w:pPr>
            <w:r>
              <w:rPr>
                <w:rFonts w:ascii="Georgia" w:hAnsi="Georgia" w:cs="Arial"/>
                <w:b/>
                <w:bCs/>
                <w:color w:val="404040"/>
                <w:sz w:val="20"/>
                <w:szCs w:val="20"/>
              </w:rPr>
              <w:t>368,013</w:t>
            </w:r>
          </w:p>
        </w:tc>
        <w:tc>
          <w:tcPr>
            <w:tcW w:w="562" w:type="pct"/>
            <w:tcBorders>
              <w:top w:val="nil"/>
              <w:left w:val="nil"/>
              <w:bottom w:val="single" w:sz="4" w:space="0" w:color="auto"/>
              <w:right w:val="nil"/>
            </w:tcBorders>
            <w:shd w:val="clear" w:color="auto" w:fill="auto"/>
            <w:noWrap/>
            <w:vAlign w:val="center"/>
          </w:tcPr>
          <w:p w14:paraId="238A45FA" w14:textId="323B50A2" w:rsidR="00CC7317" w:rsidRPr="00CC7317" w:rsidRDefault="00CC7317" w:rsidP="00CC7317">
            <w:pPr>
              <w:jc w:val="right"/>
              <w:rPr>
                <w:rFonts w:ascii="Georgia" w:hAnsi="Georgia" w:cs="Arial"/>
                <w:b/>
                <w:bCs/>
                <w:color w:val="404040" w:themeColor="text1" w:themeTint="BF"/>
                <w:sz w:val="19"/>
                <w:szCs w:val="19"/>
                <w:lang w:eastAsia="en-GB"/>
              </w:rPr>
            </w:pPr>
            <w:r w:rsidRPr="00CC7317">
              <w:rPr>
                <w:rFonts w:ascii="Georgia" w:hAnsi="Georgia"/>
                <w:b/>
                <w:color w:val="404040"/>
                <w:sz w:val="20"/>
              </w:rPr>
              <w:t>-</w:t>
            </w:r>
          </w:p>
        </w:tc>
        <w:tc>
          <w:tcPr>
            <w:tcW w:w="686" w:type="pct"/>
            <w:tcBorders>
              <w:top w:val="nil"/>
              <w:left w:val="nil"/>
              <w:bottom w:val="single" w:sz="4" w:space="0" w:color="auto"/>
              <w:right w:val="nil"/>
            </w:tcBorders>
            <w:shd w:val="clear" w:color="auto" w:fill="auto"/>
            <w:noWrap/>
            <w:vAlign w:val="center"/>
          </w:tcPr>
          <w:p w14:paraId="0AAB3D06" w14:textId="65F45D3D" w:rsidR="00CC7317" w:rsidRPr="00CC7317" w:rsidRDefault="00CC7317" w:rsidP="00CC7317">
            <w:pPr>
              <w:jc w:val="right"/>
              <w:rPr>
                <w:rFonts w:ascii="Georgia" w:hAnsi="Georgia" w:cs="Arial"/>
                <w:b/>
                <w:bCs/>
                <w:color w:val="404040" w:themeColor="text1" w:themeTint="BF"/>
                <w:sz w:val="19"/>
                <w:szCs w:val="19"/>
                <w:lang w:eastAsia="en-GB"/>
              </w:rPr>
            </w:pPr>
            <w:r w:rsidRPr="00CC7317">
              <w:rPr>
                <w:rFonts w:ascii="Georgia" w:hAnsi="Georgia"/>
                <w:b/>
                <w:color w:val="404040"/>
                <w:sz w:val="20"/>
              </w:rPr>
              <w:t>50,983</w:t>
            </w:r>
          </w:p>
        </w:tc>
        <w:tc>
          <w:tcPr>
            <w:tcW w:w="756" w:type="pct"/>
            <w:tcBorders>
              <w:top w:val="nil"/>
              <w:left w:val="nil"/>
              <w:bottom w:val="single" w:sz="4" w:space="0" w:color="auto"/>
              <w:right w:val="nil"/>
            </w:tcBorders>
            <w:shd w:val="clear" w:color="auto" w:fill="auto"/>
            <w:noWrap/>
            <w:vAlign w:val="center"/>
          </w:tcPr>
          <w:p w14:paraId="6650C14E" w14:textId="4384B598" w:rsidR="00CC7317" w:rsidRPr="00CC7317" w:rsidRDefault="00CB00EF" w:rsidP="00CC7317">
            <w:pPr>
              <w:jc w:val="right"/>
              <w:rPr>
                <w:rFonts w:ascii="Georgia" w:hAnsi="Georgia" w:cs="Arial"/>
                <w:b/>
                <w:bCs/>
                <w:color w:val="404040" w:themeColor="text1" w:themeTint="BF"/>
                <w:sz w:val="19"/>
                <w:szCs w:val="19"/>
                <w:lang w:eastAsia="en-GB"/>
              </w:rPr>
            </w:pPr>
            <w:r>
              <w:rPr>
                <w:rFonts w:ascii="Georgia" w:hAnsi="Georgia"/>
                <w:b/>
                <w:color w:val="404040"/>
                <w:sz w:val="20"/>
              </w:rPr>
              <w:t>418,996</w:t>
            </w:r>
          </w:p>
        </w:tc>
      </w:tr>
      <w:tr w:rsidR="00CC7317" w:rsidRPr="00894FC4" w14:paraId="4968EE66" w14:textId="77777777" w:rsidTr="00EF6D72">
        <w:trPr>
          <w:trHeight w:val="255"/>
        </w:trPr>
        <w:tc>
          <w:tcPr>
            <w:tcW w:w="1175" w:type="pct"/>
            <w:tcBorders>
              <w:top w:val="nil"/>
              <w:left w:val="nil"/>
              <w:bottom w:val="nil"/>
              <w:right w:val="nil"/>
            </w:tcBorders>
            <w:shd w:val="clear" w:color="auto" w:fill="auto"/>
            <w:noWrap/>
            <w:vAlign w:val="bottom"/>
          </w:tcPr>
          <w:p w14:paraId="0D57F8C0" w14:textId="77777777" w:rsidR="00CC7317" w:rsidRPr="00894FC4" w:rsidRDefault="00CC7317" w:rsidP="00CC7317">
            <w:pPr>
              <w:rPr>
                <w:rFonts w:ascii="Georgia" w:hAnsi="Georgia" w:cs="Arial"/>
                <w:b/>
                <w:bCs/>
                <w:color w:val="404040" w:themeColor="text1" w:themeTint="BF"/>
                <w:sz w:val="19"/>
                <w:szCs w:val="19"/>
                <w:lang w:eastAsia="en-GB"/>
              </w:rPr>
            </w:pPr>
          </w:p>
        </w:tc>
        <w:tc>
          <w:tcPr>
            <w:tcW w:w="374" w:type="pct"/>
            <w:tcBorders>
              <w:top w:val="nil"/>
              <w:left w:val="nil"/>
              <w:bottom w:val="nil"/>
              <w:right w:val="nil"/>
            </w:tcBorders>
            <w:shd w:val="clear" w:color="auto" w:fill="auto"/>
            <w:noWrap/>
            <w:vAlign w:val="bottom"/>
          </w:tcPr>
          <w:p w14:paraId="02EEA53C" w14:textId="77777777" w:rsidR="00CC7317" w:rsidRPr="00894FC4" w:rsidRDefault="00CC7317" w:rsidP="00CC7317">
            <w:pPr>
              <w:rPr>
                <w:rFonts w:ascii="Georgia" w:hAnsi="Georgia" w:cs="Arial"/>
                <w:b/>
                <w:bCs/>
                <w:color w:val="404040" w:themeColor="text1" w:themeTint="BF"/>
                <w:sz w:val="19"/>
                <w:szCs w:val="19"/>
                <w:lang w:eastAsia="en-GB"/>
              </w:rPr>
            </w:pPr>
          </w:p>
        </w:tc>
        <w:tc>
          <w:tcPr>
            <w:tcW w:w="733" w:type="pct"/>
            <w:tcBorders>
              <w:top w:val="nil"/>
              <w:left w:val="nil"/>
              <w:bottom w:val="nil"/>
              <w:right w:val="nil"/>
            </w:tcBorders>
            <w:shd w:val="clear" w:color="auto" w:fill="auto"/>
            <w:noWrap/>
            <w:vAlign w:val="center"/>
          </w:tcPr>
          <w:p w14:paraId="1845AD37" w14:textId="77777777" w:rsidR="00CC7317" w:rsidRPr="00894FC4" w:rsidRDefault="00CC7317" w:rsidP="00CC7317">
            <w:pPr>
              <w:jc w:val="right"/>
              <w:rPr>
                <w:rFonts w:ascii="Georgia" w:hAnsi="Georgia" w:cs="Arial"/>
                <w:b/>
                <w:bCs/>
                <w:color w:val="404040" w:themeColor="text1" w:themeTint="BF"/>
                <w:sz w:val="19"/>
                <w:szCs w:val="19"/>
                <w:lang w:eastAsia="en-GB"/>
              </w:rPr>
            </w:pPr>
          </w:p>
        </w:tc>
        <w:tc>
          <w:tcPr>
            <w:tcW w:w="714" w:type="pct"/>
            <w:tcBorders>
              <w:top w:val="nil"/>
              <w:left w:val="nil"/>
              <w:bottom w:val="nil"/>
              <w:right w:val="nil"/>
            </w:tcBorders>
          </w:tcPr>
          <w:p w14:paraId="4412D639" w14:textId="77777777" w:rsidR="00CC7317" w:rsidRPr="00CC7317" w:rsidRDefault="00CC7317" w:rsidP="00CC7317">
            <w:pPr>
              <w:jc w:val="right"/>
              <w:rPr>
                <w:rFonts w:ascii="Georgia" w:hAnsi="Georgia" w:cs="Arial"/>
                <w:color w:val="404040" w:themeColor="text1" w:themeTint="BF"/>
                <w:sz w:val="19"/>
                <w:szCs w:val="19"/>
                <w:lang w:eastAsia="en-GB"/>
              </w:rPr>
            </w:pPr>
          </w:p>
        </w:tc>
        <w:tc>
          <w:tcPr>
            <w:tcW w:w="562" w:type="pct"/>
            <w:tcBorders>
              <w:top w:val="nil"/>
              <w:left w:val="nil"/>
              <w:bottom w:val="nil"/>
              <w:right w:val="nil"/>
            </w:tcBorders>
            <w:shd w:val="clear" w:color="auto" w:fill="auto"/>
            <w:noWrap/>
            <w:vAlign w:val="center"/>
          </w:tcPr>
          <w:p w14:paraId="21B11EE0" w14:textId="77777777" w:rsidR="00CC7317" w:rsidRPr="00CC7317" w:rsidRDefault="00CC7317" w:rsidP="00CC7317">
            <w:pPr>
              <w:jc w:val="right"/>
              <w:rPr>
                <w:rFonts w:ascii="Georgia" w:hAnsi="Georgia" w:cs="Arial"/>
                <w:color w:val="404040" w:themeColor="text1" w:themeTint="BF"/>
                <w:sz w:val="19"/>
                <w:szCs w:val="19"/>
                <w:lang w:eastAsia="en-GB"/>
              </w:rPr>
            </w:pPr>
          </w:p>
        </w:tc>
        <w:tc>
          <w:tcPr>
            <w:tcW w:w="686" w:type="pct"/>
            <w:tcBorders>
              <w:top w:val="nil"/>
              <w:left w:val="nil"/>
              <w:bottom w:val="nil"/>
              <w:right w:val="nil"/>
            </w:tcBorders>
            <w:shd w:val="clear" w:color="auto" w:fill="auto"/>
            <w:noWrap/>
            <w:vAlign w:val="center"/>
          </w:tcPr>
          <w:p w14:paraId="22FA4CDF" w14:textId="77777777" w:rsidR="00CC7317" w:rsidRPr="00CC7317" w:rsidRDefault="00CC7317" w:rsidP="00CC7317">
            <w:pPr>
              <w:jc w:val="right"/>
              <w:rPr>
                <w:rFonts w:ascii="Georgia" w:hAnsi="Georgia" w:cs="Arial"/>
                <w:color w:val="404040" w:themeColor="text1" w:themeTint="BF"/>
                <w:sz w:val="19"/>
                <w:szCs w:val="19"/>
                <w:lang w:eastAsia="en-GB"/>
              </w:rPr>
            </w:pPr>
          </w:p>
        </w:tc>
        <w:tc>
          <w:tcPr>
            <w:tcW w:w="756" w:type="pct"/>
            <w:tcBorders>
              <w:top w:val="nil"/>
              <w:left w:val="nil"/>
              <w:bottom w:val="nil"/>
              <w:right w:val="nil"/>
            </w:tcBorders>
            <w:shd w:val="clear" w:color="auto" w:fill="auto"/>
            <w:noWrap/>
            <w:vAlign w:val="center"/>
          </w:tcPr>
          <w:p w14:paraId="7763C426" w14:textId="77777777" w:rsidR="00CC7317" w:rsidRPr="00CC7317" w:rsidRDefault="00CC7317" w:rsidP="00CC7317">
            <w:pPr>
              <w:jc w:val="right"/>
              <w:rPr>
                <w:rFonts w:ascii="Georgia" w:hAnsi="Georgia" w:cs="Arial"/>
                <w:color w:val="404040" w:themeColor="text1" w:themeTint="BF"/>
                <w:sz w:val="19"/>
                <w:szCs w:val="19"/>
                <w:lang w:eastAsia="en-GB"/>
              </w:rPr>
            </w:pPr>
          </w:p>
        </w:tc>
      </w:tr>
      <w:tr w:rsidR="00CC7317" w:rsidRPr="00894FC4" w14:paraId="437B51F6" w14:textId="77777777" w:rsidTr="00EF6D72">
        <w:trPr>
          <w:trHeight w:val="255"/>
        </w:trPr>
        <w:tc>
          <w:tcPr>
            <w:tcW w:w="1175" w:type="pct"/>
            <w:tcBorders>
              <w:top w:val="nil"/>
              <w:left w:val="nil"/>
              <w:bottom w:val="nil"/>
              <w:right w:val="nil"/>
            </w:tcBorders>
            <w:shd w:val="clear" w:color="auto" w:fill="auto"/>
            <w:noWrap/>
            <w:vAlign w:val="center"/>
          </w:tcPr>
          <w:p w14:paraId="598E9DFD" w14:textId="49CA8232" w:rsidR="00CC7317" w:rsidRPr="00894FC4" w:rsidRDefault="00CC7317" w:rsidP="00CC7317">
            <w:pPr>
              <w:rPr>
                <w:rFonts w:ascii="Georgia" w:hAnsi="Georgia" w:cs="Arial"/>
                <w:color w:val="404040" w:themeColor="text1" w:themeTint="BF"/>
                <w:sz w:val="19"/>
                <w:szCs w:val="19"/>
                <w:lang w:eastAsia="en-GB"/>
              </w:rPr>
            </w:pPr>
            <w:r w:rsidRPr="00894FC4">
              <w:rPr>
                <w:rFonts w:ascii="Georgia" w:hAnsi="Georgia" w:cs="Arial"/>
                <w:color w:val="404040" w:themeColor="text1" w:themeTint="BF"/>
                <w:sz w:val="19"/>
                <w:szCs w:val="19"/>
                <w:lang w:eastAsia="en-GB"/>
              </w:rPr>
              <w:t>Shares issued during the period:</w:t>
            </w:r>
          </w:p>
        </w:tc>
        <w:tc>
          <w:tcPr>
            <w:tcW w:w="374" w:type="pct"/>
            <w:tcBorders>
              <w:top w:val="nil"/>
              <w:left w:val="nil"/>
              <w:bottom w:val="nil"/>
              <w:right w:val="nil"/>
            </w:tcBorders>
            <w:shd w:val="clear" w:color="auto" w:fill="auto"/>
            <w:noWrap/>
            <w:vAlign w:val="center"/>
          </w:tcPr>
          <w:p w14:paraId="4F4FD212" w14:textId="77777777" w:rsidR="00CC7317" w:rsidRPr="00894FC4" w:rsidRDefault="00CC7317" w:rsidP="00CC7317">
            <w:pPr>
              <w:jc w:val="center"/>
              <w:rPr>
                <w:rFonts w:ascii="Calibri" w:hAnsi="Calibri" w:cs="Arial"/>
                <w:color w:val="404040" w:themeColor="text1" w:themeTint="BF"/>
                <w:sz w:val="19"/>
                <w:szCs w:val="19"/>
                <w:lang w:eastAsia="en-GB"/>
              </w:rPr>
            </w:pPr>
          </w:p>
        </w:tc>
        <w:tc>
          <w:tcPr>
            <w:tcW w:w="733" w:type="pct"/>
            <w:tcBorders>
              <w:top w:val="nil"/>
              <w:left w:val="nil"/>
              <w:bottom w:val="nil"/>
              <w:right w:val="nil"/>
            </w:tcBorders>
            <w:shd w:val="clear" w:color="auto" w:fill="auto"/>
            <w:noWrap/>
            <w:vAlign w:val="center"/>
          </w:tcPr>
          <w:p w14:paraId="443ACA3D" w14:textId="77777777" w:rsidR="00CC7317" w:rsidRPr="00894FC4" w:rsidRDefault="00CC7317" w:rsidP="00CC7317">
            <w:pPr>
              <w:jc w:val="right"/>
              <w:rPr>
                <w:rFonts w:ascii="Georgia" w:hAnsi="Georgia" w:cs="Arial"/>
                <w:color w:val="404040" w:themeColor="text1" w:themeTint="BF"/>
                <w:sz w:val="19"/>
                <w:szCs w:val="19"/>
                <w:lang w:eastAsia="en-GB"/>
              </w:rPr>
            </w:pPr>
          </w:p>
        </w:tc>
        <w:tc>
          <w:tcPr>
            <w:tcW w:w="714" w:type="pct"/>
            <w:tcBorders>
              <w:top w:val="nil"/>
              <w:left w:val="nil"/>
              <w:bottom w:val="nil"/>
              <w:right w:val="nil"/>
            </w:tcBorders>
          </w:tcPr>
          <w:p w14:paraId="1E6D6DDD" w14:textId="77777777" w:rsidR="00CC7317" w:rsidRPr="00CC7317" w:rsidRDefault="00CC7317" w:rsidP="00CC7317">
            <w:pPr>
              <w:jc w:val="right"/>
              <w:rPr>
                <w:rFonts w:ascii="Georgia" w:hAnsi="Georgia" w:cs="Arial"/>
                <w:color w:val="404040" w:themeColor="text1" w:themeTint="BF"/>
                <w:sz w:val="19"/>
                <w:szCs w:val="19"/>
                <w:lang w:eastAsia="en-GB"/>
              </w:rPr>
            </w:pPr>
          </w:p>
        </w:tc>
        <w:tc>
          <w:tcPr>
            <w:tcW w:w="562" w:type="pct"/>
            <w:tcBorders>
              <w:top w:val="nil"/>
              <w:left w:val="nil"/>
              <w:bottom w:val="nil"/>
              <w:right w:val="nil"/>
            </w:tcBorders>
            <w:shd w:val="clear" w:color="auto" w:fill="auto"/>
            <w:noWrap/>
            <w:vAlign w:val="center"/>
          </w:tcPr>
          <w:p w14:paraId="671C79BF" w14:textId="77777777" w:rsidR="00CC7317" w:rsidRPr="00CC7317" w:rsidRDefault="00CC7317" w:rsidP="00CC7317">
            <w:pPr>
              <w:jc w:val="right"/>
              <w:rPr>
                <w:rFonts w:ascii="Georgia" w:hAnsi="Georgia" w:cs="Arial"/>
                <w:color w:val="404040" w:themeColor="text1" w:themeTint="BF"/>
                <w:sz w:val="19"/>
                <w:szCs w:val="19"/>
                <w:lang w:eastAsia="en-GB"/>
              </w:rPr>
            </w:pPr>
          </w:p>
        </w:tc>
        <w:tc>
          <w:tcPr>
            <w:tcW w:w="686" w:type="pct"/>
            <w:tcBorders>
              <w:top w:val="nil"/>
              <w:left w:val="nil"/>
              <w:bottom w:val="nil"/>
              <w:right w:val="nil"/>
            </w:tcBorders>
            <w:shd w:val="clear" w:color="auto" w:fill="auto"/>
            <w:noWrap/>
            <w:vAlign w:val="center"/>
          </w:tcPr>
          <w:p w14:paraId="4A7772A5" w14:textId="77777777" w:rsidR="00CC7317" w:rsidRPr="00CC7317" w:rsidRDefault="00CC7317" w:rsidP="00CC7317">
            <w:pPr>
              <w:jc w:val="right"/>
              <w:rPr>
                <w:rFonts w:ascii="Georgia" w:hAnsi="Georgia" w:cs="Arial"/>
                <w:color w:val="404040" w:themeColor="text1" w:themeTint="BF"/>
                <w:sz w:val="19"/>
                <w:szCs w:val="19"/>
                <w:lang w:eastAsia="en-GB"/>
              </w:rPr>
            </w:pPr>
          </w:p>
        </w:tc>
        <w:tc>
          <w:tcPr>
            <w:tcW w:w="756" w:type="pct"/>
            <w:tcBorders>
              <w:top w:val="nil"/>
              <w:left w:val="nil"/>
              <w:bottom w:val="nil"/>
              <w:right w:val="nil"/>
            </w:tcBorders>
            <w:shd w:val="clear" w:color="auto" w:fill="auto"/>
            <w:noWrap/>
            <w:vAlign w:val="center"/>
          </w:tcPr>
          <w:p w14:paraId="6376111C" w14:textId="77777777" w:rsidR="00CC7317" w:rsidRPr="00CC7317" w:rsidRDefault="00CC7317" w:rsidP="00CC7317">
            <w:pPr>
              <w:jc w:val="right"/>
              <w:rPr>
                <w:rFonts w:ascii="Georgia" w:hAnsi="Georgia" w:cs="Arial"/>
                <w:color w:val="404040" w:themeColor="text1" w:themeTint="BF"/>
                <w:sz w:val="19"/>
                <w:szCs w:val="19"/>
                <w:lang w:eastAsia="en-GB"/>
              </w:rPr>
            </w:pPr>
          </w:p>
        </w:tc>
      </w:tr>
      <w:tr w:rsidR="00CC7317" w:rsidRPr="00894FC4" w14:paraId="475297CD" w14:textId="77777777" w:rsidTr="00EF6D72">
        <w:trPr>
          <w:trHeight w:val="255"/>
        </w:trPr>
        <w:tc>
          <w:tcPr>
            <w:tcW w:w="1175" w:type="pct"/>
            <w:tcBorders>
              <w:top w:val="nil"/>
              <w:left w:val="nil"/>
              <w:bottom w:val="nil"/>
              <w:right w:val="nil"/>
            </w:tcBorders>
            <w:shd w:val="clear" w:color="auto" w:fill="auto"/>
            <w:noWrap/>
            <w:vAlign w:val="center"/>
          </w:tcPr>
          <w:p w14:paraId="6D042EB2" w14:textId="698FE091" w:rsidR="00CC7317" w:rsidRPr="00894FC4" w:rsidRDefault="00CC7317" w:rsidP="00CC7317">
            <w:pPr>
              <w:rPr>
                <w:rFonts w:ascii="Georgia" w:hAnsi="Georgia" w:cs="Arial"/>
                <w:color w:val="404040" w:themeColor="text1" w:themeTint="BF"/>
                <w:sz w:val="19"/>
                <w:szCs w:val="19"/>
                <w:lang w:eastAsia="en-GB"/>
              </w:rPr>
            </w:pPr>
            <w:r w:rsidRPr="00894FC4">
              <w:rPr>
                <w:rFonts w:ascii="Georgia" w:hAnsi="Georgia" w:cs="Arial"/>
                <w:color w:val="404040" w:themeColor="text1" w:themeTint="BF"/>
                <w:sz w:val="19"/>
                <w:szCs w:val="19"/>
                <w:lang w:eastAsia="en-GB"/>
              </w:rPr>
              <w:t>Ordinary Shares</w:t>
            </w:r>
            <w:r>
              <w:rPr>
                <w:rFonts w:ascii="Georgia" w:hAnsi="Georgia" w:cs="Arial"/>
                <w:color w:val="404040" w:themeColor="text1" w:themeTint="BF"/>
                <w:sz w:val="19"/>
                <w:szCs w:val="19"/>
                <w:lang w:eastAsia="en-GB"/>
              </w:rPr>
              <w:t xml:space="preserve"> to be</w:t>
            </w:r>
            <w:r w:rsidRPr="00894FC4">
              <w:rPr>
                <w:rFonts w:ascii="Georgia" w:hAnsi="Georgia" w:cs="Arial"/>
                <w:color w:val="404040" w:themeColor="text1" w:themeTint="BF"/>
                <w:sz w:val="19"/>
                <w:szCs w:val="19"/>
                <w:lang w:eastAsia="en-GB"/>
              </w:rPr>
              <w:t xml:space="preserve"> issued in settlement of variable fee</w:t>
            </w:r>
          </w:p>
        </w:tc>
        <w:tc>
          <w:tcPr>
            <w:tcW w:w="374" w:type="pct"/>
            <w:tcBorders>
              <w:top w:val="nil"/>
              <w:left w:val="nil"/>
              <w:bottom w:val="nil"/>
              <w:right w:val="nil"/>
            </w:tcBorders>
            <w:shd w:val="clear" w:color="auto" w:fill="auto"/>
            <w:noWrap/>
            <w:vAlign w:val="center"/>
          </w:tcPr>
          <w:p w14:paraId="548044D2" w14:textId="5360F93A" w:rsidR="00CC7317" w:rsidRPr="00894FC4" w:rsidRDefault="00CC7317" w:rsidP="00CC7317">
            <w:pPr>
              <w:jc w:val="center"/>
              <w:rPr>
                <w:rFonts w:ascii="Georgia" w:hAnsi="Georgia" w:cs="Arial"/>
                <w:b/>
                <w:bCs/>
                <w:color w:val="404040" w:themeColor="text1" w:themeTint="BF"/>
                <w:sz w:val="19"/>
                <w:szCs w:val="19"/>
                <w:lang w:eastAsia="en-GB"/>
              </w:rPr>
            </w:pPr>
            <w:r>
              <w:rPr>
                <w:rFonts w:ascii="Georgia" w:hAnsi="Georgia" w:cs="Arial"/>
                <w:b/>
                <w:bCs/>
                <w:color w:val="404040" w:themeColor="text1" w:themeTint="BF"/>
                <w:sz w:val="19"/>
                <w:szCs w:val="19"/>
                <w:lang w:eastAsia="en-GB"/>
              </w:rPr>
              <w:t>16</w:t>
            </w:r>
          </w:p>
        </w:tc>
        <w:tc>
          <w:tcPr>
            <w:tcW w:w="733" w:type="pct"/>
            <w:tcBorders>
              <w:top w:val="nil"/>
              <w:left w:val="nil"/>
              <w:bottom w:val="nil"/>
              <w:right w:val="nil"/>
            </w:tcBorders>
            <w:shd w:val="clear" w:color="auto" w:fill="auto"/>
            <w:noWrap/>
            <w:vAlign w:val="center"/>
          </w:tcPr>
          <w:p w14:paraId="57DD0454" w14:textId="7C65C912" w:rsidR="00CC7317" w:rsidRPr="00894FC4" w:rsidRDefault="00CC7317" w:rsidP="00CC7317">
            <w:pPr>
              <w:jc w:val="right"/>
              <w:rPr>
                <w:rFonts w:ascii="Georgia" w:hAnsi="Georgia"/>
                <w:color w:val="404040"/>
                <w:sz w:val="20"/>
              </w:rPr>
            </w:pPr>
            <w:r>
              <w:rPr>
                <w:rFonts w:ascii="Georgia" w:hAnsi="Georgia" w:cs="Arial"/>
                <w:color w:val="333333"/>
                <w:sz w:val="20"/>
                <w:szCs w:val="20"/>
              </w:rPr>
              <w:t>-</w:t>
            </w:r>
          </w:p>
        </w:tc>
        <w:tc>
          <w:tcPr>
            <w:tcW w:w="714" w:type="pct"/>
            <w:tcBorders>
              <w:top w:val="nil"/>
              <w:left w:val="nil"/>
              <w:bottom w:val="nil"/>
              <w:right w:val="nil"/>
            </w:tcBorders>
            <w:vAlign w:val="center"/>
          </w:tcPr>
          <w:p w14:paraId="54FBF4C3" w14:textId="0DFDB61B" w:rsidR="00CC7317" w:rsidRPr="00CC7317" w:rsidRDefault="00CC7317" w:rsidP="00CC7317">
            <w:pPr>
              <w:jc w:val="right"/>
              <w:rPr>
                <w:rFonts w:ascii="Georgia" w:hAnsi="Georgia" w:cs="Arial"/>
                <w:color w:val="404040"/>
                <w:sz w:val="20"/>
                <w:szCs w:val="20"/>
              </w:rPr>
            </w:pPr>
            <w:r w:rsidRPr="00CC7317">
              <w:rPr>
                <w:rFonts w:ascii="Georgia" w:hAnsi="Georgia" w:cs="Arial"/>
                <w:color w:val="404040"/>
                <w:sz w:val="20"/>
                <w:szCs w:val="20"/>
              </w:rPr>
              <w:t>-</w:t>
            </w:r>
          </w:p>
        </w:tc>
        <w:tc>
          <w:tcPr>
            <w:tcW w:w="562" w:type="pct"/>
            <w:tcBorders>
              <w:top w:val="nil"/>
              <w:left w:val="nil"/>
              <w:bottom w:val="nil"/>
              <w:right w:val="nil"/>
            </w:tcBorders>
            <w:shd w:val="clear" w:color="auto" w:fill="auto"/>
            <w:noWrap/>
            <w:vAlign w:val="center"/>
          </w:tcPr>
          <w:p w14:paraId="60E9CC68" w14:textId="0374DB8C" w:rsidR="00CC7317" w:rsidRPr="00CC7317" w:rsidRDefault="00CC7317" w:rsidP="00CC7317">
            <w:pPr>
              <w:jc w:val="right"/>
              <w:rPr>
                <w:rFonts w:ascii="Georgia" w:hAnsi="Georgia" w:cs="Arial"/>
                <w:color w:val="404040"/>
                <w:sz w:val="20"/>
                <w:szCs w:val="20"/>
              </w:rPr>
            </w:pPr>
            <w:r w:rsidRPr="00CC7317">
              <w:rPr>
                <w:rFonts w:ascii="Georgia" w:hAnsi="Georgia" w:cs="Arial"/>
                <w:color w:val="404040"/>
                <w:sz w:val="20"/>
                <w:szCs w:val="20"/>
              </w:rPr>
              <w:t>699</w:t>
            </w:r>
          </w:p>
        </w:tc>
        <w:tc>
          <w:tcPr>
            <w:tcW w:w="686" w:type="pct"/>
            <w:tcBorders>
              <w:top w:val="nil"/>
              <w:left w:val="nil"/>
              <w:bottom w:val="nil"/>
              <w:right w:val="nil"/>
            </w:tcBorders>
            <w:shd w:val="clear" w:color="auto" w:fill="auto"/>
            <w:noWrap/>
            <w:vAlign w:val="center"/>
          </w:tcPr>
          <w:p w14:paraId="04539D62" w14:textId="578A7E8F" w:rsidR="00CC7317" w:rsidRPr="00CC7317" w:rsidRDefault="00CC7317" w:rsidP="00CC7317">
            <w:pPr>
              <w:jc w:val="right"/>
              <w:rPr>
                <w:rFonts w:ascii="Georgia" w:hAnsi="Georgia"/>
                <w:color w:val="404040"/>
                <w:sz w:val="20"/>
              </w:rPr>
            </w:pPr>
            <w:r w:rsidRPr="00CC7317">
              <w:rPr>
                <w:rFonts w:ascii="Georgia" w:hAnsi="Georgia"/>
                <w:color w:val="404040"/>
                <w:sz w:val="20"/>
              </w:rPr>
              <w:t>-</w:t>
            </w:r>
          </w:p>
        </w:tc>
        <w:tc>
          <w:tcPr>
            <w:tcW w:w="756" w:type="pct"/>
            <w:tcBorders>
              <w:top w:val="nil"/>
              <w:left w:val="nil"/>
              <w:bottom w:val="nil"/>
              <w:right w:val="nil"/>
            </w:tcBorders>
            <w:shd w:val="clear" w:color="auto" w:fill="auto"/>
            <w:noWrap/>
            <w:vAlign w:val="center"/>
          </w:tcPr>
          <w:p w14:paraId="16C965C9" w14:textId="0CF10D45" w:rsidR="00CC7317" w:rsidRPr="00CC7317" w:rsidRDefault="00CC7317" w:rsidP="00CC7317">
            <w:pPr>
              <w:jc w:val="right"/>
              <w:rPr>
                <w:rFonts w:ascii="Georgia" w:hAnsi="Georgia" w:cs="Arial"/>
                <w:color w:val="404040"/>
                <w:sz w:val="20"/>
                <w:szCs w:val="20"/>
              </w:rPr>
            </w:pPr>
            <w:r w:rsidRPr="00CC7317">
              <w:rPr>
                <w:rFonts w:ascii="Georgia" w:hAnsi="Georgia" w:cs="Arial"/>
                <w:color w:val="404040"/>
                <w:sz w:val="20"/>
                <w:szCs w:val="20"/>
              </w:rPr>
              <w:t>699</w:t>
            </w:r>
          </w:p>
        </w:tc>
      </w:tr>
      <w:tr w:rsidR="00CC7317" w:rsidRPr="009C7A45" w14:paraId="4A60E295" w14:textId="77777777" w:rsidTr="00EF6D72">
        <w:trPr>
          <w:trHeight w:val="255"/>
        </w:trPr>
        <w:tc>
          <w:tcPr>
            <w:tcW w:w="1175" w:type="pct"/>
            <w:tcBorders>
              <w:top w:val="nil"/>
              <w:left w:val="nil"/>
              <w:bottom w:val="nil"/>
              <w:right w:val="nil"/>
            </w:tcBorders>
            <w:shd w:val="clear" w:color="auto" w:fill="auto"/>
            <w:noWrap/>
            <w:vAlign w:val="center"/>
          </w:tcPr>
          <w:p w14:paraId="46966DC3" w14:textId="50D51365" w:rsidR="00CC7317" w:rsidRPr="00894FC4" w:rsidRDefault="00CC7317" w:rsidP="00CC7317">
            <w:pPr>
              <w:rPr>
                <w:rFonts w:ascii="Georgia" w:hAnsi="Georgia" w:cs="Arial"/>
                <w:color w:val="404040" w:themeColor="text1" w:themeTint="BF"/>
                <w:sz w:val="19"/>
                <w:szCs w:val="19"/>
                <w:lang w:eastAsia="en-GB"/>
              </w:rPr>
            </w:pPr>
            <w:r w:rsidRPr="00894FC4">
              <w:rPr>
                <w:rFonts w:ascii="Georgia" w:hAnsi="Georgia" w:cs="Arial"/>
                <w:color w:val="404040" w:themeColor="text1" w:themeTint="BF"/>
                <w:sz w:val="19"/>
                <w:szCs w:val="19"/>
                <w:lang w:eastAsia="en-GB"/>
              </w:rPr>
              <w:t>Dividends paid</w:t>
            </w:r>
          </w:p>
        </w:tc>
        <w:tc>
          <w:tcPr>
            <w:tcW w:w="374" w:type="pct"/>
            <w:tcBorders>
              <w:top w:val="nil"/>
              <w:left w:val="nil"/>
              <w:bottom w:val="nil"/>
              <w:right w:val="nil"/>
            </w:tcBorders>
            <w:shd w:val="clear" w:color="auto" w:fill="auto"/>
            <w:noWrap/>
            <w:vAlign w:val="center"/>
          </w:tcPr>
          <w:p w14:paraId="13FDA6F6" w14:textId="0EE70B81" w:rsidR="00CC7317" w:rsidRPr="00894FC4" w:rsidRDefault="00CC7317" w:rsidP="00CC7317">
            <w:pPr>
              <w:jc w:val="center"/>
              <w:rPr>
                <w:rFonts w:ascii="Georgia" w:hAnsi="Georgia" w:cs="Arial"/>
                <w:b/>
                <w:bCs/>
                <w:color w:val="404040" w:themeColor="text1" w:themeTint="BF"/>
                <w:sz w:val="19"/>
                <w:szCs w:val="19"/>
                <w:lang w:eastAsia="en-GB"/>
              </w:rPr>
            </w:pPr>
            <w:r w:rsidRPr="00894FC4">
              <w:rPr>
                <w:rFonts w:ascii="Georgia" w:hAnsi="Georgia" w:cs="Arial"/>
                <w:b/>
                <w:bCs/>
                <w:color w:val="404040" w:themeColor="text1" w:themeTint="BF"/>
                <w:sz w:val="19"/>
                <w:szCs w:val="19"/>
                <w:lang w:eastAsia="en-GB"/>
              </w:rPr>
              <w:t>13,14</w:t>
            </w:r>
          </w:p>
        </w:tc>
        <w:tc>
          <w:tcPr>
            <w:tcW w:w="733" w:type="pct"/>
            <w:tcBorders>
              <w:top w:val="nil"/>
              <w:left w:val="nil"/>
              <w:bottom w:val="nil"/>
              <w:right w:val="nil"/>
            </w:tcBorders>
            <w:shd w:val="clear" w:color="auto" w:fill="auto"/>
            <w:noWrap/>
            <w:vAlign w:val="center"/>
          </w:tcPr>
          <w:p w14:paraId="04FAEC09" w14:textId="336D7B07" w:rsidR="00CC7317" w:rsidRPr="00894FC4" w:rsidRDefault="00CC7317" w:rsidP="00CC7317">
            <w:pPr>
              <w:jc w:val="right"/>
              <w:rPr>
                <w:rFonts w:ascii="Georgia" w:hAnsi="Georgia"/>
                <w:color w:val="404040"/>
                <w:sz w:val="20"/>
              </w:rPr>
            </w:pPr>
            <w:r w:rsidRPr="00894FC4">
              <w:rPr>
                <w:rFonts w:ascii="Georgia" w:hAnsi="Georgia"/>
                <w:color w:val="404040"/>
                <w:sz w:val="20"/>
              </w:rPr>
              <w:t>-</w:t>
            </w:r>
          </w:p>
        </w:tc>
        <w:tc>
          <w:tcPr>
            <w:tcW w:w="714" w:type="pct"/>
            <w:tcBorders>
              <w:top w:val="nil"/>
              <w:left w:val="nil"/>
              <w:bottom w:val="nil"/>
              <w:right w:val="nil"/>
            </w:tcBorders>
            <w:vAlign w:val="center"/>
          </w:tcPr>
          <w:p w14:paraId="293DBF62" w14:textId="316276F6" w:rsidR="00CC7317" w:rsidRPr="00CC7317" w:rsidRDefault="00CC7317" w:rsidP="00CC7317">
            <w:pPr>
              <w:jc w:val="right"/>
              <w:rPr>
                <w:rFonts w:ascii="Georgia" w:hAnsi="Georgia" w:cs="Arial"/>
                <w:color w:val="404040"/>
                <w:sz w:val="20"/>
                <w:szCs w:val="20"/>
              </w:rPr>
            </w:pPr>
            <w:r w:rsidRPr="00CC7317">
              <w:rPr>
                <w:rFonts w:ascii="Georgia" w:hAnsi="Georgia" w:cs="Arial"/>
                <w:color w:val="404040"/>
                <w:sz w:val="20"/>
                <w:szCs w:val="20"/>
              </w:rPr>
              <w:t>-</w:t>
            </w:r>
          </w:p>
        </w:tc>
        <w:tc>
          <w:tcPr>
            <w:tcW w:w="562" w:type="pct"/>
            <w:tcBorders>
              <w:top w:val="nil"/>
              <w:left w:val="nil"/>
              <w:bottom w:val="nil"/>
              <w:right w:val="nil"/>
            </w:tcBorders>
            <w:shd w:val="clear" w:color="auto" w:fill="auto"/>
            <w:noWrap/>
            <w:vAlign w:val="center"/>
          </w:tcPr>
          <w:p w14:paraId="40E3C939" w14:textId="5DC3AF0C" w:rsidR="00CC7317" w:rsidRPr="00CC7317" w:rsidRDefault="00CC7317" w:rsidP="00CC7317">
            <w:pPr>
              <w:jc w:val="right"/>
              <w:rPr>
                <w:rFonts w:ascii="Georgia" w:hAnsi="Georgia"/>
                <w:color w:val="404040"/>
                <w:sz w:val="20"/>
              </w:rPr>
            </w:pPr>
            <w:r w:rsidRPr="00CC7317">
              <w:rPr>
                <w:rFonts w:ascii="Georgia" w:hAnsi="Georgia"/>
                <w:color w:val="404040"/>
                <w:sz w:val="20"/>
              </w:rPr>
              <w:t>-</w:t>
            </w:r>
          </w:p>
        </w:tc>
        <w:tc>
          <w:tcPr>
            <w:tcW w:w="686" w:type="pct"/>
            <w:tcBorders>
              <w:top w:val="nil"/>
              <w:left w:val="nil"/>
              <w:bottom w:val="nil"/>
              <w:right w:val="nil"/>
            </w:tcBorders>
            <w:shd w:val="clear" w:color="auto" w:fill="auto"/>
            <w:noWrap/>
            <w:vAlign w:val="bottom"/>
          </w:tcPr>
          <w:p w14:paraId="7DAB7981" w14:textId="4C55C0F7" w:rsidR="00CC7317" w:rsidRPr="00CC7317" w:rsidRDefault="00CC7317" w:rsidP="00CB00EF">
            <w:pPr>
              <w:jc w:val="right"/>
              <w:rPr>
                <w:rFonts w:ascii="Georgia" w:hAnsi="Georgia"/>
                <w:color w:val="404040"/>
                <w:sz w:val="20"/>
              </w:rPr>
            </w:pPr>
            <w:r w:rsidRPr="00CC7317">
              <w:rPr>
                <w:rFonts w:ascii="Georgia" w:hAnsi="Georgia" w:cs="Arial"/>
                <w:color w:val="333333"/>
                <w:sz w:val="20"/>
                <w:szCs w:val="20"/>
              </w:rPr>
              <w:t>(28,22</w:t>
            </w:r>
            <w:r w:rsidR="00CB00EF">
              <w:rPr>
                <w:rFonts w:ascii="Georgia" w:hAnsi="Georgia" w:cs="Arial"/>
                <w:color w:val="333333"/>
                <w:sz w:val="20"/>
                <w:szCs w:val="20"/>
              </w:rPr>
              <w:t>4</w:t>
            </w:r>
            <w:r w:rsidRPr="00CC7317">
              <w:rPr>
                <w:rFonts w:ascii="Georgia" w:hAnsi="Georgia" w:cs="Arial"/>
                <w:color w:val="333333"/>
                <w:sz w:val="20"/>
                <w:szCs w:val="20"/>
              </w:rPr>
              <w:t>)</w:t>
            </w:r>
          </w:p>
        </w:tc>
        <w:tc>
          <w:tcPr>
            <w:tcW w:w="756" w:type="pct"/>
            <w:tcBorders>
              <w:top w:val="nil"/>
              <w:left w:val="nil"/>
              <w:bottom w:val="nil"/>
              <w:right w:val="nil"/>
            </w:tcBorders>
            <w:shd w:val="clear" w:color="auto" w:fill="auto"/>
            <w:noWrap/>
            <w:vAlign w:val="bottom"/>
          </w:tcPr>
          <w:p w14:paraId="366135FC" w14:textId="575A9DF5" w:rsidR="00CC7317" w:rsidRPr="00CC7317" w:rsidRDefault="00CC7317" w:rsidP="00CC7317">
            <w:pPr>
              <w:jc w:val="right"/>
              <w:rPr>
                <w:rFonts w:ascii="Georgia" w:hAnsi="Georgia"/>
                <w:color w:val="404040"/>
                <w:sz w:val="20"/>
              </w:rPr>
            </w:pPr>
            <w:r w:rsidRPr="00CC7317">
              <w:rPr>
                <w:rFonts w:ascii="Georgia" w:hAnsi="Georgia" w:cs="Arial"/>
                <w:color w:val="333333"/>
                <w:sz w:val="20"/>
                <w:szCs w:val="20"/>
              </w:rPr>
              <w:t>(</w:t>
            </w:r>
            <w:r w:rsidR="00CB00EF">
              <w:rPr>
                <w:rFonts w:ascii="Georgia" w:hAnsi="Georgia" w:cs="Arial"/>
                <w:color w:val="333333"/>
                <w:sz w:val="20"/>
                <w:szCs w:val="20"/>
              </w:rPr>
              <w:t>28,224</w:t>
            </w:r>
            <w:r w:rsidRPr="00CC7317">
              <w:rPr>
                <w:rFonts w:ascii="Georgia" w:hAnsi="Georgia" w:cs="Arial"/>
                <w:color w:val="333333"/>
                <w:sz w:val="20"/>
                <w:szCs w:val="20"/>
              </w:rPr>
              <w:t>)</w:t>
            </w:r>
          </w:p>
        </w:tc>
      </w:tr>
      <w:tr w:rsidR="00CC7317" w:rsidRPr="009C7A45" w14:paraId="0539BF1D" w14:textId="77777777" w:rsidTr="00EF6D72">
        <w:trPr>
          <w:trHeight w:val="510"/>
        </w:trPr>
        <w:tc>
          <w:tcPr>
            <w:tcW w:w="1175" w:type="pct"/>
            <w:tcBorders>
              <w:top w:val="nil"/>
              <w:left w:val="nil"/>
              <w:bottom w:val="nil"/>
              <w:right w:val="nil"/>
            </w:tcBorders>
            <w:shd w:val="clear" w:color="auto" w:fill="auto"/>
            <w:vAlign w:val="center"/>
          </w:tcPr>
          <w:p w14:paraId="01E14666" w14:textId="061DAAB6" w:rsidR="00CC7317" w:rsidRPr="009306C8" w:rsidRDefault="00CC7317" w:rsidP="00CC7317">
            <w:pPr>
              <w:rPr>
                <w:rFonts w:ascii="Georgia" w:hAnsi="Georgia" w:cs="Arial"/>
                <w:color w:val="404040" w:themeColor="text1" w:themeTint="BF"/>
                <w:sz w:val="19"/>
                <w:szCs w:val="19"/>
                <w:lang w:eastAsia="en-GB"/>
              </w:rPr>
            </w:pPr>
            <w:r w:rsidRPr="00E42A95">
              <w:rPr>
                <w:rFonts w:ascii="Georgia" w:hAnsi="Georgia" w:cs="Arial"/>
                <w:color w:val="404040" w:themeColor="text1" w:themeTint="BF"/>
                <w:sz w:val="19"/>
                <w:szCs w:val="19"/>
                <w:lang w:eastAsia="en-GB"/>
              </w:rPr>
              <w:t>Total comprehensive income for the period</w:t>
            </w:r>
          </w:p>
        </w:tc>
        <w:tc>
          <w:tcPr>
            <w:tcW w:w="374" w:type="pct"/>
            <w:tcBorders>
              <w:top w:val="nil"/>
              <w:left w:val="nil"/>
              <w:bottom w:val="nil"/>
              <w:right w:val="nil"/>
            </w:tcBorders>
            <w:shd w:val="clear" w:color="auto" w:fill="auto"/>
            <w:noWrap/>
            <w:vAlign w:val="center"/>
          </w:tcPr>
          <w:p w14:paraId="3A56697B" w14:textId="77777777" w:rsidR="00CC7317" w:rsidRPr="009306C8" w:rsidRDefault="00CC7317" w:rsidP="00CC7317">
            <w:pPr>
              <w:jc w:val="center"/>
              <w:rPr>
                <w:rFonts w:ascii="Georgia" w:hAnsi="Georgia" w:cs="Arial"/>
                <w:color w:val="404040" w:themeColor="text1" w:themeTint="BF"/>
                <w:sz w:val="19"/>
                <w:szCs w:val="19"/>
                <w:lang w:eastAsia="en-GB"/>
              </w:rPr>
            </w:pPr>
          </w:p>
        </w:tc>
        <w:tc>
          <w:tcPr>
            <w:tcW w:w="733" w:type="pct"/>
            <w:tcBorders>
              <w:top w:val="nil"/>
              <w:left w:val="nil"/>
              <w:bottom w:val="nil"/>
              <w:right w:val="nil"/>
            </w:tcBorders>
            <w:shd w:val="clear" w:color="auto" w:fill="auto"/>
            <w:noWrap/>
            <w:vAlign w:val="center"/>
          </w:tcPr>
          <w:p w14:paraId="201976E5" w14:textId="71268AFE" w:rsidR="00CC7317" w:rsidRPr="00E46777" w:rsidRDefault="00CC7317" w:rsidP="00CC7317">
            <w:pPr>
              <w:jc w:val="right"/>
              <w:rPr>
                <w:rFonts w:ascii="Georgia" w:hAnsi="Georgia"/>
                <w:color w:val="404040"/>
                <w:sz w:val="20"/>
              </w:rPr>
            </w:pPr>
            <w:r w:rsidRPr="00E46777">
              <w:rPr>
                <w:rFonts w:ascii="Georgia" w:hAnsi="Georgia"/>
                <w:color w:val="404040"/>
                <w:sz w:val="20"/>
              </w:rPr>
              <w:t>-</w:t>
            </w:r>
          </w:p>
        </w:tc>
        <w:tc>
          <w:tcPr>
            <w:tcW w:w="714" w:type="pct"/>
            <w:tcBorders>
              <w:top w:val="nil"/>
              <w:left w:val="nil"/>
              <w:bottom w:val="nil"/>
              <w:right w:val="nil"/>
            </w:tcBorders>
            <w:vAlign w:val="center"/>
          </w:tcPr>
          <w:p w14:paraId="0BF2E631" w14:textId="7545AE5D" w:rsidR="00CC7317" w:rsidRPr="00CC7317" w:rsidRDefault="00CC7317" w:rsidP="00CC7317">
            <w:pPr>
              <w:jc w:val="right"/>
              <w:rPr>
                <w:rFonts w:ascii="Georgia" w:hAnsi="Georgia"/>
                <w:color w:val="404040"/>
                <w:sz w:val="20"/>
              </w:rPr>
            </w:pPr>
            <w:r w:rsidRPr="00CC7317">
              <w:rPr>
                <w:rFonts w:ascii="Georgia" w:hAnsi="Georgia"/>
                <w:color w:val="404040"/>
                <w:sz w:val="20"/>
              </w:rPr>
              <w:t>-</w:t>
            </w:r>
          </w:p>
        </w:tc>
        <w:tc>
          <w:tcPr>
            <w:tcW w:w="562" w:type="pct"/>
            <w:tcBorders>
              <w:top w:val="nil"/>
              <w:left w:val="nil"/>
              <w:bottom w:val="nil"/>
              <w:right w:val="nil"/>
            </w:tcBorders>
            <w:shd w:val="clear" w:color="auto" w:fill="auto"/>
            <w:noWrap/>
            <w:vAlign w:val="center"/>
          </w:tcPr>
          <w:p w14:paraId="0075A5B8" w14:textId="49C0F6BE" w:rsidR="00CC7317" w:rsidRPr="00CC7317" w:rsidRDefault="00CC7317" w:rsidP="00CC7317">
            <w:pPr>
              <w:jc w:val="right"/>
              <w:rPr>
                <w:rFonts w:ascii="Georgia" w:hAnsi="Georgia"/>
                <w:color w:val="404040"/>
                <w:sz w:val="20"/>
              </w:rPr>
            </w:pPr>
            <w:r w:rsidRPr="00CC7317">
              <w:rPr>
                <w:rFonts w:ascii="Georgia" w:hAnsi="Georgia"/>
                <w:color w:val="404040"/>
                <w:sz w:val="20"/>
              </w:rPr>
              <w:t>-</w:t>
            </w:r>
          </w:p>
        </w:tc>
        <w:tc>
          <w:tcPr>
            <w:tcW w:w="686" w:type="pct"/>
            <w:tcBorders>
              <w:top w:val="nil"/>
              <w:left w:val="nil"/>
              <w:bottom w:val="nil"/>
              <w:right w:val="nil"/>
            </w:tcBorders>
            <w:shd w:val="clear" w:color="auto" w:fill="auto"/>
            <w:noWrap/>
            <w:vAlign w:val="center"/>
          </w:tcPr>
          <w:p w14:paraId="3C6334FF" w14:textId="06A39B9F" w:rsidR="00CC7317" w:rsidRPr="00CC7317" w:rsidRDefault="00CC7317" w:rsidP="00CC7317">
            <w:pPr>
              <w:jc w:val="right"/>
              <w:rPr>
                <w:rFonts w:ascii="Georgia" w:hAnsi="Georgia"/>
                <w:color w:val="404040"/>
                <w:sz w:val="20"/>
              </w:rPr>
            </w:pPr>
            <w:r w:rsidRPr="00CC7317">
              <w:rPr>
                <w:rFonts w:ascii="Georgia" w:hAnsi="Georgia" w:cs="Arial"/>
                <w:color w:val="333333"/>
                <w:sz w:val="20"/>
                <w:szCs w:val="20"/>
              </w:rPr>
              <w:t>44,925</w:t>
            </w:r>
          </w:p>
        </w:tc>
        <w:tc>
          <w:tcPr>
            <w:tcW w:w="756" w:type="pct"/>
            <w:tcBorders>
              <w:top w:val="nil"/>
              <w:left w:val="nil"/>
              <w:bottom w:val="nil"/>
              <w:right w:val="nil"/>
            </w:tcBorders>
            <w:shd w:val="clear" w:color="auto" w:fill="auto"/>
            <w:noWrap/>
            <w:vAlign w:val="center"/>
          </w:tcPr>
          <w:p w14:paraId="44F4FA79" w14:textId="072660E6" w:rsidR="00CC7317" w:rsidRPr="00CC7317" w:rsidRDefault="00CC7317" w:rsidP="00CC7317">
            <w:pPr>
              <w:jc w:val="right"/>
              <w:rPr>
                <w:rFonts w:ascii="Georgia" w:hAnsi="Georgia"/>
                <w:color w:val="404040"/>
                <w:sz w:val="20"/>
              </w:rPr>
            </w:pPr>
            <w:r w:rsidRPr="00CC7317">
              <w:rPr>
                <w:rFonts w:ascii="Georgia" w:hAnsi="Georgia" w:cs="Arial"/>
                <w:color w:val="333333"/>
                <w:sz w:val="20"/>
                <w:szCs w:val="20"/>
              </w:rPr>
              <w:t>44,925</w:t>
            </w:r>
          </w:p>
        </w:tc>
      </w:tr>
      <w:tr w:rsidR="00031D43" w:rsidRPr="009C7A45" w14:paraId="15D5615A" w14:textId="77777777" w:rsidTr="00EF6D72">
        <w:trPr>
          <w:trHeight w:val="525"/>
        </w:trPr>
        <w:tc>
          <w:tcPr>
            <w:tcW w:w="1175" w:type="pct"/>
            <w:tcBorders>
              <w:top w:val="single" w:sz="4" w:space="0" w:color="auto"/>
              <w:left w:val="nil"/>
              <w:bottom w:val="single" w:sz="12" w:space="0" w:color="auto"/>
              <w:right w:val="nil"/>
            </w:tcBorders>
            <w:shd w:val="clear" w:color="auto" w:fill="auto"/>
            <w:vAlign w:val="center"/>
          </w:tcPr>
          <w:p w14:paraId="13657622" w14:textId="24737D7E" w:rsidR="00CC7317" w:rsidRPr="009306C8" w:rsidRDefault="00CC7317" w:rsidP="00CC7317">
            <w:pPr>
              <w:rPr>
                <w:rFonts w:ascii="Georgia" w:hAnsi="Georgia" w:cs="Arial"/>
                <w:b/>
                <w:bCs/>
                <w:color w:val="404040" w:themeColor="text1" w:themeTint="BF"/>
                <w:sz w:val="19"/>
                <w:szCs w:val="19"/>
                <w:lang w:eastAsia="en-GB"/>
              </w:rPr>
            </w:pPr>
            <w:r w:rsidRPr="00E42A95">
              <w:rPr>
                <w:rFonts w:ascii="Georgia" w:hAnsi="Georgia" w:cs="Arial"/>
                <w:b/>
                <w:bCs/>
                <w:color w:val="404040" w:themeColor="text1" w:themeTint="BF"/>
                <w:sz w:val="19"/>
                <w:szCs w:val="19"/>
                <w:lang w:eastAsia="en-GB"/>
              </w:rPr>
              <w:t>Share</w:t>
            </w:r>
            <w:r>
              <w:rPr>
                <w:rFonts w:ascii="Georgia" w:hAnsi="Georgia" w:cs="Arial"/>
                <w:b/>
                <w:bCs/>
                <w:color w:val="404040" w:themeColor="text1" w:themeTint="BF"/>
                <w:sz w:val="19"/>
                <w:szCs w:val="19"/>
                <w:lang w:eastAsia="en-GB"/>
              </w:rPr>
              <w:t xml:space="preserve">holders' equity at </w:t>
            </w:r>
            <w:r>
              <w:rPr>
                <w:rFonts w:ascii="Georgia" w:hAnsi="Georgia" w:cs="Arial"/>
                <w:b/>
                <w:bCs/>
                <w:color w:val="404040" w:themeColor="text1" w:themeTint="BF"/>
                <w:sz w:val="19"/>
                <w:szCs w:val="19"/>
                <w:lang w:eastAsia="en-GB"/>
              </w:rPr>
              <w:br/>
              <w:t>30 June 2019</w:t>
            </w:r>
          </w:p>
        </w:tc>
        <w:tc>
          <w:tcPr>
            <w:tcW w:w="374" w:type="pct"/>
            <w:tcBorders>
              <w:top w:val="single" w:sz="4" w:space="0" w:color="auto"/>
              <w:left w:val="nil"/>
              <w:bottom w:val="single" w:sz="12" w:space="0" w:color="auto"/>
              <w:right w:val="nil"/>
            </w:tcBorders>
            <w:shd w:val="clear" w:color="auto" w:fill="auto"/>
            <w:noWrap/>
            <w:vAlign w:val="center"/>
          </w:tcPr>
          <w:p w14:paraId="3671AB7A" w14:textId="726A17EB" w:rsidR="00CC7317" w:rsidRPr="009306C8" w:rsidRDefault="00CC7317" w:rsidP="00CC7317">
            <w:pPr>
              <w:jc w:val="right"/>
              <w:rPr>
                <w:rFonts w:ascii="Georgia" w:hAnsi="Georgia" w:cs="Arial"/>
                <w:b/>
                <w:bCs/>
                <w:color w:val="404040" w:themeColor="text1" w:themeTint="BF"/>
                <w:sz w:val="19"/>
                <w:szCs w:val="19"/>
                <w:lang w:eastAsia="en-GB"/>
              </w:rPr>
            </w:pPr>
            <w:r w:rsidRPr="00E42A95">
              <w:rPr>
                <w:rFonts w:ascii="Georgia" w:hAnsi="Georgia" w:cs="Arial"/>
                <w:b/>
                <w:bCs/>
                <w:color w:val="404040" w:themeColor="text1" w:themeTint="BF"/>
                <w:sz w:val="19"/>
                <w:szCs w:val="19"/>
                <w:lang w:eastAsia="en-GB"/>
              </w:rPr>
              <w:t> </w:t>
            </w:r>
          </w:p>
        </w:tc>
        <w:tc>
          <w:tcPr>
            <w:tcW w:w="733" w:type="pct"/>
            <w:tcBorders>
              <w:top w:val="single" w:sz="4" w:space="0" w:color="auto"/>
              <w:left w:val="nil"/>
              <w:bottom w:val="single" w:sz="12" w:space="0" w:color="auto"/>
              <w:right w:val="nil"/>
            </w:tcBorders>
            <w:shd w:val="clear" w:color="auto" w:fill="auto"/>
            <w:noWrap/>
            <w:vAlign w:val="center"/>
          </w:tcPr>
          <w:p w14:paraId="41CC38D8" w14:textId="75799EC0" w:rsidR="00CC7317" w:rsidRPr="00E46777" w:rsidRDefault="00CC7317" w:rsidP="00CC7317">
            <w:pPr>
              <w:jc w:val="right"/>
              <w:rPr>
                <w:rFonts w:ascii="Georgia" w:hAnsi="Georgia"/>
                <w:b/>
                <w:color w:val="404040"/>
                <w:sz w:val="20"/>
              </w:rPr>
            </w:pPr>
            <w:r>
              <w:rPr>
                <w:rFonts w:ascii="Georgia" w:hAnsi="Georgia" w:cs="Arial"/>
                <w:b/>
                <w:bCs/>
                <w:color w:val="333333"/>
                <w:sz w:val="20"/>
                <w:szCs w:val="20"/>
              </w:rPr>
              <w:t>369,883,530</w:t>
            </w:r>
          </w:p>
        </w:tc>
        <w:tc>
          <w:tcPr>
            <w:tcW w:w="714" w:type="pct"/>
            <w:tcBorders>
              <w:top w:val="single" w:sz="4" w:space="0" w:color="auto"/>
              <w:left w:val="nil"/>
              <w:bottom w:val="single" w:sz="12" w:space="0" w:color="auto"/>
              <w:right w:val="nil"/>
            </w:tcBorders>
            <w:vAlign w:val="center"/>
          </w:tcPr>
          <w:p w14:paraId="52AD81EC" w14:textId="72461E3C" w:rsidR="00CC7317" w:rsidRPr="00CC7317" w:rsidRDefault="00CC7317" w:rsidP="00CC7317">
            <w:pPr>
              <w:jc w:val="right"/>
              <w:rPr>
                <w:rFonts w:ascii="Georgia" w:hAnsi="Georgia" w:cs="Arial"/>
                <w:b/>
                <w:bCs/>
                <w:color w:val="404040"/>
                <w:sz w:val="20"/>
                <w:szCs w:val="20"/>
              </w:rPr>
            </w:pPr>
            <w:r w:rsidRPr="00CC7317">
              <w:rPr>
                <w:rFonts w:ascii="Georgia" w:hAnsi="Georgia" w:cs="Arial"/>
                <w:b/>
                <w:bCs/>
                <w:color w:val="333333"/>
                <w:sz w:val="20"/>
                <w:szCs w:val="20"/>
              </w:rPr>
              <w:t>368,</w:t>
            </w:r>
            <w:r w:rsidR="00CB00EF">
              <w:rPr>
                <w:rFonts w:ascii="Georgia" w:hAnsi="Georgia" w:cs="Arial"/>
                <w:b/>
                <w:bCs/>
                <w:color w:val="333333"/>
                <w:sz w:val="20"/>
                <w:szCs w:val="20"/>
              </w:rPr>
              <w:t>013</w:t>
            </w:r>
          </w:p>
        </w:tc>
        <w:tc>
          <w:tcPr>
            <w:tcW w:w="562" w:type="pct"/>
            <w:tcBorders>
              <w:top w:val="single" w:sz="4" w:space="0" w:color="auto"/>
              <w:left w:val="nil"/>
              <w:bottom w:val="single" w:sz="12" w:space="0" w:color="auto"/>
              <w:right w:val="nil"/>
            </w:tcBorders>
            <w:shd w:val="clear" w:color="auto" w:fill="auto"/>
            <w:noWrap/>
            <w:vAlign w:val="center"/>
          </w:tcPr>
          <w:p w14:paraId="655E1133" w14:textId="4485B1ED" w:rsidR="00CC7317" w:rsidRPr="00CC7317" w:rsidRDefault="00CC7317" w:rsidP="00CC7317">
            <w:pPr>
              <w:jc w:val="right"/>
              <w:rPr>
                <w:rFonts w:ascii="Georgia" w:hAnsi="Georgia"/>
                <w:b/>
                <w:color w:val="404040"/>
                <w:sz w:val="20"/>
              </w:rPr>
            </w:pPr>
            <w:r w:rsidRPr="00CC7317">
              <w:rPr>
                <w:rFonts w:ascii="Georgia" w:hAnsi="Georgia"/>
                <w:b/>
                <w:color w:val="404040"/>
                <w:sz w:val="20"/>
              </w:rPr>
              <w:t>699</w:t>
            </w:r>
          </w:p>
        </w:tc>
        <w:tc>
          <w:tcPr>
            <w:tcW w:w="686" w:type="pct"/>
            <w:tcBorders>
              <w:top w:val="single" w:sz="4" w:space="0" w:color="auto"/>
              <w:left w:val="nil"/>
              <w:bottom w:val="single" w:sz="12" w:space="0" w:color="auto"/>
              <w:right w:val="nil"/>
            </w:tcBorders>
            <w:shd w:val="clear" w:color="auto" w:fill="auto"/>
            <w:noWrap/>
            <w:vAlign w:val="center"/>
          </w:tcPr>
          <w:p w14:paraId="64C6C2E4" w14:textId="278B889A" w:rsidR="00CC7317" w:rsidRPr="00CC7317" w:rsidRDefault="00CB00EF" w:rsidP="00CC7317">
            <w:pPr>
              <w:jc w:val="right"/>
              <w:rPr>
                <w:rFonts w:ascii="Georgia" w:hAnsi="Georgia"/>
                <w:b/>
                <w:color w:val="404040"/>
                <w:sz w:val="20"/>
              </w:rPr>
            </w:pPr>
            <w:r>
              <w:rPr>
                <w:rFonts w:ascii="Georgia" w:hAnsi="Georgia" w:cs="Arial"/>
                <w:b/>
                <w:bCs/>
                <w:color w:val="333333"/>
                <w:sz w:val="20"/>
                <w:szCs w:val="20"/>
              </w:rPr>
              <w:t>67,684</w:t>
            </w:r>
          </w:p>
        </w:tc>
        <w:tc>
          <w:tcPr>
            <w:tcW w:w="756" w:type="pct"/>
            <w:tcBorders>
              <w:top w:val="single" w:sz="4" w:space="0" w:color="auto"/>
              <w:left w:val="nil"/>
              <w:bottom w:val="single" w:sz="12" w:space="0" w:color="auto"/>
              <w:right w:val="nil"/>
            </w:tcBorders>
            <w:shd w:val="clear" w:color="auto" w:fill="auto"/>
            <w:noWrap/>
            <w:vAlign w:val="center"/>
          </w:tcPr>
          <w:p w14:paraId="382F9E36" w14:textId="59237C71" w:rsidR="00CC7317" w:rsidRPr="00CC7317" w:rsidRDefault="00CC7317" w:rsidP="00CC7317">
            <w:pPr>
              <w:jc w:val="right"/>
              <w:rPr>
                <w:rFonts w:ascii="Georgia" w:hAnsi="Georgia"/>
                <w:b/>
                <w:color w:val="404040"/>
                <w:sz w:val="20"/>
              </w:rPr>
            </w:pPr>
            <w:r w:rsidRPr="00CC7317">
              <w:rPr>
                <w:rFonts w:ascii="Georgia" w:hAnsi="Georgia" w:cs="Arial"/>
                <w:b/>
                <w:bCs/>
                <w:color w:val="333333"/>
                <w:sz w:val="20"/>
                <w:szCs w:val="20"/>
              </w:rPr>
              <w:t>436,396</w:t>
            </w:r>
          </w:p>
        </w:tc>
      </w:tr>
    </w:tbl>
    <w:p w14:paraId="6F5A384C" w14:textId="77777777" w:rsidR="00231ECB" w:rsidRDefault="00231ECB" w:rsidP="00E85EF6">
      <w:pPr>
        <w:pStyle w:val="Heading2"/>
        <w:spacing w:before="0"/>
        <w:rPr>
          <w:rFonts w:cs="Calibri"/>
          <w:color w:val="404040" w:themeColor="text1" w:themeTint="BF"/>
          <w:sz w:val="20"/>
        </w:rPr>
      </w:pPr>
    </w:p>
    <w:p w14:paraId="0C3866E7" w14:textId="01EAB9A2" w:rsidR="00C45343" w:rsidRDefault="004055D8" w:rsidP="00E85EF6">
      <w:pPr>
        <w:pStyle w:val="Heading2"/>
        <w:spacing w:before="0"/>
      </w:pPr>
      <w:r w:rsidRPr="004C65C8">
        <w:rPr>
          <w:rFonts w:cs="Calibri"/>
          <w:color w:val="404040" w:themeColor="text1" w:themeTint="BF"/>
          <w:sz w:val="20"/>
        </w:rPr>
        <w:t>The accompanying notes form an inte</w:t>
      </w:r>
      <w:r w:rsidR="00352D3C">
        <w:rPr>
          <w:rFonts w:cs="Calibri"/>
          <w:color w:val="404040" w:themeColor="text1" w:themeTint="BF"/>
          <w:sz w:val="20"/>
        </w:rPr>
        <w:t xml:space="preserve">gral part of these </w:t>
      </w:r>
      <w:r w:rsidRPr="004C65C8">
        <w:rPr>
          <w:rFonts w:cs="Calibri"/>
          <w:color w:val="404040" w:themeColor="text1" w:themeTint="BF"/>
          <w:sz w:val="20"/>
        </w:rPr>
        <w:t>financial statements.</w:t>
      </w:r>
      <w:r w:rsidR="004549C6">
        <w:rPr>
          <w:rFonts w:cs="Calibri"/>
          <w:color w:val="404040" w:themeColor="text1" w:themeTint="BF"/>
          <w:sz w:val="20"/>
        </w:rPr>
        <w:br w:type="page"/>
      </w:r>
      <w:bookmarkStart w:id="49" w:name="_Toc254209591"/>
      <w:r w:rsidR="000F51FA" w:rsidRPr="004629C1">
        <w:lastRenderedPageBreak/>
        <w:t>Statement of Cash Flows</w:t>
      </w:r>
      <w:bookmarkEnd w:id="49"/>
    </w:p>
    <w:p w14:paraId="6AD05580" w14:textId="72DABB24" w:rsidR="000F51FA" w:rsidRPr="00874D5B" w:rsidRDefault="000F51FA" w:rsidP="000F51FA">
      <w:pPr>
        <w:pStyle w:val="body"/>
        <w:rPr>
          <w:i/>
        </w:rPr>
      </w:pPr>
      <w:r w:rsidRPr="00D97C28">
        <w:rPr>
          <w:i/>
        </w:rPr>
        <w:t xml:space="preserve">For the </w:t>
      </w:r>
      <w:r w:rsidR="00FE3AB9">
        <w:rPr>
          <w:i/>
        </w:rPr>
        <w:t xml:space="preserve">year ended </w:t>
      </w:r>
      <w:r>
        <w:rPr>
          <w:i/>
        </w:rPr>
        <w:t xml:space="preserve">30 June </w:t>
      </w:r>
      <w:r w:rsidR="00904E51">
        <w:rPr>
          <w:i/>
        </w:rPr>
        <w:t>2020</w:t>
      </w:r>
    </w:p>
    <w:p w14:paraId="556D086F" w14:textId="77777777" w:rsidR="009C7A45" w:rsidRPr="009306C8" w:rsidRDefault="009C7A45" w:rsidP="000F51FA">
      <w:pPr>
        <w:rPr>
          <w:color w:val="404040" w:themeColor="text1" w:themeTint="BF"/>
          <w:lang w:eastAsia="en-GB"/>
        </w:rPr>
      </w:pPr>
    </w:p>
    <w:tbl>
      <w:tblPr>
        <w:tblW w:w="5163" w:type="pct"/>
        <w:tblLayout w:type="fixed"/>
        <w:tblLook w:val="04A0" w:firstRow="1" w:lastRow="0" w:firstColumn="1" w:lastColumn="0" w:noHBand="0" w:noVBand="1"/>
      </w:tblPr>
      <w:tblGrid>
        <w:gridCol w:w="5384"/>
        <w:gridCol w:w="994"/>
        <w:gridCol w:w="1628"/>
        <w:gridCol w:w="1659"/>
      </w:tblGrid>
      <w:tr w:rsidR="006C04E0" w:rsidRPr="009306C8" w14:paraId="09B60376" w14:textId="77777777" w:rsidTr="002C357F">
        <w:trPr>
          <w:trHeight w:val="255"/>
        </w:trPr>
        <w:tc>
          <w:tcPr>
            <w:tcW w:w="2785" w:type="pct"/>
            <w:tcBorders>
              <w:top w:val="nil"/>
              <w:left w:val="nil"/>
              <w:bottom w:val="nil"/>
              <w:right w:val="nil"/>
            </w:tcBorders>
            <w:shd w:val="clear" w:color="auto" w:fill="auto"/>
            <w:noWrap/>
            <w:vAlign w:val="bottom"/>
          </w:tcPr>
          <w:p w14:paraId="52E96AC2" w14:textId="77777777" w:rsidR="006C04E0" w:rsidRPr="009306C8" w:rsidRDefault="006C04E0" w:rsidP="009C7A45">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bottom"/>
          </w:tcPr>
          <w:p w14:paraId="5FB1658C" w14:textId="77777777" w:rsidR="006C04E0" w:rsidRPr="009306C8" w:rsidRDefault="006C04E0" w:rsidP="009C7A45">
            <w:pPr>
              <w:jc w:val="right"/>
              <w:rPr>
                <w:rFonts w:ascii="Georgia" w:hAnsi="Georgia" w:cs="Arial"/>
                <w:b/>
                <w:bCs/>
                <w:color w:val="404040" w:themeColor="text1" w:themeTint="BF"/>
                <w:sz w:val="20"/>
                <w:szCs w:val="20"/>
                <w:lang w:eastAsia="en-GB"/>
              </w:rPr>
            </w:pPr>
          </w:p>
        </w:tc>
        <w:tc>
          <w:tcPr>
            <w:tcW w:w="842" w:type="pct"/>
            <w:tcBorders>
              <w:top w:val="nil"/>
              <w:left w:val="nil"/>
              <w:bottom w:val="nil"/>
              <w:right w:val="nil"/>
            </w:tcBorders>
          </w:tcPr>
          <w:p w14:paraId="69FCBDAA" w14:textId="77777777" w:rsidR="007D7B8C" w:rsidRDefault="006C04E0" w:rsidP="009C7A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Year </w:t>
            </w:r>
          </w:p>
          <w:p w14:paraId="33919A3B" w14:textId="75160CFA" w:rsidR="006C04E0" w:rsidRPr="00E42A95" w:rsidRDefault="006C04E0" w:rsidP="009C7A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ended </w:t>
            </w:r>
          </w:p>
        </w:tc>
        <w:tc>
          <w:tcPr>
            <w:tcW w:w="858" w:type="pct"/>
            <w:tcBorders>
              <w:top w:val="nil"/>
              <w:left w:val="nil"/>
              <w:bottom w:val="nil"/>
              <w:right w:val="nil"/>
            </w:tcBorders>
          </w:tcPr>
          <w:p w14:paraId="73D69243" w14:textId="77777777" w:rsidR="006C04E0" w:rsidRPr="00E42A95" w:rsidRDefault="006C04E0" w:rsidP="0024470F">
            <w:pPr>
              <w:ind w:left="-112"/>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        Year ended </w:t>
            </w:r>
          </w:p>
        </w:tc>
      </w:tr>
      <w:tr w:rsidR="006C04E0" w:rsidRPr="009306C8" w14:paraId="5F0A4E63" w14:textId="77777777" w:rsidTr="002C357F">
        <w:trPr>
          <w:trHeight w:val="255"/>
        </w:trPr>
        <w:tc>
          <w:tcPr>
            <w:tcW w:w="2785" w:type="pct"/>
            <w:tcBorders>
              <w:top w:val="nil"/>
              <w:left w:val="nil"/>
              <w:bottom w:val="nil"/>
              <w:right w:val="nil"/>
            </w:tcBorders>
            <w:shd w:val="clear" w:color="auto" w:fill="auto"/>
            <w:noWrap/>
            <w:vAlign w:val="bottom"/>
          </w:tcPr>
          <w:p w14:paraId="26AF87BB" w14:textId="77777777" w:rsidR="006C04E0" w:rsidRPr="009306C8" w:rsidRDefault="006C04E0" w:rsidP="009C7A45">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bottom"/>
          </w:tcPr>
          <w:p w14:paraId="36F6DDD0" w14:textId="77777777" w:rsidR="006C04E0" w:rsidRPr="009306C8" w:rsidRDefault="006C04E0" w:rsidP="009C7A45">
            <w:pPr>
              <w:jc w:val="right"/>
              <w:rPr>
                <w:rFonts w:ascii="Georgia" w:hAnsi="Georgia" w:cs="Arial"/>
                <w:b/>
                <w:bCs/>
                <w:color w:val="404040" w:themeColor="text1" w:themeTint="BF"/>
                <w:sz w:val="20"/>
                <w:szCs w:val="20"/>
                <w:lang w:eastAsia="en-GB"/>
              </w:rPr>
            </w:pPr>
          </w:p>
        </w:tc>
        <w:tc>
          <w:tcPr>
            <w:tcW w:w="842" w:type="pct"/>
            <w:tcBorders>
              <w:top w:val="nil"/>
              <w:left w:val="nil"/>
              <w:bottom w:val="nil"/>
              <w:right w:val="nil"/>
            </w:tcBorders>
          </w:tcPr>
          <w:p w14:paraId="37A835FA" w14:textId="5A3703D6" w:rsidR="006C04E0" w:rsidRPr="00E42A95" w:rsidRDefault="006C04E0" w:rsidP="000B0866">
            <w:pPr>
              <w:ind w:left="-112"/>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858" w:type="pct"/>
            <w:tcBorders>
              <w:top w:val="nil"/>
              <w:left w:val="nil"/>
              <w:bottom w:val="nil"/>
              <w:right w:val="nil"/>
            </w:tcBorders>
          </w:tcPr>
          <w:p w14:paraId="4B2B8140" w14:textId="24E557FC" w:rsidR="006C04E0" w:rsidRPr="00E42A95" w:rsidRDefault="006C04E0" w:rsidP="000B0866">
            <w:pPr>
              <w:ind w:left="-112"/>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r w:rsidR="00A67267">
              <w:rPr>
                <w:rFonts w:ascii="Georgia" w:hAnsi="Georgia" w:cs="Arial"/>
                <w:b/>
                <w:bCs/>
                <w:color w:val="404040" w:themeColor="text1" w:themeTint="BF"/>
                <w:sz w:val="20"/>
                <w:szCs w:val="20"/>
                <w:lang w:eastAsia="en-GB"/>
              </w:rPr>
              <w:t xml:space="preserve"> </w:t>
            </w:r>
          </w:p>
        </w:tc>
      </w:tr>
      <w:tr w:rsidR="006C04E0" w:rsidRPr="009306C8" w14:paraId="777A2FEC" w14:textId="77777777" w:rsidTr="002C357F">
        <w:trPr>
          <w:trHeight w:val="255"/>
        </w:trPr>
        <w:tc>
          <w:tcPr>
            <w:tcW w:w="2785" w:type="pct"/>
            <w:tcBorders>
              <w:top w:val="nil"/>
              <w:left w:val="nil"/>
              <w:bottom w:val="single" w:sz="4" w:space="0" w:color="auto"/>
              <w:right w:val="nil"/>
            </w:tcBorders>
            <w:shd w:val="clear" w:color="auto" w:fill="auto"/>
            <w:noWrap/>
            <w:vAlign w:val="bottom"/>
          </w:tcPr>
          <w:p w14:paraId="296E1983" w14:textId="77777777" w:rsidR="006C04E0" w:rsidRPr="009306C8" w:rsidRDefault="006C04E0" w:rsidP="009C7A45">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w:t>
            </w:r>
          </w:p>
        </w:tc>
        <w:tc>
          <w:tcPr>
            <w:tcW w:w="514" w:type="pct"/>
            <w:tcBorders>
              <w:top w:val="nil"/>
              <w:left w:val="nil"/>
              <w:bottom w:val="single" w:sz="4" w:space="0" w:color="auto"/>
              <w:right w:val="nil"/>
            </w:tcBorders>
            <w:shd w:val="clear" w:color="auto" w:fill="auto"/>
            <w:noWrap/>
            <w:vAlign w:val="bottom"/>
          </w:tcPr>
          <w:p w14:paraId="7FD57F7E" w14:textId="77777777" w:rsidR="006C04E0" w:rsidRPr="009306C8" w:rsidRDefault="006C04E0" w:rsidP="009C7A45">
            <w:pPr>
              <w:jc w:val="cente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Note</w:t>
            </w:r>
          </w:p>
        </w:tc>
        <w:tc>
          <w:tcPr>
            <w:tcW w:w="842" w:type="pct"/>
            <w:tcBorders>
              <w:top w:val="nil"/>
              <w:left w:val="nil"/>
              <w:bottom w:val="single" w:sz="4" w:space="0" w:color="auto"/>
              <w:right w:val="nil"/>
            </w:tcBorders>
          </w:tcPr>
          <w:p w14:paraId="3C88FADC" w14:textId="3DF997B7" w:rsidR="006C04E0" w:rsidRPr="00E42A95" w:rsidRDefault="006C04E0" w:rsidP="009C7A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AF663A">
              <w:rPr>
                <w:rFonts w:ascii="Georgia" w:hAnsi="Georgia" w:cs="Arial"/>
                <w:b/>
                <w:bCs/>
                <w:color w:val="404040" w:themeColor="text1" w:themeTint="BF"/>
                <w:sz w:val="20"/>
                <w:szCs w:val="20"/>
                <w:lang w:eastAsia="en-GB"/>
              </w:rPr>
              <w:t>’000</w:t>
            </w:r>
          </w:p>
        </w:tc>
        <w:tc>
          <w:tcPr>
            <w:tcW w:w="858" w:type="pct"/>
            <w:tcBorders>
              <w:top w:val="nil"/>
              <w:left w:val="nil"/>
              <w:bottom w:val="single" w:sz="4" w:space="0" w:color="auto"/>
              <w:right w:val="nil"/>
            </w:tcBorders>
          </w:tcPr>
          <w:p w14:paraId="6E0CADF3" w14:textId="3D645B0B" w:rsidR="006C04E0" w:rsidRPr="00E42A95" w:rsidRDefault="006C04E0">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AF663A">
              <w:rPr>
                <w:rFonts w:ascii="Georgia" w:hAnsi="Georgia" w:cs="Arial"/>
                <w:b/>
                <w:bCs/>
                <w:color w:val="404040" w:themeColor="text1" w:themeTint="BF"/>
                <w:sz w:val="20"/>
                <w:szCs w:val="20"/>
                <w:lang w:eastAsia="en-GB"/>
              </w:rPr>
              <w:t>’000</w:t>
            </w:r>
          </w:p>
        </w:tc>
      </w:tr>
      <w:tr w:rsidR="006C04E0" w:rsidRPr="009306C8" w14:paraId="1C008A3D" w14:textId="77777777" w:rsidTr="002C357F">
        <w:trPr>
          <w:trHeight w:val="255"/>
        </w:trPr>
        <w:tc>
          <w:tcPr>
            <w:tcW w:w="2785" w:type="pct"/>
            <w:tcBorders>
              <w:top w:val="nil"/>
              <w:left w:val="nil"/>
              <w:bottom w:val="nil"/>
              <w:right w:val="nil"/>
            </w:tcBorders>
            <w:shd w:val="clear" w:color="auto" w:fill="auto"/>
            <w:noWrap/>
            <w:vAlign w:val="bottom"/>
          </w:tcPr>
          <w:p w14:paraId="258D5943" w14:textId="77777777" w:rsidR="006C04E0" w:rsidRPr="009306C8" w:rsidRDefault="006C04E0" w:rsidP="009C7A45">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bottom"/>
          </w:tcPr>
          <w:p w14:paraId="3AA621CD" w14:textId="77777777" w:rsidR="006C04E0" w:rsidRPr="009306C8" w:rsidRDefault="006C04E0" w:rsidP="009C7A45">
            <w:pPr>
              <w:jc w:val="center"/>
              <w:rPr>
                <w:rFonts w:ascii="Georgia" w:hAnsi="Georgia" w:cs="Arial"/>
                <w:b/>
                <w:bCs/>
                <w:color w:val="404040" w:themeColor="text1" w:themeTint="BF"/>
                <w:sz w:val="20"/>
                <w:szCs w:val="20"/>
                <w:lang w:eastAsia="en-GB"/>
              </w:rPr>
            </w:pPr>
          </w:p>
        </w:tc>
        <w:tc>
          <w:tcPr>
            <w:tcW w:w="842" w:type="pct"/>
            <w:tcBorders>
              <w:top w:val="nil"/>
              <w:left w:val="nil"/>
              <w:bottom w:val="nil"/>
              <w:right w:val="nil"/>
            </w:tcBorders>
          </w:tcPr>
          <w:p w14:paraId="126B93BC" w14:textId="77777777" w:rsidR="006C04E0" w:rsidRPr="009306C8" w:rsidRDefault="006C04E0" w:rsidP="009C7A45">
            <w:pPr>
              <w:jc w:val="center"/>
              <w:rPr>
                <w:rFonts w:ascii="Georgia" w:hAnsi="Georgia" w:cs="Arial"/>
                <w:b/>
                <w:bCs/>
                <w:color w:val="404040" w:themeColor="text1" w:themeTint="BF"/>
                <w:sz w:val="20"/>
                <w:szCs w:val="20"/>
                <w:lang w:eastAsia="en-GB"/>
              </w:rPr>
            </w:pPr>
          </w:p>
        </w:tc>
        <w:tc>
          <w:tcPr>
            <w:tcW w:w="858" w:type="pct"/>
            <w:tcBorders>
              <w:top w:val="nil"/>
              <w:left w:val="nil"/>
              <w:bottom w:val="nil"/>
              <w:right w:val="nil"/>
            </w:tcBorders>
          </w:tcPr>
          <w:p w14:paraId="440F5A1B" w14:textId="77777777" w:rsidR="006C04E0" w:rsidRPr="009306C8" w:rsidRDefault="006C04E0" w:rsidP="009C7A45">
            <w:pPr>
              <w:jc w:val="center"/>
              <w:rPr>
                <w:rFonts w:ascii="Georgia" w:hAnsi="Georgia" w:cs="Arial"/>
                <w:b/>
                <w:bCs/>
                <w:color w:val="404040" w:themeColor="text1" w:themeTint="BF"/>
                <w:sz w:val="20"/>
                <w:szCs w:val="20"/>
                <w:lang w:eastAsia="en-GB"/>
              </w:rPr>
            </w:pPr>
          </w:p>
        </w:tc>
      </w:tr>
      <w:tr w:rsidR="006C04E0" w:rsidRPr="009306C8" w14:paraId="5299796E" w14:textId="77777777" w:rsidTr="002C357F">
        <w:trPr>
          <w:trHeight w:val="255"/>
        </w:trPr>
        <w:tc>
          <w:tcPr>
            <w:tcW w:w="2785" w:type="pct"/>
            <w:tcBorders>
              <w:top w:val="nil"/>
              <w:left w:val="nil"/>
              <w:bottom w:val="nil"/>
              <w:right w:val="nil"/>
            </w:tcBorders>
            <w:shd w:val="clear" w:color="auto" w:fill="auto"/>
            <w:noWrap/>
            <w:vAlign w:val="center"/>
          </w:tcPr>
          <w:p w14:paraId="5BC40420" w14:textId="77777777" w:rsidR="006C04E0" w:rsidRPr="009306C8" w:rsidRDefault="006C04E0" w:rsidP="007C30F7">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Cash flows from operating activities</w:t>
            </w:r>
          </w:p>
        </w:tc>
        <w:tc>
          <w:tcPr>
            <w:tcW w:w="514" w:type="pct"/>
            <w:tcBorders>
              <w:top w:val="nil"/>
              <w:left w:val="nil"/>
              <w:bottom w:val="nil"/>
              <w:right w:val="nil"/>
            </w:tcBorders>
            <w:shd w:val="clear" w:color="auto" w:fill="auto"/>
            <w:noWrap/>
            <w:vAlign w:val="bottom"/>
          </w:tcPr>
          <w:p w14:paraId="09DF21C9" w14:textId="77777777" w:rsidR="006C04E0" w:rsidRPr="009306C8" w:rsidRDefault="006C04E0" w:rsidP="009C7A45">
            <w:pPr>
              <w:rPr>
                <w:rFonts w:ascii="Georgia" w:hAnsi="Georgia" w:cs="Arial"/>
                <w:color w:val="404040" w:themeColor="text1" w:themeTint="BF"/>
                <w:sz w:val="20"/>
                <w:szCs w:val="20"/>
                <w:lang w:eastAsia="en-GB"/>
              </w:rPr>
            </w:pPr>
          </w:p>
        </w:tc>
        <w:tc>
          <w:tcPr>
            <w:tcW w:w="842" w:type="pct"/>
            <w:tcBorders>
              <w:top w:val="nil"/>
              <w:left w:val="nil"/>
              <w:bottom w:val="nil"/>
              <w:right w:val="nil"/>
            </w:tcBorders>
          </w:tcPr>
          <w:p w14:paraId="501FCD8C" w14:textId="77777777" w:rsidR="006C04E0" w:rsidRPr="009306C8" w:rsidRDefault="006C04E0" w:rsidP="00904B5E">
            <w:pPr>
              <w:jc w:val="right"/>
              <w:rPr>
                <w:rFonts w:ascii="Georgia" w:hAnsi="Georgia" w:cs="Arial"/>
                <w:color w:val="404040" w:themeColor="text1" w:themeTint="BF"/>
                <w:sz w:val="20"/>
                <w:szCs w:val="20"/>
                <w:lang w:eastAsia="en-GB"/>
              </w:rPr>
            </w:pPr>
          </w:p>
        </w:tc>
        <w:tc>
          <w:tcPr>
            <w:tcW w:w="858" w:type="pct"/>
            <w:tcBorders>
              <w:top w:val="nil"/>
              <w:left w:val="nil"/>
              <w:bottom w:val="nil"/>
              <w:right w:val="nil"/>
            </w:tcBorders>
          </w:tcPr>
          <w:p w14:paraId="6F1D502B" w14:textId="77777777" w:rsidR="006C04E0" w:rsidRPr="009306C8" w:rsidRDefault="006C04E0" w:rsidP="00837182">
            <w:pPr>
              <w:jc w:val="right"/>
              <w:rPr>
                <w:rFonts w:ascii="Georgia" w:hAnsi="Georgia" w:cs="Arial"/>
                <w:color w:val="404040" w:themeColor="text1" w:themeTint="BF"/>
                <w:sz w:val="20"/>
                <w:szCs w:val="20"/>
                <w:lang w:eastAsia="en-GB"/>
              </w:rPr>
            </w:pPr>
          </w:p>
        </w:tc>
      </w:tr>
      <w:tr w:rsidR="00AF663A" w:rsidRPr="009306C8" w14:paraId="3B1DAB31" w14:textId="77777777" w:rsidTr="002C357F">
        <w:trPr>
          <w:trHeight w:val="255"/>
        </w:trPr>
        <w:tc>
          <w:tcPr>
            <w:tcW w:w="2785" w:type="pct"/>
            <w:tcBorders>
              <w:top w:val="nil"/>
              <w:left w:val="nil"/>
              <w:bottom w:val="nil"/>
              <w:right w:val="nil"/>
            </w:tcBorders>
            <w:shd w:val="clear" w:color="auto" w:fill="auto"/>
            <w:noWrap/>
            <w:vAlign w:val="center"/>
          </w:tcPr>
          <w:p w14:paraId="64D45BE2" w14:textId="7777777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xml:space="preserve">Total comprehensive income for the </w:t>
            </w:r>
            <w:r>
              <w:rPr>
                <w:rFonts w:ascii="Georgia" w:hAnsi="Georgia" w:cs="Arial"/>
                <w:color w:val="404040" w:themeColor="text1" w:themeTint="BF"/>
                <w:sz w:val="20"/>
                <w:szCs w:val="20"/>
                <w:lang w:eastAsia="en-GB"/>
              </w:rPr>
              <w:t>year</w:t>
            </w:r>
          </w:p>
        </w:tc>
        <w:tc>
          <w:tcPr>
            <w:tcW w:w="514" w:type="pct"/>
            <w:tcBorders>
              <w:top w:val="nil"/>
              <w:left w:val="nil"/>
              <w:bottom w:val="nil"/>
              <w:right w:val="nil"/>
            </w:tcBorders>
            <w:shd w:val="clear" w:color="auto" w:fill="auto"/>
            <w:noWrap/>
            <w:vAlign w:val="bottom"/>
          </w:tcPr>
          <w:p w14:paraId="41D5CEA9" w14:textId="77777777" w:rsidR="00AF663A" w:rsidRPr="009306C8"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4265EFE7" w14:textId="3BE2CA85" w:rsidR="00AF663A" w:rsidRPr="002C357F" w:rsidRDefault="009F2CBC" w:rsidP="00C8198B">
            <w:pPr>
              <w:jc w:val="right"/>
              <w:rPr>
                <w:rFonts w:ascii="Georgia" w:hAnsi="Georgia"/>
                <w:color w:val="404040"/>
                <w:sz w:val="20"/>
                <w:highlight w:val="yellow"/>
              </w:rPr>
            </w:pPr>
            <w:r w:rsidRPr="009F2CBC">
              <w:rPr>
                <w:rFonts w:ascii="Georgia" w:hAnsi="Georgia"/>
                <w:color w:val="404040"/>
                <w:sz w:val="20"/>
              </w:rPr>
              <w:t>2</w:t>
            </w:r>
            <w:r w:rsidR="00694FFE">
              <w:rPr>
                <w:rFonts w:ascii="Georgia" w:hAnsi="Georgia"/>
                <w:color w:val="404040"/>
                <w:sz w:val="20"/>
              </w:rPr>
              <w:t>8,</w:t>
            </w:r>
            <w:r w:rsidR="00C8198B">
              <w:rPr>
                <w:rFonts w:ascii="Georgia" w:hAnsi="Georgia"/>
                <w:color w:val="404040"/>
                <w:sz w:val="20"/>
              </w:rPr>
              <w:t>240</w:t>
            </w:r>
          </w:p>
        </w:tc>
        <w:tc>
          <w:tcPr>
            <w:tcW w:w="858" w:type="pct"/>
            <w:tcBorders>
              <w:top w:val="nil"/>
              <w:left w:val="nil"/>
              <w:bottom w:val="nil"/>
              <w:right w:val="nil"/>
            </w:tcBorders>
            <w:vAlign w:val="bottom"/>
          </w:tcPr>
          <w:p w14:paraId="5BB147D5" w14:textId="1FD48755" w:rsidR="00AF663A" w:rsidRPr="00AF663A" w:rsidRDefault="00AF663A" w:rsidP="00AF663A">
            <w:pPr>
              <w:jc w:val="right"/>
              <w:rPr>
                <w:rFonts w:ascii="Georgia" w:hAnsi="Georgia" w:cs="Arial"/>
                <w:color w:val="404040" w:themeColor="text1" w:themeTint="BF"/>
                <w:sz w:val="20"/>
                <w:szCs w:val="20"/>
                <w:lang w:eastAsia="en-GB"/>
              </w:rPr>
            </w:pPr>
            <w:r w:rsidRPr="00AF663A">
              <w:rPr>
                <w:rFonts w:ascii="Georgia" w:hAnsi="Georgia"/>
                <w:color w:val="404040"/>
                <w:sz w:val="20"/>
              </w:rPr>
              <w:t>44,925</w:t>
            </w:r>
          </w:p>
        </w:tc>
      </w:tr>
      <w:tr w:rsidR="00AF663A" w:rsidRPr="009306C8" w14:paraId="49C8190F" w14:textId="77777777" w:rsidTr="002C357F">
        <w:trPr>
          <w:trHeight w:val="255"/>
        </w:trPr>
        <w:tc>
          <w:tcPr>
            <w:tcW w:w="2785" w:type="pct"/>
            <w:tcBorders>
              <w:top w:val="nil"/>
              <w:left w:val="nil"/>
              <w:bottom w:val="nil"/>
              <w:right w:val="nil"/>
            </w:tcBorders>
            <w:shd w:val="clear" w:color="auto" w:fill="auto"/>
            <w:noWrap/>
            <w:vAlign w:val="center"/>
          </w:tcPr>
          <w:p w14:paraId="7C3D5774" w14:textId="7777777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Adjustments:</w:t>
            </w:r>
          </w:p>
        </w:tc>
        <w:tc>
          <w:tcPr>
            <w:tcW w:w="514" w:type="pct"/>
            <w:tcBorders>
              <w:top w:val="nil"/>
              <w:left w:val="nil"/>
              <w:bottom w:val="nil"/>
              <w:right w:val="nil"/>
            </w:tcBorders>
            <w:shd w:val="clear" w:color="auto" w:fill="auto"/>
            <w:noWrap/>
            <w:vAlign w:val="bottom"/>
          </w:tcPr>
          <w:p w14:paraId="5851097B" w14:textId="77777777" w:rsidR="00AF663A" w:rsidRPr="009306C8"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37E595C4" w14:textId="77777777" w:rsidR="00AF663A" w:rsidRPr="002C357F" w:rsidRDefault="00AF663A" w:rsidP="00AF663A">
            <w:pPr>
              <w:jc w:val="right"/>
              <w:rPr>
                <w:rFonts w:ascii="Georgia" w:hAnsi="Georgia"/>
                <w:color w:val="404040"/>
                <w:sz w:val="20"/>
                <w:highlight w:val="yellow"/>
              </w:rPr>
            </w:pPr>
          </w:p>
        </w:tc>
        <w:tc>
          <w:tcPr>
            <w:tcW w:w="858" w:type="pct"/>
            <w:tcBorders>
              <w:top w:val="nil"/>
              <w:left w:val="nil"/>
              <w:bottom w:val="nil"/>
              <w:right w:val="nil"/>
            </w:tcBorders>
            <w:vAlign w:val="bottom"/>
          </w:tcPr>
          <w:p w14:paraId="7DAF511F" w14:textId="77777777"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46D12841" w14:textId="77777777" w:rsidTr="002C357F">
        <w:trPr>
          <w:trHeight w:val="255"/>
        </w:trPr>
        <w:tc>
          <w:tcPr>
            <w:tcW w:w="2785" w:type="pct"/>
            <w:tcBorders>
              <w:top w:val="nil"/>
              <w:left w:val="nil"/>
              <w:bottom w:val="nil"/>
              <w:right w:val="nil"/>
            </w:tcBorders>
            <w:shd w:val="clear" w:color="auto" w:fill="auto"/>
            <w:noWrap/>
            <w:vAlign w:val="center"/>
          </w:tcPr>
          <w:p w14:paraId="1C762599" w14:textId="265784C7" w:rsidR="00AF663A" w:rsidRPr="009306C8" w:rsidRDefault="00AF663A" w:rsidP="00AF663A">
            <w:pPr>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Increase</w:t>
            </w:r>
            <w:r w:rsidRPr="00792D1B">
              <w:rPr>
                <w:rFonts w:ascii="Georgia" w:hAnsi="Georgia" w:cs="Arial"/>
                <w:color w:val="404040" w:themeColor="text1" w:themeTint="BF"/>
                <w:sz w:val="20"/>
                <w:szCs w:val="20"/>
                <w:lang w:eastAsia="en-GB"/>
              </w:rPr>
              <w:t xml:space="preserve"> i</w:t>
            </w:r>
            <w:r w:rsidRPr="00E42A95">
              <w:rPr>
                <w:rFonts w:ascii="Georgia" w:hAnsi="Georgia" w:cs="Arial"/>
                <w:color w:val="404040" w:themeColor="text1" w:themeTint="BF"/>
                <w:sz w:val="20"/>
                <w:szCs w:val="20"/>
                <w:lang w:eastAsia="en-GB"/>
              </w:rPr>
              <w:t>n trade and other receivables</w:t>
            </w:r>
          </w:p>
        </w:tc>
        <w:tc>
          <w:tcPr>
            <w:tcW w:w="514" w:type="pct"/>
            <w:tcBorders>
              <w:top w:val="nil"/>
              <w:left w:val="nil"/>
              <w:bottom w:val="nil"/>
              <w:right w:val="nil"/>
            </w:tcBorders>
            <w:shd w:val="clear" w:color="auto" w:fill="auto"/>
            <w:noWrap/>
            <w:vAlign w:val="bottom"/>
          </w:tcPr>
          <w:p w14:paraId="7B8D2D8E" w14:textId="77777777" w:rsidR="00AF663A" w:rsidRPr="009306C8"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72198BA8" w14:textId="59FFD56B" w:rsidR="00AF663A" w:rsidRPr="009F2CBC" w:rsidRDefault="009F2CBC" w:rsidP="00AF663A">
            <w:pPr>
              <w:jc w:val="right"/>
              <w:rPr>
                <w:rFonts w:ascii="Georgia" w:hAnsi="Georgia"/>
                <w:color w:val="404040"/>
                <w:sz w:val="20"/>
              </w:rPr>
            </w:pPr>
            <w:r w:rsidRPr="009F2CBC">
              <w:rPr>
                <w:rFonts w:ascii="Georgia" w:hAnsi="Georgia"/>
                <w:color w:val="404040"/>
                <w:sz w:val="20"/>
              </w:rPr>
              <w:t>-</w:t>
            </w:r>
          </w:p>
        </w:tc>
        <w:tc>
          <w:tcPr>
            <w:tcW w:w="858" w:type="pct"/>
            <w:tcBorders>
              <w:top w:val="nil"/>
              <w:left w:val="nil"/>
              <w:bottom w:val="nil"/>
              <w:right w:val="nil"/>
            </w:tcBorders>
            <w:vAlign w:val="bottom"/>
          </w:tcPr>
          <w:p w14:paraId="590F9B99" w14:textId="5B07E6A1" w:rsidR="00AF663A" w:rsidRPr="00AF663A" w:rsidRDefault="00AF663A" w:rsidP="00AF663A">
            <w:pPr>
              <w:jc w:val="right"/>
              <w:rPr>
                <w:rFonts w:ascii="Georgia" w:hAnsi="Georgia" w:cs="Arial"/>
                <w:color w:val="404040" w:themeColor="text1" w:themeTint="BF"/>
                <w:sz w:val="20"/>
                <w:szCs w:val="20"/>
                <w:lang w:eastAsia="en-GB"/>
              </w:rPr>
            </w:pPr>
            <w:r w:rsidRPr="00AF663A">
              <w:rPr>
                <w:rFonts w:ascii="Georgia" w:hAnsi="Georgia"/>
                <w:color w:val="404040"/>
                <w:sz w:val="20"/>
              </w:rPr>
              <w:t>(14)</w:t>
            </w:r>
          </w:p>
        </w:tc>
      </w:tr>
      <w:tr w:rsidR="00AF663A" w:rsidRPr="009306C8" w14:paraId="71DF3AB8" w14:textId="77777777" w:rsidTr="002C357F">
        <w:trPr>
          <w:trHeight w:val="255"/>
        </w:trPr>
        <w:tc>
          <w:tcPr>
            <w:tcW w:w="2785" w:type="pct"/>
            <w:tcBorders>
              <w:top w:val="nil"/>
              <w:left w:val="nil"/>
              <w:right w:val="nil"/>
            </w:tcBorders>
            <w:shd w:val="clear" w:color="auto" w:fill="auto"/>
            <w:noWrap/>
            <w:vAlign w:val="center"/>
          </w:tcPr>
          <w:p w14:paraId="61022020" w14:textId="7777777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Increase in other payables and accrued expenses</w:t>
            </w:r>
          </w:p>
        </w:tc>
        <w:tc>
          <w:tcPr>
            <w:tcW w:w="514" w:type="pct"/>
            <w:tcBorders>
              <w:top w:val="nil"/>
              <w:left w:val="nil"/>
              <w:right w:val="nil"/>
            </w:tcBorders>
            <w:shd w:val="clear" w:color="auto" w:fill="auto"/>
            <w:noWrap/>
            <w:vAlign w:val="bottom"/>
          </w:tcPr>
          <w:p w14:paraId="299755A6" w14:textId="77777777" w:rsidR="00AF663A" w:rsidRPr="009306C8" w:rsidRDefault="00AF663A" w:rsidP="00AF663A">
            <w:pPr>
              <w:rPr>
                <w:rFonts w:ascii="Georgia" w:hAnsi="Georgia" w:cs="Arial"/>
                <w:color w:val="404040" w:themeColor="text1" w:themeTint="BF"/>
                <w:sz w:val="20"/>
                <w:szCs w:val="20"/>
                <w:lang w:eastAsia="en-GB"/>
              </w:rPr>
            </w:pPr>
          </w:p>
        </w:tc>
        <w:tc>
          <w:tcPr>
            <w:tcW w:w="842" w:type="pct"/>
            <w:tcBorders>
              <w:top w:val="nil"/>
              <w:left w:val="nil"/>
              <w:right w:val="nil"/>
            </w:tcBorders>
            <w:vAlign w:val="bottom"/>
          </w:tcPr>
          <w:p w14:paraId="2DBD9BF8" w14:textId="35BBE1D2" w:rsidR="00AF663A" w:rsidRPr="009F2CBC" w:rsidRDefault="009F2CBC" w:rsidP="00AF663A">
            <w:pPr>
              <w:jc w:val="right"/>
              <w:rPr>
                <w:rFonts w:ascii="Georgia" w:hAnsi="Georgia" w:cs="Arial"/>
                <w:color w:val="404040"/>
                <w:sz w:val="20"/>
                <w:szCs w:val="20"/>
              </w:rPr>
            </w:pPr>
            <w:r w:rsidRPr="009F2CBC">
              <w:rPr>
                <w:rFonts w:ascii="Georgia" w:hAnsi="Georgia" w:cs="Arial"/>
                <w:color w:val="404040"/>
                <w:sz w:val="20"/>
                <w:szCs w:val="20"/>
              </w:rPr>
              <w:t>50</w:t>
            </w:r>
          </w:p>
        </w:tc>
        <w:tc>
          <w:tcPr>
            <w:tcW w:w="858" w:type="pct"/>
            <w:tcBorders>
              <w:top w:val="nil"/>
              <w:left w:val="nil"/>
              <w:right w:val="nil"/>
            </w:tcBorders>
            <w:vAlign w:val="bottom"/>
          </w:tcPr>
          <w:p w14:paraId="5E154AB0" w14:textId="615A3A00" w:rsidR="00AF663A" w:rsidRPr="00AF663A" w:rsidRDefault="00AF663A" w:rsidP="00AF663A">
            <w:pPr>
              <w:jc w:val="right"/>
              <w:rPr>
                <w:rFonts w:ascii="Georgia" w:hAnsi="Georgia" w:cs="Arial"/>
                <w:color w:val="404040" w:themeColor="text1" w:themeTint="BF"/>
                <w:sz w:val="20"/>
                <w:szCs w:val="20"/>
                <w:lang w:eastAsia="en-GB"/>
              </w:rPr>
            </w:pPr>
            <w:r w:rsidRPr="00AF663A">
              <w:rPr>
                <w:rFonts w:ascii="Georgia" w:hAnsi="Georgia" w:cs="Arial"/>
                <w:color w:val="404040"/>
                <w:sz w:val="20"/>
                <w:szCs w:val="20"/>
              </w:rPr>
              <w:t>28</w:t>
            </w:r>
          </w:p>
        </w:tc>
      </w:tr>
      <w:tr w:rsidR="00AF663A" w:rsidRPr="009306C8" w14:paraId="74A575AE" w14:textId="77777777" w:rsidTr="002C357F">
        <w:trPr>
          <w:trHeight w:val="255"/>
        </w:trPr>
        <w:tc>
          <w:tcPr>
            <w:tcW w:w="2785" w:type="pct"/>
            <w:tcBorders>
              <w:top w:val="nil"/>
              <w:left w:val="nil"/>
              <w:right w:val="nil"/>
            </w:tcBorders>
            <w:shd w:val="clear" w:color="auto" w:fill="auto"/>
            <w:vAlign w:val="center"/>
          </w:tcPr>
          <w:p w14:paraId="5C3D3542" w14:textId="645AE530" w:rsidR="00AF663A" w:rsidRPr="00E42A95" w:rsidRDefault="00AF663A" w:rsidP="00AF663A">
            <w:pPr>
              <w:rPr>
                <w:rFonts w:ascii="Georgia" w:hAnsi="Georgia" w:cs="Arial"/>
                <w:color w:val="404040" w:themeColor="text1" w:themeTint="BF"/>
                <w:sz w:val="20"/>
                <w:szCs w:val="20"/>
                <w:lang w:eastAsia="en-GB"/>
              </w:rPr>
            </w:pPr>
            <w:r w:rsidRPr="006334BE">
              <w:rPr>
                <w:rFonts w:ascii="Georgia" w:hAnsi="Georgia" w:cs="Arial"/>
                <w:color w:val="404040" w:themeColor="text1" w:themeTint="BF"/>
                <w:sz w:val="20"/>
                <w:szCs w:val="20"/>
                <w:lang w:eastAsia="en-GB"/>
              </w:rPr>
              <w:t>Movement in other reserves relating to Investment Adviser shares</w:t>
            </w:r>
            <w:r w:rsidR="00236862">
              <w:rPr>
                <w:rFonts w:ascii="Georgia" w:hAnsi="Georgia" w:cs="Arial"/>
                <w:color w:val="404040" w:themeColor="text1" w:themeTint="BF"/>
                <w:sz w:val="20"/>
                <w:szCs w:val="20"/>
                <w:lang w:eastAsia="en-GB"/>
              </w:rPr>
              <w:t>*</w:t>
            </w:r>
          </w:p>
        </w:tc>
        <w:tc>
          <w:tcPr>
            <w:tcW w:w="514" w:type="pct"/>
            <w:tcBorders>
              <w:top w:val="nil"/>
              <w:left w:val="nil"/>
              <w:right w:val="nil"/>
            </w:tcBorders>
            <w:shd w:val="clear" w:color="auto" w:fill="auto"/>
            <w:noWrap/>
            <w:vAlign w:val="center"/>
          </w:tcPr>
          <w:p w14:paraId="333107A9" w14:textId="5BCA6EA0" w:rsidR="00AF663A" w:rsidRPr="00894FC4" w:rsidRDefault="00AF663A" w:rsidP="00AF663A">
            <w:pPr>
              <w:jc w:val="cente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16</w:t>
            </w:r>
          </w:p>
        </w:tc>
        <w:tc>
          <w:tcPr>
            <w:tcW w:w="842" w:type="pct"/>
            <w:tcBorders>
              <w:top w:val="nil"/>
              <w:left w:val="nil"/>
              <w:right w:val="nil"/>
            </w:tcBorders>
            <w:vAlign w:val="center"/>
          </w:tcPr>
          <w:p w14:paraId="7AFF9A55" w14:textId="78D00FD2" w:rsidR="00AF663A" w:rsidRPr="009F2CBC" w:rsidRDefault="009F2CBC" w:rsidP="00AF663A">
            <w:pPr>
              <w:jc w:val="right"/>
              <w:rPr>
                <w:rFonts w:ascii="Georgia" w:hAnsi="Georgia" w:cs="Arial"/>
                <w:color w:val="404040"/>
                <w:sz w:val="20"/>
                <w:szCs w:val="20"/>
              </w:rPr>
            </w:pPr>
            <w:r w:rsidRPr="009F2CBC">
              <w:rPr>
                <w:rFonts w:ascii="Georgia" w:hAnsi="Georgia" w:cs="Arial"/>
                <w:color w:val="404040"/>
                <w:sz w:val="20"/>
                <w:szCs w:val="20"/>
              </w:rPr>
              <w:t>-</w:t>
            </w:r>
          </w:p>
        </w:tc>
        <w:tc>
          <w:tcPr>
            <w:tcW w:w="858" w:type="pct"/>
            <w:tcBorders>
              <w:top w:val="nil"/>
              <w:left w:val="nil"/>
              <w:right w:val="nil"/>
            </w:tcBorders>
            <w:vAlign w:val="center"/>
          </w:tcPr>
          <w:p w14:paraId="3AD0BB12" w14:textId="2997CA34" w:rsidR="00AF663A" w:rsidRPr="00AF663A" w:rsidRDefault="00AF663A" w:rsidP="00AF663A">
            <w:pPr>
              <w:jc w:val="right"/>
              <w:rPr>
                <w:rFonts w:ascii="Georgia" w:hAnsi="Georgia" w:cs="Arial"/>
                <w:color w:val="333333"/>
                <w:sz w:val="20"/>
                <w:szCs w:val="20"/>
              </w:rPr>
            </w:pPr>
            <w:r w:rsidRPr="00AF663A">
              <w:rPr>
                <w:rFonts w:ascii="Georgia" w:hAnsi="Georgia" w:cs="Arial"/>
                <w:color w:val="404040"/>
                <w:sz w:val="20"/>
                <w:szCs w:val="20"/>
              </w:rPr>
              <w:t>699</w:t>
            </w:r>
          </w:p>
        </w:tc>
      </w:tr>
      <w:tr w:rsidR="00AF663A" w:rsidRPr="009306C8" w14:paraId="71E1AD25" w14:textId="77777777" w:rsidTr="002C357F">
        <w:trPr>
          <w:trHeight w:val="255"/>
        </w:trPr>
        <w:tc>
          <w:tcPr>
            <w:tcW w:w="2785" w:type="pct"/>
            <w:tcBorders>
              <w:top w:val="nil"/>
              <w:left w:val="nil"/>
              <w:right w:val="nil"/>
            </w:tcBorders>
            <w:shd w:val="clear" w:color="auto" w:fill="auto"/>
            <w:vAlign w:val="center"/>
          </w:tcPr>
          <w:p w14:paraId="48A64847" w14:textId="7777777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Net gains on financial assets held at fair value through profit or loss</w:t>
            </w:r>
          </w:p>
        </w:tc>
        <w:tc>
          <w:tcPr>
            <w:tcW w:w="514" w:type="pct"/>
            <w:tcBorders>
              <w:top w:val="nil"/>
              <w:left w:val="nil"/>
              <w:right w:val="nil"/>
            </w:tcBorders>
            <w:shd w:val="clear" w:color="auto" w:fill="auto"/>
            <w:noWrap/>
            <w:vAlign w:val="center"/>
          </w:tcPr>
          <w:p w14:paraId="2E2FB36C" w14:textId="61CB5EFA" w:rsidR="00AF663A" w:rsidRPr="00894FC4" w:rsidRDefault="00AF663A" w:rsidP="00AF663A">
            <w:pPr>
              <w:jc w:val="center"/>
              <w:rPr>
                <w:rFonts w:ascii="Georgia" w:hAnsi="Georgia" w:cs="Arial"/>
                <w:b/>
                <w:bCs/>
                <w:color w:val="404040" w:themeColor="text1" w:themeTint="BF"/>
                <w:sz w:val="20"/>
                <w:szCs w:val="20"/>
                <w:lang w:eastAsia="en-GB"/>
              </w:rPr>
            </w:pPr>
            <w:r w:rsidRPr="00894FC4">
              <w:rPr>
                <w:rFonts w:ascii="Georgia" w:hAnsi="Georgia" w:cs="Arial"/>
                <w:b/>
                <w:bCs/>
                <w:color w:val="404040" w:themeColor="text1" w:themeTint="BF"/>
                <w:sz w:val="20"/>
                <w:szCs w:val="20"/>
                <w:lang w:eastAsia="en-GB"/>
              </w:rPr>
              <w:t>8</w:t>
            </w:r>
          </w:p>
        </w:tc>
        <w:tc>
          <w:tcPr>
            <w:tcW w:w="842" w:type="pct"/>
            <w:tcBorders>
              <w:top w:val="nil"/>
              <w:left w:val="nil"/>
              <w:right w:val="nil"/>
            </w:tcBorders>
            <w:vAlign w:val="center"/>
          </w:tcPr>
          <w:p w14:paraId="7702F1B9" w14:textId="367E5A01" w:rsidR="00AF663A" w:rsidRPr="009F2CBC" w:rsidRDefault="00AF663A" w:rsidP="009F2CBC">
            <w:pPr>
              <w:jc w:val="right"/>
              <w:rPr>
                <w:rFonts w:ascii="Georgia" w:hAnsi="Georgia" w:cs="Arial"/>
                <w:color w:val="404040"/>
                <w:sz w:val="20"/>
                <w:szCs w:val="20"/>
              </w:rPr>
            </w:pPr>
            <w:r w:rsidRPr="009F2CBC">
              <w:rPr>
                <w:rFonts w:ascii="Georgia" w:hAnsi="Georgia" w:cs="Arial"/>
                <w:color w:val="404040"/>
                <w:sz w:val="20"/>
                <w:szCs w:val="20"/>
              </w:rPr>
              <w:t>(</w:t>
            </w:r>
            <w:r w:rsidR="00C8198B">
              <w:rPr>
                <w:rFonts w:ascii="Georgia" w:hAnsi="Georgia" w:cs="Arial"/>
                <w:color w:val="404040"/>
                <w:sz w:val="20"/>
                <w:szCs w:val="20"/>
              </w:rPr>
              <w:t>28,851</w:t>
            </w:r>
            <w:r w:rsidRPr="009F2CBC">
              <w:rPr>
                <w:rFonts w:ascii="Georgia" w:hAnsi="Georgia" w:cs="Arial"/>
                <w:color w:val="404040"/>
                <w:sz w:val="20"/>
                <w:szCs w:val="20"/>
              </w:rPr>
              <w:t>)</w:t>
            </w:r>
          </w:p>
        </w:tc>
        <w:tc>
          <w:tcPr>
            <w:tcW w:w="858" w:type="pct"/>
            <w:tcBorders>
              <w:top w:val="nil"/>
              <w:left w:val="nil"/>
              <w:right w:val="nil"/>
            </w:tcBorders>
            <w:vAlign w:val="center"/>
          </w:tcPr>
          <w:p w14:paraId="47004EF3" w14:textId="6B8A5C91" w:rsidR="00AF663A" w:rsidRPr="00AF663A" w:rsidRDefault="00AF663A" w:rsidP="00AF663A">
            <w:pPr>
              <w:jc w:val="right"/>
              <w:rPr>
                <w:rFonts w:ascii="Georgia" w:hAnsi="Georgia" w:cs="Arial"/>
                <w:color w:val="404040" w:themeColor="text1" w:themeTint="BF"/>
                <w:sz w:val="20"/>
                <w:szCs w:val="20"/>
                <w:lang w:eastAsia="en-GB"/>
              </w:rPr>
            </w:pPr>
            <w:r w:rsidRPr="00AF663A">
              <w:rPr>
                <w:rFonts w:ascii="Georgia" w:hAnsi="Georgia" w:cs="Arial"/>
                <w:color w:val="404040"/>
                <w:sz w:val="20"/>
                <w:szCs w:val="20"/>
              </w:rPr>
              <w:t>(46,166)</w:t>
            </w:r>
          </w:p>
        </w:tc>
      </w:tr>
      <w:tr w:rsidR="00AF663A" w:rsidRPr="007C30F7" w14:paraId="2FBC063C" w14:textId="651044A8" w:rsidTr="002C357F">
        <w:trPr>
          <w:trHeight w:val="255"/>
        </w:trPr>
        <w:tc>
          <w:tcPr>
            <w:tcW w:w="2785" w:type="pct"/>
            <w:tcBorders>
              <w:top w:val="single" w:sz="4" w:space="0" w:color="auto"/>
              <w:left w:val="nil"/>
              <w:bottom w:val="single" w:sz="4" w:space="0" w:color="auto"/>
              <w:right w:val="nil"/>
            </w:tcBorders>
            <w:shd w:val="clear" w:color="auto" w:fill="auto"/>
            <w:noWrap/>
            <w:vAlign w:val="center"/>
          </w:tcPr>
          <w:p w14:paraId="338C6C9C" w14:textId="4565C573" w:rsidR="00AF663A" w:rsidRPr="009306C8" w:rsidRDefault="00AF663A" w:rsidP="00AF663A">
            <w:pP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Net cash</w:t>
            </w:r>
            <w:r w:rsidRPr="00E42A95">
              <w:rPr>
                <w:rFonts w:ascii="Georgia" w:hAnsi="Georgia" w:cs="Arial"/>
                <w:b/>
                <w:bCs/>
                <w:color w:val="404040" w:themeColor="text1" w:themeTint="BF"/>
                <w:sz w:val="20"/>
                <w:szCs w:val="20"/>
                <w:lang w:eastAsia="en-GB"/>
              </w:rPr>
              <w:t xml:space="preserve"> </w:t>
            </w:r>
            <w:r>
              <w:rPr>
                <w:rFonts w:ascii="Georgia" w:hAnsi="Georgia" w:cs="Arial"/>
                <w:b/>
                <w:bCs/>
                <w:color w:val="404040" w:themeColor="text1" w:themeTint="BF"/>
                <w:sz w:val="20"/>
                <w:szCs w:val="20"/>
                <w:lang w:eastAsia="en-GB"/>
              </w:rPr>
              <w:t>used in</w:t>
            </w:r>
            <w:r w:rsidRPr="00E42A95">
              <w:rPr>
                <w:rFonts w:ascii="Georgia" w:hAnsi="Georgia" w:cs="Arial"/>
                <w:b/>
                <w:bCs/>
                <w:color w:val="404040" w:themeColor="text1" w:themeTint="BF"/>
                <w:sz w:val="20"/>
                <w:szCs w:val="20"/>
                <w:lang w:eastAsia="en-GB"/>
              </w:rPr>
              <w:t xml:space="preserve"> operating activities</w:t>
            </w:r>
          </w:p>
        </w:tc>
        <w:tc>
          <w:tcPr>
            <w:tcW w:w="514" w:type="pct"/>
            <w:tcBorders>
              <w:top w:val="single" w:sz="4" w:space="0" w:color="auto"/>
              <w:left w:val="nil"/>
              <w:bottom w:val="single" w:sz="4" w:space="0" w:color="auto"/>
              <w:right w:val="nil"/>
            </w:tcBorders>
            <w:vAlign w:val="center"/>
          </w:tcPr>
          <w:p w14:paraId="5DCA6BD1" w14:textId="13CC874E" w:rsidR="00AF663A" w:rsidRPr="00894FC4" w:rsidRDefault="00AF663A" w:rsidP="00AF663A">
            <w:pPr>
              <w:jc w:val="right"/>
              <w:rPr>
                <w:rFonts w:ascii="Georgia" w:hAnsi="Georgia" w:cs="Arial"/>
                <w:b/>
                <w:bCs/>
                <w:color w:val="404040" w:themeColor="text1" w:themeTint="BF"/>
                <w:sz w:val="20"/>
                <w:szCs w:val="20"/>
                <w:lang w:eastAsia="en-GB"/>
              </w:rPr>
            </w:pPr>
          </w:p>
        </w:tc>
        <w:tc>
          <w:tcPr>
            <w:tcW w:w="842" w:type="pct"/>
            <w:tcBorders>
              <w:top w:val="single" w:sz="4" w:space="0" w:color="auto"/>
              <w:left w:val="nil"/>
              <w:bottom w:val="single" w:sz="4" w:space="0" w:color="auto"/>
              <w:right w:val="nil"/>
            </w:tcBorders>
            <w:vAlign w:val="center"/>
          </w:tcPr>
          <w:p w14:paraId="2D2F7DB5" w14:textId="7EB06601" w:rsidR="00AF663A" w:rsidRPr="009F2CBC" w:rsidRDefault="00AF663A" w:rsidP="009F2CBC">
            <w:pPr>
              <w:jc w:val="right"/>
              <w:rPr>
                <w:rFonts w:ascii="Georgia" w:hAnsi="Georgia" w:cs="Arial"/>
                <w:b/>
                <w:bCs/>
                <w:color w:val="404040" w:themeColor="text1" w:themeTint="BF"/>
                <w:sz w:val="20"/>
                <w:szCs w:val="20"/>
                <w:lang w:eastAsia="en-GB"/>
              </w:rPr>
            </w:pPr>
            <w:r w:rsidRPr="009F2CBC">
              <w:rPr>
                <w:rFonts w:ascii="Georgia" w:hAnsi="Georgia" w:cs="Arial"/>
                <w:b/>
                <w:bCs/>
                <w:color w:val="404040" w:themeColor="text1" w:themeTint="BF"/>
                <w:sz w:val="20"/>
                <w:szCs w:val="20"/>
                <w:lang w:eastAsia="en-GB"/>
              </w:rPr>
              <w:t>(5</w:t>
            </w:r>
            <w:r w:rsidR="009F2CBC" w:rsidRPr="009F2CBC">
              <w:rPr>
                <w:rFonts w:ascii="Georgia" w:hAnsi="Georgia" w:cs="Arial"/>
                <w:b/>
                <w:bCs/>
                <w:color w:val="404040" w:themeColor="text1" w:themeTint="BF"/>
                <w:sz w:val="20"/>
                <w:szCs w:val="20"/>
                <w:lang w:eastAsia="en-GB"/>
              </w:rPr>
              <w:t>6</w:t>
            </w:r>
            <w:r w:rsidR="009F2CBC">
              <w:rPr>
                <w:rFonts w:ascii="Georgia" w:hAnsi="Georgia" w:cs="Arial"/>
                <w:b/>
                <w:bCs/>
                <w:color w:val="404040" w:themeColor="text1" w:themeTint="BF"/>
                <w:sz w:val="20"/>
                <w:szCs w:val="20"/>
                <w:lang w:eastAsia="en-GB"/>
              </w:rPr>
              <w:t>1</w:t>
            </w:r>
            <w:r w:rsidRPr="009F2CBC">
              <w:rPr>
                <w:rFonts w:ascii="Georgia" w:hAnsi="Georgia" w:cs="Arial"/>
                <w:b/>
                <w:bCs/>
                <w:color w:val="404040" w:themeColor="text1" w:themeTint="BF"/>
                <w:sz w:val="20"/>
                <w:szCs w:val="20"/>
                <w:lang w:eastAsia="en-GB"/>
              </w:rPr>
              <w:t>)</w:t>
            </w:r>
          </w:p>
        </w:tc>
        <w:tc>
          <w:tcPr>
            <w:tcW w:w="858" w:type="pct"/>
            <w:tcBorders>
              <w:top w:val="single" w:sz="4" w:space="0" w:color="auto"/>
              <w:left w:val="nil"/>
              <w:bottom w:val="single" w:sz="4" w:space="0" w:color="auto"/>
              <w:right w:val="nil"/>
            </w:tcBorders>
            <w:shd w:val="clear" w:color="auto" w:fill="auto"/>
            <w:noWrap/>
            <w:vAlign w:val="center"/>
          </w:tcPr>
          <w:p w14:paraId="11F644D9" w14:textId="55E84F13" w:rsidR="00AF663A" w:rsidRPr="00AF663A" w:rsidRDefault="00AF663A" w:rsidP="00AF663A">
            <w:pPr>
              <w:jc w:val="right"/>
              <w:rPr>
                <w:rFonts w:ascii="Georgia" w:hAnsi="Georgia"/>
                <w:b/>
                <w:color w:val="404040"/>
                <w:sz w:val="20"/>
              </w:rPr>
            </w:pPr>
            <w:r w:rsidRPr="00AF663A">
              <w:rPr>
                <w:rFonts w:ascii="Georgia" w:hAnsi="Georgia" w:cs="Arial"/>
                <w:b/>
                <w:bCs/>
                <w:color w:val="404040" w:themeColor="text1" w:themeTint="BF"/>
                <w:sz w:val="20"/>
                <w:szCs w:val="20"/>
                <w:lang w:eastAsia="en-GB"/>
              </w:rPr>
              <w:t>(528)</w:t>
            </w:r>
          </w:p>
        </w:tc>
      </w:tr>
      <w:tr w:rsidR="00AF663A" w:rsidRPr="009306C8" w14:paraId="16CDEB84" w14:textId="77777777" w:rsidTr="002C357F">
        <w:trPr>
          <w:trHeight w:val="255"/>
        </w:trPr>
        <w:tc>
          <w:tcPr>
            <w:tcW w:w="2785" w:type="pct"/>
            <w:tcBorders>
              <w:top w:val="nil"/>
              <w:left w:val="nil"/>
              <w:bottom w:val="nil"/>
              <w:right w:val="nil"/>
            </w:tcBorders>
            <w:shd w:val="clear" w:color="auto" w:fill="auto"/>
            <w:noWrap/>
            <w:vAlign w:val="center"/>
          </w:tcPr>
          <w:p w14:paraId="5B47F79F" w14:textId="77777777" w:rsidR="00AF663A" w:rsidRPr="009306C8" w:rsidRDefault="00AF663A" w:rsidP="00AF663A">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bottom"/>
          </w:tcPr>
          <w:p w14:paraId="72F38811" w14:textId="77777777" w:rsidR="00AF663A" w:rsidRPr="00894FC4"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03B7F74E" w14:textId="77777777" w:rsidR="00AF663A" w:rsidRPr="002C357F" w:rsidRDefault="00AF663A" w:rsidP="00AF663A">
            <w:pPr>
              <w:jc w:val="right"/>
              <w:rPr>
                <w:rFonts w:ascii="Georgia" w:hAnsi="Georgia"/>
                <w:b/>
                <w:color w:val="404040"/>
                <w:sz w:val="20"/>
                <w:highlight w:val="yellow"/>
              </w:rPr>
            </w:pPr>
          </w:p>
        </w:tc>
        <w:tc>
          <w:tcPr>
            <w:tcW w:w="858" w:type="pct"/>
            <w:tcBorders>
              <w:top w:val="nil"/>
              <w:left w:val="nil"/>
              <w:bottom w:val="nil"/>
              <w:right w:val="nil"/>
            </w:tcBorders>
            <w:vAlign w:val="bottom"/>
          </w:tcPr>
          <w:p w14:paraId="43971A04" w14:textId="77777777"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0B7E00AD" w14:textId="77777777" w:rsidTr="002C357F">
        <w:trPr>
          <w:trHeight w:val="255"/>
        </w:trPr>
        <w:tc>
          <w:tcPr>
            <w:tcW w:w="2785" w:type="pct"/>
            <w:tcBorders>
              <w:top w:val="nil"/>
              <w:left w:val="nil"/>
              <w:bottom w:val="nil"/>
              <w:right w:val="nil"/>
            </w:tcBorders>
            <w:shd w:val="clear" w:color="auto" w:fill="auto"/>
            <w:noWrap/>
            <w:vAlign w:val="center"/>
          </w:tcPr>
          <w:p w14:paraId="74D0D52E" w14:textId="77777777" w:rsidR="00AF663A" w:rsidRPr="009306C8" w:rsidRDefault="00AF663A" w:rsidP="00AF663A">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Cash flows from investing activities</w:t>
            </w:r>
          </w:p>
        </w:tc>
        <w:tc>
          <w:tcPr>
            <w:tcW w:w="514" w:type="pct"/>
            <w:tcBorders>
              <w:top w:val="nil"/>
              <w:left w:val="nil"/>
              <w:bottom w:val="nil"/>
              <w:right w:val="nil"/>
            </w:tcBorders>
            <w:shd w:val="clear" w:color="auto" w:fill="auto"/>
            <w:noWrap/>
            <w:vAlign w:val="bottom"/>
          </w:tcPr>
          <w:p w14:paraId="0A8F48B0" w14:textId="77777777" w:rsidR="00AF663A" w:rsidRPr="00894FC4"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35E44EE5" w14:textId="77777777" w:rsidR="00AF663A" w:rsidRPr="002C357F" w:rsidRDefault="00AF663A" w:rsidP="00AF663A">
            <w:pPr>
              <w:jc w:val="right"/>
              <w:rPr>
                <w:rFonts w:ascii="Georgia" w:hAnsi="Georgia"/>
                <w:color w:val="404040"/>
                <w:sz w:val="20"/>
                <w:highlight w:val="yellow"/>
              </w:rPr>
            </w:pPr>
          </w:p>
        </w:tc>
        <w:tc>
          <w:tcPr>
            <w:tcW w:w="858" w:type="pct"/>
            <w:tcBorders>
              <w:top w:val="nil"/>
              <w:left w:val="nil"/>
              <w:bottom w:val="nil"/>
              <w:right w:val="nil"/>
            </w:tcBorders>
            <w:vAlign w:val="bottom"/>
          </w:tcPr>
          <w:p w14:paraId="12B3818F" w14:textId="7ABEF393"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6F4B2259" w14:textId="77777777" w:rsidTr="002C357F">
        <w:trPr>
          <w:trHeight w:val="510"/>
        </w:trPr>
        <w:tc>
          <w:tcPr>
            <w:tcW w:w="2785" w:type="pct"/>
            <w:tcBorders>
              <w:top w:val="nil"/>
              <w:left w:val="nil"/>
              <w:bottom w:val="nil"/>
              <w:right w:val="nil"/>
            </w:tcBorders>
            <w:shd w:val="clear" w:color="auto" w:fill="auto"/>
            <w:noWrap/>
            <w:vAlign w:val="center"/>
          </w:tcPr>
          <w:p w14:paraId="72C9CD6B" w14:textId="61068A63" w:rsidR="00AF663A" w:rsidRDefault="00AF663A" w:rsidP="00AF663A">
            <w:pPr>
              <w:rPr>
                <w:rFonts w:ascii="Georgia" w:hAnsi="Georgia" w:cs="Arial"/>
                <w:bCs/>
                <w:color w:val="404040" w:themeColor="text1" w:themeTint="BF"/>
                <w:sz w:val="20"/>
                <w:szCs w:val="20"/>
                <w:lang w:eastAsia="en-GB"/>
              </w:rPr>
            </w:pPr>
            <w:r>
              <w:rPr>
                <w:rFonts w:ascii="Georgia" w:hAnsi="Georgia" w:cs="Arial"/>
                <w:bCs/>
                <w:color w:val="404040" w:themeColor="text1" w:themeTint="BF"/>
                <w:sz w:val="20"/>
                <w:szCs w:val="20"/>
                <w:lang w:eastAsia="en-GB"/>
              </w:rPr>
              <w:t>Receipts from investments held at fair value through</w:t>
            </w:r>
          </w:p>
          <w:p w14:paraId="42DA7436" w14:textId="77777777" w:rsidR="00AF663A" w:rsidRPr="00904B5E" w:rsidRDefault="00AF663A" w:rsidP="00AF663A">
            <w:pPr>
              <w:rPr>
                <w:rFonts w:ascii="Georgia" w:hAnsi="Georgia" w:cs="Arial"/>
                <w:bCs/>
                <w:color w:val="404040" w:themeColor="text1" w:themeTint="BF"/>
                <w:sz w:val="20"/>
                <w:szCs w:val="20"/>
                <w:lang w:eastAsia="en-GB"/>
              </w:rPr>
            </w:pPr>
            <w:r>
              <w:rPr>
                <w:rFonts w:ascii="Georgia" w:hAnsi="Georgia" w:cs="Arial"/>
                <w:bCs/>
                <w:color w:val="404040" w:themeColor="text1" w:themeTint="BF"/>
                <w:sz w:val="20"/>
                <w:szCs w:val="20"/>
                <w:lang w:eastAsia="en-GB"/>
              </w:rPr>
              <w:t>profit or loss</w:t>
            </w:r>
          </w:p>
        </w:tc>
        <w:tc>
          <w:tcPr>
            <w:tcW w:w="514" w:type="pct"/>
            <w:tcBorders>
              <w:top w:val="nil"/>
              <w:left w:val="nil"/>
              <w:bottom w:val="nil"/>
              <w:right w:val="nil"/>
            </w:tcBorders>
            <w:shd w:val="clear" w:color="auto" w:fill="auto"/>
            <w:noWrap/>
            <w:vAlign w:val="center"/>
          </w:tcPr>
          <w:p w14:paraId="51A91CA6" w14:textId="6EB4EDA3" w:rsidR="00AF663A" w:rsidRPr="00894FC4" w:rsidRDefault="00AF663A" w:rsidP="00AF663A">
            <w:pPr>
              <w:jc w:val="center"/>
              <w:rPr>
                <w:rFonts w:ascii="Georgia" w:hAnsi="Georgia" w:cs="Arial"/>
                <w:color w:val="404040" w:themeColor="text1" w:themeTint="BF"/>
                <w:sz w:val="20"/>
                <w:szCs w:val="20"/>
                <w:lang w:eastAsia="en-GB"/>
              </w:rPr>
            </w:pPr>
            <w:r w:rsidRPr="00894FC4">
              <w:rPr>
                <w:rFonts w:ascii="Georgia" w:hAnsi="Georgia" w:cs="Arial"/>
                <w:b/>
                <w:bCs/>
                <w:color w:val="404040" w:themeColor="text1" w:themeTint="BF"/>
                <w:sz w:val="20"/>
                <w:szCs w:val="20"/>
                <w:lang w:eastAsia="en-GB"/>
              </w:rPr>
              <w:t>8</w:t>
            </w:r>
          </w:p>
        </w:tc>
        <w:tc>
          <w:tcPr>
            <w:tcW w:w="842" w:type="pct"/>
            <w:tcBorders>
              <w:top w:val="nil"/>
              <w:left w:val="nil"/>
              <w:bottom w:val="nil"/>
              <w:right w:val="nil"/>
            </w:tcBorders>
            <w:vAlign w:val="center"/>
          </w:tcPr>
          <w:p w14:paraId="5FBCEEC2" w14:textId="606A546F" w:rsidR="00AF663A" w:rsidRPr="009F2CBC" w:rsidRDefault="009F2CBC" w:rsidP="00AF663A">
            <w:pPr>
              <w:jc w:val="right"/>
              <w:rPr>
                <w:rFonts w:ascii="Georgia" w:hAnsi="Georgia"/>
                <w:color w:val="404040"/>
                <w:sz w:val="20"/>
              </w:rPr>
            </w:pPr>
            <w:r w:rsidRPr="009F2CBC">
              <w:rPr>
                <w:rFonts w:ascii="Georgia" w:hAnsi="Georgia"/>
                <w:color w:val="404040"/>
                <w:sz w:val="20"/>
              </w:rPr>
              <w:t>32,</w:t>
            </w:r>
            <w:r w:rsidR="00740912">
              <w:rPr>
                <w:rFonts w:ascii="Georgia" w:hAnsi="Georgia"/>
                <w:color w:val="404040"/>
                <w:sz w:val="20"/>
              </w:rPr>
              <w:t>161</w:t>
            </w:r>
          </w:p>
        </w:tc>
        <w:tc>
          <w:tcPr>
            <w:tcW w:w="858" w:type="pct"/>
            <w:tcBorders>
              <w:top w:val="nil"/>
              <w:left w:val="nil"/>
              <w:bottom w:val="nil"/>
              <w:right w:val="nil"/>
            </w:tcBorders>
            <w:vAlign w:val="center"/>
          </w:tcPr>
          <w:p w14:paraId="6E207C3D" w14:textId="19D75B6E" w:rsidR="00AF663A" w:rsidRPr="00AF663A" w:rsidRDefault="00AF663A" w:rsidP="00AF663A">
            <w:pPr>
              <w:jc w:val="right"/>
              <w:rPr>
                <w:rFonts w:ascii="Georgia" w:hAnsi="Georgia" w:cs="Arial"/>
                <w:color w:val="404040" w:themeColor="text1" w:themeTint="BF"/>
                <w:sz w:val="20"/>
                <w:szCs w:val="20"/>
                <w:lang w:eastAsia="en-GB"/>
              </w:rPr>
            </w:pPr>
            <w:r w:rsidRPr="00AF663A">
              <w:rPr>
                <w:rFonts w:ascii="Georgia" w:hAnsi="Georgia"/>
                <w:color w:val="404040"/>
                <w:sz w:val="20"/>
              </w:rPr>
              <w:t>28,528</w:t>
            </w:r>
          </w:p>
        </w:tc>
      </w:tr>
      <w:tr w:rsidR="00AF663A" w:rsidRPr="009306C8" w14:paraId="3A4B77CD" w14:textId="77777777" w:rsidTr="002C357F">
        <w:trPr>
          <w:trHeight w:val="255"/>
        </w:trPr>
        <w:tc>
          <w:tcPr>
            <w:tcW w:w="2785" w:type="pct"/>
            <w:tcBorders>
              <w:top w:val="single" w:sz="4" w:space="0" w:color="auto"/>
              <w:left w:val="nil"/>
              <w:bottom w:val="single" w:sz="4" w:space="0" w:color="auto"/>
              <w:right w:val="nil"/>
            </w:tcBorders>
            <w:shd w:val="clear" w:color="auto" w:fill="auto"/>
            <w:noWrap/>
            <w:vAlign w:val="center"/>
          </w:tcPr>
          <w:p w14:paraId="3071A9A4" w14:textId="570B1C3A" w:rsidR="00AF663A" w:rsidRPr="009306C8" w:rsidRDefault="00AF663A" w:rsidP="00AF663A">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 xml:space="preserve">Net cash </w:t>
            </w:r>
            <w:r>
              <w:rPr>
                <w:rFonts w:ascii="Georgia" w:hAnsi="Georgia" w:cs="Arial"/>
                <w:b/>
                <w:bCs/>
                <w:color w:val="404040" w:themeColor="text1" w:themeTint="BF"/>
                <w:sz w:val="20"/>
                <w:szCs w:val="20"/>
                <w:lang w:eastAsia="en-GB"/>
              </w:rPr>
              <w:t>generated from</w:t>
            </w:r>
            <w:r w:rsidRPr="00E42A95">
              <w:rPr>
                <w:rFonts w:ascii="Georgia" w:hAnsi="Georgia" w:cs="Arial"/>
                <w:b/>
                <w:bCs/>
                <w:color w:val="404040" w:themeColor="text1" w:themeTint="BF"/>
                <w:sz w:val="20"/>
                <w:szCs w:val="20"/>
                <w:lang w:eastAsia="en-GB"/>
              </w:rPr>
              <w:t xml:space="preserve"> investing activities</w:t>
            </w:r>
          </w:p>
        </w:tc>
        <w:tc>
          <w:tcPr>
            <w:tcW w:w="514" w:type="pct"/>
            <w:tcBorders>
              <w:top w:val="single" w:sz="4" w:space="0" w:color="auto"/>
              <w:left w:val="nil"/>
              <w:bottom w:val="single" w:sz="4" w:space="0" w:color="auto"/>
              <w:right w:val="nil"/>
            </w:tcBorders>
            <w:shd w:val="clear" w:color="auto" w:fill="auto"/>
            <w:noWrap/>
            <w:vAlign w:val="bottom"/>
          </w:tcPr>
          <w:p w14:paraId="1385D56B" w14:textId="77777777" w:rsidR="00AF663A" w:rsidRPr="00894FC4" w:rsidRDefault="00AF663A" w:rsidP="00AF663A">
            <w:pPr>
              <w:rPr>
                <w:rFonts w:ascii="Georgia" w:hAnsi="Georgia" w:cs="Arial"/>
                <w:color w:val="404040" w:themeColor="text1" w:themeTint="BF"/>
                <w:sz w:val="20"/>
                <w:szCs w:val="20"/>
                <w:lang w:eastAsia="en-GB"/>
              </w:rPr>
            </w:pPr>
            <w:r w:rsidRPr="00894FC4">
              <w:rPr>
                <w:rFonts w:ascii="Georgia" w:hAnsi="Georgia" w:cs="Arial"/>
                <w:color w:val="404040" w:themeColor="text1" w:themeTint="BF"/>
                <w:sz w:val="20"/>
                <w:szCs w:val="20"/>
                <w:lang w:eastAsia="en-GB"/>
              </w:rPr>
              <w:t> </w:t>
            </w:r>
          </w:p>
        </w:tc>
        <w:tc>
          <w:tcPr>
            <w:tcW w:w="842" w:type="pct"/>
            <w:tcBorders>
              <w:top w:val="single" w:sz="4" w:space="0" w:color="auto"/>
              <w:left w:val="nil"/>
              <w:bottom w:val="single" w:sz="4" w:space="0" w:color="auto"/>
              <w:right w:val="nil"/>
            </w:tcBorders>
            <w:vAlign w:val="bottom"/>
          </w:tcPr>
          <w:p w14:paraId="10591F60" w14:textId="26F381B1" w:rsidR="00AF663A" w:rsidRPr="009F2CBC" w:rsidRDefault="00740912" w:rsidP="00AF663A">
            <w:pPr>
              <w:ind w:left="-112"/>
              <w:jc w:val="right"/>
              <w:rPr>
                <w:rFonts w:ascii="Georgia" w:hAnsi="Georgia"/>
                <w:b/>
                <w:color w:val="404040"/>
                <w:sz w:val="20"/>
              </w:rPr>
            </w:pPr>
            <w:r>
              <w:rPr>
                <w:rFonts w:ascii="Georgia" w:hAnsi="Georgia"/>
                <w:b/>
                <w:color w:val="404040"/>
                <w:sz w:val="20"/>
              </w:rPr>
              <w:t>32,161</w:t>
            </w:r>
          </w:p>
        </w:tc>
        <w:tc>
          <w:tcPr>
            <w:tcW w:w="858" w:type="pct"/>
            <w:tcBorders>
              <w:top w:val="single" w:sz="4" w:space="0" w:color="auto"/>
              <w:left w:val="nil"/>
              <w:bottom w:val="single" w:sz="4" w:space="0" w:color="auto"/>
              <w:right w:val="nil"/>
            </w:tcBorders>
            <w:vAlign w:val="bottom"/>
          </w:tcPr>
          <w:p w14:paraId="46154D83" w14:textId="78642FEF" w:rsidR="00AF663A" w:rsidRPr="00AF663A" w:rsidRDefault="00AF663A" w:rsidP="00AF663A">
            <w:pPr>
              <w:jc w:val="right"/>
              <w:rPr>
                <w:rFonts w:ascii="Georgia" w:hAnsi="Georgia" w:cs="Arial"/>
                <w:b/>
                <w:bCs/>
                <w:color w:val="404040" w:themeColor="text1" w:themeTint="BF"/>
                <w:sz w:val="20"/>
                <w:szCs w:val="20"/>
                <w:lang w:eastAsia="en-GB"/>
              </w:rPr>
            </w:pPr>
            <w:r w:rsidRPr="00AF663A">
              <w:rPr>
                <w:rFonts w:ascii="Georgia" w:hAnsi="Georgia"/>
                <w:b/>
                <w:color w:val="404040"/>
                <w:sz w:val="20"/>
              </w:rPr>
              <w:t>28,528</w:t>
            </w:r>
          </w:p>
        </w:tc>
      </w:tr>
      <w:tr w:rsidR="00AF663A" w:rsidRPr="009306C8" w14:paraId="66021D69" w14:textId="77777777" w:rsidTr="002C357F">
        <w:trPr>
          <w:trHeight w:val="255"/>
        </w:trPr>
        <w:tc>
          <w:tcPr>
            <w:tcW w:w="2785" w:type="pct"/>
            <w:tcBorders>
              <w:top w:val="nil"/>
              <w:left w:val="nil"/>
              <w:bottom w:val="nil"/>
              <w:right w:val="nil"/>
            </w:tcBorders>
            <w:shd w:val="clear" w:color="auto" w:fill="auto"/>
            <w:noWrap/>
            <w:vAlign w:val="center"/>
          </w:tcPr>
          <w:p w14:paraId="7C3FCBCF" w14:textId="77777777" w:rsidR="00AF663A" w:rsidRPr="009306C8" w:rsidRDefault="00AF663A" w:rsidP="00AF663A">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bottom"/>
          </w:tcPr>
          <w:p w14:paraId="367ACA52" w14:textId="77777777" w:rsidR="00AF663A" w:rsidRPr="00894FC4"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1FB08B06" w14:textId="77777777" w:rsidR="00AF663A" w:rsidRPr="002C357F" w:rsidRDefault="00AF663A" w:rsidP="00AF663A">
            <w:pPr>
              <w:jc w:val="right"/>
              <w:rPr>
                <w:rFonts w:ascii="Georgia" w:hAnsi="Georgia"/>
                <w:b/>
                <w:color w:val="404040"/>
                <w:sz w:val="20"/>
                <w:highlight w:val="yellow"/>
              </w:rPr>
            </w:pPr>
          </w:p>
        </w:tc>
        <w:tc>
          <w:tcPr>
            <w:tcW w:w="858" w:type="pct"/>
            <w:tcBorders>
              <w:top w:val="nil"/>
              <w:left w:val="nil"/>
              <w:bottom w:val="nil"/>
              <w:right w:val="nil"/>
            </w:tcBorders>
            <w:vAlign w:val="bottom"/>
          </w:tcPr>
          <w:p w14:paraId="52D239D9" w14:textId="77777777"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10D9BED7" w14:textId="77777777" w:rsidTr="002C357F">
        <w:trPr>
          <w:trHeight w:val="255"/>
        </w:trPr>
        <w:tc>
          <w:tcPr>
            <w:tcW w:w="2785" w:type="pct"/>
            <w:tcBorders>
              <w:top w:val="nil"/>
              <w:left w:val="nil"/>
              <w:bottom w:val="nil"/>
              <w:right w:val="nil"/>
            </w:tcBorders>
            <w:shd w:val="clear" w:color="auto" w:fill="auto"/>
            <w:noWrap/>
            <w:vAlign w:val="center"/>
          </w:tcPr>
          <w:p w14:paraId="7A2F2E57" w14:textId="77777777" w:rsidR="00AF663A" w:rsidRPr="009306C8" w:rsidRDefault="00AF663A" w:rsidP="00AF663A">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Cash flow from financing activities</w:t>
            </w:r>
          </w:p>
        </w:tc>
        <w:tc>
          <w:tcPr>
            <w:tcW w:w="514" w:type="pct"/>
            <w:tcBorders>
              <w:top w:val="nil"/>
              <w:left w:val="nil"/>
              <w:bottom w:val="nil"/>
              <w:right w:val="nil"/>
            </w:tcBorders>
            <w:shd w:val="clear" w:color="auto" w:fill="auto"/>
            <w:noWrap/>
            <w:vAlign w:val="bottom"/>
          </w:tcPr>
          <w:p w14:paraId="7F11C0B4" w14:textId="77777777" w:rsidR="00AF663A" w:rsidRPr="00894FC4" w:rsidRDefault="00AF663A" w:rsidP="00AF663A">
            <w:pP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671AB864" w14:textId="77777777" w:rsidR="00AF663A" w:rsidRPr="002C357F" w:rsidRDefault="00AF663A" w:rsidP="00AF663A">
            <w:pPr>
              <w:jc w:val="right"/>
              <w:rPr>
                <w:rFonts w:ascii="Georgia" w:hAnsi="Georgia"/>
                <w:color w:val="404040"/>
                <w:sz w:val="20"/>
                <w:highlight w:val="yellow"/>
              </w:rPr>
            </w:pPr>
          </w:p>
        </w:tc>
        <w:tc>
          <w:tcPr>
            <w:tcW w:w="858" w:type="pct"/>
            <w:tcBorders>
              <w:top w:val="nil"/>
              <w:left w:val="nil"/>
              <w:bottom w:val="nil"/>
              <w:right w:val="nil"/>
            </w:tcBorders>
            <w:vAlign w:val="bottom"/>
          </w:tcPr>
          <w:p w14:paraId="0720D00A" w14:textId="2B908DF7"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6E6E192F" w14:textId="77777777" w:rsidTr="002C357F">
        <w:trPr>
          <w:trHeight w:val="255"/>
        </w:trPr>
        <w:tc>
          <w:tcPr>
            <w:tcW w:w="2785" w:type="pct"/>
            <w:tcBorders>
              <w:top w:val="nil"/>
              <w:left w:val="nil"/>
              <w:bottom w:val="nil"/>
              <w:right w:val="nil"/>
            </w:tcBorders>
            <w:shd w:val="clear" w:color="auto" w:fill="auto"/>
            <w:noWrap/>
            <w:vAlign w:val="center"/>
          </w:tcPr>
          <w:p w14:paraId="205FFF51" w14:textId="7777777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Dividends paid</w:t>
            </w:r>
          </w:p>
        </w:tc>
        <w:tc>
          <w:tcPr>
            <w:tcW w:w="514" w:type="pct"/>
            <w:tcBorders>
              <w:top w:val="nil"/>
              <w:left w:val="nil"/>
              <w:bottom w:val="nil"/>
              <w:right w:val="nil"/>
            </w:tcBorders>
            <w:shd w:val="clear" w:color="auto" w:fill="auto"/>
            <w:noWrap/>
            <w:vAlign w:val="center"/>
          </w:tcPr>
          <w:p w14:paraId="1DD28152" w14:textId="2F9A0C14" w:rsidR="00AF663A" w:rsidRPr="00894FC4" w:rsidRDefault="00AF663A" w:rsidP="00AF663A">
            <w:pPr>
              <w:jc w:val="center"/>
              <w:rPr>
                <w:rFonts w:ascii="Georgia" w:hAnsi="Georgia" w:cs="Arial"/>
                <w:b/>
                <w:bCs/>
                <w:color w:val="404040" w:themeColor="text1" w:themeTint="BF"/>
                <w:sz w:val="20"/>
                <w:szCs w:val="20"/>
                <w:lang w:eastAsia="en-GB"/>
              </w:rPr>
            </w:pPr>
            <w:r w:rsidRPr="00894FC4">
              <w:rPr>
                <w:rFonts w:ascii="Georgia" w:hAnsi="Georgia" w:cs="Arial"/>
                <w:b/>
                <w:bCs/>
                <w:color w:val="404040" w:themeColor="text1" w:themeTint="BF"/>
                <w:sz w:val="20"/>
                <w:szCs w:val="20"/>
                <w:lang w:eastAsia="en-GB"/>
              </w:rPr>
              <w:t>1</w:t>
            </w:r>
            <w:r>
              <w:rPr>
                <w:rFonts w:ascii="Georgia" w:hAnsi="Georgia" w:cs="Arial"/>
                <w:b/>
                <w:bCs/>
                <w:color w:val="404040" w:themeColor="text1" w:themeTint="BF"/>
                <w:sz w:val="20"/>
                <w:szCs w:val="20"/>
                <w:lang w:eastAsia="en-GB"/>
              </w:rPr>
              <w:t>3</w:t>
            </w:r>
          </w:p>
        </w:tc>
        <w:tc>
          <w:tcPr>
            <w:tcW w:w="842" w:type="pct"/>
            <w:tcBorders>
              <w:top w:val="nil"/>
              <w:left w:val="nil"/>
              <w:bottom w:val="nil"/>
              <w:right w:val="nil"/>
            </w:tcBorders>
            <w:vAlign w:val="bottom"/>
          </w:tcPr>
          <w:p w14:paraId="2FB7F7CA" w14:textId="4AE39F2E" w:rsidR="00AF663A" w:rsidRPr="009F2CBC" w:rsidRDefault="00AF663A" w:rsidP="009F2CBC">
            <w:pPr>
              <w:jc w:val="right"/>
              <w:rPr>
                <w:rFonts w:ascii="Georgia" w:hAnsi="Georgia"/>
                <w:color w:val="404040"/>
                <w:sz w:val="20"/>
              </w:rPr>
            </w:pPr>
            <w:r w:rsidRPr="009F2CBC">
              <w:rPr>
                <w:rFonts w:ascii="Georgia" w:hAnsi="Georgia"/>
                <w:color w:val="404040"/>
                <w:sz w:val="20"/>
              </w:rPr>
              <w:t>(</w:t>
            </w:r>
            <w:r w:rsidR="009F2CBC" w:rsidRPr="009F2CBC">
              <w:rPr>
                <w:rFonts w:ascii="Georgia" w:hAnsi="Georgia"/>
                <w:color w:val="404040"/>
                <w:sz w:val="20"/>
              </w:rPr>
              <w:t>31,131</w:t>
            </w:r>
            <w:r w:rsidRPr="009F2CBC">
              <w:rPr>
                <w:rFonts w:ascii="Georgia" w:hAnsi="Georgia"/>
                <w:color w:val="404040"/>
                <w:sz w:val="20"/>
              </w:rPr>
              <w:t>)</w:t>
            </w:r>
          </w:p>
        </w:tc>
        <w:tc>
          <w:tcPr>
            <w:tcW w:w="858" w:type="pct"/>
            <w:tcBorders>
              <w:top w:val="nil"/>
              <w:left w:val="nil"/>
              <w:bottom w:val="nil"/>
              <w:right w:val="nil"/>
            </w:tcBorders>
            <w:vAlign w:val="bottom"/>
          </w:tcPr>
          <w:p w14:paraId="3FA9C16C" w14:textId="68F0D173" w:rsidR="00AF663A" w:rsidRPr="00AF663A" w:rsidRDefault="00740912" w:rsidP="00AF663A">
            <w:pPr>
              <w:jc w:val="right"/>
              <w:rPr>
                <w:rFonts w:ascii="Georgia" w:hAnsi="Georgia" w:cs="Arial"/>
                <w:color w:val="404040" w:themeColor="text1" w:themeTint="BF"/>
                <w:sz w:val="20"/>
                <w:szCs w:val="20"/>
                <w:lang w:eastAsia="en-GB"/>
              </w:rPr>
            </w:pPr>
            <w:r>
              <w:rPr>
                <w:rFonts w:ascii="Georgia" w:hAnsi="Georgia"/>
                <w:color w:val="404040"/>
                <w:sz w:val="20"/>
              </w:rPr>
              <w:t>(28,224</w:t>
            </w:r>
            <w:r w:rsidR="00AF663A" w:rsidRPr="00AF663A">
              <w:rPr>
                <w:rFonts w:ascii="Georgia" w:hAnsi="Georgia"/>
                <w:color w:val="404040"/>
                <w:sz w:val="20"/>
              </w:rPr>
              <w:t>)</w:t>
            </w:r>
          </w:p>
        </w:tc>
      </w:tr>
      <w:tr w:rsidR="00AF663A" w:rsidRPr="009306C8" w14:paraId="6F3CF0A3" w14:textId="77777777" w:rsidTr="002C357F">
        <w:trPr>
          <w:trHeight w:val="255"/>
        </w:trPr>
        <w:tc>
          <w:tcPr>
            <w:tcW w:w="2785" w:type="pct"/>
            <w:tcBorders>
              <w:top w:val="single" w:sz="4" w:space="0" w:color="auto"/>
              <w:left w:val="nil"/>
              <w:bottom w:val="single" w:sz="4" w:space="0" w:color="auto"/>
              <w:right w:val="nil"/>
            </w:tcBorders>
            <w:shd w:val="clear" w:color="auto" w:fill="auto"/>
            <w:noWrap/>
            <w:vAlign w:val="center"/>
          </w:tcPr>
          <w:p w14:paraId="03992325" w14:textId="01053F70" w:rsidR="00AF663A" w:rsidRPr="009306C8" w:rsidRDefault="00AF663A" w:rsidP="00AF663A">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 xml:space="preserve">Net cash </w:t>
            </w:r>
            <w:r>
              <w:rPr>
                <w:rFonts w:ascii="Georgia" w:hAnsi="Georgia" w:cs="Arial"/>
                <w:b/>
                <w:bCs/>
                <w:color w:val="404040" w:themeColor="text1" w:themeTint="BF"/>
                <w:sz w:val="20"/>
                <w:szCs w:val="20"/>
                <w:lang w:eastAsia="en-GB"/>
              </w:rPr>
              <w:t>used in</w:t>
            </w:r>
            <w:r w:rsidRPr="00E42A95">
              <w:rPr>
                <w:rFonts w:ascii="Georgia" w:hAnsi="Georgia" w:cs="Arial"/>
                <w:b/>
                <w:bCs/>
                <w:color w:val="404040" w:themeColor="text1" w:themeTint="BF"/>
                <w:sz w:val="20"/>
                <w:szCs w:val="20"/>
                <w:lang w:eastAsia="en-GB"/>
              </w:rPr>
              <w:t xml:space="preserve"> financing activities</w:t>
            </w:r>
          </w:p>
        </w:tc>
        <w:tc>
          <w:tcPr>
            <w:tcW w:w="514" w:type="pct"/>
            <w:tcBorders>
              <w:top w:val="single" w:sz="4" w:space="0" w:color="auto"/>
              <w:left w:val="nil"/>
              <w:bottom w:val="single" w:sz="4" w:space="0" w:color="auto"/>
              <w:right w:val="nil"/>
            </w:tcBorders>
            <w:shd w:val="clear" w:color="auto" w:fill="auto"/>
            <w:noWrap/>
            <w:vAlign w:val="center"/>
          </w:tcPr>
          <w:p w14:paraId="24E60774" w14:textId="77777777" w:rsidR="00AF663A" w:rsidRPr="00894FC4" w:rsidRDefault="00AF663A" w:rsidP="00AF663A">
            <w:pPr>
              <w:jc w:val="center"/>
              <w:rPr>
                <w:rFonts w:ascii="Georgia" w:hAnsi="Georgia" w:cs="Arial"/>
                <w:b/>
                <w:bCs/>
                <w:color w:val="404040" w:themeColor="text1" w:themeTint="BF"/>
                <w:sz w:val="20"/>
                <w:szCs w:val="20"/>
                <w:lang w:eastAsia="en-GB"/>
              </w:rPr>
            </w:pPr>
          </w:p>
        </w:tc>
        <w:tc>
          <w:tcPr>
            <w:tcW w:w="842" w:type="pct"/>
            <w:tcBorders>
              <w:top w:val="single" w:sz="4" w:space="0" w:color="auto"/>
              <w:left w:val="nil"/>
              <w:bottom w:val="single" w:sz="4" w:space="0" w:color="auto"/>
              <w:right w:val="nil"/>
            </w:tcBorders>
            <w:vAlign w:val="bottom"/>
          </w:tcPr>
          <w:p w14:paraId="27B8ABC8" w14:textId="0DE552E0" w:rsidR="00AF663A" w:rsidRPr="009F2CBC" w:rsidRDefault="009F2CBC" w:rsidP="00AF663A">
            <w:pPr>
              <w:jc w:val="right"/>
              <w:rPr>
                <w:rFonts w:ascii="Georgia" w:hAnsi="Georgia"/>
                <w:b/>
                <w:color w:val="404040"/>
                <w:sz w:val="20"/>
              </w:rPr>
            </w:pPr>
            <w:r w:rsidRPr="009F2CBC">
              <w:rPr>
                <w:rFonts w:ascii="Georgia" w:hAnsi="Georgia"/>
                <w:b/>
                <w:color w:val="404040"/>
                <w:sz w:val="20"/>
              </w:rPr>
              <w:t>(31,131</w:t>
            </w:r>
            <w:r w:rsidR="00AF663A" w:rsidRPr="009F2CBC">
              <w:rPr>
                <w:rFonts w:ascii="Georgia" w:hAnsi="Georgia"/>
                <w:b/>
                <w:color w:val="404040"/>
                <w:sz w:val="20"/>
              </w:rPr>
              <w:t>)</w:t>
            </w:r>
          </w:p>
        </w:tc>
        <w:tc>
          <w:tcPr>
            <w:tcW w:w="858" w:type="pct"/>
            <w:tcBorders>
              <w:top w:val="single" w:sz="4" w:space="0" w:color="auto"/>
              <w:left w:val="nil"/>
              <w:bottom w:val="single" w:sz="4" w:space="0" w:color="auto"/>
              <w:right w:val="nil"/>
            </w:tcBorders>
            <w:vAlign w:val="bottom"/>
          </w:tcPr>
          <w:p w14:paraId="72A2EBCC" w14:textId="19A7A6DA" w:rsidR="00AF663A" w:rsidRPr="00AF663A" w:rsidRDefault="00740912" w:rsidP="00AF663A">
            <w:pPr>
              <w:jc w:val="right"/>
              <w:rPr>
                <w:rFonts w:ascii="Georgia" w:hAnsi="Georgia" w:cs="Arial"/>
                <w:b/>
                <w:bCs/>
                <w:color w:val="404040" w:themeColor="text1" w:themeTint="BF"/>
                <w:sz w:val="20"/>
                <w:szCs w:val="20"/>
                <w:lang w:eastAsia="en-GB"/>
              </w:rPr>
            </w:pPr>
            <w:r>
              <w:rPr>
                <w:rFonts w:ascii="Georgia" w:hAnsi="Georgia"/>
                <w:b/>
                <w:color w:val="404040"/>
                <w:sz w:val="20"/>
              </w:rPr>
              <w:t>(28,224</w:t>
            </w:r>
            <w:r w:rsidR="00AF663A" w:rsidRPr="00AF663A">
              <w:rPr>
                <w:rFonts w:ascii="Georgia" w:hAnsi="Georgia"/>
                <w:b/>
                <w:color w:val="404040"/>
                <w:sz w:val="20"/>
              </w:rPr>
              <w:t>)</w:t>
            </w:r>
          </w:p>
        </w:tc>
      </w:tr>
      <w:tr w:rsidR="00AF663A" w:rsidRPr="009306C8" w14:paraId="7353C0D9" w14:textId="77777777" w:rsidTr="002C357F">
        <w:trPr>
          <w:trHeight w:val="255"/>
        </w:trPr>
        <w:tc>
          <w:tcPr>
            <w:tcW w:w="2785" w:type="pct"/>
            <w:tcBorders>
              <w:top w:val="nil"/>
              <w:left w:val="nil"/>
              <w:bottom w:val="nil"/>
              <w:right w:val="nil"/>
            </w:tcBorders>
            <w:shd w:val="clear" w:color="auto" w:fill="auto"/>
            <w:noWrap/>
            <w:vAlign w:val="center"/>
          </w:tcPr>
          <w:p w14:paraId="0FE87D0D" w14:textId="77777777" w:rsidR="00AF663A" w:rsidRPr="009306C8" w:rsidRDefault="00AF663A" w:rsidP="00AF663A">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center"/>
          </w:tcPr>
          <w:p w14:paraId="65121B7C" w14:textId="77777777" w:rsidR="00AF663A" w:rsidRPr="00894FC4" w:rsidRDefault="00AF663A" w:rsidP="00AF663A">
            <w:pPr>
              <w:jc w:val="cente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02B553FE" w14:textId="77777777" w:rsidR="00AF663A" w:rsidRPr="009F2CBC" w:rsidRDefault="00AF663A" w:rsidP="00AF663A">
            <w:pPr>
              <w:jc w:val="right"/>
              <w:rPr>
                <w:rFonts w:ascii="Georgia" w:hAnsi="Georgia"/>
                <w:color w:val="404040"/>
                <w:sz w:val="20"/>
              </w:rPr>
            </w:pPr>
          </w:p>
        </w:tc>
        <w:tc>
          <w:tcPr>
            <w:tcW w:w="858" w:type="pct"/>
            <w:tcBorders>
              <w:top w:val="nil"/>
              <w:left w:val="nil"/>
              <w:bottom w:val="nil"/>
              <w:right w:val="nil"/>
            </w:tcBorders>
            <w:vAlign w:val="bottom"/>
          </w:tcPr>
          <w:p w14:paraId="0163F8FD" w14:textId="35366A48"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4F484732" w14:textId="77777777" w:rsidTr="002C357F">
        <w:trPr>
          <w:trHeight w:val="255"/>
        </w:trPr>
        <w:tc>
          <w:tcPr>
            <w:tcW w:w="2785" w:type="pct"/>
            <w:tcBorders>
              <w:top w:val="nil"/>
              <w:left w:val="nil"/>
              <w:bottom w:val="nil"/>
              <w:right w:val="nil"/>
            </w:tcBorders>
            <w:shd w:val="clear" w:color="auto" w:fill="auto"/>
            <w:vAlign w:val="center"/>
          </w:tcPr>
          <w:p w14:paraId="6F1A4BD8" w14:textId="2BDDF5F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Net</w:t>
            </w:r>
            <w:r>
              <w:rPr>
                <w:rFonts w:ascii="Georgia" w:hAnsi="Georgia" w:cs="Arial"/>
                <w:color w:val="404040" w:themeColor="text1" w:themeTint="BF"/>
                <w:sz w:val="20"/>
                <w:szCs w:val="20"/>
                <w:lang w:eastAsia="en-GB"/>
              </w:rPr>
              <w:t xml:space="preserve"> </w:t>
            </w:r>
            <w:r w:rsidR="00EC2F76">
              <w:rPr>
                <w:rFonts w:ascii="Georgia" w:hAnsi="Georgia" w:cs="Arial"/>
                <w:color w:val="404040" w:themeColor="text1" w:themeTint="BF"/>
                <w:sz w:val="20"/>
                <w:szCs w:val="20"/>
                <w:lang w:eastAsia="en-GB"/>
              </w:rPr>
              <w:t>increase/(</w:t>
            </w:r>
            <w:r>
              <w:rPr>
                <w:rFonts w:ascii="Georgia" w:hAnsi="Georgia" w:cs="Arial"/>
                <w:color w:val="404040" w:themeColor="text1" w:themeTint="BF"/>
                <w:sz w:val="20"/>
                <w:szCs w:val="20"/>
                <w:lang w:eastAsia="en-GB"/>
              </w:rPr>
              <w:t>de</w:t>
            </w:r>
            <w:r w:rsidRPr="00792D1B">
              <w:rPr>
                <w:rFonts w:ascii="Georgia" w:hAnsi="Georgia" w:cs="Arial"/>
                <w:color w:val="404040" w:themeColor="text1" w:themeTint="BF"/>
                <w:sz w:val="20"/>
                <w:szCs w:val="20"/>
                <w:lang w:eastAsia="en-GB"/>
              </w:rPr>
              <w:t>crease</w:t>
            </w:r>
            <w:r w:rsidR="00EC2F76">
              <w:rPr>
                <w:rFonts w:ascii="Georgia" w:hAnsi="Georgia" w:cs="Arial"/>
                <w:color w:val="404040" w:themeColor="text1" w:themeTint="BF"/>
                <w:sz w:val="20"/>
                <w:szCs w:val="20"/>
                <w:lang w:eastAsia="en-GB"/>
              </w:rPr>
              <w:t>)</w:t>
            </w:r>
            <w:r w:rsidRPr="00E42A95">
              <w:rPr>
                <w:rFonts w:ascii="Georgia" w:hAnsi="Georgia" w:cs="Arial"/>
                <w:color w:val="404040" w:themeColor="text1" w:themeTint="BF"/>
                <w:sz w:val="20"/>
                <w:szCs w:val="20"/>
                <w:lang w:eastAsia="en-GB"/>
              </w:rPr>
              <w:t xml:space="preserve"> in cash and cash equivalents</w:t>
            </w:r>
          </w:p>
        </w:tc>
        <w:tc>
          <w:tcPr>
            <w:tcW w:w="514" w:type="pct"/>
            <w:tcBorders>
              <w:top w:val="nil"/>
              <w:left w:val="nil"/>
              <w:bottom w:val="nil"/>
              <w:right w:val="nil"/>
            </w:tcBorders>
            <w:shd w:val="clear" w:color="auto" w:fill="auto"/>
            <w:noWrap/>
            <w:vAlign w:val="center"/>
          </w:tcPr>
          <w:p w14:paraId="5EDC96C7" w14:textId="77777777" w:rsidR="00AF663A" w:rsidRPr="00894FC4" w:rsidRDefault="00AF663A" w:rsidP="00AF663A">
            <w:pPr>
              <w:jc w:val="cente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4F912D21" w14:textId="32B66BC2" w:rsidR="00AF663A" w:rsidRPr="009F2CBC" w:rsidRDefault="009F2CBC" w:rsidP="00AF663A">
            <w:pPr>
              <w:jc w:val="right"/>
              <w:rPr>
                <w:rFonts w:ascii="Georgia" w:hAnsi="Georgia"/>
                <w:color w:val="404040"/>
                <w:sz w:val="20"/>
              </w:rPr>
            </w:pPr>
            <w:r w:rsidRPr="009F2CBC">
              <w:rPr>
                <w:rFonts w:ascii="Georgia" w:hAnsi="Georgia"/>
                <w:color w:val="404040"/>
                <w:sz w:val="20"/>
              </w:rPr>
              <w:t>46</w:t>
            </w:r>
            <w:r w:rsidR="00EC2F76">
              <w:rPr>
                <w:rFonts w:ascii="Georgia" w:hAnsi="Georgia"/>
                <w:color w:val="404040"/>
                <w:sz w:val="20"/>
              </w:rPr>
              <w:t>9</w:t>
            </w:r>
          </w:p>
        </w:tc>
        <w:tc>
          <w:tcPr>
            <w:tcW w:w="858" w:type="pct"/>
            <w:tcBorders>
              <w:top w:val="nil"/>
              <w:left w:val="nil"/>
              <w:bottom w:val="nil"/>
              <w:right w:val="nil"/>
            </w:tcBorders>
            <w:vAlign w:val="bottom"/>
          </w:tcPr>
          <w:p w14:paraId="0F7D26DB" w14:textId="561E64F1" w:rsidR="00AF663A" w:rsidRPr="00AF663A" w:rsidRDefault="00D6345B" w:rsidP="00740912">
            <w:pPr>
              <w:jc w:val="right"/>
              <w:rPr>
                <w:rFonts w:ascii="Georgia" w:hAnsi="Georgia" w:cs="Arial"/>
                <w:color w:val="404040" w:themeColor="text1" w:themeTint="BF"/>
                <w:sz w:val="20"/>
                <w:szCs w:val="20"/>
                <w:lang w:eastAsia="en-GB"/>
              </w:rPr>
            </w:pPr>
            <w:r>
              <w:rPr>
                <w:rFonts w:ascii="Georgia" w:hAnsi="Georgia"/>
                <w:color w:val="404040"/>
                <w:sz w:val="20"/>
              </w:rPr>
              <w:t>(22</w:t>
            </w:r>
            <w:r w:rsidR="00740912">
              <w:rPr>
                <w:rFonts w:ascii="Georgia" w:hAnsi="Georgia"/>
                <w:color w:val="404040"/>
                <w:sz w:val="20"/>
              </w:rPr>
              <w:t>4</w:t>
            </w:r>
            <w:r w:rsidR="00AF663A" w:rsidRPr="00AF663A">
              <w:rPr>
                <w:rFonts w:ascii="Georgia" w:hAnsi="Georgia"/>
                <w:color w:val="404040"/>
                <w:sz w:val="20"/>
              </w:rPr>
              <w:t>)</w:t>
            </w:r>
          </w:p>
        </w:tc>
      </w:tr>
      <w:tr w:rsidR="00AF663A" w:rsidRPr="009306C8" w14:paraId="6A4C251E" w14:textId="77777777" w:rsidTr="00D6345B">
        <w:trPr>
          <w:trHeight w:val="255"/>
        </w:trPr>
        <w:tc>
          <w:tcPr>
            <w:tcW w:w="2785" w:type="pct"/>
            <w:tcBorders>
              <w:top w:val="nil"/>
              <w:left w:val="nil"/>
              <w:bottom w:val="nil"/>
              <w:right w:val="nil"/>
            </w:tcBorders>
            <w:shd w:val="clear" w:color="auto" w:fill="auto"/>
            <w:vAlign w:val="center"/>
          </w:tcPr>
          <w:p w14:paraId="22E02661" w14:textId="77777777" w:rsidR="00AF663A" w:rsidRPr="009306C8" w:rsidRDefault="00AF663A" w:rsidP="00AF663A">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xml:space="preserve">Cash and cash equivalents at the start of the </w:t>
            </w:r>
            <w:r>
              <w:rPr>
                <w:rFonts w:ascii="Georgia" w:hAnsi="Georgia" w:cs="Arial"/>
                <w:color w:val="404040" w:themeColor="text1" w:themeTint="BF"/>
                <w:sz w:val="20"/>
                <w:szCs w:val="20"/>
                <w:lang w:eastAsia="en-GB"/>
              </w:rPr>
              <w:t>year</w:t>
            </w:r>
          </w:p>
        </w:tc>
        <w:tc>
          <w:tcPr>
            <w:tcW w:w="514" w:type="pct"/>
            <w:tcBorders>
              <w:top w:val="nil"/>
              <w:left w:val="nil"/>
              <w:bottom w:val="nil"/>
              <w:right w:val="nil"/>
            </w:tcBorders>
            <w:shd w:val="clear" w:color="auto" w:fill="auto"/>
            <w:noWrap/>
            <w:vAlign w:val="center"/>
          </w:tcPr>
          <w:p w14:paraId="0C2D0938" w14:textId="77777777" w:rsidR="00AF663A" w:rsidRPr="00894FC4" w:rsidRDefault="00AF663A" w:rsidP="00AF663A">
            <w:pPr>
              <w:jc w:val="center"/>
              <w:rPr>
                <w:rFonts w:ascii="Georgia" w:hAnsi="Georgia" w:cs="Arial"/>
                <w:color w:val="404040" w:themeColor="text1" w:themeTint="BF"/>
                <w:sz w:val="20"/>
                <w:szCs w:val="20"/>
                <w:lang w:eastAsia="en-GB"/>
              </w:rPr>
            </w:pPr>
          </w:p>
        </w:tc>
        <w:tc>
          <w:tcPr>
            <w:tcW w:w="842" w:type="pct"/>
            <w:tcBorders>
              <w:top w:val="nil"/>
              <w:left w:val="nil"/>
              <w:bottom w:val="nil"/>
              <w:right w:val="nil"/>
            </w:tcBorders>
            <w:shd w:val="clear" w:color="auto" w:fill="auto"/>
            <w:vAlign w:val="bottom"/>
          </w:tcPr>
          <w:p w14:paraId="36C762BD" w14:textId="37EF9D49" w:rsidR="00AF663A" w:rsidRPr="009F2CBC" w:rsidRDefault="00D6345B" w:rsidP="00AF663A">
            <w:pPr>
              <w:jc w:val="right"/>
              <w:rPr>
                <w:rFonts w:ascii="Georgia" w:hAnsi="Georgia"/>
                <w:color w:val="404040"/>
                <w:sz w:val="20"/>
              </w:rPr>
            </w:pPr>
            <w:r w:rsidRPr="009F2CBC">
              <w:rPr>
                <w:rFonts w:ascii="Georgia" w:hAnsi="Georgia"/>
                <w:color w:val="404040"/>
                <w:sz w:val="20"/>
              </w:rPr>
              <w:t>278</w:t>
            </w:r>
          </w:p>
        </w:tc>
        <w:tc>
          <w:tcPr>
            <w:tcW w:w="858" w:type="pct"/>
            <w:tcBorders>
              <w:top w:val="nil"/>
              <w:left w:val="nil"/>
              <w:bottom w:val="nil"/>
              <w:right w:val="nil"/>
            </w:tcBorders>
            <w:vAlign w:val="bottom"/>
          </w:tcPr>
          <w:p w14:paraId="1A23CBBF" w14:textId="281F0F40" w:rsidR="00AF663A" w:rsidRPr="00AF663A" w:rsidRDefault="00740912" w:rsidP="00AF663A">
            <w:pPr>
              <w:jc w:val="right"/>
              <w:rPr>
                <w:rFonts w:ascii="Georgia" w:hAnsi="Georgia" w:cs="Arial"/>
                <w:color w:val="404040" w:themeColor="text1" w:themeTint="BF"/>
                <w:sz w:val="20"/>
                <w:szCs w:val="20"/>
                <w:lang w:eastAsia="en-GB"/>
              </w:rPr>
            </w:pPr>
            <w:r>
              <w:rPr>
                <w:rFonts w:ascii="Georgia" w:hAnsi="Georgia"/>
                <w:color w:val="404040"/>
                <w:sz w:val="20"/>
              </w:rPr>
              <w:t>502</w:t>
            </w:r>
          </w:p>
        </w:tc>
      </w:tr>
      <w:tr w:rsidR="00AF663A" w:rsidRPr="009306C8" w14:paraId="12C5F590" w14:textId="77777777" w:rsidTr="002C357F">
        <w:trPr>
          <w:trHeight w:val="255"/>
        </w:trPr>
        <w:tc>
          <w:tcPr>
            <w:tcW w:w="2785" w:type="pct"/>
            <w:tcBorders>
              <w:top w:val="nil"/>
              <w:left w:val="nil"/>
              <w:bottom w:val="nil"/>
              <w:right w:val="nil"/>
            </w:tcBorders>
            <w:shd w:val="clear" w:color="auto" w:fill="auto"/>
            <w:vAlign w:val="center"/>
          </w:tcPr>
          <w:p w14:paraId="0638DBB9" w14:textId="77777777" w:rsidR="00AF663A" w:rsidRPr="009306C8" w:rsidRDefault="00AF663A" w:rsidP="00AF663A">
            <w:pPr>
              <w:rPr>
                <w:rFonts w:ascii="Georgia" w:hAnsi="Georgia" w:cs="Arial"/>
                <w:color w:val="404040" w:themeColor="text1" w:themeTint="BF"/>
                <w:sz w:val="20"/>
                <w:szCs w:val="20"/>
                <w:lang w:eastAsia="en-GB"/>
              </w:rPr>
            </w:pPr>
          </w:p>
        </w:tc>
        <w:tc>
          <w:tcPr>
            <w:tcW w:w="514" w:type="pct"/>
            <w:tcBorders>
              <w:top w:val="nil"/>
              <w:left w:val="nil"/>
              <w:bottom w:val="nil"/>
              <w:right w:val="nil"/>
            </w:tcBorders>
            <w:shd w:val="clear" w:color="auto" w:fill="auto"/>
            <w:noWrap/>
            <w:vAlign w:val="center"/>
          </w:tcPr>
          <w:p w14:paraId="4E520A4B" w14:textId="77777777" w:rsidR="00AF663A" w:rsidRPr="00894FC4" w:rsidRDefault="00AF663A" w:rsidP="00AF663A">
            <w:pPr>
              <w:jc w:val="center"/>
              <w:rPr>
                <w:rFonts w:ascii="Georgia" w:hAnsi="Georgia" w:cs="Arial"/>
                <w:color w:val="404040" w:themeColor="text1" w:themeTint="BF"/>
                <w:sz w:val="20"/>
                <w:szCs w:val="20"/>
                <w:lang w:eastAsia="en-GB"/>
              </w:rPr>
            </w:pPr>
          </w:p>
        </w:tc>
        <w:tc>
          <w:tcPr>
            <w:tcW w:w="842" w:type="pct"/>
            <w:tcBorders>
              <w:top w:val="nil"/>
              <w:left w:val="nil"/>
              <w:bottom w:val="nil"/>
              <w:right w:val="nil"/>
            </w:tcBorders>
            <w:vAlign w:val="bottom"/>
          </w:tcPr>
          <w:p w14:paraId="3C61C107" w14:textId="77777777" w:rsidR="00AF663A" w:rsidRPr="009F2CBC" w:rsidRDefault="00AF663A" w:rsidP="00AF663A">
            <w:pPr>
              <w:jc w:val="right"/>
              <w:rPr>
                <w:rFonts w:ascii="Georgia" w:hAnsi="Georgia"/>
                <w:color w:val="404040"/>
                <w:sz w:val="20"/>
              </w:rPr>
            </w:pPr>
          </w:p>
        </w:tc>
        <w:tc>
          <w:tcPr>
            <w:tcW w:w="858" w:type="pct"/>
            <w:tcBorders>
              <w:top w:val="nil"/>
              <w:left w:val="nil"/>
              <w:bottom w:val="nil"/>
              <w:right w:val="nil"/>
            </w:tcBorders>
            <w:vAlign w:val="bottom"/>
          </w:tcPr>
          <w:p w14:paraId="0D3704F5" w14:textId="1BD63413" w:rsidR="00AF663A" w:rsidRPr="00AF663A" w:rsidRDefault="00AF663A" w:rsidP="00AF663A">
            <w:pPr>
              <w:jc w:val="right"/>
              <w:rPr>
                <w:rFonts w:ascii="Georgia" w:hAnsi="Georgia" w:cs="Arial"/>
                <w:color w:val="404040" w:themeColor="text1" w:themeTint="BF"/>
                <w:sz w:val="20"/>
                <w:szCs w:val="20"/>
                <w:lang w:eastAsia="en-GB"/>
              </w:rPr>
            </w:pPr>
          </w:p>
        </w:tc>
      </w:tr>
      <w:tr w:rsidR="00AF663A" w:rsidRPr="009306C8" w14:paraId="1B8FC010" w14:textId="77777777" w:rsidTr="002C357F">
        <w:trPr>
          <w:trHeight w:val="364"/>
        </w:trPr>
        <w:tc>
          <w:tcPr>
            <w:tcW w:w="2785" w:type="pct"/>
            <w:tcBorders>
              <w:top w:val="single" w:sz="4" w:space="0" w:color="auto"/>
              <w:left w:val="nil"/>
              <w:bottom w:val="single" w:sz="12" w:space="0" w:color="auto"/>
              <w:right w:val="nil"/>
            </w:tcBorders>
            <w:shd w:val="clear" w:color="auto" w:fill="auto"/>
            <w:vAlign w:val="center"/>
          </w:tcPr>
          <w:p w14:paraId="4F6A3E86" w14:textId="77777777" w:rsidR="00AF663A" w:rsidRPr="009306C8" w:rsidRDefault="00AF663A" w:rsidP="00AF663A">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 xml:space="preserve">Cash and cash equivalents at the end of the </w:t>
            </w:r>
            <w:r>
              <w:rPr>
                <w:rFonts w:ascii="Georgia" w:hAnsi="Georgia" w:cs="Arial"/>
                <w:b/>
                <w:bCs/>
                <w:color w:val="404040" w:themeColor="text1" w:themeTint="BF"/>
                <w:sz w:val="20"/>
                <w:szCs w:val="20"/>
                <w:lang w:eastAsia="en-GB"/>
              </w:rPr>
              <w:t>year</w:t>
            </w:r>
          </w:p>
        </w:tc>
        <w:tc>
          <w:tcPr>
            <w:tcW w:w="514" w:type="pct"/>
            <w:tcBorders>
              <w:top w:val="single" w:sz="4" w:space="0" w:color="auto"/>
              <w:left w:val="nil"/>
              <w:bottom w:val="single" w:sz="12" w:space="0" w:color="auto"/>
              <w:right w:val="nil"/>
            </w:tcBorders>
            <w:shd w:val="clear" w:color="auto" w:fill="auto"/>
            <w:noWrap/>
            <w:vAlign w:val="center"/>
          </w:tcPr>
          <w:p w14:paraId="39ED70C6" w14:textId="523FED05" w:rsidR="00AF663A" w:rsidRPr="00894FC4" w:rsidRDefault="00AF663A" w:rsidP="00AF663A">
            <w:pPr>
              <w:jc w:val="center"/>
              <w:rPr>
                <w:rFonts w:ascii="Georgia" w:hAnsi="Georgia" w:cs="Arial"/>
                <w:b/>
                <w:bCs/>
                <w:color w:val="404040" w:themeColor="text1" w:themeTint="BF"/>
                <w:sz w:val="20"/>
                <w:szCs w:val="20"/>
                <w:lang w:eastAsia="en-GB"/>
              </w:rPr>
            </w:pPr>
            <w:r w:rsidRPr="00894FC4">
              <w:rPr>
                <w:rFonts w:ascii="Georgia" w:hAnsi="Georgia" w:cs="Arial"/>
                <w:b/>
                <w:bCs/>
                <w:color w:val="404040" w:themeColor="text1" w:themeTint="BF"/>
                <w:sz w:val="20"/>
                <w:szCs w:val="20"/>
                <w:lang w:eastAsia="en-GB"/>
              </w:rPr>
              <w:t>10</w:t>
            </w:r>
          </w:p>
        </w:tc>
        <w:tc>
          <w:tcPr>
            <w:tcW w:w="842" w:type="pct"/>
            <w:tcBorders>
              <w:top w:val="single" w:sz="4" w:space="0" w:color="auto"/>
              <w:left w:val="nil"/>
              <w:bottom w:val="single" w:sz="12" w:space="0" w:color="auto"/>
              <w:right w:val="nil"/>
            </w:tcBorders>
            <w:vAlign w:val="center"/>
          </w:tcPr>
          <w:p w14:paraId="650C2A74" w14:textId="561BD605" w:rsidR="00AF663A" w:rsidRPr="009F2CBC" w:rsidRDefault="00740912" w:rsidP="00AF663A">
            <w:pPr>
              <w:jc w:val="right"/>
              <w:rPr>
                <w:rFonts w:ascii="Georgia" w:hAnsi="Georgia"/>
                <w:b/>
                <w:color w:val="404040"/>
                <w:sz w:val="20"/>
              </w:rPr>
            </w:pPr>
            <w:r>
              <w:rPr>
                <w:rFonts w:ascii="Georgia" w:hAnsi="Georgia"/>
                <w:b/>
                <w:color w:val="404040"/>
                <w:sz w:val="20"/>
              </w:rPr>
              <w:t>747</w:t>
            </w:r>
          </w:p>
        </w:tc>
        <w:tc>
          <w:tcPr>
            <w:tcW w:w="858" w:type="pct"/>
            <w:tcBorders>
              <w:top w:val="single" w:sz="4" w:space="0" w:color="auto"/>
              <w:left w:val="nil"/>
              <w:bottom w:val="single" w:sz="12" w:space="0" w:color="auto"/>
              <w:right w:val="nil"/>
            </w:tcBorders>
            <w:vAlign w:val="center"/>
          </w:tcPr>
          <w:p w14:paraId="1EC58BC5" w14:textId="71E9F31A" w:rsidR="00AF663A" w:rsidRPr="00AF663A" w:rsidRDefault="00AF663A" w:rsidP="00AF663A">
            <w:pPr>
              <w:jc w:val="right"/>
              <w:rPr>
                <w:rFonts w:ascii="Georgia" w:hAnsi="Georgia" w:cs="Arial"/>
                <w:b/>
                <w:bCs/>
                <w:color w:val="404040" w:themeColor="text1" w:themeTint="BF"/>
                <w:sz w:val="20"/>
                <w:szCs w:val="20"/>
                <w:lang w:eastAsia="en-GB"/>
              </w:rPr>
            </w:pPr>
            <w:r w:rsidRPr="00AF663A">
              <w:rPr>
                <w:rFonts w:ascii="Georgia" w:hAnsi="Georgia"/>
                <w:b/>
                <w:color w:val="404040"/>
                <w:sz w:val="20"/>
              </w:rPr>
              <w:t>278</w:t>
            </w:r>
          </w:p>
        </w:tc>
      </w:tr>
    </w:tbl>
    <w:p w14:paraId="74C7E1D4" w14:textId="77777777" w:rsidR="000F51FA" w:rsidRDefault="000F51FA" w:rsidP="000F51FA">
      <w:pPr>
        <w:rPr>
          <w:lang w:eastAsia="en-GB"/>
        </w:rPr>
      </w:pPr>
    </w:p>
    <w:p w14:paraId="332F6ED0" w14:textId="77777777" w:rsidR="000F51FA" w:rsidRPr="00837182" w:rsidRDefault="000F51FA" w:rsidP="000F51FA"/>
    <w:p w14:paraId="75C841D8" w14:textId="77777777" w:rsidR="007C30F7" w:rsidRDefault="007C30F7" w:rsidP="000F51FA">
      <w:pPr>
        <w:tabs>
          <w:tab w:val="right" w:pos="8460"/>
        </w:tabs>
        <w:rPr>
          <w:rFonts w:ascii="Georgia" w:hAnsi="Georgia" w:cs="Calibri"/>
          <w:color w:val="404040" w:themeColor="text1" w:themeTint="BF"/>
          <w:sz w:val="20"/>
        </w:rPr>
      </w:pPr>
    </w:p>
    <w:p w14:paraId="650BAC03" w14:textId="77777777" w:rsidR="00464D79" w:rsidRDefault="00464D79" w:rsidP="000F51FA">
      <w:pPr>
        <w:tabs>
          <w:tab w:val="right" w:pos="8460"/>
        </w:tabs>
        <w:rPr>
          <w:rFonts w:ascii="Georgia" w:hAnsi="Georgia" w:cs="Calibri"/>
          <w:color w:val="404040" w:themeColor="text1" w:themeTint="BF"/>
          <w:sz w:val="20"/>
        </w:rPr>
      </w:pPr>
    </w:p>
    <w:p w14:paraId="0BD2DEA9" w14:textId="77777777" w:rsidR="00464D79" w:rsidRDefault="00464D79" w:rsidP="000F51FA">
      <w:pPr>
        <w:tabs>
          <w:tab w:val="right" w:pos="8460"/>
        </w:tabs>
        <w:rPr>
          <w:rFonts w:ascii="Georgia" w:hAnsi="Georgia" w:cs="Calibri"/>
          <w:color w:val="404040" w:themeColor="text1" w:themeTint="BF"/>
          <w:sz w:val="20"/>
        </w:rPr>
      </w:pPr>
    </w:p>
    <w:p w14:paraId="33B4BEA1" w14:textId="77777777" w:rsidR="00464D79" w:rsidRDefault="00464D79" w:rsidP="000F51FA">
      <w:pPr>
        <w:tabs>
          <w:tab w:val="right" w:pos="8460"/>
        </w:tabs>
        <w:rPr>
          <w:rFonts w:ascii="Georgia" w:hAnsi="Georgia" w:cs="Calibri"/>
          <w:color w:val="404040" w:themeColor="text1" w:themeTint="BF"/>
          <w:sz w:val="20"/>
        </w:rPr>
      </w:pPr>
    </w:p>
    <w:p w14:paraId="3801FA09" w14:textId="77777777" w:rsidR="00464D79" w:rsidRDefault="00464D79" w:rsidP="000F51FA">
      <w:pPr>
        <w:tabs>
          <w:tab w:val="right" w:pos="8460"/>
        </w:tabs>
        <w:rPr>
          <w:rFonts w:ascii="Georgia" w:hAnsi="Georgia" w:cs="Calibri"/>
          <w:color w:val="404040" w:themeColor="text1" w:themeTint="BF"/>
          <w:sz w:val="20"/>
        </w:rPr>
      </w:pPr>
    </w:p>
    <w:p w14:paraId="1E92F215" w14:textId="77777777" w:rsidR="000F51FA" w:rsidRDefault="000F51FA" w:rsidP="000F51FA">
      <w:pPr>
        <w:tabs>
          <w:tab w:val="right" w:pos="8460"/>
        </w:tabs>
        <w:rPr>
          <w:rFonts w:ascii="Georgia" w:hAnsi="Georgia" w:cs="Calibri"/>
          <w:color w:val="404040" w:themeColor="text1" w:themeTint="BF"/>
          <w:sz w:val="20"/>
        </w:rPr>
      </w:pPr>
    </w:p>
    <w:p w14:paraId="065DD7CA" w14:textId="77777777" w:rsidR="004055D8" w:rsidRDefault="004055D8" w:rsidP="000F51FA">
      <w:pPr>
        <w:tabs>
          <w:tab w:val="right" w:pos="8460"/>
        </w:tabs>
        <w:rPr>
          <w:rFonts w:ascii="Georgia" w:hAnsi="Georgia" w:cs="Calibri"/>
          <w:color w:val="404040" w:themeColor="text1" w:themeTint="BF"/>
          <w:sz w:val="20"/>
        </w:rPr>
      </w:pPr>
    </w:p>
    <w:p w14:paraId="592C10C9" w14:textId="77777777" w:rsidR="004055D8" w:rsidRDefault="004055D8" w:rsidP="000F51FA">
      <w:pPr>
        <w:tabs>
          <w:tab w:val="right" w:pos="8460"/>
        </w:tabs>
        <w:rPr>
          <w:rFonts w:ascii="Georgia" w:hAnsi="Georgia" w:cs="Calibri"/>
          <w:color w:val="404040" w:themeColor="text1" w:themeTint="BF"/>
          <w:sz w:val="20"/>
        </w:rPr>
      </w:pPr>
    </w:p>
    <w:p w14:paraId="0A8CD5E6" w14:textId="77777777" w:rsidR="004055D8" w:rsidRDefault="004055D8" w:rsidP="000F51FA">
      <w:pPr>
        <w:tabs>
          <w:tab w:val="right" w:pos="8460"/>
        </w:tabs>
        <w:rPr>
          <w:rFonts w:ascii="Georgia" w:hAnsi="Georgia" w:cs="Calibri"/>
          <w:color w:val="404040" w:themeColor="text1" w:themeTint="BF"/>
          <w:sz w:val="20"/>
        </w:rPr>
      </w:pPr>
    </w:p>
    <w:p w14:paraId="2AA8A696" w14:textId="39FC4412" w:rsidR="005F0A6C" w:rsidRDefault="000F51FA" w:rsidP="006A3C13">
      <w:pPr>
        <w:tabs>
          <w:tab w:val="right" w:pos="8460"/>
        </w:tabs>
        <w:rPr>
          <w:rFonts w:ascii="Georgia" w:hAnsi="Georgia" w:cs="Calibri"/>
          <w:color w:val="404040" w:themeColor="text1" w:themeTint="BF"/>
          <w:sz w:val="20"/>
        </w:rPr>
      </w:pPr>
      <w:r w:rsidRPr="004C65C8">
        <w:rPr>
          <w:rFonts w:ascii="Georgia" w:hAnsi="Georgia" w:cs="Calibri"/>
          <w:color w:val="404040" w:themeColor="text1" w:themeTint="BF"/>
          <w:sz w:val="20"/>
        </w:rPr>
        <w:t>The accompanying notes form an inte</w:t>
      </w:r>
      <w:r w:rsidR="00352D3C">
        <w:rPr>
          <w:rFonts w:ascii="Georgia" w:hAnsi="Georgia" w:cs="Calibri"/>
          <w:color w:val="404040" w:themeColor="text1" w:themeTint="BF"/>
          <w:sz w:val="20"/>
        </w:rPr>
        <w:t xml:space="preserve">gral part of these </w:t>
      </w:r>
      <w:r w:rsidRPr="004C65C8">
        <w:rPr>
          <w:rFonts w:ascii="Georgia" w:hAnsi="Georgia" w:cs="Calibri"/>
          <w:color w:val="404040" w:themeColor="text1" w:themeTint="BF"/>
          <w:sz w:val="20"/>
        </w:rPr>
        <w:t>financial statements.</w:t>
      </w:r>
    </w:p>
    <w:p w14:paraId="141C7173" w14:textId="77777777" w:rsidR="005F0A6C" w:rsidRPr="005F0A6C" w:rsidRDefault="005F0A6C" w:rsidP="005F0A6C">
      <w:pPr>
        <w:rPr>
          <w:rFonts w:ascii="Georgia" w:hAnsi="Georgia" w:cs="Calibri"/>
          <w:sz w:val="20"/>
        </w:rPr>
      </w:pPr>
    </w:p>
    <w:p w14:paraId="7F9996A0" w14:textId="77777777" w:rsidR="005F0A6C" w:rsidRPr="005F0A6C" w:rsidRDefault="005F0A6C" w:rsidP="005F0A6C">
      <w:pPr>
        <w:rPr>
          <w:rFonts w:ascii="Georgia" w:hAnsi="Georgia" w:cs="Calibri"/>
          <w:sz w:val="20"/>
        </w:rPr>
      </w:pPr>
    </w:p>
    <w:p w14:paraId="72AB383E" w14:textId="77777777" w:rsidR="005F0A6C" w:rsidRPr="005F0A6C" w:rsidRDefault="005F0A6C" w:rsidP="005F0A6C">
      <w:pPr>
        <w:rPr>
          <w:rFonts w:ascii="Georgia" w:hAnsi="Georgia" w:cs="Calibri"/>
          <w:sz w:val="20"/>
        </w:rPr>
      </w:pPr>
    </w:p>
    <w:p w14:paraId="1DCC2C3A" w14:textId="4FCD94BF" w:rsidR="005F0A6C" w:rsidRDefault="005F0A6C" w:rsidP="005F0A6C">
      <w:pPr>
        <w:rPr>
          <w:rFonts w:ascii="Georgia" w:hAnsi="Georgia" w:cs="Calibri"/>
          <w:sz w:val="20"/>
        </w:rPr>
      </w:pPr>
    </w:p>
    <w:p w14:paraId="7D60605B" w14:textId="76BEC465" w:rsidR="005F0A6C" w:rsidRDefault="005F0A6C" w:rsidP="005F0A6C">
      <w:pPr>
        <w:rPr>
          <w:rFonts w:ascii="Georgia" w:hAnsi="Georgia" w:cs="Calibri"/>
          <w:sz w:val="20"/>
        </w:rPr>
      </w:pPr>
    </w:p>
    <w:p w14:paraId="0F813B8C" w14:textId="01CEA517" w:rsidR="000F51FA" w:rsidRPr="00236862" w:rsidRDefault="00236862" w:rsidP="005F0A6C">
      <w:pPr>
        <w:rPr>
          <w:rFonts w:ascii="Georgia" w:hAnsi="Georgia" w:cs="Calibri"/>
          <w:color w:val="404040" w:themeColor="text1" w:themeTint="BF"/>
          <w:sz w:val="20"/>
        </w:rPr>
        <w:sectPr w:rsidR="000F51FA" w:rsidRPr="00236862" w:rsidSect="00F92A99">
          <w:footerReference w:type="first" r:id="rId45"/>
          <w:pgSz w:w="12240" w:h="15840" w:code="1"/>
          <w:pgMar w:top="993" w:right="1440" w:bottom="425" w:left="1440" w:header="567" w:footer="187" w:gutter="0"/>
          <w:pgNumType w:start="3"/>
          <w:cols w:space="720"/>
          <w:docGrid w:linePitch="272"/>
        </w:sectPr>
      </w:pPr>
      <w:r w:rsidRPr="00236862">
        <w:rPr>
          <w:rFonts w:ascii="Georgia" w:hAnsi="Georgia" w:cs="Calibri"/>
          <w:color w:val="404040" w:themeColor="text1" w:themeTint="BF"/>
          <w:sz w:val="20"/>
        </w:rPr>
        <w:t>*The</w:t>
      </w:r>
      <w:r>
        <w:rPr>
          <w:rFonts w:ascii="Georgia" w:hAnsi="Georgia" w:cs="Calibri"/>
          <w:color w:val="404040" w:themeColor="text1" w:themeTint="BF"/>
          <w:sz w:val="20"/>
        </w:rPr>
        <w:t xml:space="preserve"> </w:t>
      </w:r>
      <w:r w:rsidR="00F35E1E">
        <w:rPr>
          <w:rFonts w:ascii="Georgia" w:hAnsi="Georgia" w:cs="Calibri"/>
          <w:color w:val="404040" w:themeColor="text1" w:themeTint="BF"/>
          <w:sz w:val="20"/>
        </w:rPr>
        <w:t>issuance of</w:t>
      </w:r>
      <w:r>
        <w:rPr>
          <w:rFonts w:ascii="Georgia" w:hAnsi="Georgia" w:cs="Calibri"/>
          <w:color w:val="404040" w:themeColor="text1" w:themeTint="BF"/>
          <w:sz w:val="20"/>
        </w:rPr>
        <w:t xml:space="preserve"> shares during the year was a non-cash transaction. Refer to Note </w:t>
      </w:r>
      <w:r w:rsidRPr="00942AD0">
        <w:rPr>
          <w:rFonts w:ascii="Georgia" w:hAnsi="Georgia" w:cs="Calibri"/>
          <w:color w:val="404040" w:themeColor="text1" w:themeTint="BF"/>
          <w:sz w:val="20"/>
        </w:rPr>
        <w:t>16</w:t>
      </w:r>
      <w:r>
        <w:rPr>
          <w:rFonts w:ascii="Georgia" w:hAnsi="Georgia" w:cs="Calibri"/>
          <w:color w:val="404040" w:themeColor="text1" w:themeTint="BF"/>
          <w:sz w:val="20"/>
        </w:rPr>
        <w:t xml:space="preserve"> for further information.</w:t>
      </w:r>
    </w:p>
    <w:p w14:paraId="230B8B2E" w14:textId="77777777" w:rsidR="000F51FA" w:rsidRPr="00384BCB" w:rsidRDefault="00E42A95" w:rsidP="000F51FA">
      <w:pPr>
        <w:pStyle w:val="Notehead1"/>
      </w:pPr>
      <w:r w:rsidRPr="00E42A95">
        <w:lastRenderedPageBreak/>
        <w:t>1.</w:t>
      </w:r>
      <w:r w:rsidRPr="00E42A95">
        <w:tab/>
        <w:t xml:space="preserve"> General information</w:t>
      </w:r>
    </w:p>
    <w:p w14:paraId="0CE73084" w14:textId="77777777" w:rsidR="000F51FA" w:rsidRPr="004663CD" w:rsidRDefault="000F51FA" w:rsidP="000F51FA">
      <w:pPr>
        <w:pStyle w:val="body"/>
      </w:pPr>
    </w:p>
    <w:p w14:paraId="1C3CF266" w14:textId="77777777" w:rsidR="00E42A95" w:rsidRDefault="00BE04A0" w:rsidP="00E42A95">
      <w:pPr>
        <w:pStyle w:val="BluefieldBody"/>
      </w:pPr>
      <w:r>
        <w:t xml:space="preserve">The </w:t>
      </w:r>
      <w:r w:rsidR="000F51FA" w:rsidRPr="00BE04A0">
        <w:t>Company</w:t>
      </w:r>
      <w:r w:rsidR="000F51FA">
        <w:t xml:space="preserve"> </w:t>
      </w:r>
      <w:r w:rsidR="000F51FA" w:rsidRPr="00D7628E">
        <w:t xml:space="preserve">is a non-cellular company limited by shares and was incorporated in Guernsey under the </w:t>
      </w:r>
      <w:r w:rsidR="000F51FA" w:rsidRPr="00BE04A0">
        <w:t>Law</w:t>
      </w:r>
      <w:r w:rsidR="000F51FA">
        <w:t xml:space="preserve"> </w:t>
      </w:r>
      <w:r w:rsidR="000F51FA" w:rsidRPr="00D7628E">
        <w:t xml:space="preserve">on 29 May 2013 with registered number 56708 as a closed-ended investment company. It is regulated by the </w:t>
      </w:r>
      <w:r w:rsidR="0047102B">
        <w:t>GFSC</w:t>
      </w:r>
      <w:r w:rsidR="000F51FA" w:rsidRPr="00D7628E">
        <w:t>.</w:t>
      </w:r>
    </w:p>
    <w:p w14:paraId="692C009A" w14:textId="77777777" w:rsidR="00E42A95" w:rsidRDefault="00E42A95" w:rsidP="00E42A95">
      <w:pPr>
        <w:pStyle w:val="BluefieldBody"/>
      </w:pPr>
    </w:p>
    <w:p w14:paraId="58201412" w14:textId="7072010A" w:rsidR="00E42A95" w:rsidRDefault="009349F0" w:rsidP="00E42A95">
      <w:pPr>
        <w:pStyle w:val="BluefieldBody"/>
      </w:pPr>
      <w:r w:rsidRPr="00D7628E">
        <w:t xml:space="preserve">The financial statements for the </w:t>
      </w:r>
      <w:r w:rsidR="00904B5E">
        <w:t>year ended</w:t>
      </w:r>
      <w:r w:rsidRPr="00D7628E">
        <w:t xml:space="preserve"> </w:t>
      </w:r>
      <w:r w:rsidR="00904B5E">
        <w:t xml:space="preserve">30 June </w:t>
      </w:r>
      <w:r w:rsidR="00904E51">
        <w:t>2020</w:t>
      </w:r>
      <w:r w:rsidRPr="00D7628E">
        <w:t xml:space="preserve"> comprise the financial statements of the Company </w:t>
      </w:r>
      <w:r w:rsidR="00BE3745">
        <w:t xml:space="preserve">only (see Note </w:t>
      </w:r>
      <w:r w:rsidR="00BE3745" w:rsidRPr="00942AD0">
        <w:t>2 (c))</w:t>
      </w:r>
      <w:r w:rsidRPr="00942AD0">
        <w:t>.</w:t>
      </w:r>
    </w:p>
    <w:p w14:paraId="61AEE79B" w14:textId="77777777" w:rsidR="00E42A95" w:rsidRDefault="00E42A95" w:rsidP="00E42A95">
      <w:pPr>
        <w:pStyle w:val="BluefieldBody"/>
      </w:pPr>
    </w:p>
    <w:p w14:paraId="0DF802D3" w14:textId="67067C33" w:rsidR="00E42A95" w:rsidRDefault="000F51FA" w:rsidP="00E42A95">
      <w:pPr>
        <w:pStyle w:val="BluefieldBody"/>
      </w:pPr>
      <w:r w:rsidRPr="00D7628E">
        <w:t xml:space="preserve">The investment objective of the </w:t>
      </w:r>
      <w:r w:rsidR="00BE3745">
        <w:t>Company</w:t>
      </w:r>
      <w:r w:rsidR="005E56E1">
        <w:t xml:space="preserve"> is to provide S</w:t>
      </w:r>
      <w:r w:rsidRPr="00D7628E">
        <w:t xml:space="preserve">hareholders with an attractive return, principally in the form of income distributions, by investing via </w:t>
      </w:r>
      <w:r w:rsidRPr="00BE04A0">
        <w:t>SPV</w:t>
      </w:r>
      <w:r w:rsidR="00BE04A0" w:rsidRPr="00BE04A0">
        <w:t>s</w:t>
      </w:r>
      <w:r w:rsidRPr="00D7628E">
        <w:t xml:space="preserve"> into a portfolio of large scale</w:t>
      </w:r>
      <w:r w:rsidRPr="007360A2">
        <w:t xml:space="preserve"> </w:t>
      </w:r>
      <w:r w:rsidR="00FE3AB9">
        <w:t>UK</w:t>
      </w:r>
      <w:r w:rsidRPr="00E85EF6">
        <w:t xml:space="preserve"> </w:t>
      </w:r>
      <w:r w:rsidRPr="00D7628E">
        <w:t>based solar energy infrastructure assets.</w:t>
      </w:r>
    </w:p>
    <w:p w14:paraId="7E910023" w14:textId="77777777" w:rsidR="00E42A95" w:rsidRDefault="00E42A95" w:rsidP="00E42A95">
      <w:pPr>
        <w:pStyle w:val="BluefieldBody"/>
      </w:pPr>
    </w:p>
    <w:p w14:paraId="1BBF345B" w14:textId="2C60C549" w:rsidR="00E42A95" w:rsidRDefault="000F51FA" w:rsidP="00E42A95">
      <w:pPr>
        <w:pStyle w:val="BluefieldBody"/>
      </w:pPr>
      <w:r w:rsidRPr="00D7628E">
        <w:t xml:space="preserve">The </w:t>
      </w:r>
      <w:r w:rsidR="00BE3745">
        <w:t>Company</w:t>
      </w:r>
      <w:r w:rsidRPr="00D7628E">
        <w:t xml:space="preserve"> has appoin</w:t>
      </w:r>
      <w:r>
        <w:t xml:space="preserve">ted Bluefield Partners LLP </w:t>
      </w:r>
      <w:r w:rsidRPr="00D7628E">
        <w:t>as its Investment Adviser.</w:t>
      </w:r>
    </w:p>
    <w:p w14:paraId="1148416E" w14:textId="77777777" w:rsidR="000F51FA" w:rsidRPr="004629C1" w:rsidRDefault="000F51FA" w:rsidP="000F51FA">
      <w:pPr>
        <w:pStyle w:val="body"/>
        <w:rPr>
          <w:color w:val="auto"/>
        </w:rPr>
      </w:pPr>
    </w:p>
    <w:p w14:paraId="1C02DF8C" w14:textId="77777777" w:rsidR="000F51FA" w:rsidRPr="00384BCB" w:rsidRDefault="00E42A95" w:rsidP="000F51FA">
      <w:pPr>
        <w:pStyle w:val="Notehead1"/>
      </w:pPr>
      <w:r w:rsidRPr="00E42A95">
        <w:t>2. Accounting policies</w:t>
      </w:r>
      <w:r w:rsidRPr="00E42A95">
        <w:br/>
      </w:r>
    </w:p>
    <w:p w14:paraId="3546B562" w14:textId="77777777" w:rsidR="000F51FA" w:rsidRDefault="000F51FA" w:rsidP="000F51FA">
      <w:pPr>
        <w:pStyle w:val="body"/>
        <w:rPr>
          <w:b/>
        </w:rPr>
      </w:pPr>
      <w:r>
        <w:rPr>
          <w:b/>
        </w:rPr>
        <w:t xml:space="preserve">a) </w:t>
      </w:r>
      <w:r w:rsidRPr="004663CD">
        <w:rPr>
          <w:b/>
        </w:rPr>
        <w:t>Basis of preparation</w:t>
      </w:r>
      <w:r>
        <w:rPr>
          <w:b/>
        </w:rPr>
        <w:t xml:space="preserve"> </w:t>
      </w:r>
    </w:p>
    <w:p w14:paraId="74A93AED" w14:textId="490BFBA9" w:rsidR="00E42A95" w:rsidRDefault="000F51FA" w:rsidP="00E42A95">
      <w:pPr>
        <w:pStyle w:val="BluefieldBody"/>
      </w:pPr>
      <w:r w:rsidRPr="00D7628E">
        <w:t>The</w:t>
      </w:r>
      <w:r>
        <w:t xml:space="preserve"> </w:t>
      </w:r>
      <w:r w:rsidRPr="00D7628E">
        <w:t xml:space="preserve">financial statements included in this </w:t>
      </w:r>
      <w:r>
        <w:t>annual</w:t>
      </w:r>
      <w:r w:rsidRPr="00D7628E">
        <w:t xml:space="preserve"> report have been prepared in accordance with </w:t>
      </w:r>
      <w:r w:rsidR="00FE3AB9">
        <w:t>IFRS</w:t>
      </w:r>
      <w:r w:rsidR="0003197D">
        <w:t xml:space="preserve"> as adopted by the EU</w:t>
      </w:r>
      <w:r>
        <w:t xml:space="preserve"> </w:t>
      </w:r>
      <w:r w:rsidRPr="00D7628E">
        <w:t>and the D</w:t>
      </w:r>
      <w:r w:rsidR="0047102B">
        <w:t>TR</w:t>
      </w:r>
      <w:r w:rsidRPr="00D7628E">
        <w:t xml:space="preserve">s of the </w:t>
      </w:r>
      <w:r w:rsidR="0047102B">
        <w:t>UK FCA</w:t>
      </w:r>
      <w:r w:rsidRPr="00D7628E">
        <w:t xml:space="preserve">. </w:t>
      </w:r>
    </w:p>
    <w:p w14:paraId="1B469D7F" w14:textId="77777777" w:rsidR="00E42A95" w:rsidRDefault="00E42A95" w:rsidP="00E42A95">
      <w:pPr>
        <w:pStyle w:val="BluefieldBody"/>
      </w:pPr>
    </w:p>
    <w:p w14:paraId="7F14CD4D" w14:textId="582BA63D" w:rsidR="00E42A95" w:rsidRDefault="000F51FA" w:rsidP="00E42A95">
      <w:pPr>
        <w:pStyle w:val="BluefieldBody"/>
      </w:pPr>
      <w:r w:rsidRPr="00D7628E">
        <w:t>These financial statements have been prepared under the historical cost convention with the exception of financial assets measured at fair value through profit or loss</w:t>
      </w:r>
      <w:r>
        <w:t xml:space="preserve">, and in </w:t>
      </w:r>
      <w:r w:rsidR="005B42BD">
        <w:t>compliance</w:t>
      </w:r>
      <w:r>
        <w:t xml:space="preserve"> with the provisions of the</w:t>
      </w:r>
      <w:r w:rsidR="0047102B">
        <w:t xml:space="preserve"> </w:t>
      </w:r>
      <w:r>
        <w:t>Law</w:t>
      </w:r>
      <w:r w:rsidRPr="00D7628E">
        <w:t xml:space="preserve">. </w:t>
      </w:r>
    </w:p>
    <w:p w14:paraId="09522FD9" w14:textId="1BBED5DB" w:rsidR="00741560" w:rsidRDefault="00741560" w:rsidP="00E42A95">
      <w:pPr>
        <w:pStyle w:val="BluefieldBody"/>
      </w:pPr>
    </w:p>
    <w:p w14:paraId="5C78C7FD" w14:textId="76D3B5C3" w:rsidR="00741560" w:rsidRDefault="00741560" w:rsidP="00E42A95">
      <w:pPr>
        <w:pStyle w:val="BluefieldBody"/>
        <w:rPr>
          <w:b/>
        </w:rPr>
      </w:pPr>
      <w:r w:rsidRPr="00741560">
        <w:rPr>
          <w:b/>
        </w:rPr>
        <w:t>Standards, interpretations and amendments to published standards adopted in the period</w:t>
      </w:r>
    </w:p>
    <w:p w14:paraId="135A48F9" w14:textId="448FAE61" w:rsidR="00741560" w:rsidRDefault="00741560" w:rsidP="00741560">
      <w:pPr>
        <w:pStyle w:val="BluefieldBody"/>
      </w:pPr>
    </w:p>
    <w:p w14:paraId="5AA2F236" w14:textId="0B6685FA" w:rsidR="00FC56A9" w:rsidRPr="00242750" w:rsidRDefault="00242750" w:rsidP="00242750">
      <w:pPr>
        <w:pStyle w:val="body"/>
        <w:rPr>
          <w:szCs w:val="20"/>
        </w:rPr>
      </w:pPr>
      <w:r w:rsidRPr="00741560">
        <w:rPr>
          <w:szCs w:val="20"/>
        </w:rPr>
        <w:t>The Company has not adopted any</w:t>
      </w:r>
      <w:r w:rsidR="005078C5">
        <w:rPr>
          <w:szCs w:val="20"/>
        </w:rPr>
        <w:t xml:space="preserve"> new</w:t>
      </w:r>
      <w:r w:rsidRPr="00741560">
        <w:rPr>
          <w:szCs w:val="20"/>
        </w:rPr>
        <w:t xml:space="preserve"> standards, amendments or interpretations to existing standards</w:t>
      </w:r>
      <w:r>
        <w:rPr>
          <w:szCs w:val="20"/>
        </w:rPr>
        <w:t xml:space="preserve"> </w:t>
      </w:r>
      <w:r>
        <w:t>in the accounting period.</w:t>
      </w:r>
    </w:p>
    <w:p w14:paraId="08F41896" w14:textId="5BB0E301" w:rsidR="00741560" w:rsidRDefault="00741560" w:rsidP="000F51FA">
      <w:pPr>
        <w:pStyle w:val="body"/>
        <w:rPr>
          <w:szCs w:val="20"/>
        </w:rPr>
      </w:pPr>
    </w:p>
    <w:p w14:paraId="3E316B50" w14:textId="77777777" w:rsidR="002F3CE1" w:rsidRDefault="002F3CE1" w:rsidP="002F3CE1">
      <w:pPr>
        <w:pStyle w:val="body"/>
        <w:rPr>
          <w:szCs w:val="20"/>
        </w:rPr>
      </w:pPr>
      <w:r>
        <w:rPr>
          <w:b/>
        </w:rPr>
        <w:t>New and Revised Standards</w:t>
      </w:r>
    </w:p>
    <w:p w14:paraId="279CF96E" w14:textId="139716D9" w:rsidR="00730BD9" w:rsidRDefault="00730BD9" w:rsidP="00730BD9">
      <w:pPr>
        <w:pStyle w:val="body"/>
        <w:rPr>
          <w:szCs w:val="20"/>
        </w:rPr>
      </w:pPr>
      <w:r w:rsidRPr="00741560">
        <w:rPr>
          <w:szCs w:val="20"/>
        </w:rPr>
        <w:t>The Company has not adopted any</w:t>
      </w:r>
      <w:r>
        <w:rPr>
          <w:szCs w:val="20"/>
        </w:rPr>
        <w:t xml:space="preserve"> new</w:t>
      </w:r>
      <w:r w:rsidRPr="00741560">
        <w:rPr>
          <w:szCs w:val="20"/>
        </w:rPr>
        <w:t xml:space="preserve"> standards, amendments or interpretations to existing standards</w:t>
      </w:r>
      <w:r w:rsidR="00345B60">
        <w:rPr>
          <w:szCs w:val="20"/>
        </w:rPr>
        <w:t xml:space="preserve"> because none effective to the Company have been</w:t>
      </w:r>
      <w:r w:rsidRPr="00741560">
        <w:rPr>
          <w:szCs w:val="20"/>
        </w:rPr>
        <w:t xml:space="preserve"> published</w:t>
      </w:r>
      <w:r w:rsidR="00345B60">
        <w:rPr>
          <w:szCs w:val="20"/>
        </w:rPr>
        <w:t xml:space="preserve"> in the accounting period</w:t>
      </w:r>
      <w:r>
        <w:rPr>
          <w:szCs w:val="20"/>
        </w:rPr>
        <w:t>.</w:t>
      </w:r>
    </w:p>
    <w:p w14:paraId="3A723A50" w14:textId="2BA9B943" w:rsidR="002F3CE1" w:rsidRDefault="002F3CE1" w:rsidP="00EF6D72">
      <w:pPr>
        <w:jc w:val="both"/>
        <w:rPr>
          <w:szCs w:val="20"/>
        </w:rPr>
      </w:pPr>
    </w:p>
    <w:p w14:paraId="4B33E4DB" w14:textId="73FB0A62" w:rsidR="002F3CE1" w:rsidRPr="00741560" w:rsidRDefault="002F3CE1">
      <w:pPr>
        <w:pStyle w:val="body"/>
        <w:rPr>
          <w:szCs w:val="20"/>
        </w:rPr>
      </w:pPr>
      <w:r w:rsidRPr="00741560">
        <w:rPr>
          <w:szCs w:val="20"/>
        </w:rPr>
        <w:t>The Company has not adopted early any standards, amendments or interpretations to existing standards</w:t>
      </w:r>
    </w:p>
    <w:p w14:paraId="20DF7E93" w14:textId="027DD026" w:rsidR="002F3CE1" w:rsidRPr="00A031FE" w:rsidRDefault="002F3CE1">
      <w:pPr>
        <w:pStyle w:val="body"/>
        <w:rPr>
          <w:szCs w:val="20"/>
        </w:rPr>
      </w:pPr>
      <w:r w:rsidRPr="00741560">
        <w:rPr>
          <w:szCs w:val="20"/>
        </w:rPr>
        <w:t>that have been published and will</w:t>
      </w:r>
      <w:r w:rsidR="004F0D0F">
        <w:rPr>
          <w:szCs w:val="20"/>
        </w:rPr>
        <w:t xml:space="preserve"> be </w:t>
      </w:r>
      <w:r w:rsidRPr="00A031FE">
        <w:rPr>
          <w:szCs w:val="20"/>
        </w:rPr>
        <w:t>mandatory for the Company’s accounting periods beginning after</w:t>
      </w:r>
    </w:p>
    <w:p w14:paraId="39079F26" w14:textId="5A6CA1F4" w:rsidR="002F3CE1" w:rsidRDefault="002F3CE1">
      <w:pPr>
        <w:pStyle w:val="body"/>
        <w:rPr>
          <w:szCs w:val="20"/>
        </w:rPr>
      </w:pPr>
      <w:r w:rsidRPr="00A031FE">
        <w:rPr>
          <w:szCs w:val="20"/>
        </w:rPr>
        <w:t xml:space="preserve">1 </w:t>
      </w:r>
      <w:r>
        <w:rPr>
          <w:szCs w:val="20"/>
        </w:rPr>
        <w:t>July</w:t>
      </w:r>
      <w:r w:rsidRPr="00A031FE">
        <w:rPr>
          <w:szCs w:val="20"/>
        </w:rPr>
        <w:t xml:space="preserve"> </w:t>
      </w:r>
      <w:r w:rsidR="00A9443F">
        <w:rPr>
          <w:szCs w:val="20"/>
        </w:rPr>
        <w:t>2020</w:t>
      </w:r>
      <w:r w:rsidRPr="00A031FE">
        <w:rPr>
          <w:szCs w:val="20"/>
        </w:rPr>
        <w:t xml:space="preserve"> or later periods.</w:t>
      </w:r>
    </w:p>
    <w:p w14:paraId="148DEF93" w14:textId="29377A46" w:rsidR="00A9443F" w:rsidRDefault="00A9443F">
      <w:pPr>
        <w:pStyle w:val="body"/>
        <w:rPr>
          <w:szCs w:val="20"/>
        </w:rPr>
      </w:pPr>
    </w:p>
    <w:p w14:paraId="505AA84B" w14:textId="1F4ED08A" w:rsidR="00A9443F" w:rsidRDefault="00A9443F">
      <w:pPr>
        <w:pStyle w:val="body"/>
        <w:rPr>
          <w:szCs w:val="20"/>
        </w:rPr>
      </w:pPr>
    </w:p>
    <w:p w14:paraId="2DA2F5CE" w14:textId="710AD52F" w:rsidR="00A9443F" w:rsidRDefault="00A9443F">
      <w:pPr>
        <w:pStyle w:val="body"/>
        <w:rPr>
          <w:szCs w:val="20"/>
        </w:rPr>
      </w:pPr>
    </w:p>
    <w:p w14:paraId="47A16921" w14:textId="531C9334" w:rsidR="00A9443F" w:rsidRDefault="00A9443F">
      <w:pPr>
        <w:pStyle w:val="body"/>
        <w:rPr>
          <w:szCs w:val="20"/>
        </w:rPr>
      </w:pPr>
    </w:p>
    <w:p w14:paraId="0A480105" w14:textId="77777777" w:rsidR="00730BD9" w:rsidRDefault="00730BD9">
      <w:pPr>
        <w:pStyle w:val="body"/>
        <w:rPr>
          <w:szCs w:val="20"/>
        </w:rPr>
      </w:pPr>
    </w:p>
    <w:p w14:paraId="36CF6538" w14:textId="37058CAB" w:rsidR="00242750" w:rsidRDefault="00242750">
      <w:pPr>
        <w:pStyle w:val="body"/>
        <w:rPr>
          <w:szCs w:val="20"/>
        </w:rPr>
      </w:pPr>
    </w:p>
    <w:p w14:paraId="34DC3D16" w14:textId="77777777" w:rsidR="00242750" w:rsidRDefault="00242750">
      <w:pPr>
        <w:pStyle w:val="body"/>
        <w:rPr>
          <w:szCs w:val="20"/>
        </w:rPr>
      </w:pPr>
    </w:p>
    <w:p w14:paraId="12ED1D0F" w14:textId="77777777" w:rsidR="00FC0AF0" w:rsidRDefault="00FC0AF0">
      <w:pPr>
        <w:pStyle w:val="body"/>
        <w:rPr>
          <w:szCs w:val="20"/>
        </w:rPr>
      </w:pPr>
    </w:p>
    <w:p w14:paraId="01F43F2A" w14:textId="408A5E21" w:rsidR="00A9443F" w:rsidRDefault="00A9443F">
      <w:pPr>
        <w:pStyle w:val="body"/>
        <w:rPr>
          <w:szCs w:val="20"/>
        </w:rPr>
      </w:pPr>
    </w:p>
    <w:p w14:paraId="174A0191" w14:textId="5063689F" w:rsidR="00A9443F" w:rsidRDefault="00A9443F">
      <w:pPr>
        <w:pStyle w:val="body"/>
        <w:rPr>
          <w:szCs w:val="20"/>
        </w:rPr>
      </w:pPr>
    </w:p>
    <w:p w14:paraId="10B18663" w14:textId="0E358E76" w:rsidR="00A9443F" w:rsidRDefault="00A9443F">
      <w:pPr>
        <w:pStyle w:val="body"/>
        <w:rPr>
          <w:szCs w:val="20"/>
        </w:rPr>
      </w:pPr>
    </w:p>
    <w:p w14:paraId="37A70A07" w14:textId="7B2A317D" w:rsidR="00A9443F" w:rsidRDefault="00A9443F">
      <w:pPr>
        <w:pStyle w:val="body"/>
        <w:rPr>
          <w:szCs w:val="20"/>
        </w:rPr>
      </w:pPr>
    </w:p>
    <w:p w14:paraId="02807193" w14:textId="7FED3B26" w:rsidR="00FC0AF0" w:rsidRDefault="00FC0AF0">
      <w:pPr>
        <w:pStyle w:val="body"/>
        <w:rPr>
          <w:szCs w:val="20"/>
        </w:rPr>
      </w:pPr>
    </w:p>
    <w:p w14:paraId="0C7CD162" w14:textId="77777777" w:rsidR="00A9443F" w:rsidRDefault="00A9443F" w:rsidP="00A9443F">
      <w:pPr>
        <w:pStyle w:val="Notehead1"/>
      </w:pPr>
      <w:r w:rsidRPr="00E42A95">
        <w:lastRenderedPageBreak/>
        <w:t>2. Accounting policies (continued)</w:t>
      </w:r>
    </w:p>
    <w:p w14:paraId="2B7952C7" w14:textId="77777777" w:rsidR="00A9443F" w:rsidRDefault="00A9443F" w:rsidP="00A9443F">
      <w:pPr>
        <w:pStyle w:val="Notehead1"/>
      </w:pPr>
    </w:p>
    <w:p w14:paraId="6346A470" w14:textId="0A9405FB" w:rsidR="00A9443F" w:rsidRDefault="00A9443F" w:rsidP="00A9443F">
      <w:pPr>
        <w:pStyle w:val="body"/>
        <w:rPr>
          <w:szCs w:val="20"/>
        </w:rPr>
      </w:pPr>
      <w:r>
        <w:t>b) Basis of preparation (continued)</w:t>
      </w:r>
    </w:p>
    <w:p w14:paraId="43BB07FB" w14:textId="77777777" w:rsidR="002F3CE1" w:rsidRDefault="002F3CE1" w:rsidP="000F51FA">
      <w:pPr>
        <w:pStyle w:val="body"/>
        <w:rPr>
          <w:szCs w:val="20"/>
        </w:rPr>
      </w:pPr>
    </w:p>
    <w:tbl>
      <w:tblPr>
        <w:tblW w:w="5000" w:type="pct"/>
        <w:tblCellMar>
          <w:top w:w="28" w:type="dxa"/>
          <w:bottom w:w="28" w:type="dxa"/>
        </w:tblCellMar>
        <w:tblLook w:val="04A0" w:firstRow="1" w:lastRow="0" w:firstColumn="1" w:lastColumn="0" w:noHBand="0" w:noVBand="1"/>
      </w:tblPr>
      <w:tblGrid>
        <w:gridCol w:w="3119"/>
        <w:gridCol w:w="3796"/>
        <w:gridCol w:w="245"/>
        <w:gridCol w:w="262"/>
        <w:gridCol w:w="1938"/>
      </w:tblGrid>
      <w:tr w:rsidR="00A9443F" w:rsidRPr="00572953" w14:paraId="1FEA0952" w14:textId="77777777" w:rsidTr="00A9443F">
        <w:tc>
          <w:tcPr>
            <w:tcW w:w="1666" w:type="pct"/>
            <w:tcBorders>
              <w:bottom w:val="single" w:sz="4" w:space="0" w:color="auto"/>
            </w:tcBorders>
            <w:shd w:val="clear" w:color="auto" w:fill="auto"/>
            <w:vAlign w:val="center"/>
          </w:tcPr>
          <w:p w14:paraId="20BBFDF7" w14:textId="1BB43FB3" w:rsidR="00A9443F" w:rsidRPr="00EE2489" w:rsidRDefault="00A9443F" w:rsidP="00E42A95">
            <w:pPr>
              <w:pStyle w:val="body"/>
              <w:jc w:val="left"/>
              <w:rPr>
                <w:b/>
                <w:sz w:val="18"/>
                <w:szCs w:val="18"/>
              </w:rPr>
            </w:pPr>
            <w:r>
              <w:rPr>
                <w:b/>
                <w:sz w:val="18"/>
                <w:szCs w:val="18"/>
              </w:rPr>
              <w:t>New S</w:t>
            </w:r>
            <w:r w:rsidRPr="00EE2489">
              <w:rPr>
                <w:b/>
                <w:sz w:val="18"/>
                <w:szCs w:val="18"/>
              </w:rPr>
              <w:t>tandards</w:t>
            </w:r>
          </w:p>
        </w:tc>
        <w:tc>
          <w:tcPr>
            <w:tcW w:w="2028" w:type="pct"/>
            <w:tcBorders>
              <w:bottom w:val="single" w:sz="4" w:space="0" w:color="auto"/>
            </w:tcBorders>
          </w:tcPr>
          <w:p w14:paraId="6A9CDB03" w14:textId="77777777" w:rsidR="00A9443F" w:rsidRPr="004F0D0F" w:rsidRDefault="00A9443F" w:rsidP="00E42A95">
            <w:pPr>
              <w:pStyle w:val="body"/>
              <w:jc w:val="right"/>
              <w:rPr>
                <w:b/>
                <w:sz w:val="18"/>
                <w:szCs w:val="18"/>
              </w:rPr>
            </w:pPr>
          </w:p>
        </w:tc>
        <w:tc>
          <w:tcPr>
            <w:tcW w:w="131" w:type="pct"/>
            <w:tcBorders>
              <w:bottom w:val="single" w:sz="4" w:space="0" w:color="auto"/>
            </w:tcBorders>
          </w:tcPr>
          <w:p w14:paraId="39FDFE30" w14:textId="5649DC7F" w:rsidR="00A9443F" w:rsidRPr="004F0D0F" w:rsidRDefault="00A9443F" w:rsidP="00E42A95">
            <w:pPr>
              <w:pStyle w:val="body"/>
              <w:jc w:val="right"/>
              <w:rPr>
                <w:b/>
                <w:sz w:val="18"/>
                <w:szCs w:val="18"/>
              </w:rPr>
            </w:pPr>
          </w:p>
        </w:tc>
        <w:tc>
          <w:tcPr>
            <w:tcW w:w="1175" w:type="pct"/>
            <w:gridSpan w:val="2"/>
            <w:tcBorders>
              <w:bottom w:val="single" w:sz="4" w:space="0" w:color="auto"/>
            </w:tcBorders>
            <w:shd w:val="clear" w:color="auto" w:fill="auto"/>
            <w:vAlign w:val="center"/>
          </w:tcPr>
          <w:p w14:paraId="670AAF0A" w14:textId="6C2A9E0B" w:rsidR="00A9443F" w:rsidRPr="004F0D0F" w:rsidRDefault="00A9443F" w:rsidP="00E42A95">
            <w:pPr>
              <w:pStyle w:val="body"/>
              <w:jc w:val="right"/>
              <w:rPr>
                <w:b/>
                <w:sz w:val="18"/>
                <w:szCs w:val="18"/>
              </w:rPr>
            </w:pPr>
            <w:r w:rsidRPr="004F0D0F">
              <w:rPr>
                <w:b/>
                <w:sz w:val="18"/>
                <w:szCs w:val="18"/>
              </w:rPr>
              <w:t>IASB Effective Date</w:t>
            </w:r>
          </w:p>
        </w:tc>
      </w:tr>
      <w:tr w:rsidR="00A9443F" w:rsidRPr="00D7628E" w14:paraId="4F64ECD2" w14:textId="77777777" w:rsidTr="00A9443F">
        <w:trPr>
          <w:trHeight w:val="283"/>
        </w:trPr>
        <w:tc>
          <w:tcPr>
            <w:tcW w:w="3694" w:type="pct"/>
            <w:gridSpan w:val="2"/>
            <w:tcBorders>
              <w:bottom w:val="single" w:sz="4" w:space="0" w:color="auto"/>
            </w:tcBorders>
            <w:shd w:val="clear" w:color="auto" w:fill="auto"/>
            <w:vAlign w:val="center"/>
          </w:tcPr>
          <w:p w14:paraId="5265D123" w14:textId="27A69561" w:rsidR="00A9443F" w:rsidRPr="00EE2489" w:rsidRDefault="00A9443F" w:rsidP="00A9443F">
            <w:pPr>
              <w:pStyle w:val="body"/>
              <w:jc w:val="left"/>
              <w:rPr>
                <w:sz w:val="18"/>
                <w:szCs w:val="18"/>
              </w:rPr>
            </w:pPr>
            <w:r>
              <w:rPr>
                <w:b/>
                <w:sz w:val="18"/>
                <w:szCs w:val="18"/>
              </w:rPr>
              <w:t>Revised and amended standards</w:t>
            </w:r>
          </w:p>
        </w:tc>
        <w:tc>
          <w:tcPr>
            <w:tcW w:w="271" w:type="pct"/>
            <w:gridSpan w:val="2"/>
            <w:tcBorders>
              <w:bottom w:val="single" w:sz="4" w:space="0" w:color="auto"/>
            </w:tcBorders>
          </w:tcPr>
          <w:p w14:paraId="69E7C3E0" w14:textId="1E8AEAFE" w:rsidR="00A9443F" w:rsidRPr="00EE2489" w:rsidRDefault="00A9443F" w:rsidP="00EE2489">
            <w:pPr>
              <w:pStyle w:val="body"/>
              <w:jc w:val="right"/>
              <w:rPr>
                <w:sz w:val="18"/>
                <w:szCs w:val="18"/>
              </w:rPr>
            </w:pPr>
          </w:p>
        </w:tc>
        <w:tc>
          <w:tcPr>
            <w:tcW w:w="1035" w:type="pct"/>
            <w:tcBorders>
              <w:bottom w:val="single" w:sz="4" w:space="0" w:color="auto"/>
            </w:tcBorders>
            <w:shd w:val="clear" w:color="auto" w:fill="auto"/>
            <w:vAlign w:val="center"/>
          </w:tcPr>
          <w:p w14:paraId="35B3D7A7" w14:textId="632A5410" w:rsidR="00A9443F" w:rsidRPr="00EE2489" w:rsidRDefault="00A9443F" w:rsidP="00EE2489">
            <w:pPr>
              <w:pStyle w:val="body"/>
              <w:jc w:val="right"/>
              <w:rPr>
                <w:sz w:val="18"/>
                <w:szCs w:val="18"/>
              </w:rPr>
            </w:pPr>
          </w:p>
        </w:tc>
      </w:tr>
      <w:tr w:rsidR="00A9443F" w:rsidRPr="00D7628E" w14:paraId="11DD608E" w14:textId="77777777" w:rsidTr="00A9443F">
        <w:trPr>
          <w:trHeight w:val="283"/>
        </w:trPr>
        <w:tc>
          <w:tcPr>
            <w:tcW w:w="1666" w:type="pct"/>
            <w:shd w:val="clear" w:color="auto" w:fill="auto"/>
            <w:vAlign w:val="center"/>
          </w:tcPr>
          <w:p w14:paraId="380AF65E" w14:textId="45D55B92" w:rsidR="00A9443F" w:rsidRPr="00EE2489" w:rsidRDefault="00A9443F" w:rsidP="002F55B4">
            <w:pPr>
              <w:pStyle w:val="body"/>
              <w:jc w:val="left"/>
              <w:rPr>
                <w:sz w:val="18"/>
                <w:szCs w:val="18"/>
              </w:rPr>
            </w:pPr>
            <w:r>
              <w:rPr>
                <w:sz w:val="18"/>
                <w:szCs w:val="18"/>
              </w:rPr>
              <w:t xml:space="preserve">IFRS 9                                                                 </w:t>
            </w:r>
            <w:r w:rsidRPr="00E0166F">
              <w:rPr>
                <w:sz w:val="18"/>
              </w:rPr>
              <w:t>2015 – 2017 cycle</w:t>
            </w:r>
          </w:p>
        </w:tc>
        <w:tc>
          <w:tcPr>
            <w:tcW w:w="2028" w:type="pct"/>
          </w:tcPr>
          <w:p w14:paraId="5F7AE089" w14:textId="07C02C7D" w:rsidR="00A9443F" w:rsidRDefault="00A9443F" w:rsidP="00A9443F">
            <w:pPr>
              <w:pStyle w:val="body"/>
              <w:jc w:val="left"/>
              <w:rPr>
                <w:sz w:val="18"/>
                <w:szCs w:val="18"/>
              </w:rPr>
            </w:pPr>
            <w:r w:rsidRPr="00A9443F">
              <w:rPr>
                <w:sz w:val="18"/>
                <w:szCs w:val="18"/>
              </w:rPr>
              <w:t>Financial Instruments (Amendments regarding pre-replacement issues in the context</w:t>
            </w:r>
            <w:r>
              <w:rPr>
                <w:sz w:val="18"/>
                <w:szCs w:val="18"/>
              </w:rPr>
              <w:t xml:space="preserve"> </w:t>
            </w:r>
            <w:r w:rsidRPr="00A9443F">
              <w:rPr>
                <w:sz w:val="18"/>
                <w:szCs w:val="18"/>
              </w:rPr>
              <w:t>of the LIBOR reform)</w:t>
            </w:r>
          </w:p>
        </w:tc>
        <w:tc>
          <w:tcPr>
            <w:tcW w:w="271" w:type="pct"/>
            <w:gridSpan w:val="2"/>
          </w:tcPr>
          <w:p w14:paraId="5A85C125" w14:textId="6737B72B" w:rsidR="00A9443F" w:rsidRDefault="00A9443F" w:rsidP="002F55B4">
            <w:pPr>
              <w:pStyle w:val="body"/>
              <w:jc w:val="right"/>
              <w:rPr>
                <w:sz w:val="18"/>
                <w:szCs w:val="18"/>
              </w:rPr>
            </w:pPr>
          </w:p>
        </w:tc>
        <w:tc>
          <w:tcPr>
            <w:tcW w:w="1035" w:type="pct"/>
            <w:shd w:val="clear" w:color="auto" w:fill="auto"/>
            <w:vAlign w:val="center"/>
          </w:tcPr>
          <w:p w14:paraId="179A3484" w14:textId="1C3CF7FB" w:rsidR="00A9443F" w:rsidRPr="00EE2489" w:rsidRDefault="00A9443F" w:rsidP="002F55B4">
            <w:pPr>
              <w:pStyle w:val="body"/>
              <w:jc w:val="right"/>
              <w:rPr>
                <w:sz w:val="18"/>
                <w:szCs w:val="18"/>
              </w:rPr>
            </w:pPr>
            <w:r w:rsidRPr="00EE2489">
              <w:rPr>
                <w:sz w:val="18"/>
                <w:szCs w:val="18"/>
              </w:rPr>
              <w:t>1 January 2020</w:t>
            </w:r>
          </w:p>
        </w:tc>
      </w:tr>
      <w:tr w:rsidR="00A9443F" w:rsidRPr="00D7628E" w14:paraId="20F281E1" w14:textId="77777777" w:rsidTr="00A9443F">
        <w:trPr>
          <w:trHeight w:val="283"/>
        </w:trPr>
        <w:tc>
          <w:tcPr>
            <w:tcW w:w="1666" w:type="pct"/>
            <w:shd w:val="clear" w:color="auto" w:fill="auto"/>
            <w:vAlign w:val="center"/>
          </w:tcPr>
          <w:p w14:paraId="024D767D" w14:textId="532BE489" w:rsidR="00A9443F" w:rsidRDefault="00A9443F" w:rsidP="002F55B4">
            <w:pPr>
              <w:pStyle w:val="body"/>
              <w:jc w:val="left"/>
              <w:rPr>
                <w:sz w:val="18"/>
                <w:szCs w:val="18"/>
              </w:rPr>
            </w:pPr>
            <w:r>
              <w:rPr>
                <w:sz w:val="18"/>
                <w:szCs w:val="18"/>
              </w:rPr>
              <w:t>IFRS 17</w:t>
            </w:r>
          </w:p>
        </w:tc>
        <w:tc>
          <w:tcPr>
            <w:tcW w:w="2028" w:type="pct"/>
          </w:tcPr>
          <w:p w14:paraId="39816F79" w14:textId="4B237D02" w:rsidR="00A9443F" w:rsidRDefault="00A9443F" w:rsidP="00A9443F">
            <w:pPr>
              <w:pStyle w:val="body"/>
              <w:jc w:val="left"/>
              <w:rPr>
                <w:sz w:val="18"/>
                <w:szCs w:val="18"/>
              </w:rPr>
            </w:pPr>
            <w:r>
              <w:rPr>
                <w:sz w:val="18"/>
                <w:szCs w:val="18"/>
              </w:rPr>
              <w:t>Insurance Contracts</w:t>
            </w:r>
          </w:p>
        </w:tc>
        <w:tc>
          <w:tcPr>
            <w:tcW w:w="271" w:type="pct"/>
            <w:gridSpan w:val="2"/>
          </w:tcPr>
          <w:p w14:paraId="70C75760" w14:textId="0804C18A" w:rsidR="00A9443F" w:rsidRDefault="00A9443F" w:rsidP="002F55B4">
            <w:pPr>
              <w:pStyle w:val="body"/>
              <w:jc w:val="right"/>
              <w:rPr>
                <w:sz w:val="18"/>
                <w:szCs w:val="18"/>
              </w:rPr>
            </w:pPr>
          </w:p>
        </w:tc>
        <w:tc>
          <w:tcPr>
            <w:tcW w:w="1035" w:type="pct"/>
            <w:shd w:val="clear" w:color="auto" w:fill="auto"/>
            <w:vAlign w:val="center"/>
          </w:tcPr>
          <w:p w14:paraId="2A6FE009" w14:textId="74031649" w:rsidR="00A9443F" w:rsidRDefault="00A9443F" w:rsidP="002F55B4">
            <w:pPr>
              <w:pStyle w:val="body"/>
              <w:jc w:val="right"/>
              <w:rPr>
                <w:sz w:val="18"/>
                <w:szCs w:val="18"/>
              </w:rPr>
            </w:pPr>
            <w:r>
              <w:rPr>
                <w:sz w:val="18"/>
                <w:szCs w:val="18"/>
              </w:rPr>
              <w:t>1 January 2021</w:t>
            </w:r>
          </w:p>
        </w:tc>
      </w:tr>
      <w:tr w:rsidR="00A9443F" w:rsidRPr="00D7628E" w14:paraId="55A25DE5" w14:textId="77777777" w:rsidTr="00A9443F">
        <w:trPr>
          <w:trHeight w:val="283"/>
        </w:trPr>
        <w:tc>
          <w:tcPr>
            <w:tcW w:w="1666" w:type="pct"/>
            <w:shd w:val="clear" w:color="auto" w:fill="auto"/>
            <w:vAlign w:val="center"/>
          </w:tcPr>
          <w:p w14:paraId="0196B409" w14:textId="61F35918" w:rsidR="00A9443F" w:rsidRDefault="00A9443F" w:rsidP="002F55B4">
            <w:pPr>
              <w:pStyle w:val="body"/>
              <w:jc w:val="left"/>
              <w:rPr>
                <w:sz w:val="18"/>
                <w:szCs w:val="18"/>
              </w:rPr>
            </w:pPr>
            <w:r>
              <w:rPr>
                <w:sz w:val="18"/>
                <w:szCs w:val="18"/>
              </w:rPr>
              <w:t>IAS 1</w:t>
            </w:r>
          </w:p>
        </w:tc>
        <w:tc>
          <w:tcPr>
            <w:tcW w:w="2028" w:type="pct"/>
          </w:tcPr>
          <w:p w14:paraId="15CE9372" w14:textId="28843A58" w:rsidR="00A9443F" w:rsidRDefault="00A9443F" w:rsidP="00A9443F">
            <w:pPr>
              <w:pStyle w:val="body"/>
              <w:jc w:val="left"/>
              <w:rPr>
                <w:sz w:val="18"/>
                <w:szCs w:val="18"/>
              </w:rPr>
            </w:pPr>
            <w:r w:rsidRPr="00A9443F">
              <w:rPr>
                <w:sz w:val="18"/>
                <w:szCs w:val="18"/>
              </w:rPr>
              <w:t>Presentation of Financial Statements (Amendments regarding the definition of material)</w:t>
            </w:r>
          </w:p>
        </w:tc>
        <w:tc>
          <w:tcPr>
            <w:tcW w:w="271" w:type="pct"/>
            <w:gridSpan w:val="2"/>
          </w:tcPr>
          <w:p w14:paraId="0D8562AA" w14:textId="359E5278" w:rsidR="00A9443F" w:rsidRDefault="00A9443F" w:rsidP="002F55B4">
            <w:pPr>
              <w:pStyle w:val="body"/>
              <w:jc w:val="right"/>
              <w:rPr>
                <w:sz w:val="18"/>
                <w:szCs w:val="18"/>
              </w:rPr>
            </w:pPr>
          </w:p>
        </w:tc>
        <w:tc>
          <w:tcPr>
            <w:tcW w:w="1035" w:type="pct"/>
            <w:shd w:val="clear" w:color="auto" w:fill="auto"/>
            <w:vAlign w:val="center"/>
          </w:tcPr>
          <w:p w14:paraId="5126B95F" w14:textId="6E417240" w:rsidR="00A9443F" w:rsidRDefault="00A9443F" w:rsidP="002F55B4">
            <w:pPr>
              <w:pStyle w:val="body"/>
              <w:jc w:val="right"/>
              <w:rPr>
                <w:sz w:val="18"/>
                <w:szCs w:val="18"/>
              </w:rPr>
            </w:pPr>
            <w:r w:rsidRPr="00EE2489">
              <w:rPr>
                <w:sz w:val="18"/>
                <w:szCs w:val="18"/>
              </w:rPr>
              <w:t>1 January 2020</w:t>
            </w:r>
          </w:p>
        </w:tc>
      </w:tr>
      <w:tr w:rsidR="00A9443F" w:rsidRPr="00D7628E" w14:paraId="3726A38A" w14:textId="77777777" w:rsidTr="00A9443F">
        <w:trPr>
          <w:trHeight w:val="283"/>
        </w:trPr>
        <w:tc>
          <w:tcPr>
            <w:tcW w:w="1666" w:type="pct"/>
            <w:shd w:val="clear" w:color="auto" w:fill="auto"/>
            <w:vAlign w:val="center"/>
          </w:tcPr>
          <w:p w14:paraId="3DD22E69" w14:textId="37DCA978" w:rsidR="00A9443F" w:rsidRDefault="00A9443F" w:rsidP="002F55B4">
            <w:pPr>
              <w:pStyle w:val="body"/>
              <w:jc w:val="left"/>
              <w:rPr>
                <w:sz w:val="18"/>
                <w:szCs w:val="18"/>
              </w:rPr>
            </w:pPr>
            <w:r>
              <w:rPr>
                <w:sz w:val="18"/>
                <w:szCs w:val="18"/>
              </w:rPr>
              <w:t>IAS 8</w:t>
            </w:r>
          </w:p>
        </w:tc>
        <w:tc>
          <w:tcPr>
            <w:tcW w:w="2028" w:type="pct"/>
          </w:tcPr>
          <w:p w14:paraId="33937F85" w14:textId="1BC160C3" w:rsidR="00A9443F" w:rsidRDefault="00A9443F" w:rsidP="00A9443F">
            <w:pPr>
              <w:pStyle w:val="body"/>
              <w:rPr>
                <w:sz w:val="18"/>
                <w:szCs w:val="18"/>
              </w:rPr>
            </w:pPr>
            <w:r w:rsidRPr="00A9443F">
              <w:rPr>
                <w:sz w:val="18"/>
                <w:szCs w:val="18"/>
              </w:rPr>
              <w:t>Accounting Policies, Changes in Accounting Estimates a</w:t>
            </w:r>
            <w:r>
              <w:rPr>
                <w:sz w:val="18"/>
                <w:szCs w:val="18"/>
              </w:rPr>
              <w:t xml:space="preserve">nd Errors (Amendments regarding </w:t>
            </w:r>
            <w:r w:rsidRPr="00A9443F">
              <w:rPr>
                <w:sz w:val="18"/>
                <w:szCs w:val="18"/>
              </w:rPr>
              <w:t>the definition of material)</w:t>
            </w:r>
          </w:p>
        </w:tc>
        <w:tc>
          <w:tcPr>
            <w:tcW w:w="271" w:type="pct"/>
            <w:gridSpan w:val="2"/>
          </w:tcPr>
          <w:p w14:paraId="434B3A4D" w14:textId="30FB4BB0" w:rsidR="00A9443F" w:rsidRDefault="00A9443F" w:rsidP="002F55B4">
            <w:pPr>
              <w:pStyle w:val="body"/>
              <w:jc w:val="right"/>
              <w:rPr>
                <w:sz w:val="18"/>
                <w:szCs w:val="18"/>
              </w:rPr>
            </w:pPr>
          </w:p>
        </w:tc>
        <w:tc>
          <w:tcPr>
            <w:tcW w:w="1035" w:type="pct"/>
            <w:shd w:val="clear" w:color="auto" w:fill="auto"/>
            <w:vAlign w:val="center"/>
          </w:tcPr>
          <w:p w14:paraId="380872BE" w14:textId="78ED4504" w:rsidR="00A9443F" w:rsidRDefault="00A9443F" w:rsidP="002F55B4">
            <w:pPr>
              <w:pStyle w:val="body"/>
              <w:jc w:val="right"/>
              <w:rPr>
                <w:sz w:val="18"/>
                <w:szCs w:val="18"/>
              </w:rPr>
            </w:pPr>
            <w:r w:rsidRPr="00EE2489">
              <w:rPr>
                <w:sz w:val="18"/>
                <w:szCs w:val="18"/>
              </w:rPr>
              <w:t>1 January 2020</w:t>
            </w:r>
          </w:p>
        </w:tc>
      </w:tr>
    </w:tbl>
    <w:p w14:paraId="56AFA4CA" w14:textId="77777777" w:rsidR="00933137" w:rsidRDefault="00933137" w:rsidP="00E42A95">
      <w:pPr>
        <w:pStyle w:val="BluefieldBody"/>
      </w:pPr>
    </w:p>
    <w:p w14:paraId="2A9BDC62" w14:textId="11D9D8EF" w:rsidR="00A9443F" w:rsidRDefault="00A9443F" w:rsidP="00E42A95">
      <w:pPr>
        <w:pStyle w:val="BluefieldBody"/>
      </w:pPr>
    </w:p>
    <w:p w14:paraId="673D7F6D" w14:textId="2C03D8AB" w:rsidR="00C17023" w:rsidRPr="009F0387" w:rsidRDefault="0065474C" w:rsidP="00E42A95">
      <w:pPr>
        <w:pStyle w:val="BluefieldBody"/>
      </w:pPr>
      <w:r w:rsidRPr="009F0387">
        <w:t xml:space="preserve">At the date of authorisation of these financial statements, certain new standards, and amendments to existing standards have been published by the </w:t>
      </w:r>
      <w:r w:rsidR="00AF5969">
        <w:t>IASB that are not yet effective</w:t>
      </w:r>
      <w:r w:rsidRPr="009F0387">
        <w:t xml:space="preserve"> and have not been adopted early by the Company.</w:t>
      </w:r>
    </w:p>
    <w:p w14:paraId="6DB7B517" w14:textId="77777777" w:rsidR="0065474C" w:rsidRPr="0065474C" w:rsidRDefault="0065474C" w:rsidP="00E42A95">
      <w:pPr>
        <w:pStyle w:val="BluefieldBody"/>
        <w:rPr>
          <w:color w:val="000000"/>
          <w:highlight w:val="cyan"/>
        </w:rPr>
      </w:pPr>
    </w:p>
    <w:p w14:paraId="30D1D31D" w14:textId="3E958FA5" w:rsidR="0065474C" w:rsidRDefault="009F0387" w:rsidP="00E42A95">
      <w:pPr>
        <w:pStyle w:val="BluefieldBody"/>
      </w:pPr>
      <w:r>
        <w:t xml:space="preserve">The </w:t>
      </w:r>
      <w:r w:rsidR="004F0D0F">
        <w:t>Board</w:t>
      </w:r>
      <w:r w:rsidR="0065474C" w:rsidRPr="009F0387">
        <w:t xml:space="preserve"> </w:t>
      </w:r>
      <w:r w:rsidR="004947A2">
        <w:t>expect</w:t>
      </w:r>
      <w:r w:rsidR="0085066D">
        <w:t>s</w:t>
      </w:r>
      <w:r w:rsidR="0065474C" w:rsidRPr="009F0387">
        <w:t xml:space="preserve"> that all relevant pronouncements will be adopted in the Company's accounting policies for the first period beginning after the effective date of the pronouncement. New standards, interpretations and amendments are not expected to have a material impact on the Company’s financial statements.</w:t>
      </w:r>
    </w:p>
    <w:p w14:paraId="3BAB2C5E" w14:textId="56073DB1" w:rsidR="0065474C" w:rsidRDefault="0065474C" w:rsidP="00E42A95">
      <w:pPr>
        <w:pStyle w:val="BluefieldBody"/>
      </w:pPr>
    </w:p>
    <w:p w14:paraId="2D55BFE2" w14:textId="77777777" w:rsidR="0010764A" w:rsidRDefault="0010764A" w:rsidP="0010764A">
      <w:pPr>
        <w:pStyle w:val="body"/>
        <w:rPr>
          <w:b/>
        </w:rPr>
      </w:pPr>
      <w:r>
        <w:rPr>
          <w:b/>
        </w:rPr>
        <w:t xml:space="preserve">b) </w:t>
      </w:r>
      <w:r w:rsidRPr="009006ED">
        <w:rPr>
          <w:b/>
        </w:rPr>
        <w:t>Going concern</w:t>
      </w:r>
    </w:p>
    <w:p w14:paraId="4DAF1CAA" w14:textId="77777777" w:rsidR="0010764A" w:rsidRDefault="0010764A" w:rsidP="0010764A">
      <w:pPr>
        <w:pStyle w:val="body"/>
        <w:rPr>
          <w:b/>
          <w:sz w:val="18"/>
        </w:rPr>
      </w:pPr>
    </w:p>
    <w:p w14:paraId="095F8E51" w14:textId="622590AA" w:rsidR="00553070" w:rsidRPr="00A9443F" w:rsidRDefault="00AA630B" w:rsidP="00A9443F">
      <w:pPr>
        <w:pStyle w:val="BluefieldBody"/>
      </w:pPr>
      <w:r w:rsidRPr="009B172F">
        <w:t xml:space="preserve">At 30 June </w:t>
      </w:r>
      <w:r w:rsidR="00904E51">
        <w:t>2020</w:t>
      </w:r>
      <w:r w:rsidRPr="009B172F">
        <w:t xml:space="preserve">, the Company had invested in </w:t>
      </w:r>
      <w:r w:rsidR="008F7143">
        <w:t>90</w:t>
      </w:r>
      <w:r w:rsidRPr="00401DEE" w:rsidDel="00E827CC">
        <w:t xml:space="preserve"> </w:t>
      </w:r>
      <w:r w:rsidRPr="00401DEE">
        <w:t xml:space="preserve">solar plants, </w:t>
      </w:r>
      <w:r w:rsidRPr="002479CA">
        <w:t>committing £</w:t>
      </w:r>
      <w:r w:rsidR="000A1020">
        <w:t>566.3</w:t>
      </w:r>
      <w:r w:rsidRPr="009B172F">
        <w:t xml:space="preserve"> million to SPV investments.</w:t>
      </w:r>
      <w:r w:rsidR="004F0D0F">
        <w:t xml:space="preserve"> The</w:t>
      </w:r>
      <w:r w:rsidRPr="009B172F">
        <w:t xml:space="preserve"> Company</w:t>
      </w:r>
      <w:r w:rsidR="00453A4E">
        <w:t>,</w:t>
      </w:r>
      <w:r w:rsidRPr="009B172F">
        <w:t xml:space="preserve"> through its direct subsidiary, BSIFIL, has access to a RCF which</w:t>
      </w:r>
      <w:r w:rsidRPr="008D10FA">
        <w:t xml:space="preserve"> together with the net income generated by the acquired projects, are expected to allow the Company to meet its liquidity needs for the payment of operational expenses, dividends and acquisition of new solar assets. The Company, through BSIFIL, expects to comply with the covenants of its long term loan and </w:t>
      </w:r>
      <w:r>
        <w:t>RCF.</w:t>
      </w:r>
    </w:p>
    <w:p w14:paraId="19F81961" w14:textId="77777777" w:rsidR="002F55B4" w:rsidRPr="002E6952" w:rsidRDefault="002F55B4" w:rsidP="002E6952">
      <w:pPr>
        <w:pStyle w:val="Notehead1"/>
      </w:pPr>
    </w:p>
    <w:p w14:paraId="6EB6C8E3" w14:textId="170B8D75" w:rsidR="00553070" w:rsidRDefault="002F55B4" w:rsidP="002F55B4">
      <w:pPr>
        <w:pStyle w:val="BluefieldBody"/>
      </w:pPr>
      <w:r w:rsidRPr="00A3680E">
        <w:t xml:space="preserve">The </w:t>
      </w:r>
      <w:r>
        <w:t>Board in its consideration of going concern</w:t>
      </w:r>
      <w:r w:rsidRPr="00A3680E">
        <w:t xml:space="preserve"> ha</w:t>
      </w:r>
      <w:r w:rsidR="00933137">
        <w:t>s</w:t>
      </w:r>
      <w:r w:rsidRPr="00A3680E">
        <w:t xml:space="preserve"> reviewed comprehensive cash flow forecasts prepared by the Investment Adviser, future projects in the pipeline and the performance of the current solar plants in operation and, at the time of approving the financial statements, ha</w:t>
      </w:r>
      <w:r w:rsidR="00453A4E">
        <w:t>s</w:t>
      </w:r>
      <w:r w:rsidRPr="00A3680E">
        <w:t xml:space="preserve"> a reasonable expectation that the Company </w:t>
      </w:r>
      <w:r>
        <w:t>has</w:t>
      </w:r>
      <w:r w:rsidRPr="00A3680E">
        <w:t xml:space="preserve"> adequate resources to continue in operational existence for the foreseeable future and do not consider there to be any threat to the going concern status of the </w:t>
      </w:r>
      <w:r>
        <w:t>Company</w:t>
      </w:r>
      <w:r w:rsidRPr="00A3680E">
        <w:t xml:space="preserve">. </w:t>
      </w:r>
      <w:r w:rsidR="00E978EB">
        <w:t>The current worldwide Coronavirus outbreak (Covid-19), decl</w:t>
      </w:r>
      <w:r w:rsidR="00793E4F">
        <w:t>ared by the World Health Organiz</w:t>
      </w:r>
      <w:r w:rsidR="00E978EB">
        <w:t>ation as a global health emergency in March 2020, has caused disruption to businesses and economic activity. The Board and Investment Adviser have been closely monitoring this and it has been considered as part of its going concern assessment.</w:t>
      </w:r>
    </w:p>
    <w:p w14:paraId="7621F5B1" w14:textId="77777777" w:rsidR="00553070" w:rsidRDefault="00553070" w:rsidP="002F55B4">
      <w:pPr>
        <w:pStyle w:val="BluefieldBody"/>
      </w:pPr>
    </w:p>
    <w:p w14:paraId="33687006" w14:textId="17B0D682" w:rsidR="002F55B4" w:rsidRPr="0063504F" w:rsidRDefault="002F55B4" w:rsidP="002F55B4">
      <w:pPr>
        <w:pStyle w:val="BluefieldBody"/>
      </w:pPr>
      <w:r w:rsidRPr="0063504F">
        <w:t>The Board has concluded that it is appropriate to adopt the going concern basis of accounting in preparing the financial statements.</w:t>
      </w:r>
    </w:p>
    <w:p w14:paraId="009C4E82" w14:textId="0CD62F89" w:rsidR="00A9443F" w:rsidRDefault="00A9443F" w:rsidP="0009491D">
      <w:pPr>
        <w:pStyle w:val="body"/>
        <w:rPr>
          <w:b/>
        </w:rPr>
      </w:pPr>
    </w:p>
    <w:p w14:paraId="538B05B2" w14:textId="7FA3D8C4" w:rsidR="00A9443F" w:rsidRDefault="00A9443F" w:rsidP="0009491D">
      <w:pPr>
        <w:pStyle w:val="body"/>
        <w:rPr>
          <w:b/>
        </w:rPr>
      </w:pPr>
    </w:p>
    <w:p w14:paraId="4BBFE664" w14:textId="1D294074" w:rsidR="00942AD0" w:rsidRDefault="00942AD0" w:rsidP="0009491D">
      <w:pPr>
        <w:pStyle w:val="body"/>
        <w:rPr>
          <w:b/>
        </w:rPr>
      </w:pPr>
    </w:p>
    <w:p w14:paraId="529A6B58" w14:textId="287E6BFB" w:rsidR="00942AD0" w:rsidRDefault="00942AD0" w:rsidP="0009491D">
      <w:pPr>
        <w:pStyle w:val="body"/>
        <w:rPr>
          <w:b/>
        </w:rPr>
      </w:pPr>
    </w:p>
    <w:p w14:paraId="15015739" w14:textId="77777777" w:rsidR="00942AD0" w:rsidRDefault="00942AD0" w:rsidP="0009491D">
      <w:pPr>
        <w:pStyle w:val="body"/>
        <w:rPr>
          <w:b/>
        </w:rPr>
      </w:pPr>
    </w:p>
    <w:p w14:paraId="5DA2FDC2" w14:textId="7FCF4F6D" w:rsidR="00FC0AF0" w:rsidRDefault="00FC0AF0" w:rsidP="0009491D">
      <w:pPr>
        <w:pStyle w:val="body"/>
        <w:rPr>
          <w:b/>
        </w:rPr>
      </w:pPr>
    </w:p>
    <w:p w14:paraId="5A82541D" w14:textId="79E3DB1B" w:rsidR="0009491D" w:rsidRDefault="0009491D" w:rsidP="0009491D">
      <w:pPr>
        <w:pStyle w:val="body"/>
        <w:rPr>
          <w:b/>
        </w:rPr>
      </w:pPr>
      <w:r w:rsidRPr="00933250">
        <w:rPr>
          <w:b/>
        </w:rPr>
        <w:lastRenderedPageBreak/>
        <w:t>c) Accounting for subsidiaries</w:t>
      </w:r>
      <w:r w:rsidRPr="00071340">
        <w:rPr>
          <w:b/>
        </w:rPr>
        <w:t xml:space="preserve"> </w:t>
      </w:r>
    </w:p>
    <w:p w14:paraId="45ADB66D" w14:textId="77777777" w:rsidR="0009491D" w:rsidRDefault="0009491D" w:rsidP="0009491D">
      <w:pPr>
        <w:pStyle w:val="body"/>
        <w:rPr>
          <w:b/>
        </w:rPr>
      </w:pPr>
    </w:p>
    <w:p w14:paraId="595A53CD" w14:textId="375DAEA9" w:rsidR="00933137" w:rsidRDefault="0009491D" w:rsidP="0009491D">
      <w:pPr>
        <w:jc w:val="both"/>
        <w:rPr>
          <w:rFonts w:ascii="Georgia" w:hAnsi="Georgia"/>
          <w:color w:val="404040" w:themeColor="text1" w:themeTint="BF"/>
          <w:sz w:val="20"/>
          <w:szCs w:val="20"/>
        </w:rPr>
      </w:pPr>
      <w:r w:rsidRPr="00152D05">
        <w:rPr>
          <w:rFonts w:ascii="Georgia" w:hAnsi="Georgia"/>
          <w:color w:val="404040" w:themeColor="text1" w:themeTint="BF"/>
          <w:sz w:val="20"/>
          <w:szCs w:val="20"/>
        </w:rPr>
        <w:t xml:space="preserve">The Company makes its investments in the SPVs through its </w:t>
      </w:r>
      <w:r w:rsidR="007D7B8C">
        <w:rPr>
          <w:rFonts w:ascii="Georgia" w:hAnsi="Georgia"/>
          <w:color w:val="404040" w:themeColor="text1" w:themeTint="BF"/>
          <w:sz w:val="20"/>
          <w:szCs w:val="20"/>
        </w:rPr>
        <w:t>wholly owned subsidiary, BSIFIL.</w:t>
      </w:r>
      <w:r w:rsidR="00553070">
        <w:rPr>
          <w:rFonts w:ascii="Georgia" w:hAnsi="Georgia"/>
          <w:color w:val="404040" w:themeColor="text1" w:themeTint="BF"/>
          <w:sz w:val="20"/>
          <w:szCs w:val="20"/>
        </w:rPr>
        <w:t xml:space="preserve"> </w:t>
      </w:r>
    </w:p>
    <w:p w14:paraId="37F3485B" w14:textId="77777777" w:rsidR="00933137" w:rsidRDefault="00933137" w:rsidP="0009491D">
      <w:pPr>
        <w:jc w:val="both"/>
        <w:rPr>
          <w:rFonts w:ascii="Georgia" w:hAnsi="Georgia"/>
          <w:color w:val="404040" w:themeColor="text1" w:themeTint="BF"/>
          <w:sz w:val="20"/>
          <w:szCs w:val="20"/>
        </w:rPr>
      </w:pPr>
    </w:p>
    <w:p w14:paraId="76BBBD64" w14:textId="0ABAB660" w:rsidR="0009491D" w:rsidRPr="00152D05" w:rsidRDefault="008179AB" w:rsidP="0009491D">
      <w:pPr>
        <w:jc w:val="both"/>
        <w:rPr>
          <w:rFonts w:ascii="Georgia" w:hAnsi="Georgia"/>
          <w:color w:val="404040" w:themeColor="text1" w:themeTint="BF"/>
          <w:sz w:val="20"/>
          <w:szCs w:val="20"/>
        </w:rPr>
      </w:pPr>
      <w:r>
        <w:rPr>
          <w:rFonts w:ascii="Georgia" w:hAnsi="Georgia"/>
          <w:color w:val="404040" w:themeColor="text1" w:themeTint="BF"/>
          <w:sz w:val="20"/>
          <w:szCs w:val="20"/>
        </w:rPr>
        <w:t xml:space="preserve">In light of the December 2014 </w:t>
      </w:r>
      <w:r w:rsidRPr="00152D05">
        <w:rPr>
          <w:rFonts w:ascii="Georgia" w:hAnsi="Georgia"/>
          <w:color w:val="404040" w:themeColor="text1" w:themeTint="BF"/>
          <w:sz w:val="20"/>
          <w:szCs w:val="20"/>
        </w:rPr>
        <w:t>amendments to IFRS 10 (the Consolidation Exception Amendments)</w:t>
      </w:r>
      <w:r w:rsidR="00926F3C">
        <w:rPr>
          <w:rFonts w:ascii="Georgia" w:hAnsi="Georgia"/>
          <w:color w:val="404040" w:themeColor="text1" w:themeTint="BF"/>
          <w:sz w:val="20"/>
          <w:szCs w:val="20"/>
        </w:rPr>
        <w:t>,</w:t>
      </w:r>
      <w:r w:rsidRPr="00152D05">
        <w:rPr>
          <w:rFonts w:ascii="Georgia" w:hAnsi="Georgia"/>
          <w:color w:val="404040" w:themeColor="text1" w:themeTint="BF"/>
          <w:sz w:val="20"/>
          <w:szCs w:val="20"/>
        </w:rPr>
        <w:t xml:space="preserve"> which clarified the scope of the exceptions to mandatory non-</w:t>
      </w:r>
      <w:r>
        <w:rPr>
          <w:rFonts w:ascii="Georgia" w:hAnsi="Georgia"/>
          <w:color w:val="404040" w:themeColor="text1" w:themeTint="BF"/>
          <w:sz w:val="20"/>
          <w:szCs w:val="20"/>
        </w:rPr>
        <w:t>consolidation</w:t>
      </w:r>
      <w:r w:rsidRPr="00152D05">
        <w:rPr>
          <w:rFonts w:ascii="Georgia" w:hAnsi="Georgia"/>
          <w:color w:val="404040" w:themeColor="text1" w:themeTint="BF"/>
          <w:sz w:val="20"/>
          <w:szCs w:val="20"/>
        </w:rPr>
        <w:t xml:space="preserve"> </w:t>
      </w:r>
      <w:r w:rsidR="0009491D" w:rsidRPr="00152D05">
        <w:rPr>
          <w:rFonts w:ascii="Georgia" w:hAnsi="Georgia"/>
          <w:color w:val="404040" w:themeColor="text1" w:themeTint="BF"/>
          <w:sz w:val="20"/>
          <w:szCs w:val="20"/>
        </w:rPr>
        <w:t>amendments</w:t>
      </w:r>
      <w:r w:rsidR="00926F3C">
        <w:rPr>
          <w:rFonts w:ascii="Georgia" w:hAnsi="Georgia"/>
          <w:color w:val="404040" w:themeColor="text1" w:themeTint="BF"/>
          <w:sz w:val="20"/>
          <w:szCs w:val="20"/>
        </w:rPr>
        <w:t>,</w:t>
      </w:r>
      <w:r w:rsidR="0009491D" w:rsidRPr="00152D05">
        <w:rPr>
          <w:rFonts w:ascii="Georgia" w:hAnsi="Georgia"/>
          <w:color w:val="404040" w:themeColor="text1" w:themeTint="BF"/>
          <w:sz w:val="20"/>
          <w:szCs w:val="20"/>
        </w:rPr>
        <w:t xml:space="preserve"> the Board considered the investment entity status of BSIFIL and concluded that it is, like the Company, an investment entity.  As such the Company is </w:t>
      </w:r>
      <w:r>
        <w:rPr>
          <w:rFonts w:ascii="Georgia" w:hAnsi="Georgia"/>
          <w:color w:val="404040" w:themeColor="text1" w:themeTint="BF"/>
          <w:sz w:val="20"/>
          <w:szCs w:val="20"/>
        </w:rPr>
        <w:t>not</w:t>
      </w:r>
      <w:r w:rsidR="0009491D" w:rsidRPr="00152D05">
        <w:rPr>
          <w:rFonts w:ascii="Georgia" w:hAnsi="Georgia"/>
          <w:color w:val="404040" w:themeColor="text1" w:themeTint="BF"/>
          <w:sz w:val="20"/>
          <w:szCs w:val="20"/>
        </w:rPr>
        <w:t xml:space="preserve"> permitted to consolidate BSIFIL in the preparation of its financial statements</w:t>
      </w:r>
      <w:r>
        <w:rPr>
          <w:rFonts w:ascii="Georgia" w:hAnsi="Georgia"/>
          <w:color w:val="404040" w:themeColor="text1" w:themeTint="BF"/>
          <w:sz w:val="20"/>
          <w:szCs w:val="20"/>
        </w:rPr>
        <w:t xml:space="preserve"> and a</w:t>
      </w:r>
      <w:r w:rsidR="0009491D" w:rsidRPr="00152D05">
        <w:rPr>
          <w:rFonts w:ascii="Georgia" w:hAnsi="Georgia"/>
          <w:color w:val="404040" w:themeColor="text1" w:themeTint="BF"/>
          <w:sz w:val="20"/>
          <w:szCs w:val="20"/>
        </w:rPr>
        <w:t>ll subsidiaries are recognised at fair value through profit</w:t>
      </w:r>
      <w:r w:rsidR="0009491D">
        <w:rPr>
          <w:rFonts w:ascii="Georgia" w:hAnsi="Georgia"/>
          <w:color w:val="404040" w:themeColor="text1" w:themeTint="BF"/>
          <w:sz w:val="20"/>
          <w:szCs w:val="20"/>
        </w:rPr>
        <w:t xml:space="preserve"> or</w:t>
      </w:r>
      <w:r w:rsidR="0009491D" w:rsidRPr="00152D05">
        <w:rPr>
          <w:rFonts w:ascii="Georgia" w:hAnsi="Georgia"/>
          <w:color w:val="404040" w:themeColor="text1" w:themeTint="BF"/>
          <w:sz w:val="20"/>
          <w:szCs w:val="20"/>
        </w:rPr>
        <w:t xml:space="preserve"> loss</w:t>
      </w:r>
      <w:r>
        <w:rPr>
          <w:rFonts w:ascii="Georgia" w:hAnsi="Georgia"/>
          <w:color w:val="404040" w:themeColor="text1" w:themeTint="BF"/>
          <w:sz w:val="20"/>
          <w:szCs w:val="20"/>
        </w:rPr>
        <w:t>.</w:t>
      </w:r>
    </w:p>
    <w:p w14:paraId="5A46E0EB" w14:textId="77777777" w:rsidR="00A9443F" w:rsidRDefault="00A9443F" w:rsidP="000F51FA">
      <w:pPr>
        <w:pStyle w:val="Notehead1"/>
      </w:pPr>
    </w:p>
    <w:p w14:paraId="3E6A4528" w14:textId="77777777" w:rsidR="000F51FA" w:rsidRDefault="000F51FA" w:rsidP="000F51FA">
      <w:pPr>
        <w:pStyle w:val="body"/>
        <w:rPr>
          <w:b/>
        </w:rPr>
      </w:pPr>
      <w:r>
        <w:rPr>
          <w:b/>
        </w:rPr>
        <w:t>d)</w:t>
      </w:r>
      <w:r w:rsidRPr="008F1C88">
        <w:rPr>
          <w:b/>
        </w:rPr>
        <w:t xml:space="preserve"> Functional and presentation currency</w:t>
      </w:r>
    </w:p>
    <w:p w14:paraId="0DEBDB5D" w14:textId="77777777" w:rsidR="00E42A95" w:rsidRDefault="00E42A95" w:rsidP="00E42A95">
      <w:pPr>
        <w:pStyle w:val="BluefieldBody"/>
      </w:pPr>
    </w:p>
    <w:p w14:paraId="2C4B2B5E" w14:textId="7FEB9023" w:rsidR="00E42A95" w:rsidRDefault="000F51FA" w:rsidP="00E42A95">
      <w:pPr>
        <w:pStyle w:val="BluefieldBody"/>
      </w:pPr>
      <w:r w:rsidRPr="00EC049B">
        <w:t xml:space="preserve">These financial statements are presented in </w:t>
      </w:r>
      <w:r w:rsidRPr="00A75959">
        <w:t>Sterling</w:t>
      </w:r>
      <w:r w:rsidRPr="00EC049B">
        <w:t xml:space="preserve">, which is the functional currency of the Company as well as the presentation currency. The </w:t>
      </w:r>
      <w:r w:rsidR="003B2C4A">
        <w:t>Company’s</w:t>
      </w:r>
      <w:r w:rsidRPr="00EC049B">
        <w:t xml:space="preserve"> funding, investments and transactions are all denominated in Sterling.</w:t>
      </w:r>
    </w:p>
    <w:p w14:paraId="5B03E673" w14:textId="77777777" w:rsidR="000F51FA" w:rsidRDefault="000F51FA" w:rsidP="000F51FA">
      <w:pPr>
        <w:pStyle w:val="body"/>
        <w:rPr>
          <w:b/>
          <w:bCs/>
          <w:kern w:val="16"/>
          <w:lang w:eastAsia="en-GB"/>
        </w:rPr>
      </w:pPr>
    </w:p>
    <w:p w14:paraId="3FACA5A4" w14:textId="77777777" w:rsidR="000F51FA" w:rsidRDefault="000F51FA" w:rsidP="000F51FA">
      <w:pPr>
        <w:pStyle w:val="body"/>
        <w:rPr>
          <w:b/>
          <w:bCs/>
          <w:kern w:val="16"/>
          <w:lang w:eastAsia="en-GB"/>
        </w:rPr>
      </w:pPr>
      <w:r>
        <w:rPr>
          <w:b/>
        </w:rPr>
        <w:t>e) I</w:t>
      </w:r>
      <w:r w:rsidRPr="00D44FC2">
        <w:rPr>
          <w:b/>
          <w:bCs/>
          <w:kern w:val="16"/>
          <w:lang w:eastAsia="en-GB"/>
        </w:rPr>
        <w:t xml:space="preserve">ncome </w:t>
      </w:r>
    </w:p>
    <w:p w14:paraId="5D5B5294" w14:textId="77777777" w:rsidR="00E42A95" w:rsidRDefault="00E42A95" w:rsidP="00E42A95">
      <w:pPr>
        <w:pStyle w:val="BluefieldBody"/>
        <w:rPr>
          <w:kern w:val="16"/>
          <w:lang w:eastAsia="en-GB"/>
        </w:rPr>
      </w:pPr>
    </w:p>
    <w:p w14:paraId="137BD4FB" w14:textId="4EA86B14" w:rsidR="00E42A95" w:rsidRDefault="003B2C4A" w:rsidP="00E42A95">
      <w:pPr>
        <w:pStyle w:val="BluefieldBody"/>
        <w:rPr>
          <w:lang w:eastAsia="en-GB"/>
        </w:rPr>
      </w:pPr>
      <w:r>
        <w:rPr>
          <w:lang w:eastAsia="en-GB"/>
        </w:rPr>
        <w:t>M</w:t>
      </w:r>
      <w:r w:rsidR="00FC0627">
        <w:rPr>
          <w:lang w:eastAsia="en-GB"/>
        </w:rPr>
        <w:t xml:space="preserve">onitoring fee </w:t>
      </w:r>
      <w:r w:rsidR="00086721">
        <w:rPr>
          <w:lang w:eastAsia="en-GB"/>
        </w:rPr>
        <w:t>income is recognised on an accruals basis.</w:t>
      </w:r>
    </w:p>
    <w:p w14:paraId="10A6532A" w14:textId="77777777" w:rsidR="00E42A95" w:rsidRDefault="00E42A95" w:rsidP="00E42A95">
      <w:pPr>
        <w:pStyle w:val="BluefieldBody"/>
        <w:rPr>
          <w:lang w:eastAsia="en-GB"/>
        </w:rPr>
      </w:pPr>
    </w:p>
    <w:p w14:paraId="57D12BA7" w14:textId="77777777" w:rsidR="00E42A95" w:rsidRDefault="000F51FA" w:rsidP="00E42A95">
      <w:pPr>
        <w:pStyle w:val="BluefieldBody"/>
        <w:rPr>
          <w:rFonts w:cs="Bembo"/>
          <w:lang w:eastAsia="en-GB"/>
        </w:rPr>
      </w:pPr>
      <w:r w:rsidRPr="00EC049B">
        <w:rPr>
          <w:lang w:eastAsia="en-GB"/>
        </w:rPr>
        <w:t xml:space="preserve">Interest income </w:t>
      </w:r>
      <w:r>
        <w:rPr>
          <w:lang w:eastAsia="en-GB"/>
        </w:rPr>
        <w:t xml:space="preserve">on cash and cash equivalents is </w:t>
      </w:r>
      <w:r w:rsidRPr="00EC049B">
        <w:rPr>
          <w:lang w:eastAsia="en-GB"/>
        </w:rPr>
        <w:t>recognised on an accruals basis using the effective interest rate method.</w:t>
      </w:r>
      <w:r>
        <w:rPr>
          <w:lang w:eastAsia="en-GB"/>
        </w:rPr>
        <w:t xml:space="preserve"> </w:t>
      </w:r>
    </w:p>
    <w:p w14:paraId="5F8E1D28" w14:textId="77777777" w:rsidR="00A9443F" w:rsidRPr="00EC049B" w:rsidRDefault="00A9443F" w:rsidP="000F51FA">
      <w:pPr>
        <w:pStyle w:val="body"/>
        <w:rPr>
          <w:lang w:eastAsia="en-GB"/>
        </w:rPr>
      </w:pPr>
    </w:p>
    <w:p w14:paraId="0CE5A6D9" w14:textId="77777777" w:rsidR="000F51FA" w:rsidRPr="00D44FC2" w:rsidRDefault="000F51FA" w:rsidP="000F51FA">
      <w:pPr>
        <w:pStyle w:val="body"/>
        <w:rPr>
          <w:b/>
          <w:kern w:val="16"/>
          <w:lang w:eastAsia="en-GB"/>
        </w:rPr>
      </w:pPr>
      <w:r>
        <w:rPr>
          <w:b/>
          <w:kern w:val="16"/>
          <w:lang w:eastAsia="en-GB"/>
        </w:rPr>
        <w:t>f)</w:t>
      </w:r>
      <w:r w:rsidRPr="00D44FC2">
        <w:rPr>
          <w:b/>
          <w:kern w:val="16"/>
          <w:lang w:eastAsia="en-GB"/>
        </w:rPr>
        <w:t xml:space="preserve"> </w:t>
      </w:r>
      <w:r w:rsidRPr="008F1C88">
        <w:rPr>
          <w:b/>
        </w:rPr>
        <w:t>Expenses</w:t>
      </w:r>
    </w:p>
    <w:p w14:paraId="613E984A" w14:textId="77777777" w:rsidR="00960B71" w:rsidRDefault="00960B71" w:rsidP="00960B71">
      <w:pPr>
        <w:pStyle w:val="BluefieldBody"/>
        <w:rPr>
          <w:lang w:eastAsia="en-GB"/>
        </w:rPr>
      </w:pPr>
    </w:p>
    <w:p w14:paraId="39653755" w14:textId="0D2C0C3A" w:rsidR="00E42A95" w:rsidRDefault="000F51FA" w:rsidP="00E42A95">
      <w:pPr>
        <w:pStyle w:val="BluefieldBody"/>
        <w:rPr>
          <w:lang w:eastAsia="en-GB"/>
        </w:rPr>
      </w:pPr>
      <w:r w:rsidRPr="00EC049B">
        <w:rPr>
          <w:lang w:eastAsia="en-GB"/>
        </w:rPr>
        <w:t xml:space="preserve">Operating expenses are the </w:t>
      </w:r>
      <w:r w:rsidR="003B2C4A">
        <w:rPr>
          <w:lang w:eastAsia="en-GB"/>
        </w:rPr>
        <w:t>Company</w:t>
      </w:r>
      <w:r w:rsidRPr="00EC049B">
        <w:rPr>
          <w:lang w:eastAsia="en-GB"/>
        </w:rPr>
        <w:t xml:space="preserve">’s costs incurred in connection with the ongoing administrative costs and management of the </w:t>
      </w:r>
      <w:r w:rsidR="003B2C4A">
        <w:rPr>
          <w:lang w:eastAsia="en-GB"/>
        </w:rPr>
        <w:t>Company’</w:t>
      </w:r>
      <w:r w:rsidRPr="00EC049B">
        <w:rPr>
          <w:lang w:eastAsia="en-GB"/>
        </w:rPr>
        <w:t xml:space="preserve">s investments.  Operating expenses are accounted for on an accruals basis. </w:t>
      </w:r>
    </w:p>
    <w:p w14:paraId="7B0899A8" w14:textId="77777777" w:rsidR="00E42A95" w:rsidRDefault="00E42A95" w:rsidP="00E42A95">
      <w:pPr>
        <w:pStyle w:val="BluefieldBody"/>
        <w:rPr>
          <w:b/>
          <w:kern w:val="16"/>
          <w:lang w:eastAsia="en-GB"/>
        </w:rPr>
      </w:pPr>
    </w:p>
    <w:p w14:paraId="077109B1" w14:textId="77777777" w:rsidR="000F51FA" w:rsidRDefault="000F51FA" w:rsidP="000F51FA">
      <w:pPr>
        <w:pStyle w:val="body"/>
        <w:rPr>
          <w:b/>
        </w:rPr>
      </w:pPr>
      <w:r>
        <w:rPr>
          <w:b/>
        </w:rPr>
        <w:t>g) Finance costs</w:t>
      </w:r>
    </w:p>
    <w:p w14:paraId="168D7B08" w14:textId="77777777" w:rsidR="00960B71" w:rsidRDefault="00960B71">
      <w:pPr>
        <w:pStyle w:val="BluefieldBody"/>
      </w:pPr>
    </w:p>
    <w:p w14:paraId="4CB5B06E" w14:textId="7FBA7AE0" w:rsidR="00E42A95" w:rsidRDefault="00693EB1" w:rsidP="00E42A95">
      <w:pPr>
        <w:pStyle w:val="BluefieldBody"/>
      </w:pPr>
      <w:r>
        <w:t>Finance</w:t>
      </w:r>
      <w:r w:rsidR="00AE703F">
        <w:t xml:space="preserve"> costs are recognised in the S</w:t>
      </w:r>
      <w:r w:rsidR="000F51FA" w:rsidRPr="008879B8">
        <w:t>tatement</w:t>
      </w:r>
      <w:r w:rsidR="00AE703F">
        <w:t xml:space="preserve"> of C</w:t>
      </w:r>
      <w:r w:rsidR="000F51FA" w:rsidRPr="00EC049B">
        <w:t xml:space="preserve">omprehensive </w:t>
      </w:r>
      <w:r w:rsidR="00AE703F">
        <w:t>I</w:t>
      </w:r>
      <w:r w:rsidR="000F51FA" w:rsidRPr="00EC049B">
        <w:t>ncome</w:t>
      </w:r>
      <w:r w:rsidR="000F51FA">
        <w:t xml:space="preserve"> in the period to which they relate on an accruals basis</w:t>
      </w:r>
      <w:r w:rsidR="0087279A">
        <w:t xml:space="preserve"> using </w:t>
      </w:r>
      <w:r w:rsidR="00E909AD">
        <w:t>the</w:t>
      </w:r>
      <w:r w:rsidR="0087279A">
        <w:t xml:space="preserve"> effective interest rate method</w:t>
      </w:r>
      <w:r w:rsidR="000F51FA">
        <w:t>.</w:t>
      </w:r>
      <w:r w:rsidR="00EF79C2">
        <w:t xml:space="preserve">  Arrangement fees for finance facilities are amortised over the expected life of the facility.</w:t>
      </w:r>
    </w:p>
    <w:p w14:paraId="713E5396" w14:textId="77777777" w:rsidR="000F51FA" w:rsidRDefault="000F51FA" w:rsidP="000F51FA">
      <w:pPr>
        <w:pStyle w:val="body"/>
        <w:rPr>
          <w:b/>
        </w:rPr>
      </w:pPr>
    </w:p>
    <w:p w14:paraId="7F198358" w14:textId="77777777" w:rsidR="000F51FA" w:rsidRPr="00D44FC2" w:rsidRDefault="000F51FA" w:rsidP="000F51FA">
      <w:pPr>
        <w:pStyle w:val="body"/>
        <w:rPr>
          <w:b/>
          <w:kern w:val="16"/>
          <w:lang w:eastAsia="en-GB"/>
        </w:rPr>
      </w:pPr>
      <w:r>
        <w:rPr>
          <w:b/>
        </w:rPr>
        <w:t xml:space="preserve">h) </w:t>
      </w:r>
      <w:r w:rsidRPr="008F1C88">
        <w:rPr>
          <w:b/>
        </w:rPr>
        <w:t>Dividends</w:t>
      </w:r>
    </w:p>
    <w:p w14:paraId="10D0CFDE" w14:textId="77777777" w:rsidR="00960B71" w:rsidRDefault="00960B71">
      <w:pPr>
        <w:pStyle w:val="BluefieldBody"/>
        <w:rPr>
          <w:lang w:eastAsia="en-GB"/>
        </w:rPr>
      </w:pPr>
    </w:p>
    <w:p w14:paraId="55BD2A1A" w14:textId="13821D4B" w:rsidR="00A21674" w:rsidRDefault="00377A1D" w:rsidP="00E42A95">
      <w:pPr>
        <w:pStyle w:val="BluefieldBody"/>
        <w:rPr>
          <w:lang w:eastAsia="en-GB"/>
        </w:rPr>
      </w:pPr>
      <w:r>
        <w:rPr>
          <w:lang w:eastAsia="en-GB"/>
        </w:rPr>
        <w:t xml:space="preserve">Dividends declared and approved are charged against equity.  A corresponding liability is recognised for any unpaid dividends prior to </w:t>
      </w:r>
      <w:proofErr w:type="spellStart"/>
      <w:r>
        <w:rPr>
          <w:lang w:eastAsia="en-GB"/>
        </w:rPr>
        <w:t>year end</w:t>
      </w:r>
      <w:proofErr w:type="spellEnd"/>
      <w:r>
        <w:rPr>
          <w:lang w:eastAsia="en-GB"/>
        </w:rPr>
        <w:t xml:space="preserve">.  </w:t>
      </w:r>
      <w:r w:rsidR="000F51FA" w:rsidRPr="00446556">
        <w:rPr>
          <w:lang w:eastAsia="en-GB"/>
        </w:rPr>
        <w:t xml:space="preserve">Dividends </w:t>
      </w:r>
      <w:r>
        <w:rPr>
          <w:lang w:eastAsia="en-GB"/>
        </w:rPr>
        <w:t>approved</w:t>
      </w:r>
      <w:r w:rsidR="000F51FA" w:rsidRPr="00446556">
        <w:rPr>
          <w:lang w:eastAsia="en-GB"/>
        </w:rPr>
        <w:t xml:space="preserve"> but not </w:t>
      </w:r>
      <w:r>
        <w:rPr>
          <w:lang w:eastAsia="en-GB"/>
        </w:rPr>
        <w:t>declared</w:t>
      </w:r>
      <w:r w:rsidR="000F51FA" w:rsidRPr="00446556">
        <w:rPr>
          <w:lang w:eastAsia="en-GB"/>
        </w:rPr>
        <w:t xml:space="preserve"> will be disclosed in the notes to the financial statements.</w:t>
      </w:r>
    </w:p>
    <w:p w14:paraId="01AA9141" w14:textId="47F148CB" w:rsidR="007D7B8C" w:rsidRDefault="007D7B8C" w:rsidP="00E42A95">
      <w:pPr>
        <w:pStyle w:val="BluefieldBody"/>
        <w:rPr>
          <w:lang w:eastAsia="en-GB"/>
        </w:rPr>
      </w:pPr>
    </w:p>
    <w:p w14:paraId="0E827FA5" w14:textId="77E3B960" w:rsidR="00A9443F" w:rsidRDefault="00A9443F" w:rsidP="00E42A95">
      <w:pPr>
        <w:pStyle w:val="BluefieldBody"/>
        <w:rPr>
          <w:lang w:eastAsia="en-GB"/>
        </w:rPr>
      </w:pPr>
    </w:p>
    <w:p w14:paraId="764B9AEC" w14:textId="4E74CF28" w:rsidR="00A9443F" w:rsidRDefault="00A9443F" w:rsidP="00E42A95">
      <w:pPr>
        <w:pStyle w:val="BluefieldBody"/>
        <w:rPr>
          <w:lang w:eastAsia="en-GB"/>
        </w:rPr>
      </w:pPr>
    </w:p>
    <w:p w14:paraId="723C20F2" w14:textId="294E7CDE" w:rsidR="00A9443F" w:rsidRDefault="00A9443F" w:rsidP="00E42A95">
      <w:pPr>
        <w:pStyle w:val="BluefieldBody"/>
        <w:rPr>
          <w:lang w:eastAsia="en-GB"/>
        </w:rPr>
      </w:pPr>
    </w:p>
    <w:p w14:paraId="43191941" w14:textId="68826E6A" w:rsidR="00A9443F" w:rsidRDefault="00A9443F" w:rsidP="00E42A95">
      <w:pPr>
        <w:pStyle w:val="BluefieldBody"/>
        <w:rPr>
          <w:lang w:eastAsia="en-GB"/>
        </w:rPr>
      </w:pPr>
    </w:p>
    <w:p w14:paraId="6ED2CDFE" w14:textId="3EEA7F45" w:rsidR="00A9443F" w:rsidRDefault="00A9443F" w:rsidP="00E42A95">
      <w:pPr>
        <w:pStyle w:val="BluefieldBody"/>
        <w:rPr>
          <w:lang w:eastAsia="en-GB"/>
        </w:rPr>
      </w:pPr>
    </w:p>
    <w:p w14:paraId="45214239" w14:textId="77777777" w:rsidR="005F0A6C" w:rsidRDefault="005F0A6C" w:rsidP="00E42A95">
      <w:pPr>
        <w:pStyle w:val="BluefieldBody"/>
        <w:rPr>
          <w:lang w:eastAsia="en-GB"/>
        </w:rPr>
      </w:pPr>
    </w:p>
    <w:p w14:paraId="47F501F3" w14:textId="01C4499F" w:rsidR="00A9443F" w:rsidRDefault="00A9443F" w:rsidP="00E42A95">
      <w:pPr>
        <w:pStyle w:val="BluefieldBody"/>
        <w:rPr>
          <w:lang w:eastAsia="en-GB"/>
        </w:rPr>
      </w:pPr>
    </w:p>
    <w:p w14:paraId="62490CFC" w14:textId="11BDC328" w:rsidR="00A9443F" w:rsidRDefault="00A9443F" w:rsidP="00E42A95">
      <w:pPr>
        <w:pStyle w:val="BluefieldBody"/>
        <w:rPr>
          <w:lang w:eastAsia="en-GB"/>
        </w:rPr>
      </w:pPr>
    </w:p>
    <w:p w14:paraId="37F4990B" w14:textId="7961961C" w:rsidR="00A9443F" w:rsidRDefault="00A9443F" w:rsidP="00E42A95">
      <w:pPr>
        <w:pStyle w:val="BluefieldBody"/>
        <w:rPr>
          <w:lang w:eastAsia="en-GB"/>
        </w:rPr>
      </w:pPr>
    </w:p>
    <w:p w14:paraId="2FC8B792" w14:textId="3EA08453" w:rsidR="00A9443F" w:rsidRDefault="00A9443F" w:rsidP="00E42A95">
      <w:pPr>
        <w:pStyle w:val="BluefieldBody"/>
        <w:rPr>
          <w:lang w:eastAsia="en-GB"/>
        </w:rPr>
      </w:pPr>
    </w:p>
    <w:p w14:paraId="24CCA809" w14:textId="115BB9AE" w:rsidR="00A9443F" w:rsidRDefault="00A9443F" w:rsidP="00E42A95">
      <w:pPr>
        <w:pStyle w:val="BluefieldBody"/>
        <w:rPr>
          <w:lang w:eastAsia="en-GB"/>
        </w:rPr>
      </w:pPr>
    </w:p>
    <w:p w14:paraId="63A57036" w14:textId="6E43BA3D" w:rsidR="00A9443F" w:rsidRDefault="00A9443F" w:rsidP="00E42A95">
      <w:pPr>
        <w:pStyle w:val="BluefieldBody"/>
        <w:rPr>
          <w:lang w:eastAsia="en-GB"/>
        </w:rPr>
      </w:pPr>
    </w:p>
    <w:p w14:paraId="374CA68E" w14:textId="480AF77C" w:rsidR="00A9443F" w:rsidRDefault="00A9443F" w:rsidP="00E42A95">
      <w:pPr>
        <w:pStyle w:val="BluefieldBody"/>
        <w:rPr>
          <w:lang w:eastAsia="en-GB"/>
        </w:rPr>
      </w:pPr>
    </w:p>
    <w:p w14:paraId="67C51CD9" w14:textId="77777777" w:rsidR="00A9443F" w:rsidRDefault="00A9443F" w:rsidP="00E42A95">
      <w:pPr>
        <w:pStyle w:val="BluefieldBody"/>
        <w:rPr>
          <w:lang w:eastAsia="en-GB"/>
        </w:rPr>
      </w:pPr>
    </w:p>
    <w:p w14:paraId="7F715ED6" w14:textId="77777777" w:rsidR="00A031FE" w:rsidRPr="00384BCB" w:rsidRDefault="00A031FE" w:rsidP="00A031FE">
      <w:pPr>
        <w:pStyle w:val="Notehead1"/>
      </w:pPr>
      <w:r w:rsidRPr="00E42A95">
        <w:lastRenderedPageBreak/>
        <w:t>2. Accounting policies (continued)</w:t>
      </w:r>
    </w:p>
    <w:p w14:paraId="3B503B64" w14:textId="77777777" w:rsidR="00A031FE" w:rsidRPr="00960B71" w:rsidRDefault="00A031FE" w:rsidP="00A031FE">
      <w:pPr>
        <w:pStyle w:val="body"/>
        <w:rPr>
          <w:b/>
          <w:bCs/>
          <w:kern w:val="16"/>
          <w:sz w:val="18"/>
          <w:lang w:eastAsia="en-GB"/>
        </w:rPr>
      </w:pPr>
    </w:p>
    <w:p w14:paraId="10034AB7" w14:textId="2269E58A" w:rsidR="00A031FE" w:rsidRDefault="00A031FE" w:rsidP="00A031FE">
      <w:pPr>
        <w:pStyle w:val="body"/>
        <w:rPr>
          <w:b/>
        </w:rPr>
      </w:pPr>
      <w:proofErr w:type="spellStart"/>
      <w:r>
        <w:rPr>
          <w:b/>
          <w:bCs/>
          <w:kern w:val="16"/>
          <w:lang w:eastAsia="en-GB"/>
        </w:rPr>
        <w:t>i</w:t>
      </w:r>
      <w:proofErr w:type="spellEnd"/>
      <w:r>
        <w:rPr>
          <w:b/>
          <w:bCs/>
          <w:kern w:val="16"/>
          <w:lang w:eastAsia="en-GB"/>
        </w:rPr>
        <w:t>)</w:t>
      </w:r>
      <w:r w:rsidRPr="00D44FC2">
        <w:rPr>
          <w:b/>
          <w:bCs/>
          <w:kern w:val="16"/>
          <w:lang w:eastAsia="en-GB"/>
        </w:rPr>
        <w:t xml:space="preserve"> Segmental </w:t>
      </w:r>
      <w:r w:rsidRPr="008F1C88">
        <w:rPr>
          <w:b/>
        </w:rPr>
        <w:t>reporting</w:t>
      </w:r>
      <w:r>
        <w:rPr>
          <w:b/>
        </w:rPr>
        <w:t xml:space="preserve"> </w:t>
      </w:r>
    </w:p>
    <w:p w14:paraId="615FA808" w14:textId="77777777" w:rsidR="00A21674" w:rsidRDefault="00A21674" w:rsidP="00A21674">
      <w:pPr>
        <w:pStyle w:val="BluefieldBody"/>
      </w:pPr>
    </w:p>
    <w:p w14:paraId="78495E4D" w14:textId="41E09FCF" w:rsidR="00A21674" w:rsidRDefault="00A21674" w:rsidP="00A21674">
      <w:pPr>
        <w:pStyle w:val="BluefieldBody"/>
      </w:pPr>
      <w:r w:rsidRPr="00BA6EA0">
        <w:t xml:space="preserve">IFRS 8 ‘Operating Segments’ requires a ‘management approach’, under which segment information is presented on the same basis as that </w:t>
      </w:r>
      <w:r w:rsidRPr="00393793">
        <w:t>used for internal reporting purposes.</w:t>
      </w:r>
    </w:p>
    <w:p w14:paraId="1D8DF195" w14:textId="77777777" w:rsidR="00A031FE" w:rsidRDefault="00A031FE" w:rsidP="00E42A95">
      <w:pPr>
        <w:pStyle w:val="BluefieldBody"/>
      </w:pPr>
    </w:p>
    <w:p w14:paraId="0E797478" w14:textId="6A3F2267" w:rsidR="00926F3C" w:rsidRDefault="000F51FA" w:rsidP="00A031FE">
      <w:pPr>
        <w:pStyle w:val="BluefieldBody"/>
      </w:pPr>
      <w:r w:rsidRPr="00393793">
        <w:t xml:space="preserve">The Board has considered the requirements of IFRS 8 ‘Operating Segments’, and is of the view that the </w:t>
      </w:r>
      <w:r w:rsidR="003B2C4A">
        <w:t>Company</w:t>
      </w:r>
      <w:r w:rsidRPr="00393793">
        <w:t xml:space="preserve"> is engaged in a single segment of business, being investment in UK solar energy infrastructure assets via </w:t>
      </w:r>
      <w:r w:rsidR="003B2C4A">
        <w:t xml:space="preserve">its holding company and </w:t>
      </w:r>
      <w:r w:rsidR="005F0A6C">
        <w:t xml:space="preserve">SPVs, </w:t>
      </w:r>
      <w:r w:rsidR="003B2C4A">
        <w:t>and therefore the Company</w:t>
      </w:r>
      <w:r w:rsidRPr="00393793">
        <w:t xml:space="preserve"> has only a single operating segment. </w:t>
      </w:r>
    </w:p>
    <w:p w14:paraId="175C9E4E" w14:textId="77777777" w:rsidR="00E42A95" w:rsidRDefault="00E42A95" w:rsidP="00E42A95">
      <w:pPr>
        <w:pStyle w:val="BluefieldBody"/>
      </w:pPr>
    </w:p>
    <w:p w14:paraId="5731E708" w14:textId="3FB6266D" w:rsidR="00E42A95" w:rsidRDefault="000F51FA" w:rsidP="00E42A95">
      <w:pPr>
        <w:pStyle w:val="BluefieldBody"/>
      </w:pPr>
      <w:r w:rsidRPr="00393793">
        <w:t xml:space="preserve">The Board, as a whole, has been determined as constituting the chief operating decision maker of the </w:t>
      </w:r>
      <w:r w:rsidR="003B2C4A">
        <w:t>Company</w:t>
      </w:r>
      <w:r w:rsidRPr="00393793">
        <w:t xml:space="preserve">. The key measure of performance used by the Board to assess the </w:t>
      </w:r>
      <w:r w:rsidR="003B2C4A">
        <w:t>Company</w:t>
      </w:r>
      <w:r w:rsidRPr="00393793">
        <w:t xml:space="preserve">’s performance and to allocate resources is the total return on the </w:t>
      </w:r>
      <w:r w:rsidR="003B2C4A">
        <w:t>Company</w:t>
      </w:r>
      <w:r w:rsidRPr="00393793">
        <w:t xml:space="preserve">’s </w:t>
      </w:r>
      <w:r w:rsidRPr="009D6017">
        <w:t>NAV</w:t>
      </w:r>
      <w:r w:rsidRPr="00393793">
        <w:t>, as calculated under IFRS, and therefore no reconciliation is required between the measure of profit or loss used by the Board and that contained in these financial statements.</w:t>
      </w:r>
    </w:p>
    <w:p w14:paraId="30790FCC" w14:textId="77777777" w:rsidR="00E42A95" w:rsidRDefault="00E42A95" w:rsidP="00E42A95">
      <w:pPr>
        <w:pStyle w:val="BluefieldBody"/>
      </w:pPr>
    </w:p>
    <w:p w14:paraId="2F5FE28C" w14:textId="11DB6004" w:rsidR="00E42A95" w:rsidRPr="00BA6EA0" w:rsidRDefault="000F51FA" w:rsidP="00E42A95">
      <w:pPr>
        <w:pStyle w:val="BluefieldBody"/>
      </w:pPr>
      <w:r w:rsidRPr="00393793">
        <w:t xml:space="preserve">The Board has overall management and control of the </w:t>
      </w:r>
      <w:r w:rsidR="003B2C4A">
        <w:t>Company</w:t>
      </w:r>
      <w:r w:rsidRPr="00393793">
        <w:t xml:space="preserve"> and will always act in accordance with the investment policy and investment restrictions set out in the Company’s latest Prospectus</w:t>
      </w:r>
      <w:r w:rsidR="001D6904">
        <w:t>,</w:t>
      </w:r>
      <w:r w:rsidRPr="00393793">
        <w:t xml:space="preserve"> which cannot be radically c</w:t>
      </w:r>
      <w:r w:rsidR="005E56E1">
        <w:t>hanged without the approval of S</w:t>
      </w:r>
      <w:r w:rsidRPr="00393793">
        <w:t xml:space="preserve">hareholders. The Board has delegated the </w:t>
      </w:r>
      <w:r w:rsidR="001D6904">
        <w:t>day-to-day</w:t>
      </w:r>
      <w:r w:rsidRPr="00393793">
        <w:t xml:space="preserve"> implementation of the investment strategy to its Investment Adviser but retain</w:t>
      </w:r>
      <w:r>
        <w:t>s</w:t>
      </w:r>
      <w:r w:rsidRPr="00393793">
        <w:t xml:space="preserve"> responsibility to ensure that adequate resources of the </w:t>
      </w:r>
      <w:r w:rsidR="003B2C4A">
        <w:t>Company</w:t>
      </w:r>
      <w:r w:rsidRPr="00393793">
        <w:t xml:space="preserve"> are directed in accordance with their decisions. </w:t>
      </w:r>
      <w:r w:rsidR="003E5295">
        <w:t xml:space="preserve">Although the Board obtains advice from the Investment Adviser, it remains responsible for making final decisions </w:t>
      </w:r>
      <w:r w:rsidR="003E5295" w:rsidRPr="00BA6EA0">
        <w:t>in line with the Company’s policies and the Board’s legal responsibilities</w:t>
      </w:r>
      <w:r w:rsidRPr="00BA6EA0">
        <w:t xml:space="preserve">. </w:t>
      </w:r>
    </w:p>
    <w:p w14:paraId="0C82DBBF" w14:textId="77777777" w:rsidR="000F51FA" w:rsidRPr="00BA6EA0" w:rsidRDefault="000F51FA" w:rsidP="000F51FA">
      <w:pPr>
        <w:pStyle w:val="body"/>
        <w:rPr>
          <w:b/>
          <w:bCs/>
        </w:rPr>
      </w:pPr>
    </w:p>
    <w:p w14:paraId="368D01B1" w14:textId="62095FC0" w:rsidR="000F51FA" w:rsidRPr="00BA6EA0" w:rsidRDefault="00AE703F" w:rsidP="000F51FA">
      <w:pPr>
        <w:pStyle w:val="body"/>
        <w:rPr>
          <w:b/>
          <w:bCs/>
        </w:rPr>
      </w:pPr>
      <w:r w:rsidRPr="00BA6EA0">
        <w:rPr>
          <w:b/>
          <w:bCs/>
        </w:rPr>
        <w:t>j</w:t>
      </w:r>
      <w:r w:rsidR="000F51FA" w:rsidRPr="00BA6EA0">
        <w:rPr>
          <w:b/>
          <w:bCs/>
        </w:rPr>
        <w:t xml:space="preserve">) </w:t>
      </w:r>
      <w:r w:rsidR="000F51FA" w:rsidRPr="00BA6EA0">
        <w:rPr>
          <w:b/>
          <w:bCs/>
        </w:rPr>
        <w:tab/>
        <w:t xml:space="preserve">Financial instruments </w:t>
      </w:r>
    </w:p>
    <w:p w14:paraId="08268E02" w14:textId="77777777" w:rsidR="00684884" w:rsidRPr="00BA6EA0" w:rsidRDefault="00684884" w:rsidP="00684884">
      <w:pPr>
        <w:rPr>
          <w:rFonts w:ascii="Georgia" w:hAnsi="Georgia" w:cs="Calibri"/>
          <w:b/>
          <w:color w:val="404040" w:themeColor="text1" w:themeTint="BF"/>
          <w:sz w:val="20"/>
        </w:rPr>
      </w:pPr>
      <w:r w:rsidRPr="00BA6EA0">
        <w:rPr>
          <w:rFonts w:ascii="Georgia" w:hAnsi="Georgia" w:cs="Calibri"/>
          <w:b/>
          <w:color w:val="404040" w:themeColor="text1" w:themeTint="BF"/>
          <w:sz w:val="20"/>
        </w:rPr>
        <w:t>Classification and measurement of financial assets and financial liabilities</w:t>
      </w:r>
    </w:p>
    <w:p w14:paraId="2382E8F5" w14:textId="77777777" w:rsidR="002E211A" w:rsidRPr="00BA6EA0" w:rsidRDefault="002E211A" w:rsidP="00684884">
      <w:pPr>
        <w:rPr>
          <w:rFonts w:ascii="Georgia" w:hAnsi="Georgia" w:cs="Calibri"/>
          <w:color w:val="404040" w:themeColor="text1" w:themeTint="BF"/>
          <w:sz w:val="20"/>
        </w:rPr>
      </w:pPr>
    </w:p>
    <w:p w14:paraId="296DF88E" w14:textId="017D1CF3" w:rsidR="00684884" w:rsidRPr="00BA6EA0" w:rsidRDefault="00684884" w:rsidP="00933137">
      <w:pPr>
        <w:jc w:val="both"/>
        <w:rPr>
          <w:rFonts w:ascii="Georgia" w:hAnsi="Georgia" w:cs="Calibri"/>
          <w:color w:val="404040" w:themeColor="text1" w:themeTint="BF"/>
          <w:sz w:val="20"/>
        </w:rPr>
      </w:pPr>
      <w:r w:rsidRPr="00BA6EA0">
        <w:rPr>
          <w:rFonts w:ascii="Georgia" w:hAnsi="Georgia" w:cs="Calibri"/>
          <w:color w:val="404040" w:themeColor="text1" w:themeTint="BF"/>
          <w:sz w:val="20"/>
        </w:rPr>
        <w:t>Financial assets and financial liabilities are recognised in the Company’s Statement of Financial Position when the Company becomes a party to the contractua</w:t>
      </w:r>
      <w:r w:rsidR="00F37C50" w:rsidRPr="00BA6EA0">
        <w:rPr>
          <w:rFonts w:ascii="Georgia" w:hAnsi="Georgia" w:cs="Calibri"/>
          <w:color w:val="404040" w:themeColor="text1" w:themeTint="BF"/>
          <w:sz w:val="20"/>
        </w:rPr>
        <w:t xml:space="preserve">l provisions of the instrument. </w:t>
      </w:r>
    </w:p>
    <w:p w14:paraId="7CACF62D" w14:textId="040B2AED" w:rsidR="00684884" w:rsidRPr="00BA6EA0" w:rsidRDefault="00684884" w:rsidP="00684884">
      <w:pPr>
        <w:rPr>
          <w:rFonts w:ascii="Georgia" w:hAnsi="Georgia" w:cs="Calibri"/>
          <w:b/>
          <w:color w:val="404040" w:themeColor="text1" w:themeTint="BF"/>
          <w:sz w:val="20"/>
        </w:rPr>
      </w:pPr>
    </w:p>
    <w:p w14:paraId="5E02A294" w14:textId="77777777" w:rsidR="00AA3CAD" w:rsidRPr="00BA6EA0" w:rsidRDefault="00AA3CAD" w:rsidP="00AA3CAD">
      <w:pPr>
        <w:pStyle w:val="BluefieldItalicheading10pt"/>
        <w:rPr>
          <w:lang w:eastAsia="en-GB"/>
        </w:rPr>
      </w:pPr>
      <w:proofErr w:type="spellStart"/>
      <w:r w:rsidRPr="00BA6EA0">
        <w:rPr>
          <w:lang w:eastAsia="en-GB"/>
        </w:rPr>
        <w:t>i</w:t>
      </w:r>
      <w:proofErr w:type="spellEnd"/>
      <w:r w:rsidRPr="00BA6EA0">
        <w:rPr>
          <w:lang w:eastAsia="en-GB"/>
        </w:rPr>
        <w:t>)   Financial assets held at fair value through profit or loss</w:t>
      </w:r>
    </w:p>
    <w:p w14:paraId="2623F84F" w14:textId="77777777" w:rsidR="00AA3CAD" w:rsidRPr="00BA6EA0" w:rsidRDefault="00AA3CAD" w:rsidP="00AA3CAD">
      <w:pPr>
        <w:pStyle w:val="BluefieldBody"/>
        <w:rPr>
          <w:rFonts w:cs="Calibri"/>
          <w:i/>
          <w:lang w:eastAsia="en-GB"/>
        </w:rPr>
      </w:pPr>
      <w:r w:rsidRPr="00BA6EA0">
        <w:rPr>
          <w:rFonts w:cs="Calibri"/>
          <w:i/>
          <w:lang w:eastAsia="en-GB"/>
        </w:rPr>
        <w:t>Investments at fair value through profit or loss</w:t>
      </w:r>
    </w:p>
    <w:p w14:paraId="0EBF5F7F" w14:textId="77777777" w:rsidR="00AA3CAD" w:rsidRDefault="00AA3CAD" w:rsidP="00684884">
      <w:pPr>
        <w:rPr>
          <w:rFonts w:cs="Bembo-Italic"/>
          <w:iCs/>
          <w:color w:val="272627"/>
          <w:lang w:eastAsia="en-GB"/>
        </w:rPr>
      </w:pPr>
    </w:p>
    <w:p w14:paraId="33120D1C" w14:textId="77777777" w:rsidR="00AA3CAD" w:rsidRPr="00684884" w:rsidRDefault="00AA3CAD" w:rsidP="00AA3CAD">
      <w:pPr>
        <w:pStyle w:val="BluefieldBody"/>
        <w:rPr>
          <w:rFonts w:cs="Calibri"/>
          <w:b/>
          <w:i/>
          <w:lang w:eastAsia="en-GB"/>
        </w:rPr>
      </w:pPr>
      <w:r w:rsidRPr="00684884">
        <w:rPr>
          <w:rFonts w:cs="Calibri"/>
          <w:b/>
          <w:i/>
          <w:lang w:eastAsia="en-GB"/>
        </w:rPr>
        <w:t>Classification</w:t>
      </w:r>
    </w:p>
    <w:p w14:paraId="568DB6EC" w14:textId="77777777" w:rsidR="00AA3CAD" w:rsidRDefault="00AA3CAD" w:rsidP="00AA3CAD">
      <w:pPr>
        <w:pStyle w:val="BluefieldBody"/>
        <w:rPr>
          <w:rFonts w:cs="Calibri"/>
          <w:i/>
          <w:lang w:eastAsia="en-GB"/>
        </w:rPr>
      </w:pPr>
    </w:p>
    <w:p w14:paraId="15AF6E14" w14:textId="73BEEE64" w:rsidR="00AA3CAD" w:rsidRPr="00684884" w:rsidRDefault="00AA3CAD" w:rsidP="00AA3CAD">
      <w:pPr>
        <w:pStyle w:val="BluefieldBody"/>
        <w:rPr>
          <w:rFonts w:cs="Calibri"/>
          <w:lang w:eastAsia="en-GB"/>
        </w:rPr>
      </w:pPr>
      <w:r>
        <w:rPr>
          <w:rFonts w:cs="Calibri"/>
          <w:lang w:eastAsia="en-GB"/>
        </w:rPr>
        <w:t>The Company’s investment</w:t>
      </w:r>
      <w:r w:rsidRPr="00684884">
        <w:rPr>
          <w:rFonts w:cs="Calibri"/>
          <w:lang w:eastAsia="en-GB"/>
        </w:rPr>
        <w:t xml:space="preserve"> in </w:t>
      </w:r>
      <w:r>
        <w:rPr>
          <w:rFonts w:cs="Calibri"/>
          <w:lang w:eastAsia="en-GB"/>
        </w:rPr>
        <w:t>BSIFIL</w:t>
      </w:r>
      <w:r w:rsidRPr="00684884">
        <w:rPr>
          <w:rFonts w:cs="Calibri"/>
          <w:lang w:eastAsia="en-GB"/>
        </w:rPr>
        <w:t xml:space="preserve"> </w:t>
      </w:r>
      <w:r>
        <w:rPr>
          <w:rFonts w:cs="Calibri"/>
          <w:lang w:eastAsia="en-GB"/>
        </w:rPr>
        <w:t>is</w:t>
      </w:r>
      <w:r w:rsidRPr="00684884">
        <w:rPr>
          <w:rFonts w:cs="Calibri"/>
          <w:lang w:eastAsia="en-GB"/>
        </w:rPr>
        <w:t xml:space="preserve"> accounted for as</w:t>
      </w:r>
      <w:r>
        <w:rPr>
          <w:rFonts w:cs="Calibri"/>
          <w:lang w:eastAsia="en-GB"/>
        </w:rPr>
        <w:t xml:space="preserve"> a</w:t>
      </w:r>
      <w:r w:rsidRPr="00684884">
        <w:rPr>
          <w:rFonts w:cs="Calibri"/>
          <w:lang w:eastAsia="en-GB"/>
        </w:rPr>
        <w:t xml:space="preserve"> financial </w:t>
      </w:r>
      <w:r>
        <w:rPr>
          <w:rFonts w:cs="Calibri"/>
          <w:lang w:eastAsia="en-GB"/>
        </w:rPr>
        <w:t>asset</w:t>
      </w:r>
      <w:r w:rsidRPr="00684884">
        <w:rPr>
          <w:rFonts w:cs="Calibri"/>
          <w:lang w:eastAsia="en-GB"/>
        </w:rPr>
        <w:t xml:space="preserve"> rather than</w:t>
      </w:r>
      <w:r>
        <w:rPr>
          <w:rFonts w:cs="Calibri"/>
          <w:lang w:eastAsia="en-GB"/>
        </w:rPr>
        <w:t xml:space="preserve"> </w:t>
      </w:r>
      <w:r w:rsidRPr="00684884">
        <w:rPr>
          <w:rFonts w:cs="Calibri"/>
          <w:lang w:eastAsia="en-GB"/>
        </w:rPr>
        <w:t xml:space="preserve">consolidated as the Company </w:t>
      </w:r>
      <w:r>
        <w:rPr>
          <w:rFonts w:cs="Calibri"/>
          <w:lang w:eastAsia="en-GB"/>
        </w:rPr>
        <w:t>qualifies as an investment entity under IFRS 10</w:t>
      </w:r>
      <w:r w:rsidRPr="00684884">
        <w:rPr>
          <w:rFonts w:cs="Calibri"/>
          <w:lang w:eastAsia="en-GB"/>
        </w:rPr>
        <w:t xml:space="preserve">, </w:t>
      </w:r>
      <w:r>
        <w:rPr>
          <w:rFonts w:cs="Calibri"/>
          <w:lang w:eastAsia="en-GB"/>
        </w:rPr>
        <w:t>therefore</w:t>
      </w:r>
      <w:r w:rsidR="002D4087">
        <w:rPr>
          <w:rFonts w:cs="Calibri"/>
          <w:lang w:eastAsia="en-GB"/>
        </w:rPr>
        <w:t xml:space="preserve"> the Company’s investment</w:t>
      </w:r>
      <w:r>
        <w:rPr>
          <w:rFonts w:cs="Calibri"/>
          <w:lang w:eastAsia="en-GB"/>
        </w:rPr>
        <w:t xml:space="preserve"> is held at fair value through profit or loss in accordance with the requirements of IFRS 9.</w:t>
      </w:r>
      <w:r w:rsidRPr="00684884">
        <w:rPr>
          <w:rFonts w:cs="Calibri"/>
          <w:lang w:eastAsia="en-GB"/>
        </w:rPr>
        <w:t xml:space="preserve"> </w:t>
      </w:r>
    </w:p>
    <w:p w14:paraId="2437BCB0" w14:textId="77777777" w:rsidR="00AA3CAD" w:rsidRDefault="00AA3CAD" w:rsidP="00684884">
      <w:pPr>
        <w:rPr>
          <w:rFonts w:cs="Bembo-Italic"/>
          <w:iCs/>
          <w:color w:val="272627"/>
          <w:lang w:eastAsia="en-GB"/>
        </w:rPr>
      </w:pPr>
    </w:p>
    <w:p w14:paraId="7EC9C9D1" w14:textId="77777777" w:rsidR="00AA3CAD" w:rsidRPr="00684884" w:rsidRDefault="00AA3CAD" w:rsidP="00AA3CAD">
      <w:pPr>
        <w:pStyle w:val="BluefieldBody"/>
        <w:rPr>
          <w:rFonts w:cs="Calibri"/>
          <w:b/>
          <w:i/>
          <w:lang w:eastAsia="en-GB"/>
        </w:rPr>
      </w:pPr>
      <w:r w:rsidRPr="00684884">
        <w:rPr>
          <w:rFonts w:cs="Calibri"/>
          <w:b/>
          <w:i/>
          <w:lang w:eastAsia="en-GB"/>
        </w:rPr>
        <w:t>Recognition and de-recognition</w:t>
      </w:r>
    </w:p>
    <w:p w14:paraId="1E50631E" w14:textId="77777777" w:rsidR="00AA3CAD" w:rsidRDefault="00AA3CAD" w:rsidP="00AA3CAD">
      <w:pPr>
        <w:pStyle w:val="BluefieldBody"/>
        <w:rPr>
          <w:rFonts w:cs="Calibri"/>
          <w:lang w:eastAsia="en-GB"/>
        </w:rPr>
      </w:pPr>
    </w:p>
    <w:p w14:paraId="05E0612A" w14:textId="49FCBC33" w:rsidR="00AA3CAD" w:rsidRPr="00684884" w:rsidRDefault="00AA3CAD" w:rsidP="00933137">
      <w:pPr>
        <w:pStyle w:val="BluefieldBody"/>
        <w:rPr>
          <w:rFonts w:cs="Calibri"/>
          <w:lang w:eastAsia="en-GB"/>
        </w:rPr>
      </w:pPr>
      <w:r w:rsidRPr="00684884">
        <w:rPr>
          <w:rFonts w:cs="Calibri"/>
          <w:lang w:eastAsia="en-GB"/>
        </w:rPr>
        <w:t>Purchases and sales of investments are recognised on the trade date – the date on which the Company</w:t>
      </w:r>
      <w:r w:rsidR="00933137">
        <w:rPr>
          <w:rFonts w:cs="Calibri"/>
          <w:lang w:eastAsia="en-GB"/>
        </w:rPr>
        <w:t xml:space="preserve"> </w:t>
      </w:r>
      <w:r w:rsidRPr="00684884">
        <w:rPr>
          <w:rFonts w:cs="Calibri"/>
          <w:lang w:eastAsia="en-GB"/>
        </w:rPr>
        <w:t>commits to purchase or sell the investment.</w:t>
      </w:r>
      <w:r>
        <w:rPr>
          <w:rFonts w:cs="Calibri"/>
          <w:lang w:eastAsia="en-GB"/>
        </w:rPr>
        <w:t xml:space="preserve"> </w:t>
      </w:r>
      <w:r w:rsidRPr="00684884">
        <w:rPr>
          <w:rFonts w:cs="Calibri"/>
          <w:lang w:eastAsia="en-GB"/>
        </w:rPr>
        <w:t>A financial asset is de-recognised either when the Company has transferred all the risks and rewards of</w:t>
      </w:r>
      <w:r>
        <w:rPr>
          <w:rFonts w:cs="Calibri"/>
          <w:lang w:eastAsia="en-GB"/>
        </w:rPr>
        <w:t xml:space="preserve"> </w:t>
      </w:r>
      <w:r w:rsidRPr="00684884">
        <w:rPr>
          <w:rFonts w:cs="Calibri"/>
          <w:lang w:eastAsia="en-GB"/>
        </w:rPr>
        <w:t xml:space="preserve">ownership; </w:t>
      </w:r>
      <w:r w:rsidR="007D7B8C">
        <w:rPr>
          <w:rFonts w:cs="Calibri"/>
          <w:lang w:eastAsia="en-GB"/>
        </w:rPr>
        <w:t xml:space="preserve">or </w:t>
      </w:r>
      <w:r w:rsidRPr="00684884">
        <w:rPr>
          <w:rFonts w:cs="Calibri"/>
          <w:lang w:eastAsia="en-GB"/>
        </w:rPr>
        <w:t>it has neither transferred nor retained substantially all the risks and rewards and when it no</w:t>
      </w:r>
      <w:r>
        <w:rPr>
          <w:rFonts w:cs="Calibri"/>
          <w:lang w:eastAsia="en-GB"/>
        </w:rPr>
        <w:t xml:space="preserve"> </w:t>
      </w:r>
      <w:r w:rsidRPr="00684884">
        <w:rPr>
          <w:rFonts w:cs="Calibri"/>
          <w:lang w:eastAsia="en-GB"/>
        </w:rPr>
        <w:t>longer has control over the assets or a portion of the asset; or the contractual right to receive cash flow</w:t>
      </w:r>
      <w:r>
        <w:rPr>
          <w:rFonts w:cs="Calibri"/>
          <w:lang w:eastAsia="en-GB"/>
        </w:rPr>
        <w:t xml:space="preserve"> </w:t>
      </w:r>
      <w:r w:rsidRPr="00684884">
        <w:rPr>
          <w:rFonts w:cs="Calibri"/>
          <w:lang w:eastAsia="en-GB"/>
        </w:rPr>
        <w:t>has expired.</w:t>
      </w:r>
    </w:p>
    <w:p w14:paraId="0BFC4195" w14:textId="2A065474" w:rsidR="00AA3CAD" w:rsidRDefault="00AA3CAD" w:rsidP="00AA3CAD">
      <w:pPr>
        <w:pStyle w:val="BluefieldBody"/>
        <w:rPr>
          <w:rFonts w:cs="Calibri"/>
          <w:i/>
          <w:lang w:eastAsia="en-GB"/>
        </w:rPr>
      </w:pPr>
    </w:p>
    <w:p w14:paraId="4FE2B018" w14:textId="77777777" w:rsidR="002D4087" w:rsidRPr="00684884" w:rsidRDefault="002D4087" w:rsidP="00AA3CAD">
      <w:pPr>
        <w:pStyle w:val="BluefieldBody"/>
        <w:rPr>
          <w:rFonts w:cs="Calibri"/>
          <w:i/>
          <w:lang w:eastAsia="en-GB"/>
        </w:rPr>
      </w:pPr>
    </w:p>
    <w:p w14:paraId="4DB182F4" w14:textId="3B25F929" w:rsidR="00AA3CAD" w:rsidRDefault="00AA3CAD" w:rsidP="00AA3CAD">
      <w:pPr>
        <w:pStyle w:val="BluefieldBody"/>
        <w:rPr>
          <w:rFonts w:cs="Calibri"/>
          <w:b/>
          <w:i/>
          <w:lang w:eastAsia="en-GB"/>
        </w:rPr>
      </w:pPr>
    </w:p>
    <w:p w14:paraId="3AD46520" w14:textId="40A5E5A3" w:rsidR="00F37C50" w:rsidRDefault="00F37C50" w:rsidP="00AA3CAD">
      <w:pPr>
        <w:pStyle w:val="BluefieldBody"/>
        <w:rPr>
          <w:rFonts w:cs="Calibri"/>
          <w:b/>
          <w:i/>
          <w:lang w:eastAsia="en-GB"/>
        </w:rPr>
      </w:pPr>
    </w:p>
    <w:p w14:paraId="37678791" w14:textId="77777777" w:rsidR="0063504F" w:rsidRDefault="0063504F" w:rsidP="00AA3CAD">
      <w:pPr>
        <w:pStyle w:val="BluefieldBody"/>
        <w:rPr>
          <w:rFonts w:cs="Calibri"/>
          <w:b/>
          <w:i/>
          <w:lang w:eastAsia="en-GB"/>
        </w:rPr>
      </w:pPr>
    </w:p>
    <w:p w14:paraId="319DA95D" w14:textId="77777777" w:rsidR="005F0A6C" w:rsidRDefault="005F0A6C" w:rsidP="00AA3CAD">
      <w:pPr>
        <w:pStyle w:val="BluefieldBody"/>
        <w:rPr>
          <w:rFonts w:cs="Calibri"/>
          <w:b/>
          <w:i/>
          <w:lang w:eastAsia="en-GB"/>
        </w:rPr>
      </w:pPr>
    </w:p>
    <w:p w14:paraId="0C2CCCA0" w14:textId="5BB1CF1A" w:rsidR="00933137" w:rsidRDefault="00933137" w:rsidP="00AA3CAD">
      <w:pPr>
        <w:pStyle w:val="BluefieldBody"/>
        <w:rPr>
          <w:rFonts w:cs="Calibri"/>
          <w:b/>
          <w:i/>
          <w:lang w:eastAsia="en-GB"/>
        </w:rPr>
      </w:pPr>
    </w:p>
    <w:p w14:paraId="6FCB0422" w14:textId="787000FB" w:rsidR="005F0A6C" w:rsidRPr="00684884" w:rsidRDefault="005F0A6C" w:rsidP="00AA3CAD">
      <w:pPr>
        <w:pStyle w:val="BluefieldBody"/>
        <w:rPr>
          <w:rFonts w:cs="Calibri"/>
          <w:b/>
          <w:i/>
          <w:lang w:eastAsia="en-GB"/>
        </w:rPr>
      </w:pPr>
    </w:p>
    <w:p w14:paraId="7877D590" w14:textId="77777777" w:rsidR="002E211A" w:rsidRDefault="002E211A" w:rsidP="002E211A">
      <w:pPr>
        <w:pStyle w:val="Notehead1"/>
      </w:pPr>
    </w:p>
    <w:p w14:paraId="1B14B4D0" w14:textId="5354D4E2" w:rsidR="002E211A" w:rsidRPr="00384BCB" w:rsidRDefault="002E211A" w:rsidP="002E211A">
      <w:pPr>
        <w:pStyle w:val="Notehead1"/>
      </w:pPr>
      <w:r w:rsidRPr="00E42A95">
        <w:lastRenderedPageBreak/>
        <w:t>2. Accounting policies (continued)</w:t>
      </w:r>
    </w:p>
    <w:p w14:paraId="04693F5F" w14:textId="77777777" w:rsidR="002E211A" w:rsidRPr="00384BCB" w:rsidRDefault="002E211A" w:rsidP="002E211A">
      <w:pPr>
        <w:pStyle w:val="body"/>
      </w:pPr>
    </w:p>
    <w:p w14:paraId="54B0CEA4" w14:textId="77777777" w:rsidR="002E211A" w:rsidRPr="00384BCB" w:rsidRDefault="002E211A" w:rsidP="002E211A">
      <w:pPr>
        <w:pStyle w:val="body"/>
        <w:rPr>
          <w:i/>
        </w:rPr>
      </w:pPr>
      <w:r>
        <w:rPr>
          <w:b/>
          <w:bCs/>
        </w:rPr>
        <w:t>j</w:t>
      </w:r>
      <w:r w:rsidRPr="00E42A95">
        <w:rPr>
          <w:b/>
          <w:bCs/>
        </w:rPr>
        <w:t xml:space="preserve">) </w:t>
      </w:r>
      <w:r w:rsidRPr="00E42A95">
        <w:rPr>
          <w:b/>
          <w:bCs/>
        </w:rPr>
        <w:tab/>
        <w:t>Financial instruments (continued)</w:t>
      </w:r>
    </w:p>
    <w:p w14:paraId="1DF44D16" w14:textId="02C8DC83" w:rsidR="002E211A" w:rsidRDefault="002E211A" w:rsidP="002E211A">
      <w:pPr>
        <w:pStyle w:val="body"/>
        <w:rPr>
          <w:b/>
          <w:i/>
        </w:rPr>
      </w:pPr>
    </w:p>
    <w:p w14:paraId="6EC032C0" w14:textId="2959423B" w:rsidR="008474E3" w:rsidRPr="008474E3" w:rsidRDefault="008474E3" w:rsidP="008474E3">
      <w:pPr>
        <w:pStyle w:val="BluefieldItalicheading10pt"/>
        <w:rPr>
          <w:lang w:eastAsia="en-GB"/>
        </w:rPr>
      </w:pPr>
      <w:proofErr w:type="spellStart"/>
      <w:r w:rsidRPr="00BA6EA0">
        <w:rPr>
          <w:lang w:eastAsia="en-GB"/>
        </w:rPr>
        <w:t>i</w:t>
      </w:r>
      <w:proofErr w:type="spellEnd"/>
      <w:r w:rsidRPr="00BA6EA0">
        <w:rPr>
          <w:lang w:eastAsia="en-GB"/>
        </w:rPr>
        <w:t>)   Financial assets held at fa</w:t>
      </w:r>
      <w:r>
        <w:rPr>
          <w:lang w:eastAsia="en-GB"/>
        </w:rPr>
        <w:t>ir value through profit or loss (continued)</w:t>
      </w:r>
    </w:p>
    <w:p w14:paraId="07151BEC" w14:textId="77777777" w:rsidR="00DF75A4" w:rsidRDefault="00DF75A4" w:rsidP="002E211A">
      <w:pPr>
        <w:pStyle w:val="body"/>
        <w:rPr>
          <w:b/>
          <w:i/>
        </w:rPr>
      </w:pPr>
    </w:p>
    <w:p w14:paraId="50801706" w14:textId="5C6DE311" w:rsidR="002E211A" w:rsidRPr="00F37C50" w:rsidRDefault="00F37C50" w:rsidP="002E211A">
      <w:pPr>
        <w:pStyle w:val="BluefieldItalicheading10pt"/>
      </w:pPr>
      <w:r w:rsidRPr="00F37C50">
        <w:t>Measurement</w:t>
      </w:r>
    </w:p>
    <w:p w14:paraId="19A1E6C0" w14:textId="2ECAC273" w:rsidR="00F37C50" w:rsidRDefault="00F37C50" w:rsidP="00F37C50">
      <w:pPr>
        <w:autoSpaceDE w:val="0"/>
        <w:autoSpaceDN w:val="0"/>
        <w:adjustRightInd w:val="0"/>
        <w:rPr>
          <w:rFonts w:ascii="Georgia" w:hAnsi="Georgia" w:cs="Georgia"/>
          <w:color w:val="404040" w:themeColor="text1" w:themeTint="BF"/>
          <w:sz w:val="20"/>
          <w:szCs w:val="20"/>
          <w:lang w:eastAsia="en-GB"/>
        </w:rPr>
      </w:pPr>
      <w:r w:rsidRPr="00F37C50">
        <w:rPr>
          <w:rFonts w:ascii="Georgia" w:hAnsi="Georgia" w:cs="Georgia"/>
          <w:color w:val="404040" w:themeColor="text1" w:themeTint="BF"/>
          <w:sz w:val="20"/>
          <w:szCs w:val="20"/>
          <w:lang w:eastAsia="en-GB"/>
        </w:rPr>
        <w:t xml:space="preserve">Subsequent to initial recognition, investment in BSIFIL is measured at each subsequent reporting date at fair value. The Company holds all of the shares in the subsidiary, BSIFIL, which is a holding vehicle used to hold the Company’s SPV investments. The Directors believe it is appropriate to value this entity based on the fair value of its portfolio of SPV investment assets held plus its other assets and liabilities. The SPV investment assets held by the subsidiary are valued semi-annually as described in Note </w:t>
      </w:r>
      <w:r w:rsidRPr="003F3C9D">
        <w:rPr>
          <w:rFonts w:ascii="Georgia" w:hAnsi="Georgia" w:cs="Georgia"/>
          <w:color w:val="404040" w:themeColor="text1" w:themeTint="BF"/>
          <w:sz w:val="20"/>
          <w:szCs w:val="20"/>
          <w:lang w:eastAsia="en-GB"/>
        </w:rPr>
        <w:t>8</w:t>
      </w:r>
      <w:r w:rsidRPr="00F37C50">
        <w:rPr>
          <w:rFonts w:ascii="Georgia" w:hAnsi="Georgia" w:cs="Georgia"/>
          <w:color w:val="404040" w:themeColor="text1" w:themeTint="BF"/>
          <w:sz w:val="20"/>
          <w:szCs w:val="20"/>
          <w:lang w:eastAsia="en-GB"/>
        </w:rPr>
        <w:t xml:space="preserve"> on a discounted cash flow basis which is benchmarked against market transactions. </w:t>
      </w:r>
    </w:p>
    <w:p w14:paraId="339277B8" w14:textId="77777777" w:rsidR="00F37C50" w:rsidRPr="00F37C50" w:rsidRDefault="00F37C50" w:rsidP="00F37C50">
      <w:pPr>
        <w:autoSpaceDE w:val="0"/>
        <w:autoSpaceDN w:val="0"/>
        <w:adjustRightInd w:val="0"/>
        <w:rPr>
          <w:rFonts w:ascii="Georgia" w:hAnsi="Georgia" w:cs="Georgia"/>
          <w:color w:val="404040" w:themeColor="text1" w:themeTint="BF"/>
          <w:sz w:val="20"/>
          <w:szCs w:val="20"/>
          <w:lang w:eastAsia="en-GB"/>
        </w:rPr>
      </w:pPr>
    </w:p>
    <w:p w14:paraId="5FCB55F6" w14:textId="7ECC75E6" w:rsidR="00AA3CAD" w:rsidRPr="00F37C50" w:rsidRDefault="00F37C50" w:rsidP="00F37C50">
      <w:pPr>
        <w:pStyle w:val="BluefieldBody"/>
        <w:rPr>
          <w:rFonts w:cs="Georgia"/>
          <w:lang w:eastAsia="en-GB"/>
        </w:rPr>
      </w:pPr>
      <w:r w:rsidRPr="00F37C50">
        <w:rPr>
          <w:rFonts w:cs="Georgia"/>
          <w:lang w:eastAsia="en-GB"/>
        </w:rPr>
        <w:t xml:space="preserve">Gains or losses, through profit or loss, are made up of BSIFIL’s profit or loss, which comprises mainly cash receipts from its SPVs, the fair value movement of BSIFIL’s SPV portfolio and cash received in respect of Eurobond instrument interest. Furthermore, cash receipts (excluding Eurobond interest) made to the Company by BSIFIL are accounted for as a repayment of loans and not reflected in the Company’s profit and loss, apart from monitoring fees (see </w:t>
      </w:r>
      <w:r w:rsidRPr="00AB7DE1">
        <w:rPr>
          <w:rFonts w:cs="Georgia"/>
          <w:lang w:eastAsia="en-GB"/>
        </w:rPr>
        <w:t xml:space="preserve">Note </w:t>
      </w:r>
      <w:r w:rsidRPr="003F3C9D">
        <w:rPr>
          <w:rFonts w:cs="Georgia"/>
          <w:lang w:eastAsia="en-GB"/>
        </w:rPr>
        <w:t>4).</w:t>
      </w:r>
    </w:p>
    <w:p w14:paraId="0D7798A7" w14:textId="03631FE2" w:rsidR="000F51FA" w:rsidRDefault="000F51FA" w:rsidP="000F51FA">
      <w:pPr>
        <w:pStyle w:val="body"/>
        <w:tabs>
          <w:tab w:val="left" w:pos="426"/>
          <w:tab w:val="left" w:pos="709"/>
        </w:tabs>
        <w:rPr>
          <w:b/>
          <w:i/>
        </w:rPr>
      </w:pPr>
    </w:p>
    <w:p w14:paraId="4027F97D" w14:textId="07FC616B" w:rsidR="0056742A" w:rsidRDefault="000F51FA">
      <w:pPr>
        <w:pStyle w:val="BluefieldItalicheading10pt"/>
      </w:pPr>
      <w:r w:rsidRPr="000E357A">
        <w:t>ii)</w:t>
      </w:r>
      <w:r w:rsidR="00960B71">
        <w:t xml:space="preserve"> </w:t>
      </w:r>
      <w:r w:rsidRPr="000E357A">
        <w:t xml:space="preserve">Cash and cash equivalents and </w:t>
      </w:r>
      <w:r w:rsidR="00A510F8">
        <w:t xml:space="preserve">trade and </w:t>
      </w:r>
      <w:r w:rsidRPr="000E357A">
        <w:t>other receivables</w:t>
      </w:r>
    </w:p>
    <w:p w14:paraId="589AFA70" w14:textId="47C02F62" w:rsidR="00E42A95" w:rsidRDefault="000F51FA" w:rsidP="00E42A95">
      <w:pPr>
        <w:pStyle w:val="BluefieldBody"/>
      </w:pPr>
      <w:r w:rsidRPr="000E357A">
        <w:rPr>
          <w:lang w:eastAsia="en-GB"/>
        </w:rPr>
        <w:t>Cash and cash equivalents comprise cash on hand and short</w:t>
      </w:r>
      <w:r w:rsidR="008B0463">
        <w:rPr>
          <w:lang w:eastAsia="en-GB"/>
        </w:rPr>
        <w:t xml:space="preserve"> </w:t>
      </w:r>
      <w:r w:rsidRPr="000E357A">
        <w:rPr>
          <w:lang w:eastAsia="en-GB"/>
        </w:rPr>
        <w:t xml:space="preserve">term deposits with an original maturity of three months or less that are readily convertible to a known amount of cash and are subject to an insignificant risk of changes in value. Other receivables </w:t>
      </w:r>
      <w:r w:rsidRPr="000E357A">
        <w:t xml:space="preserve">are non-derivative financial assets with fixed or determinable payments that are not quoted in an active market. These financial assets are included in current assets, except for maturities greater than twelve months after the reporting date, which are classified as non-current assets. They are initially recognised at fair value plus transaction costs that are directly attributable to the acquisition, and subsequently carried at amortised cost using the effective interest rate method, less provision for impairment. </w:t>
      </w:r>
    </w:p>
    <w:p w14:paraId="4C868636" w14:textId="77777777" w:rsidR="000F51FA" w:rsidRDefault="000F51FA" w:rsidP="000F51FA">
      <w:pPr>
        <w:pStyle w:val="body"/>
        <w:rPr>
          <w:b/>
          <w:i/>
        </w:rPr>
      </w:pPr>
    </w:p>
    <w:p w14:paraId="5FD79231" w14:textId="38565168" w:rsidR="0056742A" w:rsidRDefault="008474E3">
      <w:pPr>
        <w:pStyle w:val="BluefieldItalicheading10pt"/>
      </w:pPr>
      <w:r>
        <w:t xml:space="preserve">iii) </w:t>
      </w:r>
      <w:r w:rsidR="000F51FA" w:rsidRPr="008F1C88">
        <w:t>Financial liabilities</w:t>
      </w:r>
    </w:p>
    <w:p w14:paraId="6C105410" w14:textId="77777777" w:rsidR="00E42A95" w:rsidRDefault="000F51FA" w:rsidP="00E42A95">
      <w:pPr>
        <w:pStyle w:val="BluefieldBody"/>
      </w:pPr>
      <w:r w:rsidRPr="00B423D9">
        <w:t>The classification of financial liabilities at initial recognition depends on the purpose for which the financial liability was issued and its characteristics.</w:t>
      </w:r>
    </w:p>
    <w:p w14:paraId="4975EA17" w14:textId="77777777" w:rsidR="00E42A95" w:rsidRDefault="00E42A95" w:rsidP="00E42A95">
      <w:pPr>
        <w:pStyle w:val="BluefieldBody"/>
        <w:rPr>
          <w:i/>
        </w:rPr>
      </w:pPr>
    </w:p>
    <w:p w14:paraId="4BA24CFF" w14:textId="5157CA7C" w:rsidR="00E42A95" w:rsidRDefault="000F51FA" w:rsidP="00E42A95">
      <w:pPr>
        <w:pStyle w:val="BluefieldBody"/>
      </w:pPr>
      <w:r w:rsidRPr="00B423D9">
        <w:t>All financial liabilities are initially recognised at fair value net of transaction costs incurred. All purchases of financial liabilities are recorded on</w:t>
      </w:r>
      <w:r w:rsidR="00F5420A">
        <w:t xml:space="preserve"> the</w:t>
      </w:r>
      <w:r w:rsidRPr="00B423D9">
        <w:t xml:space="preserve"> trade date, being the date on which the </w:t>
      </w:r>
      <w:r w:rsidR="00452024">
        <w:t>Company</w:t>
      </w:r>
      <w:r w:rsidRPr="00B423D9">
        <w:t xml:space="preserve"> becomes party to the contractual requirements of the financial liability. </w:t>
      </w:r>
    </w:p>
    <w:p w14:paraId="2C70A7E8" w14:textId="77777777" w:rsidR="00E42A95" w:rsidRDefault="00E42A95" w:rsidP="00E42A95">
      <w:pPr>
        <w:pStyle w:val="BluefieldBody"/>
      </w:pPr>
    </w:p>
    <w:p w14:paraId="78E63DE1" w14:textId="65055912" w:rsidR="00E42A95" w:rsidRDefault="000F51FA" w:rsidP="00E42A95">
      <w:pPr>
        <w:pStyle w:val="BluefieldBody"/>
      </w:pPr>
      <w:r w:rsidRPr="00B423D9">
        <w:t xml:space="preserve">The </w:t>
      </w:r>
      <w:r w:rsidR="00452024">
        <w:t>Company</w:t>
      </w:r>
      <w:r w:rsidRPr="00B423D9">
        <w:t>’s financial liabilities consist of only financial liabilities measured at amortised cost.</w:t>
      </w:r>
    </w:p>
    <w:p w14:paraId="33E0CF55" w14:textId="77777777" w:rsidR="000F51FA" w:rsidRDefault="000F51FA" w:rsidP="000F51FA">
      <w:pPr>
        <w:pStyle w:val="body"/>
        <w:tabs>
          <w:tab w:val="left" w:pos="709"/>
        </w:tabs>
        <w:rPr>
          <w:b/>
          <w:i/>
        </w:rPr>
      </w:pPr>
    </w:p>
    <w:p w14:paraId="527ECD9D" w14:textId="642AB140" w:rsidR="0056742A" w:rsidRDefault="00960B71">
      <w:pPr>
        <w:pStyle w:val="BluefieldItalicheading10pt"/>
      </w:pPr>
      <w:r>
        <w:t xml:space="preserve"> </w:t>
      </w:r>
      <w:r w:rsidR="000F51FA" w:rsidRPr="00B423D9">
        <w:t>Financial liabilities measured at amortised cost</w:t>
      </w:r>
    </w:p>
    <w:p w14:paraId="65A2E2CA" w14:textId="56D26CC7" w:rsidR="00E42A95" w:rsidRDefault="000F51FA" w:rsidP="00E42A95">
      <w:pPr>
        <w:pStyle w:val="BluefieldBody"/>
      </w:pPr>
      <w:r w:rsidRPr="00B423D9">
        <w:t>These include trade payables and other short</w:t>
      </w:r>
      <w:r w:rsidR="008B0463">
        <w:t xml:space="preserve"> </w:t>
      </w:r>
      <w:r w:rsidRPr="00B423D9">
        <w:t>term monetary liabilities, which are initially recognised at fair value and subsequently carried at amortised cost using the effective interest rate method.</w:t>
      </w:r>
    </w:p>
    <w:p w14:paraId="34E348A8" w14:textId="77777777" w:rsidR="000F51FA" w:rsidRPr="00B423D9" w:rsidRDefault="000F51FA" w:rsidP="000F51FA">
      <w:pPr>
        <w:pStyle w:val="body"/>
      </w:pPr>
    </w:p>
    <w:p w14:paraId="51C5A180" w14:textId="6DCF4BE1" w:rsidR="006D2095" w:rsidRDefault="006D2095" w:rsidP="000F51FA">
      <w:pPr>
        <w:pStyle w:val="Notehead1"/>
      </w:pPr>
    </w:p>
    <w:p w14:paraId="449ED7B2" w14:textId="4D540EF0" w:rsidR="002E211A" w:rsidRDefault="002E211A" w:rsidP="000F51FA">
      <w:pPr>
        <w:pStyle w:val="Notehead1"/>
      </w:pPr>
    </w:p>
    <w:p w14:paraId="2CCDF8F0" w14:textId="490BC3A7" w:rsidR="00F37C50" w:rsidRDefault="00F37C50" w:rsidP="000F51FA">
      <w:pPr>
        <w:pStyle w:val="Notehead1"/>
      </w:pPr>
    </w:p>
    <w:p w14:paraId="635DAC1E" w14:textId="6DF2ACD5" w:rsidR="00F37C50" w:rsidRDefault="00F37C50" w:rsidP="000F51FA">
      <w:pPr>
        <w:pStyle w:val="Notehead1"/>
      </w:pPr>
    </w:p>
    <w:p w14:paraId="21AD07F5" w14:textId="596942F2" w:rsidR="002E211A" w:rsidRDefault="002E211A" w:rsidP="000F51FA">
      <w:pPr>
        <w:pStyle w:val="Notehead1"/>
      </w:pPr>
    </w:p>
    <w:p w14:paraId="363A2E28" w14:textId="74D08D34" w:rsidR="00933137" w:rsidRDefault="00933137" w:rsidP="000F51FA">
      <w:pPr>
        <w:pStyle w:val="Notehead1"/>
      </w:pPr>
    </w:p>
    <w:p w14:paraId="7FC60776" w14:textId="4644B85C" w:rsidR="00933137" w:rsidRDefault="00933137" w:rsidP="000F51FA">
      <w:pPr>
        <w:pStyle w:val="Notehead1"/>
      </w:pPr>
    </w:p>
    <w:p w14:paraId="187ACAC1" w14:textId="6613EA0D" w:rsidR="00933137" w:rsidRDefault="00933137" w:rsidP="000F51FA">
      <w:pPr>
        <w:pStyle w:val="Notehead1"/>
      </w:pPr>
    </w:p>
    <w:p w14:paraId="25D18EA2" w14:textId="77777777" w:rsidR="000F51FA" w:rsidRPr="00384BCB" w:rsidRDefault="00E42A95" w:rsidP="000F51FA">
      <w:pPr>
        <w:pStyle w:val="Notehead1"/>
      </w:pPr>
      <w:r w:rsidRPr="00E42A95">
        <w:lastRenderedPageBreak/>
        <w:t>2. Accounting policies (continued)</w:t>
      </w:r>
    </w:p>
    <w:p w14:paraId="73599C3D" w14:textId="37B96686" w:rsidR="000F51FA" w:rsidRDefault="000F51FA" w:rsidP="000F51FA">
      <w:pPr>
        <w:pStyle w:val="body"/>
        <w:tabs>
          <w:tab w:val="left" w:pos="284"/>
          <w:tab w:val="left" w:pos="567"/>
        </w:tabs>
        <w:rPr>
          <w:b/>
        </w:rPr>
      </w:pPr>
    </w:p>
    <w:p w14:paraId="5458AB13" w14:textId="57A6FB05" w:rsidR="002E211A" w:rsidRDefault="002E211A" w:rsidP="002E211A">
      <w:pPr>
        <w:pStyle w:val="body"/>
        <w:rPr>
          <w:b/>
          <w:bCs/>
        </w:rPr>
      </w:pPr>
      <w:r>
        <w:rPr>
          <w:b/>
          <w:bCs/>
        </w:rPr>
        <w:t>j</w:t>
      </w:r>
      <w:r w:rsidRPr="00E42A95">
        <w:rPr>
          <w:b/>
          <w:bCs/>
        </w:rPr>
        <w:t xml:space="preserve">) </w:t>
      </w:r>
      <w:r w:rsidRPr="00E42A95">
        <w:rPr>
          <w:b/>
          <w:bCs/>
        </w:rPr>
        <w:tab/>
        <w:t>Financial instruments (continued)</w:t>
      </w:r>
    </w:p>
    <w:p w14:paraId="5E9F03C9" w14:textId="4AE82C45" w:rsidR="002E211A" w:rsidRDefault="002E211A" w:rsidP="000F51FA">
      <w:pPr>
        <w:pStyle w:val="body"/>
        <w:tabs>
          <w:tab w:val="left" w:pos="284"/>
          <w:tab w:val="left" w:pos="567"/>
        </w:tabs>
        <w:rPr>
          <w:b/>
        </w:rPr>
      </w:pPr>
    </w:p>
    <w:p w14:paraId="47F72CAE" w14:textId="306AC6AB" w:rsidR="002335BE" w:rsidRPr="00EF6D72" w:rsidRDefault="002335BE" w:rsidP="00EF6D72">
      <w:pPr>
        <w:pStyle w:val="BluefieldItalicheading10pt"/>
        <w:rPr>
          <w:b w:val="0"/>
        </w:rPr>
      </w:pPr>
      <w:r>
        <w:t xml:space="preserve">iii) </w:t>
      </w:r>
      <w:r w:rsidRPr="008F1C88">
        <w:t>Financial liabilities</w:t>
      </w:r>
      <w:r>
        <w:t xml:space="preserve"> (continued)</w:t>
      </w:r>
    </w:p>
    <w:p w14:paraId="211E5467" w14:textId="77777777" w:rsidR="00DF75A4" w:rsidRDefault="00DF75A4" w:rsidP="000F51FA">
      <w:pPr>
        <w:pStyle w:val="body"/>
        <w:tabs>
          <w:tab w:val="left" w:pos="284"/>
          <w:tab w:val="left" w:pos="567"/>
        </w:tabs>
        <w:rPr>
          <w:b/>
        </w:rPr>
      </w:pPr>
    </w:p>
    <w:p w14:paraId="5E83445B" w14:textId="34C755D9" w:rsidR="002E211A" w:rsidRDefault="002E211A" w:rsidP="002E211A">
      <w:pPr>
        <w:pStyle w:val="BluefieldItalicheading10pt"/>
      </w:pPr>
      <w:proofErr w:type="spellStart"/>
      <w:r w:rsidRPr="00B423D9">
        <w:t>Derecognition</w:t>
      </w:r>
      <w:proofErr w:type="spellEnd"/>
      <w:r w:rsidRPr="00B423D9">
        <w:t xml:space="preserve"> of financial liabilities</w:t>
      </w:r>
    </w:p>
    <w:p w14:paraId="51870EFC" w14:textId="418D8707" w:rsidR="002E211A" w:rsidRDefault="002E211A" w:rsidP="002E211A">
      <w:pPr>
        <w:pStyle w:val="BluefieldBody"/>
        <w:rPr>
          <w:b/>
        </w:rPr>
      </w:pPr>
      <w:r w:rsidRPr="00B423D9">
        <w:t xml:space="preserve">A financial liability (in whole or in part) is derecognised when the </w:t>
      </w:r>
      <w:r>
        <w:t>Company</w:t>
      </w:r>
      <w:r w:rsidRPr="00B423D9">
        <w:t xml:space="preserve"> has extinguished its contractual obligations, it expires</w:t>
      </w:r>
      <w:r w:rsidR="00453A4E">
        <w:t>,</w:t>
      </w:r>
      <w:r w:rsidRPr="00B423D9">
        <w:t xml:space="preserve"> or is cancelled. </w:t>
      </w:r>
      <w:r>
        <w:t xml:space="preserve"> </w:t>
      </w:r>
      <w:r w:rsidRPr="00B423D9">
        <w:t xml:space="preserve">Any gain or loss on </w:t>
      </w:r>
      <w:proofErr w:type="spellStart"/>
      <w:r w:rsidRPr="00B423D9">
        <w:t>derecognition</w:t>
      </w:r>
      <w:proofErr w:type="spellEnd"/>
      <w:r w:rsidRPr="00B423D9">
        <w:t xml:space="preserve"> is taken to </w:t>
      </w:r>
      <w:r>
        <w:t>profit and loss</w:t>
      </w:r>
      <w:r w:rsidRPr="00B423D9">
        <w:t>.</w:t>
      </w:r>
    </w:p>
    <w:p w14:paraId="34D0F58E" w14:textId="77777777" w:rsidR="002E211A" w:rsidRDefault="002E211A" w:rsidP="000F51FA">
      <w:pPr>
        <w:pStyle w:val="body"/>
        <w:tabs>
          <w:tab w:val="left" w:pos="284"/>
          <w:tab w:val="left" w:pos="567"/>
        </w:tabs>
        <w:rPr>
          <w:b/>
        </w:rPr>
      </w:pPr>
    </w:p>
    <w:p w14:paraId="4FCBC3A0" w14:textId="1CC1272B" w:rsidR="000F51FA" w:rsidRPr="00D44FC2" w:rsidRDefault="00AE703F" w:rsidP="000F51FA">
      <w:pPr>
        <w:pStyle w:val="body"/>
        <w:tabs>
          <w:tab w:val="left" w:pos="284"/>
          <w:tab w:val="left" w:pos="426"/>
        </w:tabs>
        <w:rPr>
          <w:b/>
        </w:rPr>
      </w:pPr>
      <w:r>
        <w:rPr>
          <w:b/>
        </w:rPr>
        <w:t>k</w:t>
      </w:r>
      <w:r w:rsidR="000F51FA">
        <w:rPr>
          <w:b/>
        </w:rPr>
        <w:t xml:space="preserve">) </w:t>
      </w:r>
      <w:r w:rsidR="000F51FA" w:rsidRPr="00D44FC2">
        <w:rPr>
          <w:b/>
        </w:rPr>
        <w:t>Equity instruments</w:t>
      </w:r>
    </w:p>
    <w:p w14:paraId="571CA784" w14:textId="77777777" w:rsidR="00E42A95" w:rsidRDefault="000F51FA" w:rsidP="00E42A95">
      <w:pPr>
        <w:pStyle w:val="BluefieldBody"/>
        <w:rPr>
          <w:lang w:eastAsia="en-GB"/>
        </w:rPr>
      </w:pPr>
      <w:r w:rsidRPr="00282667">
        <w:rPr>
          <w:lang w:eastAsia="en-GB"/>
        </w:rPr>
        <w:t xml:space="preserve">An equity instrument is any contract that evidences a residual interest in the assets of an entity after deducting all of its liabilities. Equity instruments issued by the Company are recognised as the proceeds received, net of direct issue costs. Direct issue costs include those incurred in connection with the placing and admission which include fees payable under the Placing Agreement, legal costs and any other applicable expenses. </w:t>
      </w:r>
    </w:p>
    <w:p w14:paraId="01535D5B" w14:textId="77777777" w:rsidR="000F51FA" w:rsidRDefault="000F51FA" w:rsidP="000F51FA">
      <w:pPr>
        <w:pStyle w:val="body"/>
        <w:tabs>
          <w:tab w:val="left" w:pos="284"/>
          <w:tab w:val="left" w:pos="567"/>
        </w:tabs>
        <w:rPr>
          <w:b/>
        </w:rPr>
      </w:pPr>
    </w:p>
    <w:p w14:paraId="76311CD5" w14:textId="136ACD6A" w:rsidR="000F51FA" w:rsidRDefault="00AE703F" w:rsidP="000F51FA">
      <w:pPr>
        <w:pStyle w:val="body"/>
        <w:tabs>
          <w:tab w:val="left" w:pos="284"/>
          <w:tab w:val="left" w:pos="567"/>
        </w:tabs>
        <w:rPr>
          <w:b/>
        </w:rPr>
      </w:pPr>
      <w:r>
        <w:rPr>
          <w:b/>
        </w:rPr>
        <w:t>l</w:t>
      </w:r>
      <w:r w:rsidR="000F51FA" w:rsidRPr="00D44FC2">
        <w:rPr>
          <w:b/>
        </w:rPr>
        <w:t>) Share based payments</w:t>
      </w:r>
    </w:p>
    <w:p w14:paraId="552C2119" w14:textId="77777777" w:rsidR="000F51FA" w:rsidRPr="00D44FC2" w:rsidRDefault="000F51FA" w:rsidP="000F51FA">
      <w:pPr>
        <w:pStyle w:val="body"/>
        <w:rPr>
          <w:b/>
        </w:rPr>
      </w:pPr>
    </w:p>
    <w:p w14:paraId="61A39981" w14:textId="77777777" w:rsidR="0056742A" w:rsidRDefault="000F51FA">
      <w:pPr>
        <w:pStyle w:val="BluefieldItalicheading10pt"/>
      </w:pPr>
      <w:r w:rsidRPr="00724217">
        <w:t>Investment Adviser’s variable fee</w:t>
      </w:r>
    </w:p>
    <w:p w14:paraId="5C44D5C2" w14:textId="0C896AEF" w:rsidR="00FD3DEE" w:rsidRDefault="000F51FA">
      <w:pPr>
        <w:pStyle w:val="BluefieldBody"/>
      </w:pPr>
      <w:r w:rsidRPr="00724217">
        <w:t xml:space="preserve">The </w:t>
      </w:r>
      <w:r w:rsidR="00452024">
        <w:t>Company</w:t>
      </w:r>
      <w:r w:rsidRPr="00724217">
        <w:t xml:space="preserve"> recognises the variable fee for t</w:t>
      </w:r>
      <w:r w:rsidR="005F0A6C">
        <w:t>he services received in a share</w:t>
      </w:r>
      <w:r w:rsidR="005078C5">
        <w:t xml:space="preserve"> </w:t>
      </w:r>
      <w:r w:rsidRPr="00724217">
        <w:t xml:space="preserve">based payment transaction as the </w:t>
      </w:r>
      <w:r w:rsidR="00452024">
        <w:t>Company</w:t>
      </w:r>
      <w:r w:rsidRPr="00724217">
        <w:t xml:space="preserve"> becomes liable to the variable fee on an accruals basis. </w:t>
      </w:r>
      <w:r w:rsidRPr="00774778">
        <w:t xml:space="preserve">The variable fee will be accrued in the accounting period in which the Company exceeds its target distribution as per the </w:t>
      </w:r>
      <w:r w:rsidR="008161E9" w:rsidRPr="00774778">
        <w:t xml:space="preserve">Investment </w:t>
      </w:r>
      <w:r w:rsidR="00E11AB8" w:rsidRPr="00774778">
        <w:t>Advisory</w:t>
      </w:r>
      <w:r w:rsidRPr="00774778">
        <w:t xml:space="preserve"> Agreement (see </w:t>
      </w:r>
      <w:r w:rsidRPr="009355D9">
        <w:t>Note 5).</w:t>
      </w:r>
      <w:r w:rsidRPr="00724217">
        <w:t xml:space="preserve">  A corresponding increase in equity is recognised when payment for the variable fee is made in an equity settled share based payment transaction based on the fair value of the </w:t>
      </w:r>
      <w:r>
        <w:t>services provided</w:t>
      </w:r>
      <w:r w:rsidRPr="00724217">
        <w:t xml:space="preserve">. </w:t>
      </w:r>
      <w:r w:rsidR="00793E4F">
        <w:t>Post year end, the Board approved revisions to the Investment Adviser base fee</w:t>
      </w:r>
      <w:r w:rsidR="009067D6">
        <w:t xml:space="preserve"> and the removal of the variable fee,</w:t>
      </w:r>
      <w:r w:rsidR="00793E4F">
        <w:t xml:space="preserve"> which will apply from 1 July 2020 onwards (See </w:t>
      </w:r>
      <w:r w:rsidR="00793E4F" w:rsidRPr="009355D9">
        <w:t>Note 17 for</w:t>
      </w:r>
      <w:r w:rsidR="00793E4F">
        <w:t xml:space="preserve"> further detail).</w:t>
      </w:r>
    </w:p>
    <w:p w14:paraId="63E3C8DA" w14:textId="77777777" w:rsidR="000F51FA" w:rsidRDefault="000F51FA" w:rsidP="000F51FA">
      <w:pPr>
        <w:rPr>
          <w:rFonts w:ascii="Georgia" w:hAnsi="Georgia" w:cs="Calibri"/>
          <w:b/>
          <w:sz w:val="20"/>
        </w:rPr>
      </w:pPr>
    </w:p>
    <w:p w14:paraId="349D2EFC" w14:textId="65AE7AA7" w:rsidR="000F51FA" w:rsidRPr="00A93EB3" w:rsidRDefault="00E42A95" w:rsidP="000F51FA">
      <w:pPr>
        <w:pStyle w:val="Notehead1"/>
        <w:ind w:left="284" w:hanging="284"/>
        <w:rPr>
          <w:highlight w:val="yellow"/>
        </w:rPr>
      </w:pPr>
      <w:r w:rsidRPr="00E42A95">
        <w:t xml:space="preserve">3. </w:t>
      </w:r>
      <w:r w:rsidRPr="00B0100A">
        <w:t xml:space="preserve">Critical accounting judgements, estimates and assumptions in applying the </w:t>
      </w:r>
      <w:r w:rsidR="00B0100A" w:rsidRPr="00B0100A">
        <w:t>Company</w:t>
      </w:r>
      <w:r w:rsidRPr="00B0100A">
        <w:t>’s accounting policies</w:t>
      </w:r>
    </w:p>
    <w:p w14:paraId="0D204095" w14:textId="77777777" w:rsidR="00E42A95" w:rsidRPr="00A93EB3" w:rsidRDefault="00E42A95" w:rsidP="00E42A95">
      <w:pPr>
        <w:pStyle w:val="BluefieldBody"/>
        <w:rPr>
          <w:highlight w:val="yellow"/>
        </w:rPr>
      </w:pPr>
    </w:p>
    <w:p w14:paraId="2C84412C" w14:textId="45BA1A06" w:rsidR="00B0100A" w:rsidRPr="00152D05" w:rsidRDefault="00B0100A" w:rsidP="00B0100A">
      <w:pPr>
        <w:pStyle w:val="BluefieldBody"/>
      </w:pPr>
      <w:r w:rsidRPr="00152D05">
        <w:t>The preparation of these financial statements under IFRS requires management to make judgements, estimates and assumptions that affect the application of policies and reported amounts of assets and liabilities, income and expenses. The estimates and associated assumptions are</w:t>
      </w:r>
      <w:r w:rsidR="00926F3C">
        <w:t xml:space="preserve"> </w:t>
      </w:r>
      <w:r w:rsidRPr="00152D05">
        <w:t>based on historical experience and other factors that are believed to be reasonable under the circumstances, the results of which form the basis of making judgements about carrying values of assets and liabilities that are not readily apparent from other sources. Actual results may differ from these estimates.</w:t>
      </w:r>
    </w:p>
    <w:p w14:paraId="68C50AA0" w14:textId="77777777" w:rsidR="00B0100A" w:rsidRPr="00152D05" w:rsidRDefault="00B0100A" w:rsidP="00B0100A">
      <w:pPr>
        <w:pStyle w:val="BluefieldBody"/>
        <w:rPr>
          <w:rFonts w:ascii="Calibri" w:hAnsi="Calibri" w:cs="Calibri"/>
          <w:lang w:eastAsia="en-GB"/>
        </w:rPr>
      </w:pPr>
    </w:p>
    <w:p w14:paraId="6A358D90" w14:textId="5E353302" w:rsidR="00B0100A" w:rsidRPr="00152D05" w:rsidRDefault="00B0100A" w:rsidP="00B0100A">
      <w:pPr>
        <w:pStyle w:val="BluefieldBody"/>
      </w:pPr>
      <w:r w:rsidRPr="00152D05">
        <w:t xml:space="preserve">The area involving a high degree of judgement </w:t>
      </w:r>
      <w:r w:rsidR="00933137">
        <w:t>and/</w:t>
      </w:r>
      <w:r w:rsidRPr="00152D05">
        <w:t xml:space="preserve">or complexity </w:t>
      </w:r>
      <w:r w:rsidR="00933137">
        <w:t>and/</w:t>
      </w:r>
      <w:r w:rsidRPr="00152D05">
        <w:t xml:space="preserve">or area where assumptions and estimates are significant to the financial statements has been identified as the valuation of </w:t>
      </w:r>
      <w:r w:rsidR="00E455AD">
        <w:t>the Company’s investment in BSIFIL which is</w:t>
      </w:r>
      <w:r w:rsidR="002D4087">
        <w:t xml:space="preserve"> estimated</w:t>
      </w:r>
      <w:r w:rsidR="00E455AD">
        <w:t xml:space="preserve"> predominantly on the valuation of </w:t>
      </w:r>
      <w:r w:rsidRPr="00152D05">
        <w:t xml:space="preserve">the portfolio of investments held by BSIFIL (see </w:t>
      </w:r>
      <w:r w:rsidRPr="009355D9">
        <w:t>Note 8).</w:t>
      </w:r>
      <w:r w:rsidRPr="00152D05">
        <w:t xml:space="preserve"> </w:t>
      </w:r>
    </w:p>
    <w:p w14:paraId="3F720DE8" w14:textId="77777777" w:rsidR="000F51FA" w:rsidRPr="00A93EB3" w:rsidRDefault="000F51FA" w:rsidP="000F51FA">
      <w:pPr>
        <w:pStyle w:val="body"/>
        <w:rPr>
          <w:highlight w:val="yellow"/>
        </w:rPr>
      </w:pPr>
    </w:p>
    <w:p w14:paraId="40D23625" w14:textId="1E387A9D" w:rsidR="006D2095" w:rsidRDefault="000F51FA" w:rsidP="00933137">
      <w:pPr>
        <w:rPr>
          <w:highlight w:val="yellow"/>
        </w:rPr>
      </w:pPr>
      <w:r w:rsidRPr="00A93EB3">
        <w:rPr>
          <w:highlight w:val="yellow"/>
        </w:rPr>
        <w:br w:type="page"/>
      </w:r>
    </w:p>
    <w:p w14:paraId="5B7405D4" w14:textId="0ADD314D" w:rsidR="000F51FA" w:rsidRPr="00B0100A" w:rsidRDefault="00E42A95" w:rsidP="000F51FA">
      <w:pPr>
        <w:pStyle w:val="Notehead1"/>
        <w:ind w:left="284" w:hanging="284"/>
      </w:pPr>
      <w:r w:rsidRPr="00B0100A">
        <w:lastRenderedPageBreak/>
        <w:t xml:space="preserve">3. Critical accounting judgements, estimates and assumptions in applying the </w:t>
      </w:r>
      <w:r w:rsidR="00B0100A" w:rsidRPr="00B0100A">
        <w:t>Company</w:t>
      </w:r>
      <w:r w:rsidRPr="00B0100A">
        <w:t>’s accounting policies (continued)</w:t>
      </w:r>
    </w:p>
    <w:p w14:paraId="0D106E6F" w14:textId="77777777" w:rsidR="00E42A95" w:rsidRPr="00A93EB3" w:rsidRDefault="00E42A95" w:rsidP="00E42A95">
      <w:pPr>
        <w:pStyle w:val="BluefieldBody"/>
        <w:rPr>
          <w:highlight w:val="yellow"/>
        </w:rPr>
      </w:pPr>
    </w:p>
    <w:p w14:paraId="3B601F15" w14:textId="77777777" w:rsidR="00B0100A" w:rsidRPr="00152D05" w:rsidRDefault="00B0100A" w:rsidP="00B0100A">
      <w:pPr>
        <w:pStyle w:val="BluefieldBody"/>
      </w:pPr>
      <w:r w:rsidRPr="00152D05">
        <w:t>The estimates and underlying assumptions are reviewed on an ongoing basis. Revisions to accounting estimates are recognised in the period in which the estimate is revised if the revision affects only that period or in the period of the revision and future period if the revision affects both current and future periods.</w:t>
      </w:r>
    </w:p>
    <w:p w14:paraId="7195302F" w14:textId="77777777" w:rsidR="00B0100A" w:rsidRPr="00152D05" w:rsidRDefault="00B0100A" w:rsidP="00B0100A">
      <w:pPr>
        <w:pStyle w:val="BluefieldBody"/>
      </w:pPr>
    </w:p>
    <w:p w14:paraId="021F863B" w14:textId="1CB4CC10" w:rsidR="00530EA0" w:rsidRDefault="00B0100A" w:rsidP="00530EA0">
      <w:pPr>
        <w:pStyle w:val="BluefieldBody"/>
      </w:pPr>
      <w:r w:rsidRPr="00970E61">
        <w:t xml:space="preserve">As disclosed in </w:t>
      </w:r>
      <w:r w:rsidRPr="009355D9">
        <w:t>Note 8</w:t>
      </w:r>
      <w:r w:rsidR="00970E61" w:rsidRPr="009355D9">
        <w:t>, the</w:t>
      </w:r>
      <w:r w:rsidR="00970E61" w:rsidRPr="00970E61">
        <w:t xml:space="preserve"> Board believes it is appropriate for the Company’s port</w:t>
      </w:r>
      <w:r w:rsidR="00A02F99">
        <w:t>folio to be benchmarked on a £m</w:t>
      </w:r>
      <w:r w:rsidR="00970E61" w:rsidRPr="00970E61">
        <w:t>/</w:t>
      </w:r>
      <w:proofErr w:type="spellStart"/>
      <w:r w:rsidR="00970E61" w:rsidRPr="00970E61">
        <w:t>MWp</w:t>
      </w:r>
      <w:proofErr w:type="spellEnd"/>
      <w:r w:rsidR="00970E61" w:rsidRPr="00970E61">
        <w:t xml:space="preserve"> basis against comparable portfolio transactions and on this basis </w:t>
      </w:r>
      <w:r w:rsidR="008560B2">
        <w:t>a</w:t>
      </w:r>
      <w:r w:rsidR="00970E61" w:rsidRPr="00970E61">
        <w:t xml:space="preserve"> </w:t>
      </w:r>
      <w:r w:rsidR="001C1DD5">
        <w:t xml:space="preserve">weighted average </w:t>
      </w:r>
      <w:r w:rsidR="00970E61" w:rsidRPr="00970E61">
        <w:t>discount</w:t>
      </w:r>
      <w:r w:rsidR="00933137">
        <w:t xml:space="preserve"> rate</w:t>
      </w:r>
      <w:r w:rsidR="00970E61" w:rsidRPr="00970E61">
        <w:t xml:space="preserve"> of</w:t>
      </w:r>
      <w:r w:rsidR="00F704D4">
        <w:t xml:space="preserve"> </w:t>
      </w:r>
      <w:r w:rsidR="00603133" w:rsidRPr="00603133">
        <w:t>6.00</w:t>
      </w:r>
      <w:r w:rsidR="00970E61" w:rsidRPr="00603133">
        <w:t>% (</w:t>
      </w:r>
      <w:r w:rsidR="00F704D4">
        <w:t>7</w:t>
      </w:r>
      <w:r w:rsidR="008560B2">
        <w:t>.</w:t>
      </w:r>
      <w:r w:rsidR="000E0596">
        <w:t>18</w:t>
      </w:r>
      <w:r w:rsidR="008560B2">
        <w:t>%</w:t>
      </w:r>
      <w:r w:rsidR="00970E61" w:rsidRPr="00970E61">
        <w:t xml:space="preserve"> </w:t>
      </w:r>
      <w:r w:rsidR="007D2D14">
        <w:t>as at 30</w:t>
      </w:r>
      <w:r w:rsidR="007D2D14" w:rsidRPr="00970E61">
        <w:t xml:space="preserve"> </w:t>
      </w:r>
      <w:r w:rsidR="00970E61" w:rsidRPr="00970E61">
        <w:t xml:space="preserve">June </w:t>
      </w:r>
      <w:r w:rsidR="00904E51">
        <w:t>2019</w:t>
      </w:r>
      <w:r w:rsidR="00970E61" w:rsidRPr="00970E61">
        <w:t xml:space="preserve">) has been </w:t>
      </w:r>
      <w:r w:rsidR="008560B2">
        <w:t>utilised.</w:t>
      </w:r>
      <w:r w:rsidR="00530EA0">
        <w:t xml:space="preserve"> </w:t>
      </w:r>
    </w:p>
    <w:p w14:paraId="756D0E9E" w14:textId="77777777" w:rsidR="00530EA0" w:rsidRDefault="00530EA0" w:rsidP="00530EA0">
      <w:pPr>
        <w:pStyle w:val="BluefieldBody"/>
      </w:pPr>
    </w:p>
    <w:p w14:paraId="0E6D3D69" w14:textId="1A02ABFD" w:rsidR="00530EA0" w:rsidRDefault="00530EA0" w:rsidP="00530EA0">
      <w:pPr>
        <w:pStyle w:val="BluefieldBody"/>
      </w:pPr>
      <w:r>
        <w:t xml:space="preserve">It is assumed that future long term debt will increase slightly. The average EBITDA interest tax shield from a combination of third party long term debt and </w:t>
      </w:r>
      <w:r w:rsidRPr="007D7B8C">
        <w:t>intercompany Eurobond debt equates to 1</w:t>
      </w:r>
      <w:r w:rsidR="007D7B8C" w:rsidRPr="007D7B8C">
        <w:t>6</w:t>
      </w:r>
      <w:r w:rsidRPr="007D7B8C">
        <w:t>.</w:t>
      </w:r>
      <w:r w:rsidR="007D7B8C" w:rsidRPr="007D7B8C">
        <w:t>5</w:t>
      </w:r>
      <w:r w:rsidRPr="007D7B8C">
        <w:t>%</w:t>
      </w:r>
      <w:r w:rsidR="007D7B8C" w:rsidRPr="007D7B8C">
        <w:t xml:space="preserve"> </w:t>
      </w:r>
      <w:r w:rsidR="00B40411">
        <w:t xml:space="preserve">(June 2019: 16.5%) </w:t>
      </w:r>
      <w:r w:rsidR="007D7B8C" w:rsidRPr="007D7B8C">
        <w:t>over the life of the long term debt</w:t>
      </w:r>
      <w:r w:rsidR="00E0166F">
        <w:t xml:space="preserve"> as</w:t>
      </w:r>
      <w:r w:rsidR="007D7B8C" w:rsidRPr="007D7B8C">
        <w:t xml:space="preserve"> at 30 June </w:t>
      </w:r>
      <w:r w:rsidR="00904E51">
        <w:t>2020</w:t>
      </w:r>
      <w:r w:rsidRPr="007D7B8C">
        <w:t>.</w:t>
      </w:r>
    </w:p>
    <w:p w14:paraId="0826F89D" w14:textId="77777777" w:rsidR="00530EA0" w:rsidRDefault="00530EA0" w:rsidP="00530EA0">
      <w:pPr>
        <w:pStyle w:val="BluefieldBody"/>
      </w:pPr>
    </w:p>
    <w:p w14:paraId="6D2419D4" w14:textId="018BD014" w:rsidR="00E42A95" w:rsidRPr="00970E61" w:rsidRDefault="007D2D14" w:rsidP="00530EA0">
      <w:pPr>
        <w:pStyle w:val="BluefieldBody"/>
      </w:pPr>
      <w:r>
        <w:t>The Company continues to use</w:t>
      </w:r>
      <w:r w:rsidR="00530EA0">
        <w:t xml:space="preserve"> a blended power forecast </w:t>
      </w:r>
      <w:r>
        <w:t>for the year ended 30 June 2020, but for the first time has adopted a third provider within the blended forecast. T</w:t>
      </w:r>
      <w:r w:rsidR="00530EA0">
        <w:t xml:space="preserve">he inflation assumption </w:t>
      </w:r>
      <w:r w:rsidR="00AF1783">
        <w:t xml:space="preserve">for the period to June 2024 </w:t>
      </w:r>
      <w:r w:rsidR="00D73351">
        <w:t>remains at</w:t>
      </w:r>
      <w:r w:rsidR="00AF1783">
        <w:t xml:space="preserve"> 3% </w:t>
      </w:r>
      <w:r w:rsidR="00B40411">
        <w:t xml:space="preserve">(June 2019: 3%) </w:t>
      </w:r>
      <w:r w:rsidR="00AF1783">
        <w:t>before reverting to the standard long term assumption of 2.75%</w:t>
      </w:r>
      <w:r w:rsidR="003F3262">
        <w:t xml:space="preserve"> </w:t>
      </w:r>
      <w:r w:rsidR="00B40411">
        <w:t xml:space="preserve">(June 2019: 2.75%) </w:t>
      </w:r>
      <w:r w:rsidR="003F3262">
        <w:t>thereafter</w:t>
      </w:r>
      <w:r w:rsidR="00AF1783">
        <w:t>.</w:t>
      </w:r>
    </w:p>
    <w:p w14:paraId="1CFFD700" w14:textId="77777777" w:rsidR="00960B71" w:rsidRPr="00926F3C" w:rsidRDefault="00960B71" w:rsidP="000F51FA">
      <w:pPr>
        <w:rPr>
          <w:rFonts w:ascii="Georgia" w:hAnsi="Georgia" w:cs="Calibri"/>
          <w:b/>
          <w:sz w:val="20"/>
          <w:highlight w:val="yellow"/>
        </w:rPr>
      </w:pPr>
    </w:p>
    <w:p w14:paraId="7F26FF44" w14:textId="77777777" w:rsidR="008B2B0D" w:rsidRDefault="008B2B0D" w:rsidP="001A2595">
      <w:pPr>
        <w:pStyle w:val="BluefieldBody"/>
      </w:pPr>
    </w:p>
    <w:p w14:paraId="75B592E4" w14:textId="77777777" w:rsidR="001A2595" w:rsidRDefault="001A2595" w:rsidP="000F51FA">
      <w:pPr>
        <w:rPr>
          <w:rFonts w:ascii="Georgia" w:hAnsi="Georgia" w:cs="Calibri"/>
          <w:b/>
          <w:sz w:val="20"/>
        </w:rPr>
      </w:pPr>
    </w:p>
    <w:p w14:paraId="1DE7CD94" w14:textId="77777777" w:rsidR="000F51FA" w:rsidRPr="00384BCB" w:rsidRDefault="00E42A95" w:rsidP="000F51FA">
      <w:pPr>
        <w:rPr>
          <w:rFonts w:ascii="Georgia" w:hAnsi="Georgia" w:cs="Calibri"/>
          <w:b/>
          <w:color w:val="404040" w:themeColor="text1" w:themeTint="BF"/>
          <w:sz w:val="20"/>
        </w:rPr>
      </w:pPr>
      <w:r w:rsidRPr="00E42A95">
        <w:rPr>
          <w:rFonts w:ascii="Georgia" w:hAnsi="Georgia" w:cs="Calibri"/>
          <w:b/>
          <w:color w:val="404040" w:themeColor="text1" w:themeTint="BF"/>
          <w:sz w:val="20"/>
        </w:rPr>
        <w:t>4. Investment income</w:t>
      </w:r>
    </w:p>
    <w:p w14:paraId="60C6718B" w14:textId="77777777" w:rsidR="001655E0" w:rsidRDefault="001655E0" w:rsidP="000F51FA">
      <w:pPr>
        <w:rPr>
          <w:lang w:eastAsia="en-GB"/>
        </w:rPr>
      </w:pPr>
    </w:p>
    <w:tbl>
      <w:tblPr>
        <w:tblW w:w="4999" w:type="pct"/>
        <w:tblLook w:val="04A0" w:firstRow="1" w:lastRow="0" w:firstColumn="1" w:lastColumn="0" w:noHBand="0" w:noVBand="1"/>
      </w:tblPr>
      <w:tblGrid>
        <w:gridCol w:w="5937"/>
        <w:gridCol w:w="1707"/>
        <w:gridCol w:w="1714"/>
      </w:tblGrid>
      <w:tr w:rsidR="004223B4" w:rsidRPr="00B12A72" w14:paraId="34B89113" w14:textId="77777777" w:rsidTr="0024470F">
        <w:trPr>
          <w:trHeight w:val="255"/>
        </w:trPr>
        <w:tc>
          <w:tcPr>
            <w:tcW w:w="3172" w:type="pct"/>
            <w:tcBorders>
              <w:top w:val="nil"/>
              <w:left w:val="nil"/>
              <w:bottom w:val="nil"/>
              <w:right w:val="nil"/>
            </w:tcBorders>
            <w:shd w:val="clear" w:color="auto" w:fill="auto"/>
            <w:noWrap/>
            <w:vAlign w:val="bottom"/>
          </w:tcPr>
          <w:p w14:paraId="37FEC5FA" w14:textId="77777777" w:rsidR="004223B4" w:rsidRPr="00B12A72" w:rsidRDefault="004223B4" w:rsidP="001655E0">
            <w:pPr>
              <w:rPr>
                <w:rFonts w:ascii="Calibri" w:hAnsi="Calibri" w:cs="Arial"/>
                <w:color w:val="404040" w:themeColor="text1" w:themeTint="BF"/>
                <w:sz w:val="20"/>
                <w:szCs w:val="20"/>
                <w:lang w:eastAsia="en-GB"/>
              </w:rPr>
            </w:pPr>
          </w:p>
        </w:tc>
        <w:tc>
          <w:tcPr>
            <w:tcW w:w="912" w:type="pct"/>
            <w:tcBorders>
              <w:top w:val="nil"/>
              <w:left w:val="nil"/>
              <w:bottom w:val="nil"/>
              <w:right w:val="nil"/>
            </w:tcBorders>
          </w:tcPr>
          <w:p w14:paraId="43FDD18D" w14:textId="77777777" w:rsidR="004223B4" w:rsidRPr="00B12A72" w:rsidRDefault="004223B4" w:rsidP="001655E0">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Year ended</w:t>
            </w:r>
          </w:p>
        </w:tc>
        <w:tc>
          <w:tcPr>
            <w:tcW w:w="916" w:type="pct"/>
            <w:tcBorders>
              <w:top w:val="nil"/>
              <w:left w:val="nil"/>
              <w:bottom w:val="nil"/>
              <w:right w:val="nil"/>
            </w:tcBorders>
          </w:tcPr>
          <w:p w14:paraId="7B5CDDDE" w14:textId="77777777" w:rsidR="004223B4" w:rsidRPr="00B12A72" w:rsidRDefault="004223B4" w:rsidP="001655E0">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Year ended</w:t>
            </w:r>
          </w:p>
        </w:tc>
      </w:tr>
      <w:tr w:rsidR="004223B4" w:rsidRPr="00B12A72" w14:paraId="27EFA0F3" w14:textId="77777777" w:rsidTr="0024470F">
        <w:trPr>
          <w:trHeight w:val="255"/>
        </w:trPr>
        <w:tc>
          <w:tcPr>
            <w:tcW w:w="3172" w:type="pct"/>
            <w:tcBorders>
              <w:top w:val="nil"/>
              <w:left w:val="nil"/>
              <w:bottom w:val="nil"/>
              <w:right w:val="nil"/>
            </w:tcBorders>
            <w:shd w:val="clear" w:color="auto" w:fill="auto"/>
            <w:noWrap/>
            <w:vAlign w:val="bottom"/>
          </w:tcPr>
          <w:p w14:paraId="27A25075" w14:textId="77777777" w:rsidR="004223B4" w:rsidRPr="00B12A72" w:rsidRDefault="004223B4" w:rsidP="001655E0">
            <w:pPr>
              <w:rPr>
                <w:rFonts w:ascii="Calibri" w:hAnsi="Calibri" w:cs="Arial"/>
                <w:color w:val="404040" w:themeColor="text1" w:themeTint="BF"/>
                <w:sz w:val="20"/>
                <w:szCs w:val="20"/>
                <w:lang w:eastAsia="en-GB"/>
              </w:rPr>
            </w:pPr>
          </w:p>
        </w:tc>
        <w:tc>
          <w:tcPr>
            <w:tcW w:w="912" w:type="pct"/>
            <w:tcBorders>
              <w:top w:val="nil"/>
              <w:left w:val="nil"/>
              <w:bottom w:val="nil"/>
              <w:right w:val="nil"/>
            </w:tcBorders>
          </w:tcPr>
          <w:p w14:paraId="18F56815" w14:textId="727C3965" w:rsidR="004223B4" w:rsidRPr="00B12A72" w:rsidRDefault="004223B4" w:rsidP="00BA4A7F">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916" w:type="pct"/>
            <w:tcBorders>
              <w:top w:val="nil"/>
              <w:left w:val="nil"/>
              <w:bottom w:val="nil"/>
              <w:right w:val="nil"/>
            </w:tcBorders>
          </w:tcPr>
          <w:p w14:paraId="19A69D5C" w14:textId="5745950A" w:rsidR="004223B4" w:rsidRPr="00B12A72" w:rsidRDefault="004223B4" w:rsidP="00BA4A7F">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r w:rsidR="00A821DF" w:rsidRPr="00B12A72">
              <w:rPr>
                <w:rFonts w:ascii="Georgia" w:hAnsi="Georgia" w:cs="Arial"/>
                <w:b/>
                <w:bCs/>
                <w:color w:val="404040" w:themeColor="text1" w:themeTint="BF"/>
                <w:sz w:val="20"/>
                <w:szCs w:val="20"/>
                <w:lang w:eastAsia="en-GB"/>
              </w:rPr>
              <w:t xml:space="preserve"> </w:t>
            </w:r>
          </w:p>
        </w:tc>
      </w:tr>
      <w:tr w:rsidR="004223B4" w:rsidRPr="00B12A72" w14:paraId="324FDDC1" w14:textId="77777777" w:rsidTr="0024470F">
        <w:trPr>
          <w:trHeight w:val="255"/>
        </w:trPr>
        <w:tc>
          <w:tcPr>
            <w:tcW w:w="3172" w:type="pct"/>
            <w:tcBorders>
              <w:top w:val="nil"/>
              <w:left w:val="nil"/>
              <w:bottom w:val="nil"/>
              <w:right w:val="nil"/>
            </w:tcBorders>
            <w:shd w:val="clear" w:color="auto" w:fill="auto"/>
            <w:noWrap/>
            <w:vAlign w:val="center"/>
          </w:tcPr>
          <w:p w14:paraId="2EFE4B8B" w14:textId="77777777" w:rsidR="004223B4" w:rsidRPr="00B12A72" w:rsidRDefault="004223B4" w:rsidP="001655E0">
            <w:pPr>
              <w:rPr>
                <w:rFonts w:ascii="Georgia" w:hAnsi="Georgia" w:cs="Arial"/>
                <w:b/>
                <w:bCs/>
                <w:color w:val="404040" w:themeColor="text1" w:themeTint="BF"/>
                <w:sz w:val="20"/>
                <w:szCs w:val="20"/>
                <w:lang w:eastAsia="en-GB"/>
              </w:rPr>
            </w:pPr>
          </w:p>
        </w:tc>
        <w:tc>
          <w:tcPr>
            <w:tcW w:w="912" w:type="pct"/>
            <w:tcBorders>
              <w:top w:val="nil"/>
              <w:left w:val="nil"/>
              <w:bottom w:val="nil"/>
              <w:right w:val="nil"/>
            </w:tcBorders>
          </w:tcPr>
          <w:p w14:paraId="6CA4CEFD" w14:textId="0C7D71A5" w:rsidR="004223B4" w:rsidRPr="00B12A72" w:rsidRDefault="004223B4" w:rsidP="001655E0">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A822E3">
              <w:rPr>
                <w:rFonts w:ascii="Georgia" w:hAnsi="Georgia" w:cs="Arial"/>
                <w:b/>
                <w:bCs/>
                <w:color w:val="404040" w:themeColor="text1" w:themeTint="BF"/>
                <w:sz w:val="20"/>
                <w:szCs w:val="20"/>
                <w:lang w:eastAsia="en-GB"/>
              </w:rPr>
              <w:t>’000</w:t>
            </w:r>
          </w:p>
        </w:tc>
        <w:tc>
          <w:tcPr>
            <w:tcW w:w="916" w:type="pct"/>
            <w:tcBorders>
              <w:top w:val="nil"/>
              <w:left w:val="nil"/>
              <w:bottom w:val="nil"/>
              <w:right w:val="nil"/>
            </w:tcBorders>
          </w:tcPr>
          <w:p w14:paraId="09A5A24B" w14:textId="564FEDD3" w:rsidR="004223B4" w:rsidRPr="00B12A72" w:rsidRDefault="004223B4" w:rsidP="001655E0">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A822E3">
              <w:rPr>
                <w:rFonts w:ascii="Georgia" w:hAnsi="Georgia" w:cs="Arial"/>
                <w:b/>
                <w:bCs/>
                <w:color w:val="404040" w:themeColor="text1" w:themeTint="BF"/>
                <w:sz w:val="20"/>
                <w:szCs w:val="20"/>
                <w:lang w:eastAsia="en-GB"/>
              </w:rPr>
              <w:t>’000</w:t>
            </w:r>
          </w:p>
        </w:tc>
      </w:tr>
      <w:tr w:rsidR="000E0596" w:rsidRPr="00B12A72" w14:paraId="72C25B6B" w14:textId="77777777" w:rsidTr="00C25651">
        <w:trPr>
          <w:trHeight w:val="270"/>
        </w:trPr>
        <w:tc>
          <w:tcPr>
            <w:tcW w:w="3172" w:type="pct"/>
            <w:tcBorders>
              <w:top w:val="nil"/>
              <w:left w:val="nil"/>
              <w:bottom w:val="nil"/>
              <w:right w:val="nil"/>
            </w:tcBorders>
            <w:shd w:val="clear" w:color="auto" w:fill="auto"/>
            <w:noWrap/>
            <w:vAlign w:val="bottom"/>
          </w:tcPr>
          <w:p w14:paraId="224EE083" w14:textId="7555C038" w:rsidR="000E0596" w:rsidRPr="00B12A72" w:rsidRDefault="000E0596" w:rsidP="000E0596">
            <w:pPr>
              <w:rPr>
                <w:rFonts w:ascii="Georgia" w:hAnsi="Georgia" w:cs="Arial"/>
                <w:color w:val="404040" w:themeColor="text1" w:themeTint="BF"/>
                <w:sz w:val="20"/>
                <w:szCs w:val="20"/>
                <w:lang w:eastAsia="en-GB"/>
              </w:rPr>
            </w:pPr>
            <w:r w:rsidRPr="00B12A72">
              <w:rPr>
                <w:rFonts w:ascii="Georgia" w:hAnsi="Georgia" w:cs="Arial"/>
                <w:color w:val="404040" w:themeColor="text1" w:themeTint="BF"/>
                <w:sz w:val="20"/>
                <w:szCs w:val="20"/>
                <w:lang w:eastAsia="en-GB"/>
              </w:rPr>
              <w:t>Monitoring fee in relation to loans supplied (</w:t>
            </w:r>
            <w:r w:rsidRPr="00AB7DE1">
              <w:rPr>
                <w:rFonts w:ascii="Georgia" w:hAnsi="Georgia" w:cs="Arial"/>
                <w:color w:val="404040" w:themeColor="text1" w:themeTint="BF"/>
                <w:sz w:val="20"/>
                <w:szCs w:val="20"/>
                <w:lang w:eastAsia="en-GB"/>
              </w:rPr>
              <w:t>Note 16)</w:t>
            </w:r>
          </w:p>
        </w:tc>
        <w:tc>
          <w:tcPr>
            <w:tcW w:w="912" w:type="pct"/>
            <w:tcBorders>
              <w:top w:val="nil"/>
              <w:left w:val="nil"/>
              <w:bottom w:val="single" w:sz="4" w:space="0" w:color="auto"/>
              <w:right w:val="nil"/>
            </w:tcBorders>
            <w:vAlign w:val="center"/>
          </w:tcPr>
          <w:p w14:paraId="4707CB8B" w14:textId="30B080ED" w:rsidR="000E0596" w:rsidRPr="00757E93" w:rsidDel="004223B4" w:rsidRDefault="00A822E3" w:rsidP="000E0596">
            <w:pPr>
              <w:jc w:val="right"/>
              <w:rPr>
                <w:rFonts w:ascii="Georgia" w:hAnsi="Georgia" w:cs="Arial"/>
                <w:color w:val="404040" w:themeColor="text1" w:themeTint="BF"/>
                <w:sz w:val="20"/>
                <w:szCs w:val="20"/>
              </w:rPr>
            </w:pPr>
            <w:r w:rsidRPr="00757E93">
              <w:rPr>
                <w:rFonts w:ascii="Georgia" w:hAnsi="Georgia" w:cs="Arial"/>
                <w:color w:val="404040" w:themeColor="text1" w:themeTint="BF"/>
                <w:sz w:val="20"/>
                <w:szCs w:val="20"/>
              </w:rPr>
              <w:t>725</w:t>
            </w:r>
          </w:p>
        </w:tc>
        <w:tc>
          <w:tcPr>
            <w:tcW w:w="916" w:type="pct"/>
            <w:tcBorders>
              <w:top w:val="nil"/>
              <w:left w:val="nil"/>
              <w:bottom w:val="single" w:sz="4" w:space="0" w:color="auto"/>
              <w:right w:val="nil"/>
            </w:tcBorders>
            <w:vAlign w:val="center"/>
          </w:tcPr>
          <w:p w14:paraId="1118780E" w14:textId="021F45D1" w:rsidR="000E0596" w:rsidRPr="00B12A72" w:rsidRDefault="00A822E3" w:rsidP="000E0596">
            <w:pPr>
              <w:jc w:val="right"/>
              <w:rPr>
                <w:rFonts w:ascii="Georgia" w:hAnsi="Georgia" w:cs="Arial"/>
                <w:color w:val="404040" w:themeColor="text1" w:themeTint="BF"/>
                <w:sz w:val="20"/>
                <w:szCs w:val="20"/>
              </w:rPr>
            </w:pPr>
            <w:r>
              <w:rPr>
                <w:rFonts w:ascii="Georgia" w:hAnsi="Georgia" w:cs="Arial"/>
                <w:color w:val="404040" w:themeColor="text1" w:themeTint="BF"/>
                <w:sz w:val="20"/>
                <w:szCs w:val="20"/>
              </w:rPr>
              <w:t>725</w:t>
            </w:r>
          </w:p>
        </w:tc>
      </w:tr>
      <w:tr w:rsidR="000E0596" w:rsidRPr="00B12A72" w14:paraId="38D7B53E" w14:textId="77777777" w:rsidTr="00C25651">
        <w:trPr>
          <w:trHeight w:val="270"/>
        </w:trPr>
        <w:tc>
          <w:tcPr>
            <w:tcW w:w="3172" w:type="pct"/>
            <w:tcBorders>
              <w:top w:val="nil"/>
              <w:left w:val="nil"/>
              <w:bottom w:val="nil"/>
              <w:right w:val="nil"/>
            </w:tcBorders>
            <w:shd w:val="clear" w:color="auto" w:fill="auto"/>
            <w:noWrap/>
            <w:vAlign w:val="bottom"/>
          </w:tcPr>
          <w:p w14:paraId="253A09C4" w14:textId="77777777" w:rsidR="000E0596" w:rsidRPr="00B12A72" w:rsidRDefault="000E0596" w:rsidP="000E0596">
            <w:pPr>
              <w:rPr>
                <w:rFonts w:ascii="Georgia" w:hAnsi="Georgia" w:cs="Arial"/>
                <w:color w:val="404040" w:themeColor="text1" w:themeTint="BF"/>
                <w:sz w:val="20"/>
                <w:szCs w:val="20"/>
                <w:lang w:eastAsia="en-GB"/>
              </w:rPr>
            </w:pPr>
          </w:p>
        </w:tc>
        <w:tc>
          <w:tcPr>
            <w:tcW w:w="912" w:type="pct"/>
            <w:tcBorders>
              <w:top w:val="single" w:sz="4" w:space="0" w:color="auto"/>
              <w:left w:val="nil"/>
              <w:bottom w:val="double" w:sz="4" w:space="0" w:color="auto"/>
              <w:right w:val="nil"/>
            </w:tcBorders>
            <w:vAlign w:val="center"/>
          </w:tcPr>
          <w:p w14:paraId="3E955B47" w14:textId="01AF95A0" w:rsidR="000E0596" w:rsidRPr="00757E93" w:rsidDel="004223B4" w:rsidRDefault="00A822E3" w:rsidP="000E0596">
            <w:pPr>
              <w:jc w:val="right"/>
              <w:rPr>
                <w:rFonts w:ascii="Georgia" w:hAnsi="Georgia" w:cs="Arial"/>
                <w:b/>
                <w:color w:val="404040" w:themeColor="text1" w:themeTint="BF"/>
                <w:sz w:val="20"/>
                <w:szCs w:val="20"/>
              </w:rPr>
            </w:pPr>
            <w:r w:rsidRPr="00757E93">
              <w:rPr>
                <w:rFonts w:ascii="Georgia" w:hAnsi="Georgia" w:cs="Arial"/>
                <w:b/>
                <w:color w:val="404040" w:themeColor="text1" w:themeTint="BF"/>
                <w:sz w:val="20"/>
                <w:szCs w:val="20"/>
              </w:rPr>
              <w:t>725</w:t>
            </w:r>
          </w:p>
        </w:tc>
        <w:tc>
          <w:tcPr>
            <w:tcW w:w="916" w:type="pct"/>
            <w:tcBorders>
              <w:top w:val="single" w:sz="4" w:space="0" w:color="auto"/>
              <w:left w:val="nil"/>
              <w:bottom w:val="double" w:sz="4" w:space="0" w:color="auto"/>
              <w:right w:val="nil"/>
            </w:tcBorders>
            <w:vAlign w:val="center"/>
          </w:tcPr>
          <w:p w14:paraId="02DB79AE" w14:textId="3A3FD106" w:rsidR="000E0596" w:rsidRPr="00B12A72" w:rsidRDefault="000E0596" w:rsidP="00A822E3">
            <w:pPr>
              <w:jc w:val="right"/>
              <w:rPr>
                <w:rFonts w:ascii="Georgia" w:hAnsi="Georgia" w:cs="Arial"/>
                <w:b/>
                <w:color w:val="404040" w:themeColor="text1" w:themeTint="BF"/>
                <w:sz w:val="20"/>
                <w:szCs w:val="20"/>
              </w:rPr>
            </w:pPr>
            <w:r>
              <w:rPr>
                <w:rFonts w:ascii="Georgia" w:hAnsi="Georgia" w:cs="Arial"/>
                <w:b/>
                <w:color w:val="404040" w:themeColor="text1" w:themeTint="BF"/>
                <w:sz w:val="20"/>
                <w:szCs w:val="20"/>
              </w:rPr>
              <w:t>725</w:t>
            </w:r>
          </w:p>
        </w:tc>
      </w:tr>
    </w:tbl>
    <w:p w14:paraId="4650EBBC" w14:textId="77777777" w:rsidR="00A337E0" w:rsidRPr="00B12A72" w:rsidRDefault="00A337E0" w:rsidP="000F51FA">
      <w:pPr>
        <w:rPr>
          <w:color w:val="404040" w:themeColor="text1" w:themeTint="BF"/>
        </w:rPr>
      </w:pPr>
    </w:p>
    <w:p w14:paraId="68277441" w14:textId="295EE914" w:rsidR="00F16B19" w:rsidRDefault="00A67267" w:rsidP="00F16B19">
      <w:pPr>
        <w:rPr>
          <w:rFonts w:ascii="Georgia" w:hAnsi="Georgia"/>
          <w:color w:val="404040" w:themeColor="text1" w:themeTint="BF"/>
          <w:sz w:val="20"/>
          <w:szCs w:val="20"/>
        </w:rPr>
      </w:pPr>
      <w:r>
        <w:rPr>
          <w:rFonts w:ascii="Georgia" w:hAnsi="Georgia"/>
          <w:color w:val="404040" w:themeColor="text1" w:themeTint="BF"/>
          <w:sz w:val="20"/>
          <w:szCs w:val="20"/>
        </w:rPr>
        <w:t>The Company provides monitoring and loan administration services to BSIFIL for which an annual fee is charged, payable in arrears.</w:t>
      </w:r>
    </w:p>
    <w:p w14:paraId="2760FC16" w14:textId="77777777" w:rsidR="000F51FA" w:rsidRDefault="000F51FA" w:rsidP="000F51FA">
      <w:pPr>
        <w:rPr>
          <w:lang w:eastAsia="en-GB"/>
        </w:rPr>
      </w:pPr>
    </w:p>
    <w:p w14:paraId="2EF18AEB" w14:textId="77777777" w:rsidR="009B3F1B" w:rsidRDefault="009B3F1B" w:rsidP="009B3F1B">
      <w:pPr>
        <w:rPr>
          <w:rFonts w:ascii="Georgia" w:hAnsi="Georgia" w:cs="Calibri"/>
          <w:color w:val="404040" w:themeColor="text1" w:themeTint="BF"/>
          <w:sz w:val="20"/>
        </w:rPr>
      </w:pPr>
    </w:p>
    <w:p w14:paraId="39207590" w14:textId="77777777" w:rsidR="00A67267" w:rsidRDefault="00A67267" w:rsidP="009B3F1B">
      <w:pPr>
        <w:rPr>
          <w:rFonts w:ascii="Georgia" w:hAnsi="Georgia" w:cs="Calibri"/>
          <w:color w:val="404040" w:themeColor="text1" w:themeTint="BF"/>
          <w:sz w:val="20"/>
        </w:rPr>
      </w:pPr>
    </w:p>
    <w:p w14:paraId="2D4AF23A" w14:textId="77777777" w:rsidR="00A67267" w:rsidRDefault="00A67267" w:rsidP="009B3F1B">
      <w:pPr>
        <w:rPr>
          <w:rFonts w:ascii="Georgia" w:hAnsi="Georgia" w:cs="Calibri"/>
          <w:color w:val="404040" w:themeColor="text1" w:themeTint="BF"/>
          <w:sz w:val="20"/>
        </w:rPr>
      </w:pPr>
    </w:p>
    <w:p w14:paraId="2F3B578A" w14:textId="77777777" w:rsidR="00A67267" w:rsidRDefault="00A67267" w:rsidP="009B3F1B">
      <w:pPr>
        <w:rPr>
          <w:rFonts w:ascii="Georgia" w:hAnsi="Georgia" w:cs="Calibri"/>
          <w:color w:val="404040" w:themeColor="text1" w:themeTint="BF"/>
          <w:sz w:val="20"/>
        </w:rPr>
      </w:pPr>
    </w:p>
    <w:p w14:paraId="0F8541AF" w14:textId="77777777" w:rsidR="00926F3C" w:rsidRDefault="00926F3C" w:rsidP="009B3F1B">
      <w:pPr>
        <w:rPr>
          <w:rFonts w:ascii="Georgia" w:hAnsi="Georgia" w:cs="Calibri"/>
          <w:color w:val="404040" w:themeColor="text1" w:themeTint="BF"/>
          <w:sz w:val="20"/>
        </w:rPr>
      </w:pPr>
    </w:p>
    <w:p w14:paraId="06358077" w14:textId="77777777" w:rsidR="00926F3C" w:rsidRDefault="00926F3C" w:rsidP="009B3F1B">
      <w:pPr>
        <w:rPr>
          <w:rFonts w:ascii="Georgia" w:hAnsi="Georgia" w:cs="Calibri"/>
          <w:color w:val="404040" w:themeColor="text1" w:themeTint="BF"/>
          <w:sz w:val="20"/>
        </w:rPr>
      </w:pPr>
    </w:p>
    <w:p w14:paraId="4D8DF6F3" w14:textId="77777777" w:rsidR="00926F3C" w:rsidRDefault="00926F3C" w:rsidP="009B3F1B">
      <w:pPr>
        <w:rPr>
          <w:rFonts w:ascii="Georgia" w:hAnsi="Georgia" w:cs="Calibri"/>
          <w:color w:val="404040" w:themeColor="text1" w:themeTint="BF"/>
          <w:sz w:val="20"/>
        </w:rPr>
      </w:pPr>
    </w:p>
    <w:p w14:paraId="5A479813" w14:textId="77777777" w:rsidR="00926F3C" w:rsidRDefault="00926F3C" w:rsidP="009B3F1B">
      <w:pPr>
        <w:rPr>
          <w:rFonts w:ascii="Georgia" w:hAnsi="Georgia" w:cs="Calibri"/>
          <w:color w:val="404040" w:themeColor="text1" w:themeTint="BF"/>
          <w:sz w:val="20"/>
        </w:rPr>
      </w:pPr>
    </w:p>
    <w:p w14:paraId="07A1FBE7" w14:textId="77777777" w:rsidR="00926F3C" w:rsidRDefault="00926F3C" w:rsidP="009B3F1B">
      <w:pPr>
        <w:rPr>
          <w:rFonts w:ascii="Georgia" w:hAnsi="Georgia" w:cs="Calibri"/>
          <w:color w:val="404040" w:themeColor="text1" w:themeTint="BF"/>
          <w:sz w:val="20"/>
        </w:rPr>
      </w:pPr>
    </w:p>
    <w:p w14:paraId="5D02DB04" w14:textId="77777777" w:rsidR="00926F3C" w:rsidRDefault="00926F3C" w:rsidP="009B3F1B">
      <w:pPr>
        <w:rPr>
          <w:rFonts w:ascii="Georgia" w:hAnsi="Georgia" w:cs="Calibri"/>
          <w:color w:val="404040" w:themeColor="text1" w:themeTint="BF"/>
          <w:sz w:val="20"/>
        </w:rPr>
      </w:pPr>
    </w:p>
    <w:p w14:paraId="0A8367ED" w14:textId="77777777" w:rsidR="00B0100A" w:rsidRDefault="00B0100A" w:rsidP="009B3F1B">
      <w:pPr>
        <w:rPr>
          <w:rFonts w:ascii="Georgia" w:hAnsi="Georgia" w:cs="Calibri"/>
          <w:color w:val="404040" w:themeColor="text1" w:themeTint="BF"/>
          <w:sz w:val="20"/>
        </w:rPr>
      </w:pPr>
    </w:p>
    <w:p w14:paraId="6E369635" w14:textId="77777777" w:rsidR="00B0100A" w:rsidRDefault="00B0100A" w:rsidP="009B3F1B">
      <w:pPr>
        <w:rPr>
          <w:rFonts w:ascii="Georgia" w:hAnsi="Georgia" w:cs="Calibri"/>
          <w:color w:val="404040" w:themeColor="text1" w:themeTint="BF"/>
          <w:sz w:val="20"/>
        </w:rPr>
      </w:pPr>
    </w:p>
    <w:p w14:paraId="3F2D686A" w14:textId="77777777" w:rsidR="00B0100A" w:rsidRDefault="00B0100A" w:rsidP="009B3F1B">
      <w:pPr>
        <w:rPr>
          <w:rFonts w:ascii="Georgia" w:hAnsi="Georgia" w:cs="Calibri"/>
          <w:color w:val="404040" w:themeColor="text1" w:themeTint="BF"/>
          <w:sz w:val="20"/>
        </w:rPr>
      </w:pPr>
    </w:p>
    <w:p w14:paraId="6F3D6EE2" w14:textId="53402F30" w:rsidR="00B0100A" w:rsidRDefault="00B0100A" w:rsidP="009B3F1B">
      <w:pPr>
        <w:rPr>
          <w:rFonts w:ascii="Georgia" w:hAnsi="Georgia" w:cs="Calibri"/>
          <w:color w:val="404040" w:themeColor="text1" w:themeTint="BF"/>
          <w:sz w:val="20"/>
        </w:rPr>
      </w:pPr>
    </w:p>
    <w:p w14:paraId="22D3C7B8" w14:textId="77777777" w:rsidR="00B0100A" w:rsidRDefault="00B0100A" w:rsidP="009B3F1B">
      <w:pPr>
        <w:rPr>
          <w:rFonts w:ascii="Georgia" w:hAnsi="Georgia" w:cs="Calibri"/>
          <w:color w:val="404040" w:themeColor="text1" w:themeTint="BF"/>
          <w:sz w:val="20"/>
        </w:rPr>
      </w:pPr>
    </w:p>
    <w:p w14:paraId="31A19BD0" w14:textId="77777777" w:rsidR="00B0100A" w:rsidRDefault="00B0100A" w:rsidP="009B3F1B">
      <w:pPr>
        <w:rPr>
          <w:rFonts w:ascii="Georgia" w:hAnsi="Georgia" w:cs="Calibri"/>
          <w:color w:val="404040" w:themeColor="text1" w:themeTint="BF"/>
          <w:sz w:val="20"/>
        </w:rPr>
      </w:pPr>
    </w:p>
    <w:p w14:paraId="1FE3365C" w14:textId="7D16C7E2" w:rsidR="00B0100A" w:rsidRDefault="00B0100A" w:rsidP="009B3F1B">
      <w:pPr>
        <w:rPr>
          <w:rFonts w:ascii="Georgia" w:hAnsi="Georgia" w:cs="Calibri"/>
          <w:color w:val="404040" w:themeColor="text1" w:themeTint="BF"/>
          <w:sz w:val="20"/>
        </w:rPr>
      </w:pPr>
    </w:p>
    <w:p w14:paraId="6DFF372A" w14:textId="5EF01644" w:rsidR="00970E61" w:rsidRDefault="00970E61" w:rsidP="009B3F1B">
      <w:pPr>
        <w:rPr>
          <w:rFonts w:ascii="Georgia" w:hAnsi="Georgia" w:cs="Calibri"/>
          <w:color w:val="404040" w:themeColor="text1" w:themeTint="BF"/>
          <w:sz w:val="20"/>
        </w:rPr>
      </w:pPr>
    </w:p>
    <w:p w14:paraId="3B93088B" w14:textId="156F6809" w:rsidR="00970E61" w:rsidRDefault="00970E61" w:rsidP="009B3F1B">
      <w:pPr>
        <w:rPr>
          <w:rFonts w:ascii="Georgia" w:hAnsi="Georgia" w:cs="Calibri"/>
          <w:color w:val="404040" w:themeColor="text1" w:themeTint="BF"/>
          <w:sz w:val="20"/>
        </w:rPr>
      </w:pPr>
    </w:p>
    <w:p w14:paraId="6DF6D2F2" w14:textId="3FA6F4CC" w:rsidR="00970E61" w:rsidRDefault="00970E61" w:rsidP="009B3F1B">
      <w:pPr>
        <w:rPr>
          <w:rFonts w:ascii="Georgia" w:hAnsi="Georgia" w:cs="Calibri"/>
          <w:color w:val="404040" w:themeColor="text1" w:themeTint="BF"/>
          <w:sz w:val="20"/>
        </w:rPr>
      </w:pPr>
    </w:p>
    <w:p w14:paraId="030A1D71" w14:textId="531755C7" w:rsidR="00970E61" w:rsidRDefault="00970E61" w:rsidP="009B3F1B">
      <w:pPr>
        <w:rPr>
          <w:rFonts w:ascii="Georgia" w:hAnsi="Georgia" w:cs="Calibri"/>
          <w:color w:val="404040" w:themeColor="text1" w:themeTint="BF"/>
          <w:sz w:val="20"/>
        </w:rPr>
      </w:pPr>
    </w:p>
    <w:p w14:paraId="28A0EF70" w14:textId="3B145E4B" w:rsidR="00970E61" w:rsidRDefault="00970E61" w:rsidP="009B3F1B">
      <w:pPr>
        <w:rPr>
          <w:rFonts w:ascii="Georgia" w:hAnsi="Georgia" w:cs="Calibri"/>
          <w:color w:val="404040" w:themeColor="text1" w:themeTint="BF"/>
          <w:sz w:val="20"/>
        </w:rPr>
      </w:pPr>
    </w:p>
    <w:p w14:paraId="177228DB" w14:textId="77777777" w:rsidR="00195B2C" w:rsidRDefault="00195B2C" w:rsidP="009B3F1B">
      <w:pPr>
        <w:rPr>
          <w:rFonts w:ascii="Georgia" w:hAnsi="Georgia" w:cs="Calibri"/>
          <w:color w:val="404040" w:themeColor="text1" w:themeTint="BF"/>
          <w:sz w:val="20"/>
        </w:rPr>
      </w:pPr>
    </w:p>
    <w:p w14:paraId="036B2820" w14:textId="77777777" w:rsidR="000F51FA" w:rsidRPr="00384BCB" w:rsidRDefault="00E42A95" w:rsidP="000F51FA">
      <w:pPr>
        <w:rPr>
          <w:color w:val="404040" w:themeColor="text1" w:themeTint="BF"/>
          <w:lang w:eastAsia="en-GB"/>
        </w:rPr>
      </w:pPr>
      <w:r w:rsidRPr="00E42A95">
        <w:rPr>
          <w:rFonts w:ascii="Georgia" w:hAnsi="Georgia" w:cs="Calibri"/>
          <w:b/>
          <w:color w:val="404040" w:themeColor="text1" w:themeTint="BF"/>
          <w:sz w:val="20"/>
        </w:rPr>
        <w:lastRenderedPageBreak/>
        <w:t>5. Administrative expenses</w:t>
      </w:r>
    </w:p>
    <w:tbl>
      <w:tblPr>
        <w:tblW w:w="5093" w:type="pct"/>
        <w:tblLook w:val="04A0" w:firstRow="1" w:lastRow="0" w:firstColumn="1" w:lastColumn="0" w:noHBand="0" w:noVBand="1"/>
      </w:tblPr>
      <w:tblGrid>
        <w:gridCol w:w="5761"/>
        <w:gridCol w:w="2139"/>
        <w:gridCol w:w="1634"/>
      </w:tblGrid>
      <w:tr w:rsidR="004223B4" w:rsidRPr="00384BCB" w14:paraId="4937552C" w14:textId="77777777" w:rsidTr="00C56E3E">
        <w:trPr>
          <w:trHeight w:val="255"/>
        </w:trPr>
        <w:tc>
          <w:tcPr>
            <w:tcW w:w="3021" w:type="pct"/>
            <w:tcBorders>
              <w:top w:val="nil"/>
              <w:left w:val="nil"/>
              <w:bottom w:val="nil"/>
              <w:right w:val="nil"/>
            </w:tcBorders>
            <w:shd w:val="clear" w:color="auto" w:fill="auto"/>
            <w:noWrap/>
            <w:vAlign w:val="bottom"/>
          </w:tcPr>
          <w:p w14:paraId="40EF036E" w14:textId="77777777" w:rsidR="004223B4" w:rsidRPr="00384BCB" w:rsidRDefault="004223B4" w:rsidP="00DF7545">
            <w:pPr>
              <w:rPr>
                <w:rFonts w:ascii="Georgia" w:hAnsi="Georgia" w:cs="Arial"/>
                <w:color w:val="404040" w:themeColor="text1" w:themeTint="BF"/>
                <w:sz w:val="20"/>
                <w:szCs w:val="20"/>
                <w:lang w:eastAsia="en-GB"/>
              </w:rPr>
            </w:pPr>
          </w:p>
        </w:tc>
        <w:tc>
          <w:tcPr>
            <w:tcW w:w="1122" w:type="pct"/>
            <w:tcBorders>
              <w:top w:val="nil"/>
              <w:left w:val="nil"/>
              <w:bottom w:val="nil"/>
              <w:right w:val="nil"/>
            </w:tcBorders>
          </w:tcPr>
          <w:p w14:paraId="2C636875" w14:textId="77777777" w:rsidR="004223B4" w:rsidRPr="00E42A95" w:rsidRDefault="004223B4" w:rsidP="00DF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tc>
        <w:tc>
          <w:tcPr>
            <w:tcW w:w="857" w:type="pct"/>
            <w:tcBorders>
              <w:top w:val="nil"/>
              <w:left w:val="nil"/>
              <w:bottom w:val="nil"/>
              <w:right w:val="nil"/>
            </w:tcBorders>
          </w:tcPr>
          <w:p w14:paraId="7CAB0DA4" w14:textId="77777777" w:rsidR="004223B4" w:rsidRPr="00E42A95" w:rsidRDefault="004223B4" w:rsidP="00DF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tc>
      </w:tr>
      <w:tr w:rsidR="004223B4" w:rsidRPr="00384BCB" w14:paraId="4D0EBF40" w14:textId="77777777" w:rsidTr="00C56E3E">
        <w:trPr>
          <w:trHeight w:val="255"/>
        </w:trPr>
        <w:tc>
          <w:tcPr>
            <w:tcW w:w="3021" w:type="pct"/>
            <w:tcBorders>
              <w:top w:val="nil"/>
              <w:left w:val="nil"/>
              <w:right w:val="nil"/>
            </w:tcBorders>
            <w:shd w:val="clear" w:color="auto" w:fill="auto"/>
            <w:noWrap/>
            <w:vAlign w:val="bottom"/>
          </w:tcPr>
          <w:p w14:paraId="6ACB57EB" w14:textId="77777777" w:rsidR="004223B4" w:rsidRPr="00384BCB" w:rsidRDefault="004223B4" w:rsidP="00DF7545">
            <w:pPr>
              <w:rPr>
                <w:rFonts w:ascii="Georgia" w:hAnsi="Georgia" w:cs="Arial"/>
                <w:color w:val="404040" w:themeColor="text1" w:themeTint="BF"/>
                <w:sz w:val="20"/>
                <w:szCs w:val="20"/>
                <w:lang w:eastAsia="en-GB"/>
              </w:rPr>
            </w:pPr>
          </w:p>
        </w:tc>
        <w:tc>
          <w:tcPr>
            <w:tcW w:w="1122" w:type="pct"/>
            <w:tcBorders>
              <w:top w:val="nil"/>
              <w:left w:val="nil"/>
              <w:right w:val="nil"/>
            </w:tcBorders>
          </w:tcPr>
          <w:p w14:paraId="15F8B188" w14:textId="3F623CC6" w:rsidR="004223B4" w:rsidRPr="00E42A95" w:rsidRDefault="004223B4" w:rsidP="00BA4A7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857" w:type="pct"/>
            <w:tcBorders>
              <w:top w:val="nil"/>
              <w:left w:val="nil"/>
              <w:right w:val="nil"/>
            </w:tcBorders>
          </w:tcPr>
          <w:p w14:paraId="00BF7C43" w14:textId="211CDAE6" w:rsidR="004223B4" w:rsidRPr="00E42A95" w:rsidRDefault="004223B4" w:rsidP="00BA4A7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r w:rsidR="00A821DF">
              <w:rPr>
                <w:rFonts w:ascii="Georgia" w:hAnsi="Georgia" w:cs="Arial"/>
                <w:b/>
                <w:bCs/>
                <w:color w:val="404040" w:themeColor="text1" w:themeTint="BF"/>
                <w:sz w:val="20"/>
                <w:szCs w:val="20"/>
                <w:lang w:eastAsia="en-GB"/>
              </w:rPr>
              <w:t xml:space="preserve"> </w:t>
            </w:r>
          </w:p>
        </w:tc>
      </w:tr>
      <w:tr w:rsidR="004223B4" w:rsidRPr="00384BCB" w14:paraId="78B8D391" w14:textId="77777777" w:rsidTr="00C56E3E">
        <w:trPr>
          <w:trHeight w:val="255"/>
        </w:trPr>
        <w:tc>
          <w:tcPr>
            <w:tcW w:w="3021" w:type="pct"/>
            <w:tcBorders>
              <w:top w:val="nil"/>
              <w:left w:val="nil"/>
              <w:bottom w:val="single" w:sz="8" w:space="0" w:color="auto"/>
              <w:right w:val="nil"/>
            </w:tcBorders>
            <w:shd w:val="clear" w:color="auto" w:fill="auto"/>
            <w:noWrap/>
            <w:vAlign w:val="bottom"/>
          </w:tcPr>
          <w:p w14:paraId="49CBDAD5" w14:textId="77777777" w:rsidR="004223B4" w:rsidRPr="00384BCB" w:rsidRDefault="004223B4" w:rsidP="00DF7545">
            <w:pPr>
              <w:rPr>
                <w:rFonts w:ascii="Georgia" w:hAnsi="Georgia" w:cs="Arial"/>
                <w:color w:val="404040" w:themeColor="text1" w:themeTint="BF"/>
                <w:sz w:val="20"/>
                <w:szCs w:val="20"/>
                <w:lang w:eastAsia="en-GB"/>
              </w:rPr>
            </w:pPr>
          </w:p>
        </w:tc>
        <w:tc>
          <w:tcPr>
            <w:tcW w:w="1122" w:type="pct"/>
            <w:tcBorders>
              <w:top w:val="nil"/>
              <w:left w:val="nil"/>
              <w:bottom w:val="single" w:sz="8" w:space="0" w:color="auto"/>
              <w:right w:val="nil"/>
            </w:tcBorders>
          </w:tcPr>
          <w:p w14:paraId="2C9707DB" w14:textId="7ED94DEB" w:rsidR="004223B4" w:rsidRPr="00E42A95" w:rsidRDefault="004223B4" w:rsidP="00DF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1E750D">
              <w:rPr>
                <w:rFonts w:ascii="Georgia" w:hAnsi="Georgia" w:cs="Arial"/>
                <w:b/>
                <w:bCs/>
                <w:color w:val="404040" w:themeColor="text1" w:themeTint="BF"/>
                <w:sz w:val="20"/>
                <w:szCs w:val="20"/>
                <w:lang w:eastAsia="en-GB"/>
              </w:rPr>
              <w:t>’000</w:t>
            </w:r>
          </w:p>
        </w:tc>
        <w:tc>
          <w:tcPr>
            <w:tcW w:w="857" w:type="pct"/>
            <w:tcBorders>
              <w:top w:val="nil"/>
              <w:left w:val="nil"/>
              <w:bottom w:val="single" w:sz="8" w:space="0" w:color="auto"/>
              <w:right w:val="nil"/>
            </w:tcBorders>
          </w:tcPr>
          <w:p w14:paraId="3915144E" w14:textId="4EC0054A" w:rsidR="004223B4" w:rsidRPr="00E42A95" w:rsidRDefault="004223B4" w:rsidP="00DF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1E750D">
              <w:rPr>
                <w:rFonts w:ascii="Georgia" w:hAnsi="Georgia" w:cs="Arial"/>
                <w:b/>
                <w:bCs/>
                <w:color w:val="404040" w:themeColor="text1" w:themeTint="BF"/>
                <w:sz w:val="20"/>
                <w:szCs w:val="20"/>
                <w:lang w:eastAsia="en-GB"/>
              </w:rPr>
              <w:t>’000</w:t>
            </w:r>
          </w:p>
        </w:tc>
      </w:tr>
      <w:tr w:rsidR="001E750D" w:rsidRPr="00384BCB" w14:paraId="581222C9" w14:textId="77777777" w:rsidTr="00C56E3E">
        <w:trPr>
          <w:trHeight w:val="320"/>
        </w:trPr>
        <w:tc>
          <w:tcPr>
            <w:tcW w:w="3021" w:type="pct"/>
            <w:tcBorders>
              <w:top w:val="single" w:sz="8" w:space="0" w:color="auto"/>
              <w:left w:val="nil"/>
              <w:bottom w:val="nil"/>
              <w:right w:val="nil"/>
            </w:tcBorders>
            <w:shd w:val="clear" w:color="auto" w:fill="auto"/>
            <w:noWrap/>
            <w:vAlign w:val="center"/>
          </w:tcPr>
          <w:p w14:paraId="65995CB5" w14:textId="779786DD"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xml:space="preserve">Investment advisory </w:t>
            </w:r>
            <w:r>
              <w:rPr>
                <w:rFonts w:ascii="Georgia" w:hAnsi="Georgia" w:cs="Arial"/>
                <w:color w:val="404040" w:themeColor="text1" w:themeTint="BF"/>
                <w:sz w:val="20"/>
                <w:szCs w:val="20"/>
                <w:lang w:eastAsia="en-GB"/>
              </w:rPr>
              <w:t>base fee * (see Note 16)</w:t>
            </w:r>
          </w:p>
        </w:tc>
        <w:tc>
          <w:tcPr>
            <w:tcW w:w="1122" w:type="pct"/>
            <w:tcBorders>
              <w:top w:val="single" w:sz="8" w:space="0" w:color="auto"/>
              <w:left w:val="nil"/>
              <w:bottom w:val="nil"/>
              <w:right w:val="nil"/>
            </w:tcBorders>
            <w:vAlign w:val="center"/>
          </w:tcPr>
          <w:p w14:paraId="47866F7C" w14:textId="3DFCACA8" w:rsidR="001E750D" w:rsidRPr="00C56E3E" w:rsidRDefault="001E750D" w:rsidP="00757E93">
            <w:pPr>
              <w:jc w:val="right"/>
              <w:rPr>
                <w:rFonts w:ascii="Georgia" w:hAnsi="Georgia"/>
                <w:color w:val="404040"/>
                <w:sz w:val="20"/>
                <w:highlight w:val="yellow"/>
              </w:rPr>
            </w:pPr>
            <w:r w:rsidRPr="00757E93">
              <w:rPr>
                <w:rFonts w:ascii="Georgia" w:hAnsi="Georgia"/>
                <w:color w:val="404040"/>
                <w:sz w:val="20"/>
              </w:rPr>
              <w:t>3</w:t>
            </w:r>
            <w:r w:rsidR="00757E93" w:rsidRPr="00757E93">
              <w:rPr>
                <w:rFonts w:ascii="Georgia" w:hAnsi="Georgia"/>
                <w:color w:val="404040"/>
                <w:sz w:val="20"/>
              </w:rPr>
              <w:t>21</w:t>
            </w:r>
          </w:p>
        </w:tc>
        <w:tc>
          <w:tcPr>
            <w:tcW w:w="857" w:type="pct"/>
            <w:tcBorders>
              <w:top w:val="single" w:sz="8" w:space="0" w:color="auto"/>
              <w:left w:val="nil"/>
              <w:bottom w:val="nil"/>
              <w:right w:val="nil"/>
            </w:tcBorders>
            <w:vAlign w:val="center"/>
          </w:tcPr>
          <w:p w14:paraId="0B6FB8D3" w14:textId="5E346497"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313</w:t>
            </w:r>
          </w:p>
        </w:tc>
      </w:tr>
      <w:tr w:rsidR="001E750D" w:rsidRPr="00384BCB" w14:paraId="59AF6E6F" w14:textId="77777777" w:rsidTr="00C56E3E">
        <w:trPr>
          <w:trHeight w:val="320"/>
        </w:trPr>
        <w:tc>
          <w:tcPr>
            <w:tcW w:w="3021" w:type="pct"/>
            <w:tcBorders>
              <w:top w:val="nil"/>
              <w:left w:val="nil"/>
              <w:bottom w:val="nil"/>
              <w:right w:val="nil"/>
            </w:tcBorders>
            <w:shd w:val="clear" w:color="auto" w:fill="auto"/>
            <w:noWrap/>
            <w:vAlign w:val="center"/>
          </w:tcPr>
          <w:p w14:paraId="7589F36C" w14:textId="65F64697" w:rsidR="001E750D" w:rsidRPr="00E42A95"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xml:space="preserve">Investment advisory </w:t>
            </w:r>
            <w:r>
              <w:rPr>
                <w:rFonts w:ascii="Georgia" w:hAnsi="Georgia" w:cs="Arial"/>
                <w:color w:val="404040" w:themeColor="text1" w:themeTint="BF"/>
                <w:sz w:val="20"/>
                <w:szCs w:val="20"/>
                <w:lang w:eastAsia="en-GB"/>
              </w:rPr>
              <w:t>variable fee (see Note 16)</w:t>
            </w:r>
          </w:p>
        </w:tc>
        <w:tc>
          <w:tcPr>
            <w:tcW w:w="1122" w:type="pct"/>
            <w:tcBorders>
              <w:top w:val="nil"/>
              <w:left w:val="nil"/>
              <w:bottom w:val="nil"/>
              <w:right w:val="nil"/>
            </w:tcBorders>
            <w:vAlign w:val="center"/>
          </w:tcPr>
          <w:p w14:paraId="484C7ED4" w14:textId="1D0D21A8" w:rsidR="001E750D" w:rsidRPr="00757E93" w:rsidRDefault="00757E93" w:rsidP="001E750D">
            <w:pPr>
              <w:jc w:val="right"/>
              <w:rPr>
                <w:rFonts w:ascii="Georgia" w:hAnsi="Georgia"/>
                <w:color w:val="404040"/>
                <w:sz w:val="20"/>
              </w:rPr>
            </w:pPr>
            <w:r w:rsidRPr="00757E93">
              <w:rPr>
                <w:rFonts w:ascii="Georgia" w:hAnsi="Georgia"/>
                <w:color w:val="404040"/>
                <w:sz w:val="20"/>
              </w:rPr>
              <w:t>-</w:t>
            </w:r>
          </w:p>
        </w:tc>
        <w:tc>
          <w:tcPr>
            <w:tcW w:w="857" w:type="pct"/>
            <w:tcBorders>
              <w:top w:val="nil"/>
              <w:left w:val="nil"/>
              <w:bottom w:val="nil"/>
              <w:right w:val="nil"/>
            </w:tcBorders>
            <w:vAlign w:val="center"/>
          </w:tcPr>
          <w:p w14:paraId="39AA69F3" w14:textId="7E7EB8EA" w:rsidR="001E750D" w:rsidRPr="001E750D" w:rsidRDefault="001E750D" w:rsidP="001E750D">
            <w:pPr>
              <w:jc w:val="right"/>
              <w:rPr>
                <w:rFonts w:ascii="Georgia" w:hAnsi="Georgia"/>
                <w:color w:val="404040"/>
                <w:sz w:val="20"/>
              </w:rPr>
            </w:pPr>
            <w:r w:rsidRPr="001E750D">
              <w:rPr>
                <w:rFonts w:ascii="Georgia" w:hAnsi="Georgia"/>
                <w:color w:val="404040"/>
                <w:sz w:val="20"/>
              </w:rPr>
              <w:t>699</w:t>
            </w:r>
          </w:p>
        </w:tc>
      </w:tr>
      <w:tr w:rsidR="001E750D" w:rsidRPr="00384BCB" w14:paraId="3929887A" w14:textId="77777777" w:rsidTr="00C56E3E">
        <w:trPr>
          <w:trHeight w:val="320"/>
        </w:trPr>
        <w:tc>
          <w:tcPr>
            <w:tcW w:w="3021" w:type="pct"/>
            <w:tcBorders>
              <w:top w:val="nil"/>
              <w:left w:val="nil"/>
              <w:bottom w:val="nil"/>
              <w:right w:val="nil"/>
            </w:tcBorders>
            <w:shd w:val="clear" w:color="auto" w:fill="auto"/>
            <w:noWrap/>
            <w:vAlign w:val="center"/>
          </w:tcPr>
          <w:p w14:paraId="4ACD5255" w14:textId="1ED2333F"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Legal and professional fees</w:t>
            </w:r>
          </w:p>
        </w:tc>
        <w:tc>
          <w:tcPr>
            <w:tcW w:w="1122" w:type="pct"/>
            <w:tcBorders>
              <w:top w:val="nil"/>
              <w:left w:val="nil"/>
              <w:bottom w:val="nil"/>
              <w:right w:val="nil"/>
            </w:tcBorders>
            <w:vAlign w:val="center"/>
          </w:tcPr>
          <w:p w14:paraId="41DC7480" w14:textId="1917749D" w:rsidR="001E750D" w:rsidRPr="00757E93" w:rsidRDefault="00757E93" w:rsidP="001E750D">
            <w:pPr>
              <w:jc w:val="right"/>
              <w:rPr>
                <w:rFonts w:ascii="Georgia" w:hAnsi="Georgia"/>
                <w:color w:val="404040"/>
                <w:sz w:val="20"/>
              </w:rPr>
            </w:pPr>
            <w:r w:rsidRPr="00757E93">
              <w:rPr>
                <w:rFonts w:ascii="Georgia" w:hAnsi="Georgia"/>
                <w:color w:val="404040"/>
                <w:sz w:val="20"/>
              </w:rPr>
              <w:t>108</w:t>
            </w:r>
          </w:p>
        </w:tc>
        <w:tc>
          <w:tcPr>
            <w:tcW w:w="857" w:type="pct"/>
            <w:tcBorders>
              <w:top w:val="nil"/>
              <w:left w:val="nil"/>
              <w:bottom w:val="nil"/>
              <w:right w:val="nil"/>
            </w:tcBorders>
            <w:vAlign w:val="center"/>
          </w:tcPr>
          <w:p w14:paraId="416E2260" w14:textId="46A3C023"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145</w:t>
            </w:r>
          </w:p>
        </w:tc>
      </w:tr>
      <w:tr w:rsidR="001E750D" w:rsidRPr="00384BCB" w14:paraId="75EC22FD" w14:textId="77777777" w:rsidTr="00C56E3E">
        <w:trPr>
          <w:trHeight w:val="320"/>
        </w:trPr>
        <w:tc>
          <w:tcPr>
            <w:tcW w:w="3021" w:type="pct"/>
            <w:tcBorders>
              <w:top w:val="nil"/>
              <w:left w:val="nil"/>
              <w:bottom w:val="nil"/>
              <w:right w:val="nil"/>
            </w:tcBorders>
            <w:shd w:val="clear" w:color="auto" w:fill="auto"/>
            <w:noWrap/>
            <w:vAlign w:val="center"/>
          </w:tcPr>
          <w:p w14:paraId="096594BA"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 xml:space="preserve">Administration fees </w:t>
            </w:r>
          </w:p>
        </w:tc>
        <w:tc>
          <w:tcPr>
            <w:tcW w:w="1122" w:type="pct"/>
            <w:tcBorders>
              <w:top w:val="nil"/>
              <w:left w:val="nil"/>
              <w:bottom w:val="nil"/>
              <w:right w:val="nil"/>
            </w:tcBorders>
            <w:vAlign w:val="center"/>
          </w:tcPr>
          <w:p w14:paraId="19076656" w14:textId="0DC6941D" w:rsidR="001E750D" w:rsidRPr="00757E93" w:rsidRDefault="00757E93" w:rsidP="001E750D">
            <w:pPr>
              <w:jc w:val="right"/>
              <w:rPr>
                <w:rFonts w:ascii="Georgia" w:hAnsi="Georgia"/>
                <w:color w:val="404040"/>
                <w:sz w:val="20"/>
              </w:rPr>
            </w:pPr>
            <w:r w:rsidRPr="00757E93">
              <w:rPr>
                <w:rFonts w:ascii="Georgia" w:hAnsi="Georgia"/>
                <w:color w:val="404040"/>
                <w:sz w:val="20"/>
              </w:rPr>
              <w:t>302</w:t>
            </w:r>
          </w:p>
        </w:tc>
        <w:tc>
          <w:tcPr>
            <w:tcW w:w="857" w:type="pct"/>
            <w:tcBorders>
              <w:top w:val="nil"/>
              <w:left w:val="nil"/>
              <w:bottom w:val="nil"/>
              <w:right w:val="nil"/>
            </w:tcBorders>
            <w:vAlign w:val="center"/>
          </w:tcPr>
          <w:p w14:paraId="4BED9EA6" w14:textId="3D9ED9DA"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292</w:t>
            </w:r>
          </w:p>
        </w:tc>
      </w:tr>
      <w:tr w:rsidR="001E750D" w:rsidRPr="00384BCB" w14:paraId="720C47CB" w14:textId="77777777" w:rsidTr="00C56E3E">
        <w:trPr>
          <w:trHeight w:val="320"/>
        </w:trPr>
        <w:tc>
          <w:tcPr>
            <w:tcW w:w="3021" w:type="pct"/>
            <w:tcBorders>
              <w:top w:val="nil"/>
              <w:left w:val="nil"/>
              <w:bottom w:val="nil"/>
              <w:right w:val="nil"/>
            </w:tcBorders>
            <w:shd w:val="clear" w:color="auto" w:fill="auto"/>
            <w:noWrap/>
            <w:vAlign w:val="center"/>
          </w:tcPr>
          <w:p w14:paraId="7F073832"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Directors’ remuneration</w:t>
            </w:r>
          </w:p>
        </w:tc>
        <w:tc>
          <w:tcPr>
            <w:tcW w:w="1122" w:type="pct"/>
            <w:tcBorders>
              <w:top w:val="nil"/>
              <w:left w:val="nil"/>
              <w:bottom w:val="nil"/>
              <w:right w:val="nil"/>
            </w:tcBorders>
            <w:vAlign w:val="center"/>
          </w:tcPr>
          <w:p w14:paraId="5303D2C5" w14:textId="3E245E1B" w:rsidR="001E750D" w:rsidRPr="00757E93" w:rsidRDefault="00757E93" w:rsidP="00E64292">
            <w:pPr>
              <w:jc w:val="right"/>
              <w:rPr>
                <w:rFonts w:ascii="Georgia" w:hAnsi="Georgia"/>
                <w:color w:val="404040"/>
                <w:sz w:val="20"/>
              </w:rPr>
            </w:pPr>
            <w:r w:rsidRPr="00757E93">
              <w:rPr>
                <w:rFonts w:ascii="Georgia" w:hAnsi="Georgia"/>
                <w:color w:val="404040"/>
                <w:sz w:val="20"/>
              </w:rPr>
              <w:t>21</w:t>
            </w:r>
            <w:r w:rsidR="00A3432C">
              <w:rPr>
                <w:rFonts w:ascii="Georgia" w:hAnsi="Georgia"/>
                <w:color w:val="404040"/>
                <w:sz w:val="20"/>
              </w:rPr>
              <w:t>8</w:t>
            </w:r>
          </w:p>
        </w:tc>
        <w:tc>
          <w:tcPr>
            <w:tcW w:w="857" w:type="pct"/>
            <w:tcBorders>
              <w:top w:val="nil"/>
              <w:left w:val="nil"/>
              <w:bottom w:val="nil"/>
              <w:right w:val="nil"/>
            </w:tcBorders>
            <w:vAlign w:val="center"/>
          </w:tcPr>
          <w:p w14:paraId="54B9AC1A" w14:textId="48A51B13"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189</w:t>
            </w:r>
          </w:p>
        </w:tc>
      </w:tr>
      <w:tr w:rsidR="001E750D" w:rsidRPr="00384BCB" w14:paraId="4EFDFCCF" w14:textId="77777777" w:rsidTr="00C56E3E">
        <w:trPr>
          <w:trHeight w:val="320"/>
        </w:trPr>
        <w:tc>
          <w:tcPr>
            <w:tcW w:w="3021" w:type="pct"/>
            <w:tcBorders>
              <w:top w:val="nil"/>
              <w:left w:val="nil"/>
              <w:bottom w:val="nil"/>
              <w:right w:val="nil"/>
            </w:tcBorders>
            <w:shd w:val="clear" w:color="auto" w:fill="auto"/>
            <w:noWrap/>
            <w:vAlign w:val="center"/>
          </w:tcPr>
          <w:p w14:paraId="5C2B3B98"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Audit fees</w:t>
            </w:r>
          </w:p>
        </w:tc>
        <w:tc>
          <w:tcPr>
            <w:tcW w:w="1122" w:type="pct"/>
            <w:tcBorders>
              <w:top w:val="nil"/>
              <w:left w:val="nil"/>
              <w:bottom w:val="nil"/>
              <w:right w:val="nil"/>
            </w:tcBorders>
            <w:vAlign w:val="center"/>
          </w:tcPr>
          <w:p w14:paraId="019A1203" w14:textId="6F8CD5DD" w:rsidR="001E750D" w:rsidRPr="00757E93" w:rsidRDefault="00757E93" w:rsidP="001E750D">
            <w:pPr>
              <w:jc w:val="right"/>
              <w:rPr>
                <w:rFonts w:ascii="Georgia" w:hAnsi="Georgia"/>
                <w:color w:val="404040"/>
                <w:sz w:val="20"/>
              </w:rPr>
            </w:pPr>
            <w:r w:rsidRPr="00757E93">
              <w:rPr>
                <w:rFonts w:ascii="Georgia" w:hAnsi="Georgia"/>
                <w:color w:val="404040"/>
                <w:sz w:val="20"/>
              </w:rPr>
              <w:t>134</w:t>
            </w:r>
          </w:p>
        </w:tc>
        <w:tc>
          <w:tcPr>
            <w:tcW w:w="857" w:type="pct"/>
            <w:tcBorders>
              <w:top w:val="nil"/>
              <w:left w:val="nil"/>
              <w:bottom w:val="nil"/>
              <w:right w:val="nil"/>
            </w:tcBorders>
            <w:vAlign w:val="center"/>
          </w:tcPr>
          <w:p w14:paraId="0EB19DC3" w14:textId="57F40688"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95</w:t>
            </w:r>
          </w:p>
        </w:tc>
      </w:tr>
      <w:tr w:rsidR="001E750D" w:rsidRPr="00384BCB" w14:paraId="4FF03B68" w14:textId="77777777" w:rsidTr="00C56E3E">
        <w:trPr>
          <w:trHeight w:val="320"/>
        </w:trPr>
        <w:tc>
          <w:tcPr>
            <w:tcW w:w="3021" w:type="pct"/>
            <w:tcBorders>
              <w:top w:val="nil"/>
              <w:left w:val="nil"/>
              <w:bottom w:val="nil"/>
              <w:right w:val="nil"/>
            </w:tcBorders>
            <w:shd w:val="clear" w:color="auto" w:fill="auto"/>
            <w:noWrap/>
            <w:vAlign w:val="center"/>
          </w:tcPr>
          <w:p w14:paraId="00D874AC" w14:textId="5198FFBE"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Non-audit fees</w:t>
            </w:r>
            <w:r>
              <w:rPr>
                <w:rFonts w:ascii="Georgia" w:hAnsi="Georgia" w:cs="Arial"/>
                <w:color w:val="404040" w:themeColor="text1" w:themeTint="BF"/>
                <w:sz w:val="20"/>
                <w:szCs w:val="20"/>
                <w:lang w:eastAsia="en-GB"/>
              </w:rPr>
              <w:t xml:space="preserve"> </w:t>
            </w:r>
          </w:p>
        </w:tc>
        <w:tc>
          <w:tcPr>
            <w:tcW w:w="1122" w:type="pct"/>
            <w:tcBorders>
              <w:top w:val="nil"/>
              <w:left w:val="nil"/>
              <w:bottom w:val="nil"/>
              <w:right w:val="nil"/>
            </w:tcBorders>
            <w:vAlign w:val="center"/>
          </w:tcPr>
          <w:p w14:paraId="0B008FA7" w14:textId="006B9F6D" w:rsidR="001E750D" w:rsidRPr="00757E93" w:rsidRDefault="00757E93" w:rsidP="001E750D">
            <w:pPr>
              <w:jc w:val="right"/>
              <w:rPr>
                <w:rFonts w:ascii="Georgia" w:hAnsi="Georgia"/>
                <w:color w:val="404040"/>
                <w:sz w:val="20"/>
              </w:rPr>
            </w:pPr>
            <w:r w:rsidRPr="00757E93">
              <w:rPr>
                <w:rFonts w:ascii="Georgia" w:hAnsi="Georgia"/>
                <w:color w:val="404040"/>
                <w:sz w:val="20"/>
              </w:rPr>
              <w:t>17</w:t>
            </w:r>
          </w:p>
        </w:tc>
        <w:tc>
          <w:tcPr>
            <w:tcW w:w="857" w:type="pct"/>
            <w:tcBorders>
              <w:top w:val="nil"/>
              <w:left w:val="nil"/>
              <w:bottom w:val="nil"/>
              <w:right w:val="nil"/>
            </w:tcBorders>
            <w:vAlign w:val="center"/>
          </w:tcPr>
          <w:p w14:paraId="2F93B0BE" w14:textId="1611119A"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22</w:t>
            </w:r>
          </w:p>
        </w:tc>
      </w:tr>
      <w:tr w:rsidR="001E750D" w:rsidRPr="00384BCB" w14:paraId="34214FDB" w14:textId="77777777" w:rsidTr="00C56E3E">
        <w:trPr>
          <w:trHeight w:val="320"/>
        </w:trPr>
        <w:tc>
          <w:tcPr>
            <w:tcW w:w="3021" w:type="pct"/>
            <w:tcBorders>
              <w:top w:val="nil"/>
              <w:left w:val="nil"/>
              <w:bottom w:val="nil"/>
              <w:right w:val="nil"/>
            </w:tcBorders>
            <w:shd w:val="clear" w:color="auto" w:fill="auto"/>
            <w:noWrap/>
            <w:vAlign w:val="center"/>
          </w:tcPr>
          <w:p w14:paraId="4E23E6D3"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Broker fees</w:t>
            </w:r>
          </w:p>
        </w:tc>
        <w:tc>
          <w:tcPr>
            <w:tcW w:w="1122" w:type="pct"/>
            <w:tcBorders>
              <w:top w:val="nil"/>
              <w:left w:val="nil"/>
              <w:bottom w:val="nil"/>
              <w:right w:val="nil"/>
            </w:tcBorders>
            <w:vAlign w:val="center"/>
          </w:tcPr>
          <w:p w14:paraId="525B0D4F" w14:textId="6158CC86" w:rsidR="001E750D" w:rsidRPr="00757E93" w:rsidRDefault="001E750D" w:rsidP="001E750D">
            <w:pPr>
              <w:jc w:val="right"/>
              <w:rPr>
                <w:rFonts w:ascii="Georgia" w:hAnsi="Georgia"/>
                <w:color w:val="404040"/>
                <w:sz w:val="20"/>
              </w:rPr>
            </w:pPr>
            <w:r w:rsidRPr="00757E93">
              <w:rPr>
                <w:rFonts w:ascii="Georgia" w:hAnsi="Georgia"/>
                <w:color w:val="404040"/>
                <w:sz w:val="20"/>
              </w:rPr>
              <w:t>50</w:t>
            </w:r>
          </w:p>
        </w:tc>
        <w:tc>
          <w:tcPr>
            <w:tcW w:w="857" w:type="pct"/>
            <w:tcBorders>
              <w:top w:val="nil"/>
              <w:left w:val="nil"/>
              <w:bottom w:val="nil"/>
              <w:right w:val="nil"/>
            </w:tcBorders>
            <w:vAlign w:val="center"/>
          </w:tcPr>
          <w:p w14:paraId="0A1A75AE" w14:textId="66093D55"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50</w:t>
            </w:r>
          </w:p>
        </w:tc>
      </w:tr>
      <w:tr w:rsidR="001E750D" w:rsidRPr="00384BCB" w14:paraId="33D91859" w14:textId="77777777" w:rsidTr="00C56E3E">
        <w:trPr>
          <w:trHeight w:val="320"/>
        </w:trPr>
        <w:tc>
          <w:tcPr>
            <w:tcW w:w="3021" w:type="pct"/>
            <w:tcBorders>
              <w:top w:val="nil"/>
              <w:left w:val="nil"/>
              <w:bottom w:val="nil"/>
              <w:right w:val="nil"/>
            </w:tcBorders>
            <w:shd w:val="clear" w:color="auto" w:fill="auto"/>
            <w:noWrap/>
            <w:vAlign w:val="center"/>
          </w:tcPr>
          <w:p w14:paraId="7D014E82" w14:textId="699EEA5F"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Regulatory Fees</w:t>
            </w:r>
          </w:p>
        </w:tc>
        <w:tc>
          <w:tcPr>
            <w:tcW w:w="1122" w:type="pct"/>
            <w:tcBorders>
              <w:top w:val="nil"/>
              <w:left w:val="nil"/>
              <w:bottom w:val="nil"/>
              <w:right w:val="nil"/>
            </w:tcBorders>
            <w:vAlign w:val="center"/>
          </w:tcPr>
          <w:p w14:paraId="362DDC25" w14:textId="056E74DA" w:rsidR="001E750D" w:rsidRPr="00757E93" w:rsidRDefault="00A3432C" w:rsidP="001E750D">
            <w:pPr>
              <w:jc w:val="right"/>
              <w:rPr>
                <w:rFonts w:ascii="Georgia" w:hAnsi="Georgia"/>
                <w:color w:val="404040"/>
                <w:sz w:val="20"/>
              </w:rPr>
            </w:pPr>
            <w:r>
              <w:rPr>
                <w:rFonts w:ascii="Georgia" w:hAnsi="Georgia"/>
                <w:color w:val="404040"/>
                <w:sz w:val="20"/>
              </w:rPr>
              <w:t>44</w:t>
            </w:r>
          </w:p>
        </w:tc>
        <w:tc>
          <w:tcPr>
            <w:tcW w:w="857" w:type="pct"/>
            <w:tcBorders>
              <w:top w:val="nil"/>
              <w:left w:val="nil"/>
              <w:bottom w:val="nil"/>
              <w:right w:val="nil"/>
            </w:tcBorders>
            <w:vAlign w:val="center"/>
          </w:tcPr>
          <w:p w14:paraId="1863484B" w14:textId="32AE3FC2"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43</w:t>
            </w:r>
          </w:p>
        </w:tc>
      </w:tr>
      <w:tr w:rsidR="001E750D" w:rsidRPr="00384BCB" w14:paraId="77FFB7E3" w14:textId="77777777" w:rsidTr="00C56E3E">
        <w:trPr>
          <w:trHeight w:val="320"/>
        </w:trPr>
        <w:tc>
          <w:tcPr>
            <w:tcW w:w="3021" w:type="pct"/>
            <w:tcBorders>
              <w:top w:val="nil"/>
              <w:left w:val="nil"/>
              <w:bottom w:val="nil"/>
              <w:right w:val="nil"/>
            </w:tcBorders>
            <w:shd w:val="clear" w:color="auto" w:fill="auto"/>
            <w:noWrap/>
            <w:vAlign w:val="center"/>
          </w:tcPr>
          <w:p w14:paraId="2A87E387"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Registrar fees</w:t>
            </w:r>
          </w:p>
        </w:tc>
        <w:tc>
          <w:tcPr>
            <w:tcW w:w="1122" w:type="pct"/>
            <w:tcBorders>
              <w:top w:val="nil"/>
              <w:left w:val="nil"/>
              <w:bottom w:val="nil"/>
              <w:right w:val="nil"/>
            </w:tcBorders>
            <w:vAlign w:val="center"/>
          </w:tcPr>
          <w:p w14:paraId="3A3079AD" w14:textId="72E9E4E4" w:rsidR="001E750D" w:rsidRPr="00757E93" w:rsidRDefault="00E64292" w:rsidP="001E750D">
            <w:pPr>
              <w:jc w:val="right"/>
              <w:rPr>
                <w:rFonts w:ascii="Georgia" w:hAnsi="Georgia"/>
                <w:color w:val="404040"/>
                <w:sz w:val="20"/>
              </w:rPr>
            </w:pPr>
            <w:r>
              <w:rPr>
                <w:rFonts w:ascii="Georgia" w:hAnsi="Georgia"/>
                <w:color w:val="404040"/>
                <w:sz w:val="20"/>
              </w:rPr>
              <w:t>45</w:t>
            </w:r>
          </w:p>
        </w:tc>
        <w:tc>
          <w:tcPr>
            <w:tcW w:w="857" w:type="pct"/>
            <w:tcBorders>
              <w:top w:val="nil"/>
              <w:left w:val="nil"/>
              <w:bottom w:val="nil"/>
              <w:right w:val="nil"/>
            </w:tcBorders>
            <w:vAlign w:val="center"/>
          </w:tcPr>
          <w:p w14:paraId="70B8AE32" w14:textId="200D865D"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37</w:t>
            </w:r>
          </w:p>
        </w:tc>
      </w:tr>
      <w:tr w:rsidR="001E750D" w:rsidRPr="00384BCB" w14:paraId="30CEF63B" w14:textId="77777777" w:rsidTr="00C56E3E">
        <w:trPr>
          <w:trHeight w:val="320"/>
        </w:trPr>
        <w:tc>
          <w:tcPr>
            <w:tcW w:w="3021" w:type="pct"/>
            <w:tcBorders>
              <w:top w:val="nil"/>
              <w:left w:val="nil"/>
              <w:bottom w:val="nil"/>
              <w:right w:val="nil"/>
            </w:tcBorders>
            <w:shd w:val="clear" w:color="auto" w:fill="auto"/>
            <w:noWrap/>
            <w:vAlign w:val="center"/>
          </w:tcPr>
          <w:p w14:paraId="283E65E5"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Insurance</w:t>
            </w:r>
          </w:p>
        </w:tc>
        <w:tc>
          <w:tcPr>
            <w:tcW w:w="1122" w:type="pct"/>
            <w:tcBorders>
              <w:top w:val="nil"/>
              <w:left w:val="nil"/>
              <w:bottom w:val="nil"/>
              <w:right w:val="nil"/>
            </w:tcBorders>
            <w:vAlign w:val="center"/>
          </w:tcPr>
          <w:p w14:paraId="7CD7C15A" w14:textId="770C0C2B" w:rsidR="001E750D" w:rsidRPr="00757E93" w:rsidRDefault="001E750D" w:rsidP="001E750D">
            <w:pPr>
              <w:jc w:val="right"/>
              <w:rPr>
                <w:rFonts w:ascii="Georgia" w:hAnsi="Georgia"/>
                <w:color w:val="404040"/>
                <w:sz w:val="20"/>
              </w:rPr>
            </w:pPr>
            <w:r w:rsidRPr="00757E93">
              <w:rPr>
                <w:rFonts w:ascii="Georgia" w:hAnsi="Georgia"/>
                <w:color w:val="404040"/>
                <w:sz w:val="20"/>
              </w:rPr>
              <w:t>8</w:t>
            </w:r>
          </w:p>
        </w:tc>
        <w:tc>
          <w:tcPr>
            <w:tcW w:w="857" w:type="pct"/>
            <w:tcBorders>
              <w:top w:val="nil"/>
              <w:left w:val="nil"/>
              <w:bottom w:val="nil"/>
              <w:right w:val="nil"/>
            </w:tcBorders>
            <w:vAlign w:val="center"/>
          </w:tcPr>
          <w:p w14:paraId="7C219E9D" w14:textId="093A40BD"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8</w:t>
            </w:r>
          </w:p>
        </w:tc>
      </w:tr>
      <w:tr w:rsidR="001E750D" w:rsidRPr="00384BCB" w14:paraId="5788CCFB" w14:textId="77777777" w:rsidTr="00C56E3E">
        <w:trPr>
          <w:trHeight w:val="320"/>
        </w:trPr>
        <w:tc>
          <w:tcPr>
            <w:tcW w:w="3021" w:type="pct"/>
            <w:tcBorders>
              <w:top w:val="nil"/>
              <w:left w:val="nil"/>
              <w:bottom w:val="nil"/>
              <w:right w:val="nil"/>
            </w:tcBorders>
            <w:shd w:val="clear" w:color="auto" w:fill="auto"/>
            <w:noWrap/>
            <w:vAlign w:val="center"/>
          </w:tcPr>
          <w:p w14:paraId="0EC8FF64"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Listing fees</w:t>
            </w:r>
          </w:p>
        </w:tc>
        <w:tc>
          <w:tcPr>
            <w:tcW w:w="1122" w:type="pct"/>
            <w:tcBorders>
              <w:top w:val="nil"/>
              <w:left w:val="nil"/>
              <w:bottom w:val="nil"/>
              <w:right w:val="nil"/>
            </w:tcBorders>
            <w:vAlign w:val="center"/>
          </w:tcPr>
          <w:p w14:paraId="4FFA5D85" w14:textId="740039C3" w:rsidR="001E750D" w:rsidRPr="00757E93" w:rsidRDefault="00757E93" w:rsidP="001E750D">
            <w:pPr>
              <w:jc w:val="right"/>
              <w:rPr>
                <w:rFonts w:ascii="Georgia" w:hAnsi="Georgia"/>
                <w:color w:val="404040"/>
                <w:sz w:val="20"/>
              </w:rPr>
            </w:pPr>
            <w:r w:rsidRPr="00757E93">
              <w:rPr>
                <w:rFonts w:ascii="Georgia" w:hAnsi="Georgia"/>
                <w:color w:val="404040"/>
                <w:sz w:val="20"/>
              </w:rPr>
              <w:t>31</w:t>
            </w:r>
          </w:p>
        </w:tc>
        <w:tc>
          <w:tcPr>
            <w:tcW w:w="857" w:type="pct"/>
            <w:tcBorders>
              <w:top w:val="nil"/>
              <w:left w:val="nil"/>
              <w:bottom w:val="nil"/>
              <w:right w:val="nil"/>
            </w:tcBorders>
            <w:vAlign w:val="center"/>
          </w:tcPr>
          <w:p w14:paraId="52E28803" w14:textId="03FD0412" w:rsidR="001E750D" w:rsidRPr="001E750D" w:rsidRDefault="00930A9B" w:rsidP="001E750D">
            <w:pPr>
              <w:jc w:val="right"/>
              <w:rPr>
                <w:rFonts w:ascii="Georgia" w:hAnsi="Georgia" w:cs="Arial"/>
                <w:color w:val="404040" w:themeColor="text1" w:themeTint="BF"/>
                <w:sz w:val="20"/>
                <w:szCs w:val="20"/>
                <w:lang w:eastAsia="en-GB"/>
              </w:rPr>
            </w:pPr>
            <w:r>
              <w:rPr>
                <w:rFonts w:ascii="Georgia" w:hAnsi="Georgia"/>
                <w:color w:val="404040"/>
                <w:sz w:val="20"/>
              </w:rPr>
              <w:t>16</w:t>
            </w:r>
          </w:p>
        </w:tc>
      </w:tr>
      <w:tr w:rsidR="001E750D" w:rsidRPr="00384BCB" w14:paraId="4C29D473" w14:textId="77777777" w:rsidTr="00C56E3E">
        <w:trPr>
          <w:trHeight w:val="320"/>
        </w:trPr>
        <w:tc>
          <w:tcPr>
            <w:tcW w:w="3021" w:type="pct"/>
            <w:tcBorders>
              <w:top w:val="nil"/>
              <w:left w:val="nil"/>
              <w:bottom w:val="nil"/>
              <w:right w:val="nil"/>
            </w:tcBorders>
            <w:shd w:val="clear" w:color="auto" w:fill="auto"/>
            <w:noWrap/>
            <w:vAlign w:val="center"/>
          </w:tcPr>
          <w:p w14:paraId="362C969F" w14:textId="77777777" w:rsidR="001E750D" w:rsidRPr="00384BCB" w:rsidRDefault="001E750D" w:rsidP="001E750D">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Other expenses</w:t>
            </w:r>
          </w:p>
        </w:tc>
        <w:tc>
          <w:tcPr>
            <w:tcW w:w="1122" w:type="pct"/>
            <w:tcBorders>
              <w:top w:val="nil"/>
              <w:left w:val="nil"/>
              <w:bottom w:val="nil"/>
              <w:right w:val="nil"/>
            </w:tcBorders>
            <w:vAlign w:val="center"/>
          </w:tcPr>
          <w:p w14:paraId="679B18A4" w14:textId="54B888AF" w:rsidR="001E750D" w:rsidRPr="00757E93" w:rsidRDefault="00757E93" w:rsidP="001E750D">
            <w:pPr>
              <w:jc w:val="right"/>
              <w:rPr>
                <w:rFonts w:ascii="Georgia" w:hAnsi="Georgia"/>
                <w:color w:val="404040"/>
                <w:sz w:val="20"/>
              </w:rPr>
            </w:pPr>
            <w:r w:rsidRPr="00757E93">
              <w:rPr>
                <w:rFonts w:ascii="Georgia" w:hAnsi="Georgia"/>
                <w:color w:val="404040"/>
                <w:sz w:val="20"/>
              </w:rPr>
              <w:t>60</w:t>
            </w:r>
          </w:p>
        </w:tc>
        <w:tc>
          <w:tcPr>
            <w:tcW w:w="857" w:type="pct"/>
            <w:tcBorders>
              <w:top w:val="nil"/>
              <w:left w:val="nil"/>
              <w:bottom w:val="nil"/>
              <w:right w:val="nil"/>
            </w:tcBorders>
            <w:vAlign w:val="center"/>
          </w:tcPr>
          <w:p w14:paraId="440D4556" w14:textId="55371E0B" w:rsidR="001E750D" w:rsidRPr="001E750D" w:rsidRDefault="001E750D" w:rsidP="001E750D">
            <w:pPr>
              <w:jc w:val="right"/>
              <w:rPr>
                <w:rFonts w:ascii="Georgia" w:hAnsi="Georgia" w:cs="Arial"/>
                <w:color w:val="404040" w:themeColor="text1" w:themeTint="BF"/>
                <w:sz w:val="20"/>
                <w:szCs w:val="20"/>
                <w:lang w:eastAsia="en-GB"/>
              </w:rPr>
            </w:pPr>
            <w:r w:rsidRPr="001E750D">
              <w:rPr>
                <w:rFonts w:ascii="Georgia" w:hAnsi="Georgia"/>
                <w:color w:val="404040"/>
                <w:sz w:val="20"/>
              </w:rPr>
              <w:t>58</w:t>
            </w:r>
          </w:p>
        </w:tc>
      </w:tr>
      <w:tr w:rsidR="001E750D" w:rsidRPr="00384BCB" w14:paraId="18ED42F3" w14:textId="77777777" w:rsidTr="00C56E3E">
        <w:trPr>
          <w:trHeight w:val="283"/>
        </w:trPr>
        <w:tc>
          <w:tcPr>
            <w:tcW w:w="3021" w:type="pct"/>
            <w:tcBorders>
              <w:top w:val="nil"/>
              <w:left w:val="nil"/>
              <w:bottom w:val="nil"/>
              <w:right w:val="nil"/>
            </w:tcBorders>
            <w:shd w:val="clear" w:color="auto" w:fill="auto"/>
            <w:noWrap/>
            <w:vAlign w:val="bottom"/>
          </w:tcPr>
          <w:p w14:paraId="7BC8224E" w14:textId="77777777" w:rsidR="001E750D" w:rsidRPr="00384BCB" w:rsidRDefault="001E750D" w:rsidP="001E750D">
            <w:pPr>
              <w:rPr>
                <w:rFonts w:ascii="Georgia" w:hAnsi="Georgia" w:cs="Arial"/>
                <w:color w:val="404040" w:themeColor="text1" w:themeTint="BF"/>
                <w:sz w:val="20"/>
                <w:szCs w:val="20"/>
                <w:lang w:eastAsia="en-GB"/>
              </w:rPr>
            </w:pPr>
          </w:p>
        </w:tc>
        <w:tc>
          <w:tcPr>
            <w:tcW w:w="1122" w:type="pct"/>
            <w:tcBorders>
              <w:top w:val="single" w:sz="8" w:space="0" w:color="auto"/>
              <w:left w:val="nil"/>
              <w:bottom w:val="double" w:sz="6" w:space="0" w:color="auto"/>
              <w:right w:val="nil"/>
            </w:tcBorders>
            <w:vAlign w:val="center"/>
          </w:tcPr>
          <w:p w14:paraId="47D90511" w14:textId="3D6F9A23" w:rsidR="001E750D" w:rsidRPr="00757E93" w:rsidRDefault="001E750D" w:rsidP="00757E93">
            <w:pPr>
              <w:jc w:val="right"/>
              <w:rPr>
                <w:rFonts w:ascii="Georgia" w:hAnsi="Georgia"/>
                <w:b/>
                <w:color w:val="404040"/>
                <w:sz w:val="20"/>
              </w:rPr>
            </w:pPr>
            <w:r w:rsidRPr="00757E93">
              <w:rPr>
                <w:rFonts w:ascii="Georgia" w:hAnsi="Georgia"/>
                <w:b/>
                <w:color w:val="404040"/>
                <w:sz w:val="20"/>
              </w:rPr>
              <w:t>1,</w:t>
            </w:r>
            <w:r w:rsidR="00757E93" w:rsidRPr="00757E93">
              <w:rPr>
                <w:rFonts w:ascii="Georgia" w:hAnsi="Georgia"/>
                <w:b/>
                <w:color w:val="404040"/>
                <w:sz w:val="20"/>
              </w:rPr>
              <w:t>338</w:t>
            </w:r>
          </w:p>
        </w:tc>
        <w:tc>
          <w:tcPr>
            <w:tcW w:w="857" w:type="pct"/>
            <w:tcBorders>
              <w:top w:val="single" w:sz="8" w:space="0" w:color="auto"/>
              <w:left w:val="nil"/>
              <w:bottom w:val="double" w:sz="6" w:space="0" w:color="auto"/>
              <w:right w:val="nil"/>
            </w:tcBorders>
            <w:vAlign w:val="center"/>
          </w:tcPr>
          <w:p w14:paraId="6BA44B65" w14:textId="137DBFFC" w:rsidR="001E750D" w:rsidRPr="001E750D" w:rsidRDefault="001E750D" w:rsidP="001E750D">
            <w:pPr>
              <w:jc w:val="right"/>
              <w:rPr>
                <w:rFonts w:ascii="Georgia" w:hAnsi="Georgia" w:cs="Arial"/>
                <w:b/>
                <w:bCs/>
                <w:color w:val="404040" w:themeColor="text1" w:themeTint="BF"/>
                <w:sz w:val="20"/>
                <w:szCs w:val="20"/>
                <w:lang w:eastAsia="en-GB"/>
              </w:rPr>
            </w:pPr>
            <w:r w:rsidRPr="001E750D">
              <w:rPr>
                <w:rFonts w:ascii="Georgia" w:hAnsi="Georgia"/>
                <w:b/>
                <w:color w:val="404040"/>
                <w:sz w:val="20"/>
              </w:rPr>
              <w:t>1,967</w:t>
            </w:r>
          </w:p>
        </w:tc>
      </w:tr>
    </w:tbl>
    <w:p w14:paraId="612E356C" w14:textId="77777777" w:rsidR="000F51FA" w:rsidRDefault="000F51FA" w:rsidP="000F51FA">
      <w:pPr>
        <w:pStyle w:val="body"/>
        <w:rPr>
          <w:b/>
          <w:i/>
        </w:rPr>
      </w:pPr>
    </w:p>
    <w:p w14:paraId="4A59F6EA" w14:textId="62FE81A1" w:rsidR="00CA1404" w:rsidRDefault="00322388" w:rsidP="000F51FA">
      <w:pPr>
        <w:pStyle w:val="body"/>
        <w:rPr>
          <w:sz w:val="18"/>
          <w:szCs w:val="18"/>
        </w:rPr>
      </w:pPr>
      <w:r>
        <w:rPr>
          <w:sz w:val="18"/>
          <w:szCs w:val="18"/>
        </w:rPr>
        <w:t>*</w:t>
      </w:r>
      <w:r w:rsidR="00AE703F">
        <w:rPr>
          <w:sz w:val="18"/>
          <w:szCs w:val="18"/>
        </w:rPr>
        <w:t>The Investment advisory base fee is paid by both the Company (10%) and BSIFIL (90%).  The amount shown above reflects the amount paid by the Company only.</w:t>
      </w:r>
      <w:r w:rsidR="00E718F4">
        <w:rPr>
          <w:sz w:val="18"/>
          <w:szCs w:val="18"/>
        </w:rPr>
        <w:t xml:space="preserve"> Note </w:t>
      </w:r>
      <w:r w:rsidR="00AB7DE1" w:rsidRPr="009355D9">
        <w:rPr>
          <w:sz w:val="18"/>
          <w:szCs w:val="18"/>
        </w:rPr>
        <w:t>16</w:t>
      </w:r>
      <w:r w:rsidR="00E718F4">
        <w:rPr>
          <w:sz w:val="18"/>
          <w:szCs w:val="18"/>
        </w:rPr>
        <w:t xml:space="preserve"> shows the full fee paid to the Investment Adviser.</w:t>
      </w:r>
    </w:p>
    <w:p w14:paraId="3D797D1D" w14:textId="77777777" w:rsidR="00896A4B" w:rsidRDefault="00896A4B" w:rsidP="000F51FA">
      <w:pPr>
        <w:pStyle w:val="body"/>
        <w:rPr>
          <w:b/>
          <w:i/>
        </w:rPr>
      </w:pPr>
    </w:p>
    <w:p w14:paraId="78C18AA9" w14:textId="77777777" w:rsidR="0056742A" w:rsidRDefault="00E42A95">
      <w:pPr>
        <w:pStyle w:val="BluefieldItalicheading10pt"/>
        <w:rPr>
          <w:kern w:val="16"/>
          <w:lang w:eastAsia="en-GB"/>
        </w:rPr>
      </w:pPr>
      <w:r w:rsidRPr="00E42A95">
        <w:t xml:space="preserve">Investment </w:t>
      </w:r>
      <w:r w:rsidR="00015722">
        <w:t>A</w:t>
      </w:r>
      <w:r w:rsidR="00015722" w:rsidRPr="00E42A95">
        <w:t xml:space="preserve">dvisory </w:t>
      </w:r>
      <w:r w:rsidR="00015722">
        <w:t>A</w:t>
      </w:r>
      <w:r w:rsidR="00015722" w:rsidRPr="00E42A95">
        <w:t xml:space="preserve">greement </w:t>
      </w:r>
    </w:p>
    <w:p w14:paraId="52D72DB4" w14:textId="30117072" w:rsidR="009B3F1B" w:rsidRDefault="00865341" w:rsidP="009C3DD6">
      <w:pPr>
        <w:pStyle w:val="BluefieldBody"/>
      </w:pPr>
      <w:r w:rsidRPr="00074E68">
        <w:t xml:space="preserve">The </w:t>
      </w:r>
      <w:r w:rsidR="007236B9" w:rsidRPr="00074E68">
        <w:t>Company, BSIFIL</w:t>
      </w:r>
      <w:r w:rsidRPr="00074E68">
        <w:t xml:space="preserve"> and the Investment Adviser</w:t>
      </w:r>
      <w:r w:rsidRPr="00235687">
        <w:t xml:space="preserve"> have entered into an Investment Advisory Agreement, dated 24 June 2013, pursuant to which the Investment Adviser has been given overall responsibility for the non-discretionary management of the </w:t>
      </w:r>
      <w:r w:rsidR="00074E68">
        <w:t>Company</w:t>
      </w:r>
      <w:r w:rsidRPr="00235687">
        <w:t xml:space="preserve">’s (and any of </w:t>
      </w:r>
      <w:r w:rsidR="00074E68">
        <w:t>BSIFIL’</w:t>
      </w:r>
      <w:r w:rsidRPr="00235687">
        <w:t xml:space="preserve">s SPVs) assets (including </w:t>
      </w:r>
      <w:proofErr w:type="spellStart"/>
      <w:r w:rsidRPr="00235687">
        <w:t>uninvested</w:t>
      </w:r>
      <w:proofErr w:type="spellEnd"/>
      <w:r w:rsidRPr="00235687">
        <w:t xml:space="preserve"> cash) in accordance with the </w:t>
      </w:r>
      <w:r w:rsidR="00074E68">
        <w:t>Company</w:t>
      </w:r>
      <w:r w:rsidRPr="00235687">
        <w:t xml:space="preserve">’s investment policies, restrictions and guidelines. Under the terms of the Investment Advisory Agreement, the Investment Adviser is entitled to a combination of a base fee and variable fee. The base fee is payable quarterly in arrears in cash, at a rate equivalent to 1% per annum of </w:t>
      </w:r>
      <w:r w:rsidRPr="001B56EC">
        <w:t>the NAV</w:t>
      </w:r>
      <w:r w:rsidR="009342BA" w:rsidRPr="001B56EC">
        <w:t xml:space="preserve"> up to and including £100,000,000</w:t>
      </w:r>
      <w:r w:rsidRPr="001B56EC">
        <w:t>, 0.80% per annum of the NAV above £100</w:t>
      </w:r>
      <w:r w:rsidR="009342BA" w:rsidRPr="001B56EC">
        <w:t>,000,000</w:t>
      </w:r>
      <w:r w:rsidRPr="001B56EC">
        <w:t xml:space="preserve"> and up to and including £200</w:t>
      </w:r>
      <w:r w:rsidR="009342BA" w:rsidRPr="001B56EC">
        <w:t>,000,000</w:t>
      </w:r>
      <w:r w:rsidRPr="001B56EC">
        <w:t xml:space="preserve"> and 0.60% per annum of the NAV above £200</w:t>
      </w:r>
      <w:r w:rsidR="009342BA" w:rsidRPr="001B56EC">
        <w:t>,000,000</w:t>
      </w:r>
      <w:r w:rsidRPr="001B56EC">
        <w:t>.  The base fee will be calculated on the NAV reported in the most recent quarterly NAV calculation as at the date of payment.</w:t>
      </w:r>
      <w:r w:rsidR="001B2492">
        <w:t xml:space="preserve"> </w:t>
      </w:r>
      <w:r w:rsidR="009B3F1B" w:rsidRPr="00FF4A01">
        <w:t>The variable fee is based on the following:</w:t>
      </w:r>
    </w:p>
    <w:p w14:paraId="62A3612F" w14:textId="77777777" w:rsidR="00F16B19" w:rsidRDefault="00F16B19" w:rsidP="00E85EF6">
      <w:pPr>
        <w:jc w:val="both"/>
        <w:rPr>
          <w:rFonts w:ascii="Georgia" w:hAnsi="Georgia"/>
          <w:color w:val="404040" w:themeColor="text1" w:themeTint="BF"/>
          <w:sz w:val="20"/>
          <w:szCs w:val="20"/>
        </w:rPr>
      </w:pPr>
    </w:p>
    <w:p w14:paraId="601296AD" w14:textId="761A1560" w:rsidR="00C46B08" w:rsidRPr="00933137" w:rsidRDefault="009B3F1B" w:rsidP="007D7B8C">
      <w:pPr>
        <w:pStyle w:val="BluefieldBody"/>
        <w:ind w:left="284"/>
      </w:pPr>
      <w:r w:rsidRPr="00106B2F">
        <w:t>(</w:t>
      </w:r>
      <w:proofErr w:type="spellStart"/>
      <w:r w:rsidRPr="00106B2F">
        <w:t>i</w:t>
      </w:r>
      <w:proofErr w:type="spellEnd"/>
      <w:r w:rsidRPr="00106B2F">
        <w:t>)</w:t>
      </w:r>
      <w:r w:rsidRPr="00106B2F">
        <w:tab/>
      </w:r>
      <w:r>
        <w:t xml:space="preserve">  </w:t>
      </w:r>
      <w:r w:rsidR="00933137">
        <w:t>if in any year</w:t>
      </w:r>
      <w:r w:rsidRPr="00106B2F">
        <w:t>, the Company</w:t>
      </w:r>
      <w:r w:rsidR="00933137">
        <w:t xml:space="preserve"> exceeds its distribution target (7.</w:t>
      </w:r>
      <w:r w:rsidR="00DA13E3">
        <w:t>90</w:t>
      </w:r>
      <w:r w:rsidR="00933137">
        <w:t xml:space="preserve">pps for the year ended 30 June </w:t>
      </w:r>
      <w:r w:rsidR="00904E51">
        <w:t>2020</w:t>
      </w:r>
      <w:r w:rsidR="00933137">
        <w:t xml:space="preserve"> and increasing with the annual RPI)</w:t>
      </w:r>
      <w:r w:rsidRPr="00106B2F">
        <w:t>, the Investment Adviser will be entitled to a variable fee equal to 30% of the excess, subject to a maximum variable fee in any year equal to 1% of the NAV as at the end of the relevant financial year. The variable fee shall be satisfied either by the issue of Ordinary Shares to the Investment Adviser at an issue price equal to the prevailing NAV per Ordinary Share</w:t>
      </w:r>
      <w:r>
        <w:t>;</w:t>
      </w:r>
      <w:r w:rsidRPr="00106B2F">
        <w:t xml:space="preserve"> acquisition of Ordinary Shares held in treasury</w:t>
      </w:r>
      <w:r>
        <w:t>;</w:t>
      </w:r>
      <w:r w:rsidRPr="00106B2F">
        <w:t xml:space="preserve"> or purchase of Ordinary Shares in the market. </w:t>
      </w:r>
      <w:r w:rsidR="00933137">
        <w:t>In any year, t</w:t>
      </w:r>
      <w:r w:rsidRPr="00106B2F">
        <w:t>he Ordinary Shares issued to the Investment Adviser will be subject to a three year lock-up period, with one-third of the relevant shares becoming free from the lock-up on each anniversary of their issue.</w:t>
      </w:r>
      <w:r w:rsidRPr="00106B2F">
        <w:rPr>
          <w:kern w:val="16"/>
          <w:lang w:eastAsia="en-GB"/>
        </w:rPr>
        <w:t xml:space="preserve"> </w:t>
      </w:r>
    </w:p>
    <w:p w14:paraId="6A79DBB1" w14:textId="77777777" w:rsidR="00972AB4" w:rsidRDefault="00972AB4" w:rsidP="006760B0">
      <w:pPr>
        <w:pStyle w:val="BluefieldBody"/>
        <w:rPr>
          <w:kern w:val="16"/>
          <w:lang w:eastAsia="en-GB"/>
        </w:rPr>
      </w:pPr>
    </w:p>
    <w:p w14:paraId="3CA0C188" w14:textId="77777777" w:rsidR="00E42A95" w:rsidRDefault="00E42A95" w:rsidP="00E42A95">
      <w:pPr>
        <w:pStyle w:val="BluefieldBody"/>
        <w:rPr>
          <w:kern w:val="16"/>
          <w:lang w:eastAsia="en-GB"/>
        </w:rPr>
      </w:pPr>
    </w:p>
    <w:p w14:paraId="4D8861CB" w14:textId="57F2CA01" w:rsidR="00BA4A7F" w:rsidRDefault="00BA4A7F" w:rsidP="00E42A95">
      <w:pPr>
        <w:pStyle w:val="BluefieldBody"/>
        <w:rPr>
          <w:kern w:val="16"/>
          <w:lang w:eastAsia="en-GB"/>
        </w:rPr>
      </w:pPr>
    </w:p>
    <w:p w14:paraId="183C6C8C" w14:textId="3EF85238" w:rsidR="005F0A6C" w:rsidRDefault="005F0A6C" w:rsidP="00E42A95">
      <w:pPr>
        <w:pStyle w:val="BluefieldBody"/>
        <w:rPr>
          <w:kern w:val="16"/>
          <w:lang w:eastAsia="en-GB"/>
        </w:rPr>
      </w:pPr>
    </w:p>
    <w:p w14:paraId="57770615" w14:textId="77777777" w:rsidR="005F0A6C" w:rsidRDefault="005F0A6C" w:rsidP="00E42A95">
      <w:pPr>
        <w:pStyle w:val="BluefieldBody"/>
        <w:rPr>
          <w:kern w:val="16"/>
          <w:lang w:eastAsia="en-GB"/>
        </w:rPr>
      </w:pPr>
    </w:p>
    <w:p w14:paraId="7C5DF62D" w14:textId="77777777" w:rsidR="00195B2C" w:rsidRDefault="00195B2C" w:rsidP="00E42A95">
      <w:pPr>
        <w:pStyle w:val="BluefieldBody"/>
        <w:rPr>
          <w:kern w:val="16"/>
          <w:lang w:eastAsia="en-GB"/>
        </w:rPr>
      </w:pPr>
    </w:p>
    <w:p w14:paraId="5C433BF4" w14:textId="77777777" w:rsidR="00933137" w:rsidRDefault="00933137" w:rsidP="00E42A95">
      <w:pPr>
        <w:pStyle w:val="BluefieldBody"/>
        <w:rPr>
          <w:kern w:val="16"/>
          <w:lang w:eastAsia="en-GB"/>
        </w:rPr>
      </w:pPr>
    </w:p>
    <w:p w14:paraId="041C7793" w14:textId="670C7569" w:rsidR="00BA4A7F" w:rsidRDefault="00BA4A7F" w:rsidP="00E42A95">
      <w:pPr>
        <w:pStyle w:val="BluefieldBody"/>
        <w:rPr>
          <w:kern w:val="16"/>
          <w:lang w:eastAsia="en-GB"/>
        </w:rPr>
      </w:pPr>
    </w:p>
    <w:p w14:paraId="6401375A" w14:textId="77777777" w:rsidR="00DF75A4" w:rsidRDefault="00DF75A4" w:rsidP="00E42A95">
      <w:pPr>
        <w:pStyle w:val="BluefieldBody"/>
        <w:rPr>
          <w:kern w:val="16"/>
          <w:lang w:eastAsia="en-GB"/>
        </w:rPr>
      </w:pPr>
    </w:p>
    <w:p w14:paraId="0EAB5588" w14:textId="77777777" w:rsidR="00F16B19" w:rsidRPr="00384BCB" w:rsidRDefault="00F16B19" w:rsidP="00F16B19">
      <w:pPr>
        <w:rPr>
          <w:b/>
          <w:color w:val="404040" w:themeColor="text1" w:themeTint="BF"/>
        </w:rPr>
      </w:pPr>
      <w:r w:rsidRPr="00E42A95">
        <w:rPr>
          <w:rFonts w:ascii="Georgia" w:hAnsi="Georgia" w:cs="Calibri"/>
          <w:b/>
          <w:color w:val="404040" w:themeColor="text1" w:themeTint="BF"/>
          <w:sz w:val="20"/>
        </w:rPr>
        <w:lastRenderedPageBreak/>
        <w:t>5. Administrative expenses (continued)</w:t>
      </w:r>
    </w:p>
    <w:p w14:paraId="5DFD06BD" w14:textId="77777777" w:rsidR="00F16B19" w:rsidRDefault="00F16B19" w:rsidP="00F16B19">
      <w:pPr>
        <w:pStyle w:val="body"/>
        <w:rPr>
          <w:kern w:val="16"/>
          <w:lang w:eastAsia="en-GB"/>
        </w:rPr>
      </w:pPr>
    </w:p>
    <w:p w14:paraId="4EF873AD" w14:textId="77777777" w:rsidR="00F16B19" w:rsidRDefault="00F16B19" w:rsidP="00F16B19">
      <w:pPr>
        <w:pStyle w:val="BluefieldItalicheading10pt"/>
      </w:pPr>
      <w:r>
        <w:t>Investment A</w:t>
      </w:r>
      <w:r w:rsidRPr="002445C2">
        <w:t xml:space="preserve">dvisory </w:t>
      </w:r>
      <w:r>
        <w:t>A</w:t>
      </w:r>
      <w:r w:rsidRPr="002445C2">
        <w:t>greement</w:t>
      </w:r>
      <w:r>
        <w:t xml:space="preserve"> (continued)</w:t>
      </w:r>
    </w:p>
    <w:p w14:paraId="7E2D6282" w14:textId="77777777" w:rsidR="00E42A95" w:rsidRDefault="000F51FA" w:rsidP="007D7B8C">
      <w:pPr>
        <w:pStyle w:val="BluefieldBody"/>
        <w:ind w:left="284"/>
      </w:pPr>
      <w:r w:rsidRPr="00106B2F">
        <w:rPr>
          <w:kern w:val="16"/>
          <w:lang w:eastAsia="en-GB"/>
        </w:rPr>
        <w:t>(ii) if in</w:t>
      </w:r>
      <w:r w:rsidRPr="00106B2F">
        <w:t xml:space="preserve"> any year (excluding the </w:t>
      </w:r>
      <w:r w:rsidRPr="001356C5">
        <w:t>Company’s first financial year),</w:t>
      </w:r>
      <w:r w:rsidRPr="00106B2F">
        <w:t xml:space="preserve"> the Company fails to achieve its distribution target of 7 pence per Ordinary Share per year</w:t>
      </w:r>
      <w:r>
        <w:t xml:space="preserve"> which will rise with the </w:t>
      </w:r>
      <w:r w:rsidRPr="00A75959">
        <w:t>annual RPI</w:t>
      </w:r>
      <w:r>
        <w:t xml:space="preserve"> </w:t>
      </w:r>
      <w:r w:rsidR="002C7D12">
        <w:t>in</w:t>
      </w:r>
      <w:r>
        <w:t xml:space="preserve"> the third year</w:t>
      </w:r>
      <w:r w:rsidRPr="00106B2F">
        <w:t>, the Investment Adviser will repay its base fee in proportion by which the actual annual distribution per Ordinary Share is less than the target distribution, subject to a maximum repayment in any year equal to 35% of the base fee calculated prior to any deduction be</w:t>
      </w:r>
      <w:r>
        <w:t>i</w:t>
      </w:r>
      <w:r w:rsidR="007B35E3">
        <w:t xml:space="preserve">ng made. The repayment will be </w:t>
      </w:r>
      <w:r w:rsidRPr="00106B2F">
        <w:t>split equally across the four quarters in the following financial year and will be set off against the quarterly management fees payable to the Investment Adviser in that following financial year.</w:t>
      </w:r>
    </w:p>
    <w:p w14:paraId="2E2908D8" w14:textId="77777777" w:rsidR="00E42A95" w:rsidRDefault="00E42A95" w:rsidP="00E42A95">
      <w:pPr>
        <w:pStyle w:val="BluefieldBody"/>
      </w:pPr>
    </w:p>
    <w:p w14:paraId="7745046E" w14:textId="0B9AFEED" w:rsidR="00E42A95" w:rsidRDefault="00C55D92" w:rsidP="00E42A95">
      <w:pPr>
        <w:pStyle w:val="BluefieldBody"/>
      </w:pPr>
      <w:r>
        <w:t>On 11 June 2014, BSIFIL entered into a T</w:t>
      </w:r>
      <w:r w:rsidRPr="00C25CD7">
        <w:t xml:space="preserve">echnical </w:t>
      </w:r>
      <w:r>
        <w:t>S</w:t>
      </w:r>
      <w:r w:rsidRPr="00C25CD7">
        <w:t xml:space="preserve">ervices </w:t>
      </w:r>
      <w:r>
        <w:t xml:space="preserve">Agreement with the Investment Adviser, with a retrospective effective date of </w:t>
      </w:r>
      <w:r w:rsidR="009437A1">
        <w:t>25 June 2013</w:t>
      </w:r>
      <w:r w:rsidR="00AC3456">
        <w:t>,</w:t>
      </w:r>
      <w:r>
        <w:t xml:space="preserve"> in order to delegate the provision of the consultancy services to</w:t>
      </w:r>
      <w:r w:rsidRPr="00C25CD7">
        <w:t xml:space="preserve"> the Investment Adviser in its capacity as technical adviser to the SPVs.</w:t>
      </w:r>
      <w:r>
        <w:t xml:space="preserve"> On the same date,</w:t>
      </w:r>
      <w:r w:rsidR="008D680B">
        <w:t xml:space="preserve"> 11 June 2014,</w:t>
      </w:r>
      <w:r>
        <w:t xml:space="preserve"> the Group entered into a base fee offset arrangement agreement, whereby the aggregate technical services fee and base fee payable (under the Investment Advisory Agreement) shall not exceed the base fee that would otherwise have been payable to the Investment Adviser in accordance with the Investment Advisory Agreement had no fees been payable under </w:t>
      </w:r>
      <w:r w:rsidR="002B6394">
        <w:t xml:space="preserve">the </w:t>
      </w:r>
      <w:r>
        <w:t>T</w:t>
      </w:r>
      <w:r w:rsidRPr="00C25CD7">
        <w:t xml:space="preserve">echnical </w:t>
      </w:r>
      <w:r>
        <w:t>S</w:t>
      </w:r>
      <w:r w:rsidRPr="00C25CD7">
        <w:t xml:space="preserve">ervices </w:t>
      </w:r>
      <w:r w:rsidR="00865341">
        <w:t>Agreement.</w:t>
      </w:r>
    </w:p>
    <w:p w14:paraId="2DC7F87B" w14:textId="77777777" w:rsidR="00E42A95" w:rsidRDefault="00E42A95" w:rsidP="00E42A95">
      <w:pPr>
        <w:pStyle w:val="BluefieldBody"/>
        <w:rPr>
          <w:b/>
          <w:i/>
        </w:rPr>
      </w:pPr>
    </w:p>
    <w:p w14:paraId="4AD21EF2" w14:textId="77777777" w:rsidR="00353B07" w:rsidRDefault="00865341" w:rsidP="00E42A95">
      <w:pPr>
        <w:pStyle w:val="BluefieldBody"/>
      </w:pPr>
      <w:r>
        <w:t>In the event that the Investment Adviser becomes liable to pay the variable fee repayment amount, the Investment Adviser shall be liable to pay such amount regardless of whether or not the base fee previously paid to it under the Investment Advisory Agreement had been reduced by virtue of the application of the set off arrangements as outlined on the base fee offset arrangement agreement dated 11 June 2014.</w:t>
      </w:r>
      <w:r w:rsidR="007D2D14">
        <w:t xml:space="preserve"> </w:t>
      </w:r>
    </w:p>
    <w:p w14:paraId="06EDD068" w14:textId="77777777" w:rsidR="00353B07" w:rsidRDefault="00353B07" w:rsidP="00E42A95">
      <w:pPr>
        <w:pStyle w:val="BluefieldBody"/>
      </w:pPr>
    </w:p>
    <w:p w14:paraId="6B945EB9" w14:textId="2E444020" w:rsidR="00E42A95" w:rsidRDefault="00353B07" w:rsidP="00E42A95">
      <w:pPr>
        <w:pStyle w:val="BluefieldBody"/>
      </w:pPr>
      <w:r>
        <w:t xml:space="preserve">Post year end, on 6 July 2020, the Board approved revisions to the Investment Adviser base fee </w:t>
      </w:r>
      <w:r w:rsidR="003819B8">
        <w:t xml:space="preserve">and the removal of the variable fee </w:t>
      </w:r>
      <w:r>
        <w:t>which will apply from 1 July 2020 onwards</w:t>
      </w:r>
    </w:p>
    <w:p w14:paraId="309E8A51" w14:textId="77777777" w:rsidR="00F16B19" w:rsidRDefault="00F16B19" w:rsidP="00E42A95">
      <w:pPr>
        <w:pStyle w:val="BluefieldBody"/>
      </w:pPr>
    </w:p>
    <w:p w14:paraId="23F756DC" w14:textId="37A48A32" w:rsidR="00E42A95" w:rsidRDefault="000F51FA" w:rsidP="00E42A95">
      <w:pPr>
        <w:pStyle w:val="BluefieldBody"/>
      </w:pPr>
      <w:r w:rsidRPr="00106B2F">
        <w:t>The fees incurred for the period and the amount outstanding at the period e</w:t>
      </w:r>
      <w:r>
        <w:t xml:space="preserve">nd have been disclosed in </w:t>
      </w:r>
      <w:r w:rsidRPr="001F1437">
        <w:t xml:space="preserve">Note </w:t>
      </w:r>
      <w:r w:rsidR="00447388" w:rsidRPr="009355D9">
        <w:t>16</w:t>
      </w:r>
      <w:r w:rsidRPr="009355D9">
        <w:t>.</w:t>
      </w:r>
    </w:p>
    <w:p w14:paraId="62CC0917" w14:textId="77777777" w:rsidR="000F51FA" w:rsidRDefault="000F51FA" w:rsidP="000F51FA">
      <w:pPr>
        <w:rPr>
          <w:rFonts w:ascii="Georgia" w:hAnsi="Georgia" w:cs="Calibri"/>
          <w:b/>
          <w:i/>
          <w:color w:val="404040" w:themeColor="text1" w:themeTint="BF"/>
          <w:sz w:val="20"/>
        </w:rPr>
      </w:pPr>
    </w:p>
    <w:p w14:paraId="4885A906" w14:textId="77777777" w:rsidR="009B3F1B" w:rsidRDefault="009B3F1B" w:rsidP="009B3F1B">
      <w:pPr>
        <w:pStyle w:val="BluefieldItalicheading10pt"/>
      </w:pPr>
      <w:r>
        <w:t xml:space="preserve">Administration </w:t>
      </w:r>
      <w:r w:rsidR="00BD17DF">
        <w:t>A</w:t>
      </w:r>
      <w:r>
        <w:t xml:space="preserve">greement </w:t>
      </w:r>
    </w:p>
    <w:p w14:paraId="4AB213B6" w14:textId="77777777" w:rsidR="009B3F1B" w:rsidRDefault="009B3F1B" w:rsidP="009B3F1B">
      <w:pPr>
        <w:pStyle w:val="BluefieldBody"/>
      </w:pPr>
      <w:r>
        <w:t xml:space="preserve">The </w:t>
      </w:r>
      <w:r w:rsidRPr="001B659D">
        <w:t>Administrator</w:t>
      </w:r>
      <w:r w:rsidRPr="00106B2F">
        <w:t xml:space="preserve"> has been appointed to provide </w:t>
      </w:r>
      <w:r>
        <w:t>day-to-day</w:t>
      </w:r>
      <w:r w:rsidRPr="00106B2F">
        <w:t xml:space="preserve"> administration and company secretarial services to the Company, as set out in the Administration Agreement dated 24 June 2013.</w:t>
      </w:r>
    </w:p>
    <w:p w14:paraId="2CAB005D" w14:textId="77777777" w:rsidR="009B3F1B" w:rsidRDefault="009B3F1B" w:rsidP="009B3F1B">
      <w:pPr>
        <w:pStyle w:val="BluefieldBody"/>
        <w:rPr>
          <w:rFonts w:cs="Calibri"/>
        </w:rPr>
      </w:pPr>
    </w:p>
    <w:p w14:paraId="3739C20F" w14:textId="386D8BA5" w:rsidR="009B3F1B" w:rsidRDefault="009B3F1B" w:rsidP="009B3F1B">
      <w:pPr>
        <w:pStyle w:val="BluefieldBody"/>
      </w:pPr>
      <w:r w:rsidRPr="00106B2F">
        <w:t>Under the terms of the Administration Agreement, the Administrator is entitled to an annual fee, at a rate equivalent to 10 basis points of NAV up to and including £100</w:t>
      </w:r>
      <w:r>
        <w:t>,000,000</w:t>
      </w:r>
      <w:r w:rsidRPr="00106B2F">
        <w:t>, 7.5 basis points of NAV above £100</w:t>
      </w:r>
      <w:r>
        <w:t>,000,000</w:t>
      </w:r>
      <w:r w:rsidRPr="00106B2F">
        <w:t xml:space="preserve"> and up to and including £200</w:t>
      </w:r>
      <w:r>
        <w:t>,000,000</w:t>
      </w:r>
      <w:r w:rsidRPr="00106B2F">
        <w:t xml:space="preserve"> and 5</w:t>
      </w:r>
      <w:r w:rsidR="00933137">
        <w:t>.0</w:t>
      </w:r>
      <w:r w:rsidRPr="00106B2F">
        <w:t xml:space="preserve"> basis points of the NAV above £200</w:t>
      </w:r>
      <w:r>
        <w:t>,000,000</w:t>
      </w:r>
      <w:r w:rsidRPr="00106B2F">
        <w:t xml:space="preserve">, subject to a minimum fee of £100,000 per annum. The fees are for the administration, accounting, corporate secretarial services, corporate governance, regulatory compliance and </w:t>
      </w:r>
      <w:r>
        <w:t>stock e</w:t>
      </w:r>
      <w:r w:rsidRPr="00106B2F">
        <w:t>xchange continuing obligations provided to the Company. In addition, the Administrator will receive an annual fe</w:t>
      </w:r>
      <w:r w:rsidR="00C32454">
        <w:t>e of £</w:t>
      </w:r>
      <w:r w:rsidR="00323475">
        <w:t xml:space="preserve">7,500 </w:t>
      </w:r>
      <w:r w:rsidR="00C32454">
        <w:t>and £3,0</w:t>
      </w:r>
      <w:r w:rsidRPr="00106B2F">
        <w:t xml:space="preserve">00 for the provision of a </w:t>
      </w:r>
      <w:r>
        <w:t>compliance officer and m</w:t>
      </w:r>
      <w:r w:rsidRPr="00106B2F">
        <w:t xml:space="preserve">oney </w:t>
      </w:r>
      <w:r>
        <w:t>l</w:t>
      </w:r>
      <w:r w:rsidRPr="00106B2F">
        <w:t xml:space="preserve">aundering </w:t>
      </w:r>
      <w:r>
        <w:t>r</w:t>
      </w:r>
      <w:r w:rsidRPr="00106B2F">
        <w:t xml:space="preserve">eporting </w:t>
      </w:r>
      <w:r>
        <w:t>o</w:t>
      </w:r>
      <w:r w:rsidRPr="00106B2F">
        <w:t>fficer</w:t>
      </w:r>
      <w:r w:rsidR="00AC3456">
        <w:t>,</w:t>
      </w:r>
      <w:r w:rsidRPr="00106B2F">
        <w:t xml:space="preserve"> respectively. </w:t>
      </w:r>
    </w:p>
    <w:p w14:paraId="3DD67DDC" w14:textId="77777777" w:rsidR="009B3F1B" w:rsidRDefault="009B3F1B" w:rsidP="009B3F1B">
      <w:pPr>
        <w:pStyle w:val="BluefieldBody"/>
      </w:pPr>
    </w:p>
    <w:p w14:paraId="68A7348A" w14:textId="656B869F" w:rsidR="009B3F1B" w:rsidRDefault="009B3F1B" w:rsidP="009B3F1B">
      <w:pPr>
        <w:pStyle w:val="BluefieldBody"/>
      </w:pPr>
      <w:r w:rsidRPr="00106B2F">
        <w:t>The Administrator will also be entitled to an investment related transaction fee charged on a time spent basis</w:t>
      </w:r>
      <w:r>
        <w:t>,</w:t>
      </w:r>
      <w:r w:rsidRPr="00106B2F">
        <w:t xml:space="preserve"> which is capped at a total of £5,000 per investment related transaction. All reasonable costs and expenses incurred by the Administrator in accordance with this agreement are reimbursed to the Administrator quarterly in arrears.</w:t>
      </w:r>
    </w:p>
    <w:p w14:paraId="691875F9" w14:textId="29C1FC0C" w:rsidR="00323475" w:rsidRDefault="00323475" w:rsidP="009B3F1B">
      <w:pPr>
        <w:pStyle w:val="BluefieldBody"/>
      </w:pPr>
    </w:p>
    <w:p w14:paraId="11EF28FC" w14:textId="4A524CA2" w:rsidR="00323475" w:rsidRDefault="00323475" w:rsidP="009B3F1B">
      <w:pPr>
        <w:pStyle w:val="BluefieldBody"/>
      </w:pPr>
      <w:r>
        <w:t>The Administrator will also be entitled to a fee of £5,000 per annum in relation to the administration of the Company’s Guernsey Green Fund Status.</w:t>
      </w:r>
    </w:p>
    <w:p w14:paraId="7197873E" w14:textId="77777777" w:rsidR="009B3F1B" w:rsidRDefault="009B3F1B" w:rsidP="009B3F1B">
      <w:pPr>
        <w:pStyle w:val="BluefieldBody"/>
      </w:pPr>
    </w:p>
    <w:p w14:paraId="5D2C520E" w14:textId="4B0CB36C" w:rsidR="009B3F1B" w:rsidRDefault="009B3F1B" w:rsidP="009B3F1B">
      <w:pPr>
        <w:pStyle w:val="BluefieldBody"/>
      </w:pPr>
      <w:r w:rsidRPr="009355D9">
        <w:t xml:space="preserve">The fees incurred for the period and the amount outstanding at the period end have been disclosed in Note </w:t>
      </w:r>
      <w:r w:rsidR="00447388" w:rsidRPr="009355D9">
        <w:t>16</w:t>
      </w:r>
      <w:r w:rsidRPr="009355D9">
        <w:t>.</w:t>
      </w:r>
    </w:p>
    <w:p w14:paraId="0854B8BC" w14:textId="77777777" w:rsidR="004E4B0B" w:rsidRPr="00837182" w:rsidRDefault="004E4B0B" w:rsidP="00837182">
      <w:pPr>
        <w:rPr>
          <w:b/>
          <w:i/>
        </w:rPr>
      </w:pPr>
      <w:r>
        <w:rPr>
          <w:b/>
          <w:i/>
        </w:rPr>
        <w:br w:type="page"/>
      </w:r>
    </w:p>
    <w:p w14:paraId="1B1E6C15" w14:textId="6D3CE52C" w:rsidR="009B3F1B" w:rsidRPr="00384BCB" w:rsidRDefault="004919C9" w:rsidP="009B3F1B">
      <w:pPr>
        <w:pStyle w:val="Notehead1"/>
        <w:rPr>
          <w:kern w:val="16"/>
          <w:lang w:eastAsia="en-GB"/>
        </w:rPr>
      </w:pPr>
      <w:r>
        <w:rPr>
          <w:kern w:val="16"/>
          <w:lang w:eastAsia="en-GB"/>
        </w:rPr>
        <w:lastRenderedPageBreak/>
        <w:t>6</w:t>
      </w:r>
      <w:r w:rsidR="009B3F1B" w:rsidRPr="00E42A95">
        <w:rPr>
          <w:kern w:val="16"/>
          <w:lang w:eastAsia="en-GB"/>
        </w:rPr>
        <w:t>. Taxation</w:t>
      </w:r>
    </w:p>
    <w:p w14:paraId="7925267C" w14:textId="77777777" w:rsidR="009B3F1B" w:rsidRPr="009F5E27" w:rsidRDefault="009B3F1B" w:rsidP="009B3F1B">
      <w:pPr>
        <w:pStyle w:val="Notehead1"/>
        <w:rPr>
          <w:kern w:val="16"/>
          <w:lang w:eastAsia="en-GB"/>
        </w:rPr>
      </w:pPr>
    </w:p>
    <w:p w14:paraId="2142607B" w14:textId="6D9DC434" w:rsidR="009B3F1B" w:rsidRDefault="009B3F1B" w:rsidP="009B3F1B">
      <w:pPr>
        <w:pStyle w:val="BluefieldBody"/>
        <w:rPr>
          <w:lang w:eastAsia="en-GB"/>
        </w:rPr>
      </w:pPr>
      <w:r w:rsidRPr="009F5E27">
        <w:rPr>
          <w:lang w:eastAsia="en-GB"/>
        </w:rPr>
        <w:t>The Company has obtained exempt status under the Income Tax (Exempt Bodies) (Guernsey) Ordinance 1989 for which it pa</w:t>
      </w:r>
      <w:r w:rsidR="00E718F4">
        <w:rPr>
          <w:lang w:eastAsia="en-GB"/>
        </w:rPr>
        <w:t>id</w:t>
      </w:r>
      <w:r w:rsidRPr="009F5E27">
        <w:rPr>
          <w:lang w:eastAsia="en-GB"/>
        </w:rPr>
        <w:t xml:space="preserve"> an annual fee of </w:t>
      </w:r>
      <w:r w:rsidRPr="00257B4D">
        <w:rPr>
          <w:lang w:eastAsia="en-GB"/>
        </w:rPr>
        <w:t>£1,200</w:t>
      </w:r>
      <w:r w:rsidRPr="0059598B">
        <w:rPr>
          <w:lang w:eastAsia="en-GB"/>
        </w:rPr>
        <w:t xml:space="preserve"> (</w:t>
      </w:r>
      <w:r w:rsidR="00904E51">
        <w:rPr>
          <w:lang w:eastAsia="en-GB"/>
        </w:rPr>
        <w:t>2019</w:t>
      </w:r>
      <w:r>
        <w:rPr>
          <w:lang w:eastAsia="en-GB"/>
        </w:rPr>
        <w:t>: £</w:t>
      </w:r>
      <w:r w:rsidR="00873278">
        <w:rPr>
          <w:lang w:eastAsia="en-GB"/>
        </w:rPr>
        <w:t>1,200</w:t>
      </w:r>
      <w:r>
        <w:rPr>
          <w:lang w:eastAsia="en-GB"/>
        </w:rPr>
        <w:t>)</w:t>
      </w:r>
      <w:r w:rsidRPr="009F5E27">
        <w:rPr>
          <w:lang w:eastAsia="en-GB"/>
        </w:rPr>
        <w:t xml:space="preserve"> (included within regulatory fees).</w:t>
      </w:r>
    </w:p>
    <w:p w14:paraId="0A7C04DC" w14:textId="77777777" w:rsidR="009B3F1B" w:rsidRDefault="009B3F1B" w:rsidP="009B3F1B">
      <w:pPr>
        <w:pStyle w:val="BluefieldBody"/>
        <w:rPr>
          <w:kern w:val="16"/>
          <w:lang w:eastAsia="en-GB"/>
        </w:rPr>
      </w:pPr>
    </w:p>
    <w:p w14:paraId="52D32BE9" w14:textId="5CDD64A9" w:rsidR="009B3F1B" w:rsidRDefault="009B3F1B" w:rsidP="009B3F1B">
      <w:pPr>
        <w:pStyle w:val="BluefieldBody"/>
        <w:rPr>
          <w:lang w:eastAsia="en-GB"/>
        </w:rPr>
      </w:pPr>
      <w:r w:rsidRPr="009F5E27">
        <w:rPr>
          <w:lang w:eastAsia="en-GB"/>
        </w:rPr>
        <w:t xml:space="preserve">The income from the Company’s investments is not subject to any further tax in Guernsey although the subsidiary and underlying SPVs, as UK based entities, are subject to the current prevailing UK corporation tax rate. The standard rate of UK corporation </w:t>
      </w:r>
      <w:r w:rsidRPr="00E56E5E">
        <w:rPr>
          <w:lang w:eastAsia="en-GB"/>
        </w:rPr>
        <w:t xml:space="preserve">tax </w:t>
      </w:r>
      <w:r w:rsidR="00FC7891" w:rsidRPr="00E56E5E">
        <w:rPr>
          <w:lang w:eastAsia="en-GB"/>
        </w:rPr>
        <w:t xml:space="preserve">is </w:t>
      </w:r>
      <w:r w:rsidR="004919C9" w:rsidRPr="00E56E5E">
        <w:rPr>
          <w:lang w:eastAsia="en-GB"/>
        </w:rPr>
        <w:t>19</w:t>
      </w:r>
      <w:r w:rsidR="00FC7891" w:rsidRPr="00E56E5E">
        <w:rPr>
          <w:lang w:eastAsia="en-GB"/>
        </w:rPr>
        <w:t>%.</w:t>
      </w:r>
      <w:r w:rsidR="001B5738" w:rsidRPr="00E56E5E">
        <w:rPr>
          <w:lang w:eastAsia="en-GB"/>
        </w:rPr>
        <w:t xml:space="preserve"> </w:t>
      </w:r>
    </w:p>
    <w:p w14:paraId="0A486822" w14:textId="77777777" w:rsidR="009B3F1B" w:rsidRDefault="009B3F1B" w:rsidP="009B3F1B">
      <w:pPr>
        <w:pStyle w:val="BluefieldBody"/>
        <w:rPr>
          <w:lang w:eastAsia="en-GB"/>
        </w:rPr>
      </w:pPr>
    </w:p>
    <w:p w14:paraId="32FF7998" w14:textId="6E750A40" w:rsidR="000F51FA" w:rsidRPr="00384BCB" w:rsidRDefault="004919C9" w:rsidP="000F51FA">
      <w:pPr>
        <w:pStyle w:val="Notehead1"/>
      </w:pPr>
      <w:r>
        <w:t>7</w:t>
      </w:r>
      <w:r w:rsidR="00E42A95" w:rsidRPr="00E42A95">
        <w:t xml:space="preserve">.  Net </w:t>
      </w:r>
      <w:r w:rsidR="009342BA">
        <w:t>a</w:t>
      </w:r>
      <w:r w:rsidR="00E42A95" w:rsidRPr="00E42A95">
        <w:t xml:space="preserve">sset </w:t>
      </w:r>
      <w:r w:rsidR="009342BA">
        <w:t>v</w:t>
      </w:r>
      <w:r w:rsidR="00E42A95" w:rsidRPr="00E42A95">
        <w:t>alue per Ordinary Share</w:t>
      </w:r>
    </w:p>
    <w:p w14:paraId="0DE893D0" w14:textId="77777777" w:rsidR="00DF7304" w:rsidRDefault="00DF7304" w:rsidP="00E42A95">
      <w:pPr>
        <w:pStyle w:val="BluefieldBody"/>
      </w:pPr>
    </w:p>
    <w:p w14:paraId="2E7B5301" w14:textId="5F4565C4" w:rsidR="00E42A95" w:rsidRDefault="000F51FA" w:rsidP="00E42A95">
      <w:pPr>
        <w:pStyle w:val="BluefieldBody"/>
        <w:rPr>
          <w:b/>
        </w:rPr>
      </w:pPr>
      <w:r w:rsidRPr="00DE6DDB">
        <w:t xml:space="preserve">The calculation of NAV per Ordinary Share is based on NAV </w:t>
      </w:r>
      <w:r w:rsidRPr="00257B4D">
        <w:t>of</w:t>
      </w:r>
      <w:r w:rsidR="00BB21A4" w:rsidRPr="00257B4D">
        <w:t xml:space="preserve"> </w:t>
      </w:r>
      <w:r w:rsidR="00FC7891" w:rsidRPr="00257B4D">
        <w:rPr>
          <w:rFonts w:cs="Calibri"/>
          <w:lang w:eastAsia="en-GB"/>
        </w:rPr>
        <w:t>£</w:t>
      </w:r>
      <w:r w:rsidR="00EC1138">
        <w:rPr>
          <w:rFonts w:cs="Calibri"/>
          <w:lang w:eastAsia="en-GB"/>
        </w:rPr>
        <w:t>433,504,651</w:t>
      </w:r>
      <w:r w:rsidR="00FC7891" w:rsidRPr="00F5420A">
        <w:rPr>
          <w:rFonts w:cs="Calibri"/>
          <w:lang w:eastAsia="en-GB"/>
        </w:rPr>
        <w:t xml:space="preserve"> </w:t>
      </w:r>
      <w:r w:rsidR="00F95B7F" w:rsidRPr="00F5420A">
        <w:t>(</w:t>
      </w:r>
      <w:r w:rsidR="00904E51">
        <w:t>2019</w:t>
      </w:r>
      <w:r w:rsidR="00BB21A4">
        <w:t xml:space="preserve">: </w:t>
      </w:r>
      <w:r w:rsidR="0003239A">
        <w:rPr>
          <w:rFonts w:cs="Calibri"/>
          <w:lang w:eastAsia="en-GB"/>
        </w:rPr>
        <w:t>£436,396,238</w:t>
      </w:r>
      <w:r w:rsidR="00BB21A4">
        <w:t>)</w:t>
      </w:r>
      <w:r>
        <w:t xml:space="preserve"> </w:t>
      </w:r>
      <w:r w:rsidRPr="00DE6DDB">
        <w:t xml:space="preserve">and the number of shares in issue at </w:t>
      </w:r>
      <w:r w:rsidR="00BB21A4">
        <w:t xml:space="preserve">30 June </w:t>
      </w:r>
      <w:r w:rsidR="00904E51">
        <w:t>2020</w:t>
      </w:r>
      <w:r w:rsidRPr="00DE6DDB">
        <w:t xml:space="preserve"> </w:t>
      </w:r>
      <w:r w:rsidRPr="001877DF">
        <w:t xml:space="preserve">of </w:t>
      </w:r>
      <w:r w:rsidR="00257B4D">
        <w:t>370,499,622</w:t>
      </w:r>
      <w:r w:rsidR="00176476">
        <w:t xml:space="preserve"> </w:t>
      </w:r>
      <w:r w:rsidR="00BB21A4" w:rsidRPr="00F95B7F">
        <w:t>(</w:t>
      </w:r>
      <w:r w:rsidR="00904E51">
        <w:t>2019</w:t>
      </w:r>
      <w:r w:rsidR="00BB21A4" w:rsidRPr="00F95B7F">
        <w:t xml:space="preserve">: </w:t>
      </w:r>
      <w:r w:rsidR="00B07A93">
        <w:t>369,883,530</w:t>
      </w:r>
      <w:r w:rsidR="00BB21A4">
        <w:t>)</w:t>
      </w:r>
      <w:r w:rsidRPr="00DE6DDB">
        <w:t xml:space="preserve"> Ordinary Shares.</w:t>
      </w:r>
      <w:r w:rsidRPr="00DE6DDB">
        <w:rPr>
          <w:b/>
        </w:rPr>
        <w:t xml:space="preserve"> </w:t>
      </w:r>
    </w:p>
    <w:p w14:paraId="4C2C08EE" w14:textId="77777777" w:rsidR="006D2095" w:rsidRDefault="006D2095" w:rsidP="000F51FA">
      <w:pPr>
        <w:pStyle w:val="Notehead1"/>
      </w:pPr>
    </w:p>
    <w:p w14:paraId="7A1D9CDF" w14:textId="07C367EF" w:rsidR="0049263A" w:rsidRPr="00F424C1" w:rsidRDefault="0049263A" w:rsidP="00F424C1">
      <w:pPr>
        <w:rPr>
          <w:rFonts w:ascii="Georgia" w:hAnsi="Georgia" w:cs="Calibri"/>
          <w:b/>
          <w:color w:val="404040" w:themeColor="text1" w:themeTint="BF"/>
          <w:sz w:val="20"/>
        </w:rPr>
      </w:pPr>
      <w:r>
        <w:br w:type="page"/>
      </w:r>
    </w:p>
    <w:p w14:paraId="5D180DB2" w14:textId="76F01C3E" w:rsidR="000F51FA" w:rsidRPr="00384BCB" w:rsidRDefault="00614690" w:rsidP="000F51FA">
      <w:pPr>
        <w:pStyle w:val="Notehead1"/>
      </w:pPr>
      <w:r>
        <w:lastRenderedPageBreak/>
        <w:t>8</w:t>
      </w:r>
      <w:r w:rsidR="00E42A95" w:rsidRPr="00E42A95">
        <w:t>.</w:t>
      </w:r>
      <w:r w:rsidR="00E42A95" w:rsidRPr="00E42A95">
        <w:tab/>
      </w:r>
      <w:r w:rsidR="00E42A95" w:rsidRPr="00E42A95">
        <w:tab/>
      </w:r>
      <w:r w:rsidR="00E42A95" w:rsidRPr="00E42A95">
        <w:tab/>
        <w:t xml:space="preserve"> Financial assets held at fair value through profit or loss</w:t>
      </w:r>
    </w:p>
    <w:p w14:paraId="7ED25B13" w14:textId="77777777" w:rsidR="000F51FA" w:rsidRPr="008E1F08" w:rsidRDefault="000F51FA" w:rsidP="000F51FA">
      <w:pPr>
        <w:pStyle w:val="Notehead1"/>
      </w:pPr>
    </w:p>
    <w:p w14:paraId="66FCD9F1" w14:textId="3730518F" w:rsidR="00E42A95" w:rsidRDefault="000F51FA" w:rsidP="00E42A95">
      <w:pPr>
        <w:pStyle w:val="BluefieldBody"/>
        <w:rPr>
          <w:rFonts w:ascii="Times New Roman" w:hAnsi="Times New Roman"/>
          <w:color w:val="auto"/>
          <w:sz w:val="24"/>
          <w:lang w:eastAsia="en-GB"/>
        </w:rPr>
      </w:pPr>
      <w:r w:rsidRPr="00572CD0">
        <w:t xml:space="preserve">The </w:t>
      </w:r>
      <w:r w:rsidR="00353C33">
        <w:t>Company</w:t>
      </w:r>
      <w:r w:rsidRPr="00572CD0">
        <w:t xml:space="preserve">’s accounting policy on the measurement of these financial assets is discussed in </w:t>
      </w:r>
      <w:r w:rsidR="00B12A72">
        <w:t>Note 2(j</w:t>
      </w:r>
      <w:r w:rsidR="00CC6E9A">
        <w:t>)(</w:t>
      </w:r>
      <w:proofErr w:type="spellStart"/>
      <w:r w:rsidR="00CC6E9A">
        <w:t>i</w:t>
      </w:r>
      <w:proofErr w:type="spellEnd"/>
      <w:r w:rsidR="00CC6E9A">
        <w:t>)</w:t>
      </w:r>
      <w:r w:rsidRPr="00572CD0">
        <w:t xml:space="preserve"> and below.</w:t>
      </w:r>
    </w:p>
    <w:tbl>
      <w:tblPr>
        <w:tblW w:w="5002" w:type="pct"/>
        <w:tblLayout w:type="fixed"/>
        <w:tblLook w:val="04A0" w:firstRow="1" w:lastRow="0" w:firstColumn="1" w:lastColumn="0" w:noHBand="0" w:noVBand="1"/>
      </w:tblPr>
      <w:tblGrid>
        <w:gridCol w:w="5822"/>
        <w:gridCol w:w="1772"/>
        <w:gridCol w:w="1770"/>
      </w:tblGrid>
      <w:tr w:rsidR="001A388D" w:rsidRPr="003C3BEC" w14:paraId="30EA4968" w14:textId="77777777" w:rsidTr="001A388D">
        <w:trPr>
          <w:trHeight w:val="255"/>
        </w:trPr>
        <w:tc>
          <w:tcPr>
            <w:tcW w:w="3109" w:type="pct"/>
            <w:tcBorders>
              <w:top w:val="nil"/>
              <w:left w:val="nil"/>
              <w:bottom w:val="nil"/>
              <w:right w:val="nil"/>
            </w:tcBorders>
            <w:shd w:val="clear" w:color="auto" w:fill="auto"/>
            <w:noWrap/>
            <w:vAlign w:val="bottom"/>
          </w:tcPr>
          <w:p w14:paraId="0D41DE14" w14:textId="77777777" w:rsidR="001A388D" w:rsidRPr="001B56EC" w:rsidRDefault="001A388D" w:rsidP="001A388D">
            <w:pPr>
              <w:jc w:val="center"/>
              <w:rPr>
                <w:rFonts w:ascii="Georgia" w:hAnsi="Georgia" w:cs="Arial"/>
                <w:b/>
                <w:bCs/>
                <w:color w:val="404040" w:themeColor="text1" w:themeTint="BF"/>
                <w:sz w:val="20"/>
                <w:szCs w:val="20"/>
                <w:highlight w:val="yellow"/>
                <w:lang w:eastAsia="en-GB"/>
              </w:rPr>
            </w:pPr>
          </w:p>
        </w:tc>
        <w:tc>
          <w:tcPr>
            <w:tcW w:w="946" w:type="pct"/>
            <w:tcBorders>
              <w:top w:val="nil"/>
              <w:left w:val="nil"/>
              <w:bottom w:val="nil"/>
              <w:right w:val="nil"/>
            </w:tcBorders>
          </w:tcPr>
          <w:p w14:paraId="32F14B7B" w14:textId="0504D1DF" w:rsidR="001A388D" w:rsidRPr="00E42A95" w:rsidRDefault="001A388D" w:rsidP="001A388D">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945" w:type="pct"/>
            <w:tcBorders>
              <w:top w:val="nil"/>
              <w:left w:val="nil"/>
              <w:bottom w:val="nil"/>
              <w:right w:val="nil"/>
            </w:tcBorders>
          </w:tcPr>
          <w:p w14:paraId="20A9767C" w14:textId="46F92AFD" w:rsidR="001A388D" w:rsidRDefault="001A388D" w:rsidP="001A388D">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tc>
      </w:tr>
      <w:tr w:rsidR="001A388D" w:rsidRPr="003C3BEC" w14:paraId="26DC3777" w14:textId="77777777" w:rsidTr="001A388D">
        <w:trPr>
          <w:trHeight w:val="255"/>
        </w:trPr>
        <w:tc>
          <w:tcPr>
            <w:tcW w:w="3109" w:type="pct"/>
            <w:tcBorders>
              <w:top w:val="nil"/>
              <w:left w:val="nil"/>
              <w:right w:val="nil"/>
            </w:tcBorders>
            <w:shd w:val="clear" w:color="auto" w:fill="auto"/>
            <w:noWrap/>
            <w:vAlign w:val="bottom"/>
          </w:tcPr>
          <w:p w14:paraId="270EF36C" w14:textId="77777777" w:rsidR="001A388D" w:rsidRPr="001B56EC" w:rsidRDefault="001A388D" w:rsidP="001A388D">
            <w:pPr>
              <w:jc w:val="right"/>
              <w:rPr>
                <w:rFonts w:ascii="Georgia" w:hAnsi="Georgia" w:cs="Arial"/>
                <w:b/>
                <w:bCs/>
                <w:color w:val="404040" w:themeColor="text1" w:themeTint="BF"/>
                <w:sz w:val="20"/>
                <w:szCs w:val="20"/>
                <w:highlight w:val="yellow"/>
                <w:lang w:eastAsia="en-GB"/>
              </w:rPr>
            </w:pPr>
          </w:p>
        </w:tc>
        <w:tc>
          <w:tcPr>
            <w:tcW w:w="946" w:type="pct"/>
            <w:tcBorders>
              <w:top w:val="nil"/>
              <w:left w:val="nil"/>
              <w:right w:val="nil"/>
            </w:tcBorders>
          </w:tcPr>
          <w:p w14:paraId="039D4B82" w14:textId="4C0C9CAF" w:rsidR="001A388D" w:rsidRPr="00E42A95" w:rsidRDefault="001A388D" w:rsidP="001A388D">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Total</w:t>
            </w:r>
          </w:p>
        </w:tc>
        <w:tc>
          <w:tcPr>
            <w:tcW w:w="945" w:type="pct"/>
            <w:tcBorders>
              <w:top w:val="nil"/>
              <w:left w:val="nil"/>
              <w:right w:val="nil"/>
            </w:tcBorders>
          </w:tcPr>
          <w:p w14:paraId="6A337C7B" w14:textId="4556C4E0" w:rsidR="001A388D" w:rsidRDefault="001A388D" w:rsidP="001A388D">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Total</w:t>
            </w:r>
          </w:p>
        </w:tc>
      </w:tr>
      <w:tr w:rsidR="001A388D" w:rsidRPr="003C3BEC" w14:paraId="412C80AE" w14:textId="77777777" w:rsidTr="001A388D">
        <w:trPr>
          <w:trHeight w:val="255"/>
        </w:trPr>
        <w:tc>
          <w:tcPr>
            <w:tcW w:w="3109" w:type="pct"/>
            <w:tcBorders>
              <w:top w:val="nil"/>
              <w:left w:val="nil"/>
              <w:bottom w:val="single" w:sz="4" w:space="0" w:color="000000" w:themeColor="text1"/>
              <w:right w:val="nil"/>
            </w:tcBorders>
            <w:shd w:val="clear" w:color="auto" w:fill="auto"/>
            <w:noWrap/>
            <w:vAlign w:val="bottom"/>
          </w:tcPr>
          <w:p w14:paraId="6948879A" w14:textId="77777777" w:rsidR="001A388D" w:rsidRPr="001B56EC" w:rsidRDefault="001A388D" w:rsidP="001A388D">
            <w:pPr>
              <w:jc w:val="right"/>
              <w:rPr>
                <w:rFonts w:ascii="Georgia" w:hAnsi="Georgia" w:cs="Arial"/>
                <w:b/>
                <w:bCs/>
                <w:color w:val="404040" w:themeColor="text1" w:themeTint="BF"/>
                <w:sz w:val="20"/>
                <w:szCs w:val="20"/>
                <w:highlight w:val="yellow"/>
                <w:lang w:eastAsia="en-GB"/>
              </w:rPr>
            </w:pPr>
          </w:p>
        </w:tc>
        <w:tc>
          <w:tcPr>
            <w:tcW w:w="946" w:type="pct"/>
            <w:tcBorders>
              <w:top w:val="nil"/>
              <w:left w:val="nil"/>
              <w:bottom w:val="single" w:sz="4" w:space="0" w:color="000000" w:themeColor="text1"/>
              <w:right w:val="nil"/>
            </w:tcBorders>
          </w:tcPr>
          <w:p w14:paraId="1E8701B4" w14:textId="631F358B" w:rsidR="001A388D" w:rsidRPr="00E42A95" w:rsidRDefault="001A388D" w:rsidP="001A388D">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D32493">
              <w:rPr>
                <w:rFonts w:ascii="Georgia" w:hAnsi="Georgia" w:cs="Arial"/>
                <w:b/>
                <w:bCs/>
                <w:color w:val="404040" w:themeColor="text1" w:themeTint="BF"/>
                <w:sz w:val="20"/>
                <w:szCs w:val="20"/>
                <w:lang w:eastAsia="en-GB"/>
              </w:rPr>
              <w:t>’000</w:t>
            </w:r>
          </w:p>
        </w:tc>
        <w:tc>
          <w:tcPr>
            <w:tcW w:w="945" w:type="pct"/>
            <w:tcBorders>
              <w:top w:val="nil"/>
              <w:left w:val="nil"/>
              <w:bottom w:val="single" w:sz="4" w:space="0" w:color="000000" w:themeColor="text1"/>
              <w:right w:val="nil"/>
            </w:tcBorders>
          </w:tcPr>
          <w:p w14:paraId="067F03D1" w14:textId="36F822B8" w:rsidR="001A388D" w:rsidRDefault="001A388D" w:rsidP="001A388D">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D32493">
              <w:rPr>
                <w:rFonts w:ascii="Georgia" w:hAnsi="Georgia" w:cs="Arial"/>
                <w:b/>
                <w:bCs/>
                <w:color w:val="404040" w:themeColor="text1" w:themeTint="BF"/>
                <w:sz w:val="20"/>
                <w:szCs w:val="20"/>
                <w:lang w:eastAsia="en-GB"/>
              </w:rPr>
              <w:t>’000</w:t>
            </w:r>
          </w:p>
        </w:tc>
      </w:tr>
      <w:tr w:rsidR="00F30906" w:rsidRPr="003C3BEC" w14:paraId="7436F641" w14:textId="77777777" w:rsidTr="001A388D">
        <w:trPr>
          <w:trHeight w:val="400"/>
        </w:trPr>
        <w:tc>
          <w:tcPr>
            <w:tcW w:w="3109" w:type="pct"/>
            <w:tcBorders>
              <w:top w:val="single" w:sz="4" w:space="0" w:color="000000" w:themeColor="text1"/>
              <w:left w:val="nil"/>
              <w:right w:val="nil"/>
            </w:tcBorders>
            <w:shd w:val="clear" w:color="auto" w:fill="auto"/>
            <w:noWrap/>
            <w:vAlign w:val="center"/>
          </w:tcPr>
          <w:p w14:paraId="635167A7" w14:textId="6D3159B0" w:rsidR="00F30906" w:rsidRPr="00B807EE" w:rsidRDefault="00F30906" w:rsidP="00F30906">
            <w:pPr>
              <w:rPr>
                <w:rFonts w:ascii="Georgia" w:hAnsi="Georgia" w:cs="Arial"/>
                <w:color w:val="404040" w:themeColor="text1" w:themeTint="BF"/>
                <w:sz w:val="20"/>
                <w:szCs w:val="20"/>
                <w:lang w:eastAsia="en-GB"/>
              </w:rPr>
            </w:pPr>
            <w:r w:rsidRPr="00B807EE">
              <w:rPr>
                <w:rFonts w:ascii="Georgia" w:hAnsi="Georgia" w:cs="Arial"/>
                <w:color w:val="404040" w:themeColor="text1" w:themeTint="BF"/>
                <w:sz w:val="20"/>
                <w:szCs w:val="20"/>
                <w:lang w:eastAsia="en-GB"/>
              </w:rPr>
              <w:t>Opening balance (Level 3)</w:t>
            </w:r>
          </w:p>
        </w:tc>
        <w:tc>
          <w:tcPr>
            <w:tcW w:w="946" w:type="pct"/>
            <w:tcBorders>
              <w:top w:val="single" w:sz="4" w:space="0" w:color="000000" w:themeColor="text1"/>
              <w:left w:val="nil"/>
              <w:right w:val="nil"/>
            </w:tcBorders>
            <w:vAlign w:val="center"/>
          </w:tcPr>
          <w:p w14:paraId="450266B5" w14:textId="51FCCE3D" w:rsidR="00F30906" w:rsidRPr="00603481" w:rsidRDefault="00D32493" w:rsidP="00603481">
            <w:pPr>
              <w:jc w:val="right"/>
              <w:rPr>
                <w:rFonts w:ascii="Georgia" w:hAnsi="Georgia" w:cs="Arial"/>
                <w:color w:val="404040" w:themeColor="text1" w:themeTint="BF"/>
                <w:sz w:val="20"/>
                <w:szCs w:val="20"/>
                <w:lang w:eastAsia="en-GB"/>
              </w:rPr>
            </w:pPr>
            <w:r w:rsidRPr="00603481">
              <w:rPr>
                <w:rFonts w:ascii="Georgia" w:hAnsi="Georgia" w:cs="Arial"/>
                <w:color w:val="333333"/>
                <w:sz w:val="20"/>
                <w:szCs w:val="20"/>
              </w:rPr>
              <w:t xml:space="preserve">         </w:t>
            </w:r>
            <w:r w:rsidR="00684A18">
              <w:rPr>
                <w:rFonts w:ascii="Georgia" w:hAnsi="Georgia" w:cs="Arial"/>
                <w:color w:val="333333"/>
                <w:sz w:val="20"/>
                <w:szCs w:val="20"/>
              </w:rPr>
              <w:t>435,736</w:t>
            </w:r>
            <w:r w:rsidR="00F30906" w:rsidRPr="00603481">
              <w:rPr>
                <w:rFonts w:ascii="Georgia" w:hAnsi="Georgia" w:cs="Arial"/>
                <w:color w:val="333333"/>
                <w:sz w:val="20"/>
                <w:szCs w:val="20"/>
              </w:rPr>
              <w:t xml:space="preserve"> </w:t>
            </w:r>
          </w:p>
        </w:tc>
        <w:tc>
          <w:tcPr>
            <w:tcW w:w="945" w:type="pct"/>
            <w:tcBorders>
              <w:top w:val="single" w:sz="4" w:space="0" w:color="000000" w:themeColor="text1"/>
              <w:left w:val="nil"/>
              <w:right w:val="nil"/>
            </w:tcBorders>
            <w:vAlign w:val="center"/>
          </w:tcPr>
          <w:p w14:paraId="1EA5EEA5" w14:textId="51476C1C" w:rsidR="00F30906" w:rsidRDefault="00D32493" w:rsidP="00F30906">
            <w:pPr>
              <w:jc w:val="right"/>
              <w:rPr>
                <w:rFonts w:ascii="Georgia" w:hAnsi="Georgia" w:cs="Arial"/>
                <w:color w:val="404040" w:themeColor="text1" w:themeTint="BF"/>
                <w:sz w:val="20"/>
                <w:szCs w:val="20"/>
                <w:lang w:eastAsia="en-GB"/>
              </w:rPr>
            </w:pPr>
            <w:r>
              <w:rPr>
                <w:rFonts w:ascii="Georgia" w:hAnsi="Georgia" w:cs="Arial"/>
                <w:color w:val="333333"/>
                <w:sz w:val="20"/>
                <w:szCs w:val="20"/>
              </w:rPr>
              <w:t xml:space="preserve">         418,098</w:t>
            </w:r>
            <w:r w:rsidR="00F30906" w:rsidRPr="00B807EE">
              <w:rPr>
                <w:rFonts w:ascii="Georgia" w:hAnsi="Georgia" w:cs="Arial"/>
                <w:color w:val="333333"/>
                <w:sz w:val="20"/>
                <w:szCs w:val="20"/>
              </w:rPr>
              <w:t xml:space="preserve"> </w:t>
            </w:r>
          </w:p>
        </w:tc>
      </w:tr>
      <w:tr w:rsidR="00F30906" w:rsidRPr="003C3BEC" w14:paraId="5D827991" w14:textId="77777777" w:rsidTr="001A388D">
        <w:trPr>
          <w:trHeight w:val="400"/>
        </w:trPr>
        <w:tc>
          <w:tcPr>
            <w:tcW w:w="3109" w:type="pct"/>
            <w:tcBorders>
              <w:left w:val="nil"/>
              <w:bottom w:val="nil"/>
              <w:right w:val="nil"/>
            </w:tcBorders>
            <w:shd w:val="clear" w:color="auto" w:fill="auto"/>
            <w:noWrap/>
            <w:vAlign w:val="center"/>
          </w:tcPr>
          <w:p w14:paraId="56432CC9" w14:textId="3DBFC513" w:rsidR="00F30906" w:rsidRPr="00B807EE" w:rsidRDefault="00F30906" w:rsidP="00F30906">
            <w:pPr>
              <w:rPr>
                <w:rFonts w:ascii="Georgia" w:hAnsi="Georgia" w:cs="Arial"/>
                <w:color w:val="404040" w:themeColor="text1" w:themeTint="BF"/>
                <w:sz w:val="20"/>
                <w:szCs w:val="20"/>
                <w:lang w:eastAsia="en-GB"/>
              </w:rPr>
            </w:pPr>
            <w:r w:rsidRPr="00B807EE">
              <w:rPr>
                <w:rFonts w:ascii="Georgia" w:hAnsi="Georgia" w:cs="Arial"/>
                <w:color w:val="404040" w:themeColor="text1" w:themeTint="BF"/>
                <w:sz w:val="20"/>
                <w:szCs w:val="20"/>
                <w:lang w:eastAsia="en-GB"/>
              </w:rPr>
              <w:t>Change in fair value of financial assets held at fair value through profit or loss</w:t>
            </w:r>
          </w:p>
        </w:tc>
        <w:tc>
          <w:tcPr>
            <w:tcW w:w="946" w:type="pct"/>
            <w:tcBorders>
              <w:left w:val="nil"/>
              <w:bottom w:val="single" w:sz="4" w:space="0" w:color="000000" w:themeColor="text1"/>
              <w:right w:val="nil"/>
            </w:tcBorders>
            <w:vAlign w:val="center"/>
          </w:tcPr>
          <w:p w14:paraId="6A1A0138" w14:textId="1D0A5A7C" w:rsidR="00F30906" w:rsidRPr="00603481" w:rsidRDefault="00260208" w:rsidP="00064B7A">
            <w:pPr>
              <w:jc w:val="right"/>
              <w:rPr>
                <w:rFonts w:ascii="Georgia" w:hAnsi="Georgia" w:cs="Arial"/>
                <w:color w:val="333333"/>
                <w:sz w:val="20"/>
                <w:szCs w:val="20"/>
              </w:rPr>
            </w:pPr>
            <w:r>
              <w:rPr>
                <w:rFonts w:ascii="Georgia" w:hAnsi="Georgia" w:cs="Arial"/>
                <w:color w:val="333333"/>
                <w:sz w:val="20"/>
                <w:szCs w:val="20"/>
              </w:rPr>
              <w:t>(</w:t>
            </w:r>
            <w:r w:rsidR="00064B7A">
              <w:rPr>
                <w:rFonts w:ascii="Georgia" w:hAnsi="Georgia" w:cs="Arial"/>
                <w:color w:val="333333"/>
                <w:sz w:val="20"/>
                <w:szCs w:val="20"/>
              </w:rPr>
              <w:t>3,310</w:t>
            </w:r>
            <w:r w:rsidR="00603481" w:rsidRPr="00603481">
              <w:rPr>
                <w:rFonts w:ascii="Georgia" w:hAnsi="Georgia" w:cs="Arial"/>
                <w:color w:val="333333"/>
                <w:sz w:val="20"/>
                <w:szCs w:val="20"/>
              </w:rPr>
              <w:t>)</w:t>
            </w:r>
          </w:p>
        </w:tc>
        <w:tc>
          <w:tcPr>
            <w:tcW w:w="945" w:type="pct"/>
            <w:tcBorders>
              <w:left w:val="nil"/>
              <w:bottom w:val="single" w:sz="4" w:space="0" w:color="000000" w:themeColor="text1"/>
              <w:right w:val="nil"/>
            </w:tcBorders>
            <w:vAlign w:val="center"/>
          </w:tcPr>
          <w:p w14:paraId="2122C544" w14:textId="62D00189" w:rsidR="00F30906" w:rsidRDefault="00684A18" w:rsidP="00F30906">
            <w:pPr>
              <w:jc w:val="right"/>
              <w:rPr>
                <w:rFonts w:ascii="Georgia" w:hAnsi="Georgia" w:cs="Arial"/>
                <w:color w:val="404040" w:themeColor="text1" w:themeTint="BF"/>
                <w:sz w:val="20"/>
                <w:szCs w:val="20"/>
                <w:lang w:eastAsia="en-GB"/>
              </w:rPr>
            </w:pPr>
            <w:r>
              <w:rPr>
                <w:rFonts w:ascii="Georgia" w:hAnsi="Georgia" w:cs="Arial"/>
                <w:color w:val="333333"/>
                <w:sz w:val="20"/>
                <w:szCs w:val="20"/>
              </w:rPr>
              <w:t>17,638</w:t>
            </w:r>
          </w:p>
        </w:tc>
      </w:tr>
      <w:tr w:rsidR="00F30906" w:rsidRPr="003C3BEC" w14:paraId="6448B6DB" w14:textId="77777777" w:rsidTr="001A388D">
        <w:trPr>
          <w:trHeight w:val="400"/>
        </w:trPr>
        <w:tc>
          <w:tcPr>
            <w:tcW w:w="3109" w:type="pct"/>
            <w:tcBorders>
              <w:left w:val="nil"/>
              <w:bottom w:val="nil"/>
              <w:right w:val="nil"/>
            </w:tcBorders>
            <w:shd w:val="clear" w:color="auto" w:fill="auto"/>
            <w:noWrap/>
            <w:vAlign w:val="center"/>
          </w:tcPr>
          <w:p w14:paraId="23FD89AE" w14:textId="5E20371E" w:rsidR="00F30906" w:rsidRPr="00B807EE" w:rsidRDefault="00F30906" w:rsidP="00F30906">
            <w:pPr>
              <w:rPr>
                <w:rFonts w:ascii="Georgia" w:hAnsi="Georgia" w:cs="Arial"/>
                <w:b/>
                <w:color w:val="404040" w:themeColor="text1" w:themeTint="BF"/>
                <w:sz w:val="20"/>
                <w:szCs w:val="20"/>
                <w:lang w:eastAsia="en-GB"/>
              </w:rPr>
            </w:pPr>
            <w:r w:rsidRPr="00B807EE">
              <w:rPr>
                <w:rFonts w:ascii="Georgia" w:hAnsi="Georgia" w:cs="Arial"/>
                <w:b/>
                <w:color w:val="404040" w:themeColor="text1" w:themeTint="BF"/>
                <w:sz w:val="20"/>
                <w:szCs w:val="20"/>
                <w:lang w:eastAsia="en-GB"/>
              </w:rPr>
              <w:t>Closing balance (Level 3)</w:t>
            </w:r>
          </w:p>
        </w:tc>
        <w:tc>
          <w:tcPr>
            <w:tcW w:w="946" w:type="pct"/>
            <w:tcBorders>
              <w:left w:val="nil"/>
              <w:bottom w:val="double" w:sz="4" w:space="0" w:color="auto"/>
              <w:right w:val="nil"/>
            </w:tcBorders>
            <w:vAlign w:val="center"/>
          </w:tcPr>
          <w:p w14:paraId="50978C83" w14:textId="644CE1CE" w:rsidR="00F30906" w:rsidRPr="00603481" w:rsidRDefault="00064B7A" w:rsidP="00F30906">
            <w:pPr>
              <w:jc w:val="right"/>
              <w:rPr>
                <w:rFonts w:ascii="Georgia" w:hAnsi="Georgia" w:cs="Arial"/>
                <w:b/>
                <w:color w:val="404040" w:themeColor="text1" w:themeTint="BF"/>
                <w:sz w:val="20"/>
                <w:szCs w:val="20"/>
                <w:lang w:eastAsia="en-GB"/>
              </w:rPr>
            </w:pPr>
            <w:r>
              <w:rPr>
                <w:rFonts w:ascii="Georgia" w:hAnsi="Georgia" w:cs="Arial"/>
                <w:b/>
                <w:bCs/>
                <w:color w:val="333333"/>
                <w:sz w:val="20"/>
                <w:szCs w:val="20"/>
              </w:rPr>
              <w:t>432,426</w:t>
            </w:r>
          </w:p>
        </w:tc>
        <w:tc>
          <w:tcPr>
            <w:tcW w:w="945" w:type="pct"/>
            <w:tcBorders>
              <w:left w:val="nil"/>
              <w:bottom w:val="double" w:sz="4" w:space="0" w:color="auto"/>
              <w:right w:val="nil"/>
            </w:tcBorders>
            <w:vAlign w:val="center"/>
          </w:tcPr>
          <w:p w14:paraId="0619536F" w14:textId="5C1B1181" w:rsidR="00F30906" w:rsidRDefault="00684A18" w:rsidP="00D32493">
            <w:pPr>
              <w:jc w:val="right"/>
              <w:rPr>
                <w:rFonts w:ascii="Georgia" w:hAnsi="Georgia" w:cs="Arial"/>
                <w:b/>
                <w:color w:val="404040" w:themeColor="text1" w:themeTint="BF"/>
                <w:sz w:val="20"/>
                <w:szCs w:val="20"/>
                <w:lang w:eastAsia="en-GB"/>
              </w:rPr>
            </w:pPr>
            <w:r>
              <w:rPr>
                <w:rFonts w:ascii="Georgia" w:hAnsi="Georgia" w:cs="Arial"/>
                <w:b/>
                <w:bCs/>
                <w:color w:val="333333"/>
                <w:sz w:val="20"/>
                <w:szCs w:val="20"/>
              </w:rPr>
              <w:t>435,736</w:t>
            </w:r>
          </w:p>
        </w:tc>
      </w:tr>
    </w:tbl>
    <w:p w14:paraId="0F8470DD" w14:textId="2E169CB8" w:rsidR="00F424C1" w:rsidRDefault="00F424C1" w:rsidP="00F424C1">
      <w:pPr>
        <w:jc w:val="both"/>
        <w:rPr>
          <w:rFonts w:ascii="Georgia" w:hAnsi="Georgia" w:cs="Calibri"/>
          <w:color w:val="404040" w:themeColor="text1" w:themeTint="BF"/>
          <w:sz w:val="20"/>
        </w:rPr>
      </w:pPr>
    </w:p>
    <w:p w14:paraId="46BDCBB2" w14:textId="35C6A620" w:rsidR="00F424C1" w:rsidRDefault="00F424C1" w:rsidP="008D680B">
      <w:pPr>
        <w:pStyle w:val="BluefieldBody"/>
        <w:rPr>
          <w:rFonts w:ascii="Times New Roman" w:hAnsi="Times New Roman"/>
          <w:color w:val="auto"/>
          <w:sz w:val="24"/>
          <w:lang w:eastAsia="en-GB"/>
        </w:rPr>
      </w:pPr>
    </w:p>
    <w:tbl>
      <w:tblPr>
        <w:tblW w:w="5000" w:type="pct"/>
        <w:tblLayout w:type="fixed"/>
        <w:tblLook w:val="04A0" w:firstRow="1" w:lastRow="0" w:firstColumn="1" w:lastColumn="0" w:noHBand="0" w:noVBand="1"/>
      </w:tblPr>
      <w:tblGrid>
        <w:gridCol w:w="4402"/>
        <w:gridCol w:w="286"/>
        <w:gridCol w:w="666"/>
        <w:gridCol w:w="2072"/>
        <w:gridCol w:w="1934"/>
      </w:tblGrid>
      <w:tr w:rsidR="00C55F92" w:rsidRPr="00753012" w14:paraId="55A63720" w14:textId="77777777" w:rsidTr="00C55F92">
        <w:trPr>
          <w:trHeight w:val="270"/>
        </w:trPr>
        <w:tc>
          <w:tcPr>
            <w:tcW w:w="5000" w:type="pct"/>
            <w:gridSpan w:val="5"/>
            <w:tcBorders>
              <w:top w:val="nil"/>
              <w:left w:val="nil"/>
              <w:bottom w:val="nil"/>
              <w:right w:val="nil"/>
            </w:tcBorders>
            <w:shd w:val="clear" w:color="auto" w:fill="auto"/>
            <w:noWrap/>
            <w:vAlign w:val="center"/>
          </w:tcPr>
          <w:p w14:paraId="0053AE8D" w14:textId="77777777" w:rsidR="00C55F92" w:rsidRPr="00753012" w:rsidRDefault="00C55F92" w:rsidP="00C55F92">
            <w:pPr>
              <w:rPr>
                <w:rFonts w:ascii="Georgia" w:hAnsi="Georgia" w:cs="Arial"/>
                <w:b/>
                <w:bCs/>
                <w:color w:val="404040" w:themeColor="text1" w:themeTint="BF"/>
                <w:sz w:val="20"/>
                <w:szCs w:val="20"/>
                <w:lang w:eastAsia="en-GB"/>
              </w:rPr>
            </w:pPr>
            <w:r w:rsidRPr="00753012">
              <w:rPr>
                <w:rFonts w:ascii="Georgia" w:hAnsi="Georgia" w:cs="Arial"/>
                <w:b/>
                <w:bCs/>
                <w:color w:val="404040" w:themeColor="text1" w:themeTint="BF"/>
                <w:sz w:val="20"/>
                <w:szCs w:val="20"/>
                <w:lang w:eastAsia="en-GB"/>
              </w:rPr>
              <w:t xml:space="preserve">Analysis of net gains on financial assets held at fair value through profit or loss (per statement of comprehensive income) </w:t>
            </w:r>
          </w:p>
          <w:p w14:paraId="255C012F" w14:textId="77777777" w:rsidR="00C55F92" w:rsidRPr="00753012" w:rsidRDefault="00C55F92" w:rsidP="00C55F92">
            <w:pPr>
              <w:rPr>
                <w:rFonts w:ascii="Georgia" w:hAnsi="Georgia" w:cs="Arial"/>
                <w:b/>
                <w:bCs/>
                <w:color w:val="404040" w:themeColor="text1" w:themeTint="BF"/>
                <w:sz w:val="20"/>
                <w:szCs w:val="20"/>
                <w:lang w:eastAsia="en-GB"/>
              </w:rPr>
            </w:pPr>
          </w:p>
        </w:tc>
      </w:tr>
      <w:tr w:rsidR="00C55F92" w:rsidRPr="00753012" w14:paraId="6635AFE4" w14:textId="77777777" w:rsidTr="00C55F92">
        <w:trPr>
          <w:trHeight w:val="270"/>
        </w:trPr>
        <w:tc>
          <w:tcPr>
            <w:tcW w:w="2351" w:type="pct"/>
            <w:tcBorders>
              <w:top w:val="nil"/>
              <w:left w:val="nil"/>
              <w:bottom w:val="nil"/>
              <w:right w:val="nil"/>
            </w:tcBorders>
            <w:shd w:val="clear" w:color="auto" w:fill="auto"/>
            <w:noWrap/>
            <w:vAlign w:val="center"/>
          </w:tcPr>
          <w:p w14:paraId="649DA0B0" w14:textId="77777777" w:rsidR="00C55F92" w:rsidRPr="00753012" w:rsidRDefault="00C55F92" w:rsidP="00C55F92">
            <w:pPr>
              <w:rPr>
                <w:rFonts w:ascii="Georgia" w:hAnsi="Georgia" w:cs="Arial"/>
                <w:color w:val="404040" w:themeColor="text1" w:themeTint="BF"/>
                <w:sz w:val="20"/>
                <w:szCs w:val="20"/>
                <w:lang w:eastAsia="en-GB"/>
              </w:rPr>
            </w:pPr>
          </w:p>
        </w:tc>
        <w:tc>
          <w:tcPr>
            <w:tcW w:w="153" w:type="pct"/>
            <w:tcBorders>
              <w:top w:val="nil"/>
              <w:left w:val="nil"/>
              <w:bottom w:val="nil"/>
              <w:right w:val="nil"/>
            </w:tcBorders>
            <w:shd w:val="clear" w:color="auto" w:fill="auto"/>
            <w:noWrap/>
            <w:vAlign w:val="center"/>
          </w:tcPr>
          <w:p w14:paraId="0E2A6685"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0BABA2FC"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center"/>
          </w:tcPr>
          <w:p w14:paraId="52984688" w14:textId="77777777" w:rsidR="00C55F92" w:rsidRPr="00753012" w:rsidRDefault="00C55F92" w:rsidP="00C55F92">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w:t>
            </w:r>
            <w:r w:rsidRPr="00753012">
              <w:rPr>
                <w:rFonts w:ascii="Georgia" w:hAnsi="Georgia" w:cs="Arial"/>
                <w:b/>
                <w:bCs/>
                <w:color w:val="404040" w:themeColor="text1" w:themeTint="BF"/>
                <w:sz w:val="20"/>
                <w:szCs w:val="20"/>
                <w:lang w:eastAsia="en-GB"/>
              </w:rPr>
              <w:t xml:space="preserve"> ended</w:t>
            </w:r>
          </w:p>
        </w:tc>
        <w:tc>
          <w:tcPr>
            <w:tcW w:w="1033" w:type="pct"/>
            <w:tcBorders>
              <w:left w:val="nil"/>
              <w:right w:val="nil"/>
            </w:tcBorders>
            <w:vAlign w:val="center"/>
          </w:tcPr>
          <w:p w14:paraId="36D6B6F5" w14:textId="77777777" w:rsidR="00C55F92" w:rsidRPr="00753012" w:rsidRDefault="00C55F92" w:rsidP="00C55F92">
            <w:pPr>
              <w:jc w:val="right"/>
              <w:rPr>
                <w:rFonts w:ascii="Georgia" w:hAnsi="Georgia" w:cs="Arial"/>
                <w:color w:val="404040" w:themeColor="text1" w:themeTint="BF"/>
                <w:sz w:val="20"/>
                <w:szCs w:val="20"/>
                <w:lang w:eastAsia="en-GB"/>
              </w:rPr>
            </w:pPr>
            <w:r>
              <w:rPr>
                <w:rFonts w:ascii="Georgia" w:hAnsi="Georgia" w:cs="Arial"/>
                <w:b/>
                <w:bCs/>
                <w:color w:val="404040" w:themeColor="text1" w:themeTint="BF"/>
                <w:sz w:val="20"/>
                <w:szCs w:val="20"/>
                <w:lang w:eastAsia="en-GB"/>
              </w:rPr>
              <w:t>Year</w:t>
            </w:r>
            <w:r w:rsidRPr="00753012">
              <w:rPr>
                <w:rFonts w:ascii="Georgia" w:hAnsi="Georgia" w:cs="Arial"/>
                <w:b/>
                <w:bCs/>
                <w:color w:val="404040" w:themeColor="text1" w:themeTint="BF"/>
                <w:sz w:val="20"/>
                <w:szCs w:val="20"/>
                <w:lang w:eastAsia="en-GB"/>
              </w:rPr>
              <w:t xml:space="preserve"> ended</w:t>
            </w:r>
          </w:p>
        </w:tc>
      </w:tr>
      <w:tr w:rsidR="00C55F92" w:rsidRPr="00753012" w14:paraId="5307F148" w14:textId="77777777" w:rsidTr="00C55F92">
        <w:trPr>
          <w:trHeight w:val="270"/>
        </w:trPr>
        <w:tc>
          <w:tcPr>
            <w:tcW w:w="2351" w:type="pct"/>
            <w:tcBorders>
              <w:top w:val="nil"/>
              <w:left w:val="nil"/>
              <w:bottom w:val="nil"/>
              <w:right w:val="nil"/>
            </w:tcBorders>
            <w:shd w:val="clear" w:color="auto" w:fill="auto"/>
            <w:noWrap/>
            <w:vAlign w:val="center"/>
          </w:tcPr>
          <w:p w14:paraId="34A9A455" w14:textId="77777777" w:rsidR="00C55F92" w:rsidRPr="00753012" w:rsidRDefault="00C55F92" w:rsidP="00C55F92">
            <w:pPr>
              <w:rPr>
                <w:rFonts w:ascii="Georgia" w:hAnsi="Georgia" w:cs="Arial"/>
                <w:color w:val="404040" w:themeColor="text1" w:themeTint="BF"/>
                <w:sz w:val="20"/>
                <w:szCs w:val="20"/>
                <w:lang w:eastAsia="en-GB"/>
              </w:rPr>
            </w:pPr>
          </w:p>
        </w:tc>
        <w:tc>
          <w:tcPr>
            <w:tcW w:w="153" w:type="pct"/>
            <w:tcBorders>
              <w:top w:val="nil"/>
              <w:left w:val="nil"/>
              <w:bottom w:val="nil"/>
              <w:right w:val="nil"/>
            </w:tcBorders>
            <w:shd w:val="clear" w:color="auto" w:fill="auto"/>
            <w:noWrap/>
            <w:vAlign w:val="center"/>
          </w:tcPr>
          <w:p w14:paraId="6B1216EF"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3006C8A9"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center"/>
          </w:tcPr>
          <w:p w14:paraId="0F4CBC5C" w14:textId="443B0B9F" w:rsidR="00C55F92" w:rsidRPr="00753012" w:rsidRDefault="00C55F92" w:rsidP="00C55F92">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1033" w:type="pct"/>
            <w:tcBorders>
              <w:left w:val="nil"/>
              <w:right w:val="nil"/>
            </w:tcBorders>
            <w:vAlign w:val="center"/>
          </w:tcPr>
          <w:p w14:paraId="0DE2DB69" w14:textId="087590D5" w:rsidR="00C55F92" w:rsidRPr="00753012" w:rsidRDefault="00C55F92" w:rsidP="00C55F92">
            <w:pPr>
              <w:jc w:val="right"/>
              <w:rPr>
                <w:rFonts w:ascii="Georgia" w:hAnsi="Georgia" w:cs="Arial"/>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tc>
      </w:tr>
      <w:tr w:rsidR="00C55F92" w:rsidRPr="00753012" w14:paraId="31F5CA7C" w14:textId="77777777" w:rsidTr="00C55F92">
        <w:trPr>
          <w:trHeight w:val="270"/>
        </w:trPr>
        <w:tc>
          <w:tcPr>
            <w:tcW w:w="2351" w:type="pct"/>
            <w:tcBorders>
              <w:top w:val="nil"/>
              <w:left w:val="nil"/>
              <w:bottom w:val="nil"/>
              <w:right w:val="nil"/>
            </w:tcBorders>
            <w:shd w:val="clear" w:color="auto" w:fill="auto"/>
            <w:noWrap/>
            <w:vAlign w:val="center"/>
          </w:tcPr>
          <w:p w14:paraId="72C04273" w14:textId="77777777" w:rsidR="00C55F92" w:rsidRPr="00753012" w:rsidRDefault="00C55F92" w:rsidP="00C55F92">
            <w:pPr>
              <w:rPr>
                <w:rFonts w:ascii="Georgia" w:hAnsi="Georgia" w:cs="Arial"/>
                <w:color w:val="404040" w:themeColor="text1" w:themeTint="BF"/>
                <w:sz w:val="20"/>
                <w:szCs w:val="20"/>
                <w:lang w:eastAsia="en-GB"/>
              </w:rPr>
            </w:pPr>
          </w:p>
        </w:tc>
        <w:tc>
          <w:tcPr>
            <w:tcW w:w="153" w:type="pct"/>
            <w:tcBorders>
              <w:top w:val="nil"/>
              <w:left w:val="nil"/>
              <w:bottom w:val="nil"/>
              <w:right w:val="nil"/>
            </w:tcBorders>
            <w:shd w:val="clear" w:color="auto" w:fill="auto"/>
            <w:noWrap/>
            <w:vAlign w:val="center"/>
          </w:tcPr>
          <w:p w14:paraId="54C23A2D"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3A3EA8B0"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center"/>
          </w:tcPr>
          <w:p w14:paraId="10DA47B3" w14:textId="10C96FF1" w:rsidR="00C55F92" w:rsidRPr="00753012" w:rsidRDefault="00C55F92" w:rsidP="00C55F92">
            <w:pPr>
              <w:jc w:val="right"/>
              <w:rPr>
                <w:rFonts w:ascii="Georgia" w:hAnsi="Georgia" w:cs="Arial"/>
                <w:b/>
                <w:bCs/>
                <w:color w:val="404040" w:themeColor="text1" w:themeTint="BF"/>
                <w:sz w:val="20"/>
                <w:szCs w:val="20"/>
                <w:lang w:eastAsia="en-GB"/>
              </w:rPr>
            </w:pPr>
            <w:r w:rsidRPr="00753012">
              <w:rPr>
                <w:rFonts w:ascii="Georgia" w:hAnsi="Georgia" w:cs="Arial"/>
                <w:b/>
                <w:bCs/>
                <w:color w:val="404040" w:themeColor="text1" w:themeTint="BF"/>
                <w:sz w:val="20"/>
                <w:szCs w:val="20"/>
                <w:lang w:eastAsia="en-GB"/>
              </w:rPr>
              <w:t>£</w:t>
            </w:r>
            <w:r w:rsidR="00D32493">
              <w:rPr>
                <w:rFonts w:ascii="Georgia" w:hAnsi="Georgia" w:cs="Arial"/>
                <w:b/>
                <w:bCs/>
                <w:color w:val="404040" w:themeColor="text1" w:themeTint="BF"/>
                <w:sz w:val="20"/>
                <w:szCs w:val="20"/>
                <w:lang w:eastAsia="en-GB"/>
              </w:rPr>
              <w:t>’000</w:t>
            </w:r>
          </w:p>
        </w:tc>
        <w:tc>
          <w:tcPr>
            <w:tcW w:w="1033" w:type="pct"/>
            <w:tcBorders>
              <w:left w:val="nil"/>
              <w:right w:val="nil"/>
            </w:tcBorders>
          </w:tcPr>
          <w:p w14:paraId="20FD56C0" w14:textId="0FA1543C" w:rsidR="00C55F92" w:rsidRPr="00753012" w:rsidRDefault="00C55F92" w:rsidP="00C55F92">
            <w:pPr>
              <w:jc w:val="right"/>
              <w:rPr>
                <w:rFonts w:ascii="Georgia" w:hAnsi="Georgia" w:cs="Arial"/>
                <w:color w:val="404040" w:themeColor="text1" w:themeTint="BF"/>
                <w:sz w:val="20"/>
                <w:szCs w:val="20"/>
                <w:lang w:eastAsia="en-GB"/>
              </w:rPr>
            </w:pPr>
            <w:r w:rsidRPr="00753012">
              <w:rPr>
                <w:rFonts w:ascii="Georgia" w:hAnsi="Georgia" w:cs="Arial"/>
                <w:b/>
                <w:bCs/>
                <w:color w:val="404040" w:themeColor="text1" w:themeTint="BF"/>
                <w:sz w:val="20"/>
                <w:szCs w:val="20"/>
                <w:lang w:eastAsia="en-GB"/>
              </w:rPr>
              <w:t>£</w:t>
            </w:r>
            <w:r w:rsidR="00D32493">
              <w:rPr>
                <w:rFonts w:ascii="Georgia" w:hAnsi="Georgia" w:cs="Arial"/>
                <w:b/>
                <w:bCs/>
                <w:color w:val="404040" w:themeColor="text1" w:themeTint="BF"/>
                <w:sz w:val="20"/>
                <w:szCs w:val="20"/>
                <w:lang w:eastAsia="en-GB"/>
              </w:rPr>
              <w:t>’000</w:t>
            </w:r>
          </w:p>
        </w:tc>
      </w:tr>
      <w:tr w:rsidR="00C55F92" w:rsidRPr="00753012" w14:paraId="2E1A6CE7" w14:textId="77777777" w:rsidTr="00C55F92">
        <w:trPr>
          <w:trHeight w:val="270"/>
        </w:trPr>
        <w:tc>
          <w:tcPr>
            <w:tcW w:w="2351" w:type="pct"/>
            <w:tcBorders>
              <w:top w:val="nil"/>
              <w:left w:val="nil"/>
              <w:bottom w:val="nil"/>
              <w:right w:val="nil"/>
            </w:tcBorders>
            <w:shd w:val="clear" w:color="auto" w:fill="auto"/>
            <w:noWrap/>
            <w:vAlign w:val="center"/>
          </w:tcPr>
          <w:p w14:paraId="3D65BC82" w14:textId="77777777" w:rsidR="00C55F92" w:rsidRPr="00753012" w:rsidRDefault="00C55F92" w:rsidP="00C55F92">
            <w:pPr>
              <w:rPr>
                <w:rFonts w:ascii="Georgia" w:hAnsi="Georgia" w:cs="Arial"/>
                <w:color w:val="404040" w:themeColor="text1" w:themeTint="BF"/>
                <w:sz w:val="20"/>
                <w:szCs w:val="20"/>
                <w:lang w:eastAsia="en-GB"/>
              </w:rPr>
            </w:pPr>
          </w:p>
        </w:tc>
        <w:tc>
          <w:tcPr>
            <w:tcW w:w="153" w:type="pct"/>
            <w:tcBorders>
              <w:top w:val="nil"/>
              <w:left w:val="nil"/>
              <w:bottom w:val="nil"/>
              <w:right w:val="nil"/>
            </w:tcBorders>
            <w:shd w:val="clear" w:color="auto" w:fill="auto"/>
            <w:noWrap/>
            <w:vAlign w:val="center"/>
          </w:tcPr>
          <w:p w14:paraId="02FD8951"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5389A3D8"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bottom"/>
          </w:tcPr>
          <w:p w14:paraId="625F70E2" w14:textId="77777777" w:rsidR="00C55F92" w:rsidRPr="00753012" w:rsidRDefault="00C55F92" w:rsidP="00C55F92">
            <w:pPr>
              <w:jc w:val="right"/>
              <w:rPr>
                <w:rFonts w:ascii="Georgia" w:hAnsi="Georgia" w:cs="Arial"/>
                <w:b/>
                <w:bCs/>
                <w:color w:val="404040" w:themeColor="text1" w:themeTint="BF"/>
                <w:sz w:val="20"/>
                <w:szCs w:val="20"/>
                <w:lang w:eastAsia="en-GB"/>
              </w:rPr>
            </w:pPr>
          </w:p>
        </w:tc>
        <w:tc>
          <w:tcPr>
            <w:tcW w:w="1033" w:type="pct"/>
            <w:tcBorders>
              <w:left w:val="nil"/>
              <w:right w:val="nil"/>
            </w:tcBorders>
            <w:vAlign w:val="bottom"/>
          </w:tcPr>
          <w:p w14:paraId="027A6FAA" w14:textId="77777777" w:rsidR="00C55F92" w:rsidRPr="00753012" w:rsidRDefault="00C55F92" w:rsidP="00C55F92">
            <w:pPr>
              <w:jc w:val="right"/>
              <w:rPr>
                <w:rFonts w:ascii="Georgia" w:hAnsi="Georgia" w:cs="Arial"/>
                <w:b/>
                <w:bCs/>
                <w:color w:val="404040" w:themeColor="text1" w:themeTint="BF"/>
                <w:sz w:val="20"/>
                <w:szCs w:val="20"/>
                <w:lang w:eastAsia="en-GB"/>
              </w:rPr>
            </w:pPr>
          </w:p>
        </w:tc>
      </w:tr>
      <w:tr w:rsidR="00F30906" w:rsidRPr="00753012" w14:paraId="0BBEEC8A" w14:textId="77777777" w:rsidTr="00C55F92">
        <w:trPr>
          <w:trHeight w:val="270"/>
        </w:trPr>
        <w:tc>
          <w:tcPr>
            <w:tcW w:w="2351" w:type="pct"/>
            <w:tcBorders>
              <w:top w:val="nil"/>
              <w:left w:val="nil"/>
              <w:bottom w:val="nil"/>
              <w:right w:val="nil"/>
            </w:tcBorders>
            <w:shd w:val="clear" w:color="auto" w:fill="auto"/>
            <w:noWrap/>
            <w:vAlign w:val="center"/>
          </w:tcPr>
          <w:p w14:paraId="46D0B0D6" w14:textId="77777777" w:rsidR="00F30906" w:rsidRPr="00753012" w:rsidRDefault="00F30906" w:rsidP="00F30906">
            <w:pPr>
              <w:rPr>
                <w:rFonts w:ascii="Georgia" w:hAnsi="Georgia" w:cs="Arial"/>
                <w:color w:val="404040" w:themeColor="text1" w:themeTint="BF"/>
                <w:sz w:val="20"/>
                <w:szCs w:val="20"/>
                <w:lang w:eastAsia="en-GB"/>
              </w:rPr>
            </w:pPr>
            <w:r w:rsidRPr="00753012">
              <w:rPr>
                <w:rFonts w:ascii="Georgia" w:hAnsi="Georgia" w:cs="Arial"/>
                <w:color w:val="404040" w:themeColor="text1" w:themeTint="BF"/>
                <w:sz w:val="20"/>
                <w:szCs w:val="20"/>
                <w:lang w:eastAsia="en-GB"/>
              </w:rPr>
              <w:t>Unrealised change in fair value of financial assets held at fair value through profit or loss</w:t>
            </w:r>
          </w:p>
        </w:tc>
        <w:tc>
          <w:tcPr>
            <w:tcW w:w="153" w:type="pct"/>
            <w:tcBorders>
              <w:top w:val="nil"/>
              <w:left w:val="nil"/>
              <w:bottom w:val="nil"/>
              <w:right w:val="nil"/>
            </w:tcBorders>
            <w:shd w:val="clear" w:color="auto" w:fill="auto"/>
            <w:noWrap/>
            <w:vAlign w:val="center"/>
          </w:tcPr>
          <w:p w14:paraId="4F1CE732"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22DE40C2"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bottom"/>
          </w:tcPr>
          <w:p w14:paraId="436712EA" w14:textId="3C539E21" w:rsidR="00F30906" w:rsidRPr="00603481" w:rsidRDefault="00260208" w:rsidP="00064B7A">
            <w:pPr>
              <w:jc w:val="right"/>
              <w:rPr>
                <w:rFonts w:ascii="Georgia" w:hAnsi="Georgia" w:cs="Arial"/>
                <w:bCs/>
                <w:color w:val="404040" w:themeColor="text1" w:themeTint="BF"/>
                <w:sz w:val="20"/>
                <w:szCs w:val="20"/>
                <w:lang w:eastAsia="en-GB"/>
              </w:rPr>
            </w:pPr>
            <w:r>
              <w:rPr>
                <w:rFonts w:ascii="Georgia" w:hAnsi="Georgia" w:cs="Arial"/>
                <w:bCs/>
                <w:color w:val="404040" w:themeColor="text1" w:themeTint="BF"/>
                <w:sz w:val="20"/>
                <w:szCs w:val="20"/>
                <w:lang w:eastAsia="en-GB"/>
              </w:rPr>
              <w:t>(</w:t>
            </w:r>
            <w:r w:rsidR="00064B7A">
              <w:rPr>
                <w:rFonts w:ascii="Georgia" w:hAnsi="Georgia" w:cs="Arial"/>
                <w:bCs/>
                <w:color w:val="404040" w:themeColor="text1" w:themeTint="BF"/>
                <w:sz w:val="20"/>
                <w:szCs w:val="20"/>
                <w:lang w:eastAsia="en-GB"/>
              </w:rPr>
              <w:t>3,310</w:t>
            </w:r>
            <w:r w:rsidR="00603481" w:rsidRPr="00603481">
              <w:rPr>
                <w:rFonts w:ascii="Georgia" w:hAnsi="Georgia" w:cs="Arial"/>
                <w:bCs/>
                <w:color w:val="404040" w:themeColor="text1" w:themeTint="BF"/>
                <w:sz w:val="20"/>
                <w:szCs w:val="20"/>
                <w:lang w:eastAsia="en-GB"/>
              </w:rPr>
              <w:t>)</w:t>
            </w:r>
          </w:p>
        </w:tc>
        <w:tc>
          <w:tcPr>
            <w:tcW w:w="1033" w:type="pct"/>
            <w:tcBorders>
              <w:left w:val="nil"/>
              <w:right w:val="nil"/>
            </w:tcBorders>
            <w:vAlign w:val="bottom"/>
          </w:tcPr>
          <w:p w14:paraId="644D7CF0" w14:textId="57C3D99C" w:rsidR="00F30906" w:rsidRPr="00753012" w:rsidRDefault="00D32493" w:rsidP="00F30906">
            <w:pPr>
              <w:jc w:val="right"/>
              <w:rPr>
                <w:rFonts w:ascii="Georgia" w:hAnsi="Georgia" w:cs="Arial"/>
                <w:bCs/>
                <w:color w:val="404040" w:themeColor="text1" w:themeTint="BF"/>
                <w:sz w:val="20"/>
                <w:szCs w:val="20"/>
                <w:lang w:eastAsia="en-GB"/>
              </w:rPr>
            </w:pPr>
            <w:r>
              <w:rPr>
                <w:rFonts w:ascii="Georgia" w:hAnsi="Georgia" w:cs="Arial"/>
                <w:bCs/>
                <w:color w:val="404040" w:themeColor="text1" w:themeTint="BF"/>
                <w:sz w:val="20"/>
                <w:szCs w:val="20"/>
                <w:lang w:eastAsia="en-GB"/>
              </w:rPr>
              <w:t>17,638</w:t>
            </w:r>
          </w:p>
        </w:tc>
      </w:tr>
      <w:tr w:rsidR="00F30906" w:rsidRPr="00753012" w14:paraId="5376ADE7" w14:textId="77777777" w:rsidTr="00C55F92">
        <w:trPr>
          <w:trHeight w:val="270"/>
        </w:trPr>
        <w:tc>
          <w:tcPr>
            <w:tcW w:w="2351" w:type="pct"/>
            <w:tcBorders>
              <w:top w:val="nil"/>
              <w:left w:val="nil"/>
              <w:bottom w:val="nil"/>
              <w:right w:val="nil"/>
            </w:tcBorders>
            <w:shd w:val="clear" w:color="auto" w:fill="auto"/>
            <w:noWrap/>
            <w:vAlign w:val="center"/>
          </w:tcPr>
          <w:p w14:paraId="36852C72" w14:textId="77777777" w:rsidR="00F30906" w:rsidRPr="00753012" w:rsidRDefault="00F30906" w:rsidP="00F30906">
            <w:pPr>
              <w:rPr>
                <w:rFonts w:ascii="Georgia" w:hAnsi="Georgia" w:cs="Arial"/>
                <w:color w:val="404040" w:themeColor="text1" w:themeTint="BF"/>
                <w:sz w:val="20"/>
                <w:szCs w:val="20"/>
                <w:lang w:eastAsia="en-GB"/>
              </w:rPr>
            </w:pPr>
          </w:p>
        </w:tc>
        <w:tc>
          <w:tcPr>
            <w:tcW w:w="153" w:type="pct"/>
            <w:tcBorders>
              <w:top w:val="nil"/>
              <w:left w:val="nil"/>
              <w:bottom w:val="nil"/>
              <w:right w:val="nil"/>
            </w:tcBorders>
            <w:shd w:val="clear" w:color="auto" w:fill="auto"/>
            <w:noWrap/>
            <w:vAlign w:val="center"/>
          </w:tcPr>
          <w:p w14:paraId="2E06E1BD"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590EDEB5"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bottom"/>
          </w:tcPr>
          <w:p w14:paraId="2A82B7CC" w14:textId="77777777" w:rsidR="00F30906" w:rsidRPr="00603481" w:rsidRDefault="00F30906" w:rsidP="00F30906">
            <w:pPr>
              <w:jc w:val="right"/>
              <w:rPr>
                <w:rFonts w:ascii="Georgia" w:hAnsi="Georgia" w:cs="Arial"/>
                <w:bCs/>
                <w:color w:val="404040" w:themeColor="text1" w:themeTint="BF"/>
                <w:sz w:val="20"/>
                <w:szCs w:val="20"/>
                <w:lang w:eastAsia="en-GB"/>
              </w:rPr>
            </w:pPr>
          </w:p>
        </w:tc>
        <w:tc>
          <w:tcPr>
            <w:tcW w:w="1033" w:type="pct"/>
            <w:tcBorders>
              <w:left w:val="nil"/>
              <w:right w:val="nil"/>
            </w:tcBorders>
            <w:vAlign w:val="bottom"/>
          </w:tcPr>
          <w:p w14:paraId="73D1D21E" w14:textId="77777777" w:rsidR="00F30906" w:rsidRPr="00753012" w:rsidRDefault="00F30906" w:rsidP="00F30906">
            <w:pPr>
              <w:jc w:val="right"/>
              <w:rPr>
                <w:rFonts w:ascii="Georgia" w:hAnsi="Georgia" w:cs="Arial"/>
                <w:bCs/>
                <w:color w:val="404040" w:themeColor="text1" w:themeTint="BF"/>
                <w:sz w:val="20"/>
                <w:szCs w:val="20"/>
                <w:lang w:eastAsia="en-GB"/>
              </w:rPr>
            </w:pPr>
          </w:p>
        </w:tc>
      </w:tr>
      <w:tr w:rsidR="00F30906" w:rsidRPr="00753012" w14:paraId="01E753B9" w14:textId="77777777" w:rsidTr="00C55F92">
        <w:trPr>
          <w:trHeight w:val="270"/>
        </w:trPr>
        <w:tc>
          <w:tcPr>
            <w:tcW w:w="2351" w:type="pct"/>
            <w:tcBorders>
              <w:top w:val="nil"/>
              <w:left w:val="nil"/>
              <w:bottom w:val="nil"/>
              <w:right w:val="nil"/>
            </w:tcBorders>
            <w:shd w:val="clear" w:color="auto" w:fill="auto"/>
            <w:noWrap/>
            <w:vAlign w:val="center"/>
          </w:tcPr>
          <w:p w14:paraId="0AFA4B11" w14:textId="77777777" w:rsidR="00F30906" w:rsidRPr="00753012" w:rsidRDefault="00F30906" w:rsidP="00F30906">
            <w:pPr>
              <w:rPr>
                <w:rFonts w:ascii="Georgia" w:hAnsi="Georgia" w:cs="Arial"/>
                <w:color w:val="404040" w:themeColor="text1" w:themeTint="BF"/>
                <w:sz w:val="20"/>
                <w:szCs w:val="20"/>
                <w:lang w:eastAsia="en-GB"/>
              </w:rPr>
            </w:pPr>
            <w:r w:rsidRPr="00753012">
              <w:rPr>
                <w:rFonts w:ascii="Georgia" w:hAnsi="Georgia" w:cs="Arial"/>
                <w:color w:val="404040" w:themeColor="text1" w:themeTint="BF"/>
                <w:sz w:val="20"/>
                <w:szCs w:val="20"/>
                <w:lang w:eastAsia="en-GB"/>
              </w:rPr>
              <w:t xml:space="preserve">Cash receipts from </w:t>
            </w:r>
            <w:r>
              <w:rPr>
                <w:rFonts w:ascii="Georgia" w:hAnsi="Georgia" w:cs="Arial"/>
                <w:color w:val="404040" w:themeColor="text1" w:themeTint="BF"/>
                <w:sz w:val="20"/>
                <w:szCs w:val="20"/>
                <w:lang w:eastAsia="en-GB"/>
              </w:rPr>
              <w:t>non-</w:t>
            </w:r>
            <w:r w:rsidRPr="00753012">
              <w:rPr>
                <w:rFonts w:ascii="Georgia" w:hAnsi="Georgia" w:cs="Arial"/>
                <w:color w:val="404040" w:themeColor="text1" w:themeTint="BF"/>
                <w:sz w:val="20"/>
                <w:szCs w:val="20"/>
                <w:lang w:eastAsia="en-GB"/>
              </w:rPr>
              <w:t>consolidated subsidiary</w:t>
            </w:r>
            <w:r>
              <w:rPr>
                <w:rFonts w:ascii="Georgia" w:hAnsi="Georgia" w:cs="Arial"/>
                <w:color w:val="404040" w:themeColor="text1" w:themeTint="BF"/>
                <w:sz w:val="20"/>
                <w:szCs w:val="20"/>
                <w:lang w:eastAsia="en-GB"/>
              </w:rPr>
              <w:t>*</w:t>
            </w:r>
          </w:p>
        </w:tc>
        <w:tc>
          <w:tcPr>
            <w:tcW w:w="153" w:type="pct"/>
            <w:tcBorders>
              <w:top w:val="nil"/>
              <w:left w:val="nil"/>
              <w:bottom w:val="nil"/>
              <w:right w:val="nil"/>
            </w:tcBorders>
            <w:shd w:val="clear" w:color="auto" w:fill="auto"/>
            <w:noWrap/>
            <w:vAlign w:val="center"/>
          </w:tcPr>
          <w:p w14:paraId="3F1E7DFA"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0FD3BF82"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bottom"/>
          </w:tcPr>
          <w:p w14:paraId="49668FFB" w14:textId="1580069F" w:rsidR="00F30906" w:rsidRPr="00603481" w:rsidRDefault="00603481" w:rsidP="00F30906">
            <w:pPr>
              <w:jc w:val="right"/>
              <w:rPr>
                <w:rFonts w:ascii="Georgia" w:hAnsi="Georgia" w:cs="Arial"/>
                <w:bCs/>
                <w:color w:val="404040" w:themeColor="text1" w:themeTint="BF"/>
                <w:sz w:val="20"/>
                <w:szCs w:val="20"/>
                <w:lang w:eastAsia="en-GB"/>
              </w:rPr>
            </w:pPr>
            <w:r w:rsidRPr="00603481">
              <w:rPr>
                <w:rFonts w:ascii="Georgia" w:hAnsi="Georgia" w:cs="Arial"/>
                <w:bCs/>
                <w:color w:val="404040" w:themeColor="text1" w:themeTint="BF"/>
                <w:sz w:val="20"/>
                <w:szCs w:val="20"/>
                <w:lang w:eastAsia="en-GB"/>
              </w:rPr>
              <w:t>32,161</w:t>
            </w:r>
          </w:p>
        </w:tc>
        <w:tc>
          <w:tcPr>
            <w:tcW w:w="1033" w:type="pct"/>
            <w:tcBorders>
              <w:left w:val="nil"/>
              <w:right w:val="nil"/>
            </w:tcBorders>
            <w:vAlign w:val="bottom"/>
          </w:tcPr>
          <w:p w14:paraId="7EAE5B09" w14:textId="5E34CC24" w:rsidR="00F30906" w:rsidRPr="00753012" w:rsidRDefault="00D32493" w:rsidP="00F30906">
            <w:pPr>
              <w:jc w:val="right"/>
              <w:rPr>
                <w:rFonts w:ascii="Georgia" w:hAnsi="Georgia" w:cs="Arial"/>
                <w:bCs/>
                <w:color w:val="404040" w:themeColor="text1" w:themeTint="BF"/>
                <w:sz w:val="20"/>
                <w:szCs w:val="20"/>
                <w:lang w:eastAsia="en-GB"/>
              </w:rPr>
            </w:pPr>
            <w:r>
              <w:rPr>
                <w:rFonts w:ascii="Georgia" w:hAnsi="Georgia" w:cs="Arial"/>
                <w:bCs/>
                <w:color w:val="404040" w:themeColor="text1" w:themeTint="BF"/>
                <w:sz w:val="20"/>
                <w:szCs w:val="20"/>
                <w:lang w:eastAsia="en-GB"/>
              </w:rPr>
              <w:t>28,528</w:t>
            </w:r>
          </w:p>
        </w:tc>
      </w:tr>
      <w:tr w:rsidR="00F30906" w:rsidRPr="00753012" w14:paraId="6B085556" w14:textId="77777777" w:rsidTr="00C55F92">
        <w:trPr>
          <w:trHeight w:val="270"/>
        </w:trPr>
        <w:tc>
          <w:tcPr>
            <w:tcW w:w="2351" w:type="pct"/>
            <w:tcBorders>
              <w:top w:val="nil"/>
              <w:left w:val="nil"/>
              <w:bottom w:val="nil"/>
              <w:right w:val="nil"/>
            </w:tcBorders>
            <w:shd w:val="clear" w:color="auto" w:fill="auto"/>
            <w:noWrap/>
            <w:vAlign w:val="center"/>
          </w:tcPr>
          <w:p w14:paraId="22837F9B" w14:textId="77777777" w:rsidR="00F30906" w:rsidRPr="00753012" w:rsidRDefault="00F30906" w:rsidP="00F30906">
            <w:pPr>
              <w:rPr>
                <w:rFonts w:ascii="Georgia" w:hAnsi="Georgia" w:cs="Arial"/>
                <w:color w:val="404040" w:themeColor="text1" w:themeTint="BF"/>
                <w:sz w:val="20"/>
                <w:szCs w:val="20"/>
                <w:lang w:eastAsia="en-GB"/>
              </w:rPr>
            </w:pPr>
          </w:p>
        </w:tc>
        <w:tc>
          <w:tcPr>
            <w:tcW w:w="153" w:type="pct"/>
            <w:tcBorders>
              <w:top w:val="nil"/>
              <w:left w:val="nil"/>
              <w:bottom w:val="nil"/>
              <w:right w:val="nil"/>
            </w:tcBorders>
            <w:shd w:val="clear" w:color="auto" w:fill="auto"/>
            <w:noWrap/>
            <w:vAlign w:val="center"/>
          </w:tcPr>
          <w:p w14:paraId="29C314E9"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3C05F095"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1107" w:type="pct"/>
            <w:tcBorders>
              <w:left w:val="nil"/>
              <w:right w:val="nil"/>
            </w:tcBorders>
            <w:shd w:val="clear" w:color="auto" w:fill="auto"/>
            <w:noWrap/>
            <w:vAlign w:val="bottom"/>
          </w:tcPr>
          <w:p w14:paraId="4AEB57F9" w14:textId="77777777" w:rsidR="00F30906" w:rsidRPr="00603481" w:rsidRDefault="00F30906" w:rsidP="00F30906">
            <w:pPr>
              <w:jc w:val="right"/>
              <w:rPr>
                <w:rFonts w:ascii="Georgia" w:hAnsi="Georgia" w:cs="Arial"/>
                <w:b/>
                <w:bCs/>
                <w:color w:val="404040" w:themeColor="text1" w:themeTint="BF"/>
                <w:sz w:val="20"/>
                <w:szCs w:val="20"/>
                <w:lang w:eastAsia="en-GB"/>
              </w:rPr>
            </w:pPr>
          </w:p>
        </w:tc>
        <w:tc>
          <w:tcPr>
            <w:tcW w:w="1033" w:type="pct"/>
            <w:tcBorders>
              <w:left w:val="nil"/>
              <w:right w:val="nil"/>
            </w:tcBorders>
            <w:vAlign w:val="bottom"/>
          </w:tcPr>
          <w:p w14:paraId="419ACF1D" w14:textId="77777777" w:rsidR="00F30906" w:rsidRPr="00753012" w:rsidRDefault="00F30906" w:rsidP="00F30906">
            <w:pPr>
              <w:jc w:val="right"/>
              <w:rPr>
                <w:rFonts w:ascii="Georgia" w:hAnsi="Georgia" w:cs="Arial"/>
                <w:b/>
                <w:bCs/>
                <w:color w:val="404040" w:themeColor="text1" w:themeTint="BF"/>
                <w:sz w:val="20"/>
                <w:szCs w:val="20"/>
                <w:lang w:eastAsia="en-GB"/>
              </w:rPr>
            </w:pPr>
          </w:p>
        </w:tc>
      </w:tr>
      <w:tr w:rsidR="00F30906" w:rsidRPr="00753012" w14:paraId="398A4D91" w14:textId="77777777" w:rsidTr="00C55F92">
        <w:trPr>
          <w:trHeight w:val="270"/>
        </w:trPr>
        <w:tc>
          <w:tcPr>
            <w:tcW w:w="2351" w:type="pct"/>
            <w:tcBorders>
              <w:top w:val="nil"/>
              <w:left w:val="nil"/>
              <w:bottom w:val="nil"/>
              <w:right w:val="nil"/>
            </w:tcBorders>
            <w:shd w:val="clear" w:color="auto" w:fill="auto"/>
            <w:noWrap/>
            <w:vAlign w:val="center"/>
          </w:tcPr>
          <w:p w14:paraId="39BEC139" w14:textId="77777777" w:rsidR="00F30906" w:rsidRPr="00753012" w:rsidDel="0069299F" w:rsidRDefault="00F30906" w:rsidP="00F30906">
            <w:pPr>
              <w:jc w:val="right"/>
              <w:rPr>
                <w:rFonts w:ascii="Georgia" w:hAnsi="Georgia" w:cs="Arial"/>
                <w:b/>
                <w:bCs/>
                <w:color w:val="404040" w:themeColor="text1" w:themeTint="BF"/>
                <w:sz w:val="20"/>
                <w:szCs w:val="20"/>
                <w:lang w:eastAsia="en-GB"/>
              </w:rPr>
            </w:pPr>
            <w:r w:rsidRPr="00753012">
              <w:rPr>
                <w:rFonts w:ascii="Georgia" w:hAnsi="Georgia" w:cs="Arial"/>
                <w:b/>
                <w:bCs/>
                <w:color w:val="404040" w:themeColor="text1" w:themeTint="BF"/>
                <w:sz w:val="20"/>
                <w:szCs w:val="20"/>
                <w:lang w:eastAsia="en-GB"/>
              </w:rPr>
              <w:t xml:space="preserve">Net gains on financial assets held at fair value through profit </w:t>
            </w:r>
            <w:r>
              <w:rPr>
                <w:rFonts w:ascii="Georgia" w:hAnsi="Georgia" w:cs="Arial"/>
                <w:b/>
                <w:bCs/>
                <w:color w:val="404040" w:themeColor="text1" w:themeTint="BF"/>
                <w:sz w:val="20"/>
                <w:szCs w:val="20"/>
                <w:lang w:eastAsia="en-GB"/>
              </w:rPr>
              <w:t>or</w:t>
            </w:r>
            <w:r w:rsidRPr="00753012">
              <w:rPr>
                <w:rFonts w:ascii="Georgia" w:hAnsi="Georgia" w:cs="Arial"/>
                <w:b/>
                <w:bCs/>
                <w:color w:val="404040" w:themeColor="text1" w:themeTint="BF"/>
                <w:sz w:val="20"/>
                <w:szCs w:val="20"/>
                <w:lang w:eastAsia="en-GB"/>
              </w:rPr>
              <w:t xml:space="preserve"> loss</w:t>
            </w:r>
          </w:p>
        </w:tc>
        <w:tc>
          <w:tcPr>
            <w:tcW w:w="153" w:type="pct"/>
            <w:tcBorders>
              <w:top w:val="nil"/>
              <w:left w:val="nil"/>
              <w:bottom w:val="nil"/>
              <w:right w:val="nil"/>
            </w:tcBorders>
            <w:shd w:val="clear" w:color="auto" w:fill="auto"/>
            <w:noWrap/>
            <w:vAlign w:val="center"/>
          </w:tcPr>
          <w:p w14:paraId="660780A5"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356" w:type="pct"/>
            <w:tcBorders>
              <w:top w:val="nil"/>
              <w:left w:val="nil"/>
              <w:bottom w:val="nil"/>
              <w:right w:val="nil"/>
            </w:tcBorders>
            <w:shd w:val="clear" w:color="auto" w:fill="auto"/>
            <w:noWrap/>
            <w:vAlign w:val="center"/>
          </w:tcPr>
          <w:p w14:paraId="48DF2B15" w14:textId="77777777" w:rsidR="00F30906" w:rsidRPr="00753012" w:rsidRDefault="00F30906" w:rsidP="00F30906">
            <w:pPr>
              <w:jc w:val="right"/>
              <w:rPr>
                <w:rFonts w:ascii="Georgia" w:hAnsi="Georgia" w:cs="Arial"/>
                <w:b/>
                <w:bCs/>
                <w:color w:val="404040" w:themeColor="text1" w:themeTint="BF"/>
                <w:sz w:val="20"/>
                <w:szCs w:val="20"/>
                <w:lang w:eastAsia="en-GB"/>
              </w:rPr>
            </w:pPr>
          </w:p>
        </w:tc>
        <w:tc>
          <w:tcPr>
            <w:tcW w:w="1107" w:type="pct"/>
            <w:tcBorders>
              <w:top w:val="single" w:sz="4" w:space="0" w:color="auto"/>
              <w:left w:val="nil"/>
              <w:bottom w:val="double" w:sz="4" w:space="0" w:color="auto"/>
              <w:right w:val="nil"/>
            </w:tcBorders>
            <w:shd w:val="clear" w:color="auto" w:fill="auto"/>
            <w:noWrap/>
            <w:vAlign w:val="center"/>
          </w:tcPr>
          <w:p w14:paraId="3484A91C" w14:textId="23396A04" w:rsidR="00F30906" w:rsidRPr="00603481" w:rsidRDefault="00064B7A" w:rsidP="00F30906">
            <w:pPr>
              <w:jc w:val="right"/>
              <w:rPr>
                <w:rFonts w:ascii="Georgia" w:hAnsi="Georgia" w:cs="Arial"/>
                <w:b/>
                <w:bCs/>
                <w:color w:val="404040" w:themeColor="text1" w:themeTint="BF"/>
                <w:sz w:val="20"/>
                <w:szCs w:val="20"/>
              </w:rPr>
            </w:pPr>
            <w:r>
              <w:rPr>
                <w:rFonts w:ascii="Georgia" w:hAnsi="Georgia" w:cs="Arial"/>
                <w:b/>
                <w:bCs/>
                <w:color w:val="404040" w:themeColor="text1" w:themeTint="BF"/>
                <w:sz w:val="20"/>
                <w:szCs w:val="20"/>
              </w:rPr>
              <w:t>28,851</w:t>
            </w:r>
          </w:p>
        </w:tc>
        <w:tc>
          <w:tcPr>
            <w:tcW w:w="1033" w:type="pct"/>
            <w:tcBorders>
              <w:top w:val="single" w:sz="4" w:space="0" w:color="auto"/>
              <w:left w:val="nil"/>
              <w:bottom w:val="double" w:sz="4" w:space="0" w:color="auto"/>
              <w:right w:val="nil"/>
            </w:tcBorders>
            <w:vAlign w:val="center"/>
          </w:tcPr>
          <w:p w14:paraId="605860E6" w14:textId="660EC5D9" w:rsidR="00F30906" w:rsidRPr="00753012" w:rsidRDefault="00D32493" w:rsidP="00F30906">
            <w:pPr>
              <w:jc w:val="right"/>
              <w:rPr>
                <w:rFonts w:ascii="Georgia" w:hAnsi="Georgia" w:cs="Arial"/>
                <w:b/>
                <w:bCs/>
                <w:color w:val="404040" w:themeColor="text1" w:themeTint="BF"/>
                <w:sz w:val="20"/>
                <w:szCs w:val="20"/>
              </w:rPr>
            </w:pPr>
            <w:r>
              <w:rPr>
                <w:rFonts w:ascii="Georgia" w:hAnsi="Georgia" w:cs="Arial"/>
                <w:b/>
                <w:bCs/>
                <w:color w:val="404040" w:themeColor="text1" w:themeTint="BF"/>
                <w:sz w:val="20"/>
                <w:szCs w:val="20"/>
              </w:rPr>
              <w:t>46,166</w:t>
            </w:r>
          </w:p>
        </w:tc>
      </w:tr>
    </w:tbl>
    <w:p w14:paraId="20DFF783" w14:textId="4551147F" w:rsidR="00C55F92" w:rsidRDefault="00C55F92" w:rsidP="008D680B">
      <w:pPr>
        <w:pStyle w:val="BluefieldBody"/>
        <w:rPr>
          <w:rFonts w:ascii="Times New Roman" w:hAnsi="Times New Roman"/>
          <w:color w:val="auto"/>
          <w:sz w:val="24"/>
          <w:lang w:eastAsia="en-GB"/>
        </w:rPr>
      </w:pPr>
    </w:p>
    <w:p w14:paraId="5356B073" w14:textId="77777777" w:rsidR="00C55F92" w:rsidRPr="00A04AB0" w:rsidRDefault="00C55F92" w:rsidP="00C55F92">
      <w:pPr>
        <w:pStyle w:val="body"/>
      </w:pPr>
      <w:r>
        <w:rPr>
          <w:b/>
        </w:rPr>
        <w:t>*</w:t>
      </w:r>
      <w:r>
        <w:t>Comprising of repayment of Loans and Eurobond interest</w:t>
      </w:r>
    </w:p>
    <w:p w14:paraId="528C24DA" w14:textId="77777777" w:rsidR="00C55F92" w:rsidRDefault="00C55F92" w:rsidP="008D680B">
      <w:pPr>
        <w:pStyle w:val="BluefieldBody"/>
        <w:rPr>
          <w:rFonts w:ascii="Times New Roman" w:hAnsi="Times New Roman"/>
          <w:color w:val="auto"/>
          <w:sz w:val="24"/>
          <w:lang w:eastAsia="en-GB"/>
        </w:rPr>
      </w:pPr>
    </w:p>
    <w:p w14:paraId="4559EB59" w14:textId="77777777" w:rsidR="00C55F92" w:rsidRDefault="00C55F92" w:rsidP="008D680B">
      <w:pPr>
        <w:pStyle w:val="BluefieldBody"/>
        <w:rPr>
          <w:rFonts w:ascii="Times New Roman" w:hAnsi="Times New Roman"/>
          <w:color w:val="auto"/>
          <w:sz w:val="24"/>
          <w:lang w:eastAsia="en-GB"/>
        </w:rPr>
      </w:pPr>
    </w:p>
    <w:p w14:paraId="147B6BFB" w14:textId="6A15FF75" w:rsidR="00753012" w:rsidRPr="00753012" w:rsidRDefault="00753012" w:rsidP="00753012">
      <w:pPr>
        <w:jc w:val="both"/>
        <w:rPr>
          <w:rFonts w:ascii="Georgia" w:hAnsi="Georgia" w:cs="Calibri"/>
          <w:color w:val="404040" w:themeColor="text1" w:themeTint="BF"/>
          <w:sz w:val="20"/>
        </w:rPr>
      </w:pPr>
      <w:r w:rsidRPr="00753012">
        <w:rPr>
          <w:rFonts w:ascii="Georgia" w:hAnsi="Georgia" w:cs="Calibri"/>
          <w:color w:val="404040" w:themeColor="text1" w:themeTint="BF"/>
          <w:sz w:val="20"/>
        </w:rPr>
        <w:t xml:space="preserve">Investments at fair value through profit or loss comprise the fair value of the </w:t>
      </w:r>
      <w:r w:rsidR="00E718F4">
        <w:rPr>
          <w:rFonts w:ascii="Georgia" w:hAnsi="Georgia" w:cs="Calibri"/>
          <w:color w:val="404040" w:themeColor="text1" w:themeTint="BF"/>
          <w:sz w:val="20"/>
        </w:rPr>
        <w:t xml:space="preserve">SPV </w:t>
      </w:r>
      <w:r w:rsidRPr="00753012">
        <w:rPr>
          <w:rFonts w:ascii="Georgia" w:hAnsi="Georgia" w:cs="Calibri"/>
          <w:color w:val="404040" w:themeColor="text1" w:themeTint="BF"/>
          <w:sz w:val="20"/>
        </w:rPr>
        <w:t>investment portfolio</w:t>
      </w:r>
      <w:r w:rsidR="0031535A">
        <w:rPr>
          <w:rFonts w:ascii="Georgia" w:hAnsi="Georgia" w:cs="Calibri"/>
          <w:color w:val="404040" w:themeColor="text1" w:themeTint="BF"/>
          <w:sz w:val="20"/>
        </w:rPr>
        <w:t xml:space="preserve"> held by BSIFIL, the Company’s single direct subsidiary</w:t>
      </w:r>
      <w:r w:rsidRPr="00753012">
        <w:rPr>
          <w:rFonts w:ascii="Georgia" w:hAnsi="Georgia" w:cs="Calibri"/>
          <w:color w:val="404040" w:themeColor="text1" w:themeTint="BF"/>
          <w:sz w:val="20"/>
        </w:rPr>
        <w:t>, which is valued semi-annually by the Directo</w:t>
      </w:r>
      <w:r w:rsidR="0031535A">
        <w:rPr>
          <w:rFonts w:ascii="Georgia" w:hAnsi="Georgia" w:cs="Calibri"/>
          <w:color w:val="404040" w:themeColor="text1" w:themeTint="BF"/>
          <w:sz w:val="20"/>
        </w:rPr>
        <w:t>rs, and the fair value of BSIFIL’s</w:t>
      </w:r>
      <w:r w:rsidRPr="00753012">
        <w:rPr>
          <w:rFonts w:ascii="Georgia" w:hAnsi="Georgia" w:cs="Calibri"/>
          <w:color w:val="404040" w:themeColor="text1" w:themeTint="BF"/>
          <w:sz w:val="20"/>
        </w:rPr>
        <w:t xml:space="preserve"> cash, working capital and debt balances. A reconciliation of the</w:t>
      </w:r>
      <w:r w:rsidR="00E718F4">
        <w:rPr>
          <w:rFonts w:ascii="Georgia" w:hAnsi="Georgia" w:cs="Calibri"/>
          <w:color w:val="404040" w:themeColor="text1" w:themeTint="BF"/>
          <w:sz w:val="20"/>
        </w:rPr>
        <w:t xml:space="preserve"> SPV</w:t>
      </w:r>
      <w:r w:rsidRPr="00753012">
        <w:rPr>
          <w:rFonts w:ascii="Georgia" w:hAnsi="Georgia" w:cs="Calibri"/>
          <w:color w:val="404040" w:themeColor="text1" w:themeTint="BF"/>
          <w:sz w:val="20"/>
        </w:rPr>
        <w:t xml:space="preserve"> investment portfolio value to financial assets at fair value through profit </w:t>
      </w:r>
      <w:r w:rsidR="0031535A">
        <w:rPr>
          <w:rFonts w:ascii="Georgia" w:hAnsi="Georgia" w:cs="Calibri"/>
          <w:color w:val="404040" w:themeColor="text1" w:themeTint="BF"/>
          <w:sz w:val="20"/>
        </w:rPr>
        <w:t>or</w:t>
      </w:r>
      <w:r w:rsidRPr="00753012">
        <w:rPr>
          <w:rFonts w:ascii="Georgia" w:hAnsi="Georgia" w:cs="Calibri"/>
          <w:color w:val="404040" w:themeColor="text1" w:themeTint="BF"/>
          <w:sz w:val="20"/>
        </w:rPr>
        <w:t xml:space="preserve"> loss shown on the Statement of Financial Position is</w:t>
      </w:r>
      <w:r w:rsidR="007D7B8C">
        <w:rPr>
          <w:rFonts w:ascii="Georgia" w:hAnsi="Georgia" w:cs="Calibri"/>
          <w:color w:val="404040" w:themeColor="text1" w:themeTint="BF"/>
          <w:sz w:val="20"/>
        </w:rPr>
        <w:t xml:space="preserve"> also</w:t>
      </w:r>
      <w:r w:rsidRPr="00753012">
        <w:rPr>
          <w:rFonts w:ascii="Georgia" w:hAnsi="Georgia" w:cs="Calibri"/>
          <w:color w:val="404040" w:themeColor="text1" w:themeTint="BF"/>
          <w:sz w:val="20"/>
        </w:rPr>
        <w:t xml:space="preserve"> shown below.</w:t>
      </w:r>
    </w:p>
    <w:p w14:paraId="5DEA495C" w14:textId="77777777" w:rsidR="00753012" w:rsidRPr="00753012" w:rsidRDefault="00753012" w:rsidP="00753012">
      <w:pPr>
        <w:jc w:val="both"/>
        <w:rPr>
          <w:rFonts w:ascii="Georgia" w:hAnsi="Georgia" w:cs="Calibri"/>
          <w:color w:val="404040" w:themeColor="text1" w:themeTint="BF"/>
          <w:sz w:val="20"/>
        </w:rPr>
      </w:pPr>
    </w:p>
    <w:p w14:paraId="164B2844" w14:textId="4C619273" w:rsidR="00753012" w:rsidRDefault="00753012" w:rsidP="00753012">
      <w:pPr>
        <w:jc w:val="both"/>
        <w:rPr>
          <w:rFonts w:ascii="Georgia" w:hAnsi="Georgia" w:cs="Calibri"/>
          <w:color w:val="404040" w:themeColor="text1" w:themeTint="BF"/>
          <w:sz w:val="20"/>
        </w:rPr>
      </w:pPr>
    </w:p>
    <w:p w14:paraId="563C2D07" w14:textId="20EAA101" w:rsidR="00F424C1" w:rsidRDefault="00F424C1" w:rsidP="00753012">
      <w:pPr>
        <w:jc w:val="both"/>
        <w:rPr>
          <w:rFonts w:ascii="Georgia" w:hAnsi="Georgia" w:cs="Calibri"/>
          <w:color w:val="404040" w:themeColor="text1" w:themeTint="BF"/>
          <w:sz w:val="20"/>
        </w:rPr>
      </w:pPr>
    </w:p>
    <w:p w14:paraId="642F6E24" w14:textId="1E72595F" w:rsidR="00470A05" w:rsidRDefault="00470A05" w:rsidP="00753012">
      <w:pPr>
        <w:jc w:val="both"/>
        <w:rPr>
          <w:rFonts w:ascii="Georgia" w:hAnsi="Georgia" w:cs="Calibri"/>
          <w:color w:val="404040" w:themeColor="text1" w:themeTint="BF"/>
          <w:sz w:val="20"/>
        </w:rPr>
      </w:pPr>
    </w:p>
    <w:p w14:paraId="23DB66DB" w14:textId="3C9D3236" w:rsidR="00745498" w:rsidRDefault="00745498" w:rsidP="00753012">
      <w:pPr>
        <w:jc w:val="both"/>
        <w:rPr>
          <w:rFonts w:ascii="Georgia" w:hAnsi="Georgia" w:cs="Calibri"/>
          <w:color w:val="404040" w:themeColor="text1" w:themeTint="BF"/>
          <w:sz w:val="20"/>
        </w:rPr>
      </w:pPr>
    </w:p>
    <w:p w14:paraId="759C2724" w14:textId="66987CF0" w:rsidR="00745498" w:rsidRDefault="00745498" w:rsidP="00753012">
      <w:pPr>
        <w:jc w:val="both"/>
        <w:rPr>
          <w:rFonts w:ascii="Georgia" w:hAnsi="Georgia" w:cs="Calibri"/>
          <w:color w:val="404040" w:themeColor="text1" w:themeTint="BF"/>
          <w:sz w:val="20"/>
        </w:rPr>
      </w:pPr>
    </w:p>
    <w:p w14:paraId="02FDF9F4" w14:textId="1D30BBDA" w:rsidR="00745498" w:rsidRDefault="00745498" w:rsidP="00753012">
      <w:pPr>
        <w:jc w:val="both"/>
        <w:rPr>
          <w:rFonts w:ascii="Georgia" w:hAnsi="Georgia" w:cs="Calibri"/>
          <w:color w:val="404040" w:themeColor="text1" w:themeTint="BF"/>
          <w:sz w:val="20"/>
        </w:rPr>
      </w:pPr>
    </w:p>
    <w:p w14:paraId="71A35875" w14:textId="1C237223" w:rsidR="00745498" w:rsidRDefault="00745498" w:rsidP="00753012">
      <w:pPr>
        <w:jc w:val="both"/>
        <w:rPr>
          <w:rFonts w:ascii="Georgia" w:hAnsi="Georgia" w:cs="Calibri"/>
          <w:color w:val="404040" w:themeColor="text1" w:themeTint="BF"/>
          <w:sz w:val="20"/>
        </w:rPr>
      </w:pPr>
    </w:p>
    <w:p w14:paraId="16DE778B" w14:textId="7ED1CB5C" w:rsidR="00745498" w:rsidRDefault="00745498" w:rsidP="00753012">
      <w:pPr>
        <w:jc w:val="both"/>
        <w:rPr>
          <w:rFonts w:ascii="Georgia" w:hAnsi="Georgia" w:cs="Calibri"/>
          <w:color w:val="404040" w:themeColor="text1" w:themeTint="BF"/>
          <w:sz w:val="20"/>
        </w:rPr>
      </w:pPr>
    </w:p>
    <w:p w14:paraId="51737EBC" w14:textId="77777777" w:rsidR="00745498" w:rsidRDefault="00745498" w:rsidP="00753012">
      <w:pPr>
        <w:jc w:val="both"/>
        <w:rPr>
          <w:rFonts w:ascii="Georgia" w:hAnsi="Georgia" w:cs="Calibri"/>
          <w:color w:val="404040" w:themeColor="text1" w:themeTint="BF"/>
          <w:sz w:val="20"/>
        </w:rPr>
      </w:pPr>
    </w:p>
    <w:p w14:paraId="5F1B3FA2" w14:textId="0329CED2" w:rsidR="00F424C1" w:rsidRDefault="00F424C1" w:rsidP="00753012">
      <w:pPr>
        <w:jc w:val="both"/>
        <w:rPr>
          <w:rFonts w:ascii="Georgia" w:hAnsi="Georgia" w:cs="Calibri"/>
          <w:color w:val="404040" w:themeColor="text1" w:themeTint="BF"/>
          <w:sz w:val="20"/>
        </w:rPr>
      </w:pPr>
    </w:p>
    <w:p w14:paraId="75EFEE6E" w14:textId="5642F2EA" w:rsidR="003A2341" w:rsidRDefault="003A2341" w:rsidP="00753012">
      <w:pPr>
        <w:jc w:val="both"/>
        <w:rPr>
          <w:rFonts w:ascii="Georgia" w:hAnsi="Georgia" w:cs="Calibri"/>
          <w:color w:val="404040" w:themeColor="text1" w:themeTint="BF"/>
          <w:sz w:val="20"/>
        </w:rPr>
      </w:pPr>
    </w:p>
    <w:p w14:paraId="616DDBF7" w14:textId="77777777" w:rsidR="003A2341" w:rsidRDefault="003A2341" w:rsidP="00753012">
      <w:pPr>
        <w:jc w:val="both"/>
        <w:rPr>
          <w:rFonts w:ascii="Georgia" w:hAnsi="Georgia" w:cs="Calibri"/>
          <w:color w:val="404040" w:themeColor="text1" w:themeTint="BF"/>
          <w:sz w:val="20"/>
        </w:rPr>
      </w:pPr>
    </w:p>
    <w:p w14:paraId="125C4A0E" w14:textId="77777777" w:rsidR="00C55F92" w:rsidRDefault="00C55F92" w:rsidP="00753012">
      <w:pPr>
        <w:jc w:val="both"/>
        <w:rPr>
          <w:rFonts w:ascii="Georgia" w:hAnsi="Georgia" w:cs="Calibri"/>
          <w:color w:val="404040" w:themeColor="text1" w:themeTint="BF"/>
          <w:sz w:val="20"/>
        </w:rPr>
      </w:pPr>
    </w:p>
    <w:p w14:paraId="4E360273" w14:textId="0D82620F" w:rsidR="00F424C1" w:rsidRDefault="00F424C1" w:rsidP="00753012">
      <w:pPr>
        <w:jc w:val="both"/>
        <w:rPr>
          <w:rFonts w:ascii="Georgia" w:hAnsi="Georgia" w:cs="Calibri"/>
          <w:color w:val="404040" w:themeColor="text1" w:themeTint="BF"/>
          <w:sz w:val="20"/>
        </w:rPr>
      </w:pPr>
    </w:p>
    <w:p w14:paraId="5DF889DA" w14:textId="6BA2911B" w:rsidR="00F424C1" w:rsidRDefault="00F424C1" w:rsidP="00753012">
      <w:pPr>
        <w:jc w:val="both"/>
        <w:rPr>
          <w:rFonts w:ascii="Georgia" w:hAnsi="Georgia" w:cs="Calibri"/>
          <w:color w:val="404040" w:themeColor="text1" w:themeTint="BF"/>
          <w:sz w:val="20"/>
        </w:rPr>
      </w:pPr>
    </w:p>
    <w:p w14:paraId="68D42EE2" w14:textId="09A3EEDB" w:rsidR="00F424C1" w:rsidRPr="00753012" w:rsidRDefault="00F424C1" w:rsidP="00F424C1">
      <w:pPr>
        <w:pStyle w:val="Notehead1"/>
      </w:pPr>
      <w:r>
        <w:lastRenderedPageBreak/>
        <w:t>8</w:t>
      </w:r>
      <w:r w:rsidRPr="00E42A95">
        <w:t>.</w:t>
      </w:r>
      <w:r w:rsidRPr="00E42A95">
        <w:tab/>
      </w:r>
      <w:r w:rsidRPr="00E42A95">
        <w:tab/>
      </w:r>
      <w:r w:rsidRPr="00E42A95">
        <w:tab/>
        <w:t xml:space="preserve"> Financial assets held at fair value through profit or loss</w:t>
      </w:r>
      <w:r>
        <w:t xml:space="preserve"> (continued)</w:t>
      </w:r>
    </w:p>
    <w:p w14:paraId="5C5474B8" w14:textId="77777777" w:rsidR="00753012" w:rsidRPr="00753012" w:rsidRDefault="00753012" w:rsidP="00753012">
      <w:pPr>
        <w:jc w:val="both"/>
        <w:rPr>
          <w:rFonts w:ascii="Georgia" w:hAnsi="Georgia" w:cs="Calibri"/>
          <w:color w:val="404040" w:themeColor="text1" w:themeTint="BF"/>
          <w:sz w:val="20"/>
        </w:rPr>
      </w:pPr>
    </w:p>
    <w:tbl>
      <w:tblPr>
        <w:tblW w:w="5016" w:type="pct"/>
        <w:tblLayout w:type="fixed"/>
        <w:tblLook w:val="04A0" w:firstRow="1" w:lastRow="0" w:firstColumn="1" w:lastColumn="0" w:noHBand="0" w:noVBand="1"/>
      </w:tblPr>
      <w:tblGrid>
        <w:gridCol w:w="864"/>
        <w:gridCol w:w="3536"/>
        <w:gridCol w:w="139"/>
        <w:gridCol w:w="415"/>
        <w:gridCol w:w="398"/>
        <w:gridCol w:w="36"/>
        <w:gridCol w:w="2199"/>
        <w:gridCol w:w="1803"/>
      </w:tblGrid>
      <w:tr w:rsidR="00A65503" w:rsidRPr="00753012" w14:paraId="25DDD7F9" w14:textId="77777777" w:rsidTr="00A65503">
        <w:trPr>
          <w:trHeight w:val="270"/>
        </w:trPr>
        <w:tc>
          <w:tcPr>
            <w:tcW w:w="2343" w:type="pct"/>
            <w:gridSpan w:val="2"/>
            <w:tcBorders>
              <w:top w:val="nil"/>
              <w:left w:val="nil"/>
              <w:bottom w:val="nil"/>
              <w:right w:val="nil"/>
            </w:tcBorders>
            <w:shd w:val="clear" w:color="auto" w:fill="auto"/>
            <w:noWrap/>
            <w:vAlign w:val="center"/>
          </w:tcPr>
          <w:p w14:paraId="4E259C21" w14:textId="77777777" w:rsidR="00C55F92" w:rsidRPr="00C55F92" w:rsidRDefault="00C55F92" w:rsidP="00C55F92">
            <w:pPr>
              <w:rPr>
                <w:rFonts w:ascii="Georgia" w:hAnsi="Georgia" w:cs="Arial"/>
                <w:b/>
                <w:bCs/>
                <w:color w:val="404040" w:themeColor="text1" w:themeTint="BF"/>
                <w:sz w:val="20"/>
                <w:szCs w:val="20"/>
                <w:lang w:eastAsia="en-GB"/>
              </w:rPr>
            </w:pPr>
          </w:p>
        </w:tc>
        <w:tc>
          <w:tcPr>
            <w:tcW w:w="295" w:type="pct"/>
            <w:gridSpan w:val="2"/>
            <w:tcBorders>
              <w:top w:val="nil"/>
              <w:left w:val="nil"/>
              <w:bottom w:val="nil"/>
              <w:right w:val="nil"/>
            </w:tcBorders>
            <w:shd w:val="clear" w:color="auto" w:fill="auto"/>
            <w:noWrap/>
            <w:vAlign w:val="center"/>
          </w:tcPr>
          <w:p w14:paraId="13E36F23" w14:textId="77777777" w:rsidR="00C55F92" w:rsidRPr="00C55F92" w:rsidRDefault="00C55F92" w:rsidP="00C55F92">
            <w:pPr>
              <w:rPr>
                <w:rFonts w:ascii="Georgia" w:hAnsi="Georgia" w:cs="Arial"/>
                <w:b/>
                <w:bCs/>
                <w:color w:val="404040" w:themeColor="text1" w:themeTint="BF"/>
                <w:sz w:val="20"/>
                <w:szCs w:val="20"/>
                <w:lang w:eastAsia="en-GB"/>
              </w:rPr>
            </w:pPr>
          </w:p>
        </w:tc>
        <w:tc>
          <w:tcPr>
            <w:tcW w:w="212" w:type="pct"/>
            <w:tcBorders>
              <w:top w:val="nil"/>
              <w:left w:val="nil"/>
              <w:bottom w:val="nil"/>
              <w:right w:val="nil"/>
            </w:tcBorders>
            <w:shd w:val="clear" w:color="auto" w:fill="auto"/>
            <w:noWrap/>
            <w:vAlign w:val="center"/>
          </w:tcPr>
          <w:p w14:paraId="172B60B1" w14:textId="77777777" w:rsidR="00C55F92" w:rsidRPr="00C55F92" w:rsidRDefault="00C55F92" w:rsidP="00C55F92">
            <w:pPr>
              <w:rPr>
                <w:rFonts w:ascii="Georgia" w:hAnsi="Georgia" w:cs="Arial"/>
                <w:b/>
                <w:bCs/>
                <w:color w:val="404040" w:themeColor="text1" w:themeTint="BF"/>
                <w:sz w:val="20"/>
                <w:szCs w:val="20"/>
                <w:lang w:eastAsia="en-GB"/>
              </w:rPr>
            </w:pPr>
          </w:p>
        </w:tc>
        <w:tc>
          <w:tcPr>
            <w:tcW w:w="1190" w:type="pct"/>
            <w:gridSpan w:val="2"/>
            <w:tcBorders>
              <w:left w:val="nil"/>
              <w:right w:val="nil"/>
            </w:tcBorders>
            <w:shd w:val="clear" w:color="auto" w:fill="auto"/>
            <w:noWrap/>
            <w:vAlign w:val="center"/>
          </w:tcPr>
          <w:p w14:paraId="76292B02" w14:textId="47C4BFF0" w:rsidR="00C55F92" w:rsidRPr="00C55F92" w:rsidRDefault="00C55F92" w:rsidP="00EF6D72">
            <w:pPr>
              <w:jc w:val="right"/>
              <w:rPr>
                <w:rFonts w:ascii="Georgia" w:hAnsi="Georgia" w:cs="Arial"/>
                <w:b/>
                <w:bCs/>
                <w:color w:val="404040" w:themeColor="text1" w:themeTint="BF"/>
                <w:sz w:val="20"/>
                <w:szCs w:val="20"/>
              </w:rPr>
            </w:pPr>
            <w:r w:rsidRPr="00C55F92">
              <w:rPr>
                <w:rFonts w:ascii="Georgia" w:hAnsi="Georgia" w:cs="Arial"/>
                <w:b/>
                <w:bCs/>
                <w:color w:val="404040" w:themeColor="text1" w:themeTint="BF"/>
                <w:sz w:val="20"/>
                <w:szCs w:val="20"/>
              </w:rPr>
              <w:t xml:space="preserve">30 June </w:t>
            </w:r>
            <w:r w:rsidR="00904E51">
              <w:rPr>
                <w:rFonts w:ascii="Georgia" w:hAnsi="Georgia" w:cs="Arial"/>
                <w:b/>
                <w:bCs/>
                <w:color w:val="404040" w:themeColor="text1" w:themeTint="BF"/>
                <w:sz w:val="20"/>
                <w:szCs w:val="20"/>
              </w:rPr>
              <w:t>2020</w:t>
            </w:r>
          </w:p>
        </w:tc>
        <w:tc>
          <w:tcPr>
            <w:tcW w:w="960" w:type="pct"/>
            <w:tcBorders>
              <w:left w:val="nil"/>
              <w:right w:val="nil"/>
            </w:tcBorders>
            <w:shd w:val="clear" w:color="auto" w:fill="auto"/>
            <w:vAlign w:val="center"/>
          </w:tcPr>
          <w:p w14:paraId="2463DB39" w14:textId="7949FB2B" w:rsidR="00C55F92" w:rsidRPr="00C55F92" w:rsidRDefault="00C55F92" w:rsidP="00EF6D72">
            <w:pPr>
              <w:jc w:val="right"/>
              <w:rPr>
                <w:rFonts w:ascii="Georgia" w:hAnsi="Georgia" w:cs="Arial"/>
                <w:b/>
                <w:bCs/>
                <w:color w:val="404040" w:themeColor="text1" w:themeTint="BF"/>
                <w:sz w:val="20"/>
                <w:szCs w:val="20"/>
              </w:rPr>
            </w:pPr>
            <w:r w:rsidRPr="00C55F92">
              <w:rPr>
                <w:rFonts w:ascii="Georgia" w:hAnsi="Georgia" w:cs="Arial"/>
                <w:b/>
                <w:bCs/>
                <w:color w:val="404040" w:themeColor="text1" w:themeTint="BF"/>
                <w:sz w:val="20"/>
                <w:szCs w:val="20"/>
              </w:rPr>
              <w:t xml:space="preserve">30 June </w:t>
            </w:r>
            <w:r w:rsidR="00904E51">
              <w:rPr>
                <w:rFonts w:ascii="Georgia" w:hAnsi="Georgia" w:cs="Arial"/>
                <w:b/>
                <w:bCs/>
                <w:color w:val="404040" w:themeColor="text1" w:themeTint="BF"/>
                <w:sz w:val="20"/>
                <w:szCs w:val="20"/>
              </w:rPr>
              <w:t>2019</w:t>
            </w:r>
            <w:r w:rsidRPr="00C55F92">
              <w:rPr>
                <w:rFonts w:ascii="Georgia" w:hAnsi="Georgia" w:cs="Arial"/>
                <w:b/>
                <w:bCs/>
                <w:color w:val="404040" w:themeColor="text1" w:themeTint="BF"/>
                <w:sz w:val="20"/>
                <w:szCs w:val="20"/>
              </w:rPr>
              <w:t xml:space="preserve"> </w:t>
            </w:r>
          </w:p>
        </w:tc>
      </w:tr>
      <w:tr w:rsidR="00A65503" w:rsidRPr="00753012" w14:paraId="5E495813" w14:textId="77777777" w:rsidTr="00A65503">
        <w:trPr>
          <w:trHeight w:val="270"/>
        </w:trPr>
        <w:tc>
          <w:tcPr>
            <w:tcW w:w="2343" w:type="pct"/>
            <w:gridSpan w:val="2"/>
            <w:tcBorders>
              <w:top w:val="nil"/>
              <w:left w:val="nil"/>
              <w:bottom w:val="nil"/>
              <w:right w:val="nil"/>
            </w:tcBorders>
            <w:shd w:val="clear" w:color="auto" w:fill="auto"/>
            <w:noWrap/>
            <w:vAlign w:val="center"/>
          </w:tcPr>
          <w:p w14:paraId="4AB3431F" w14:textId="77777777" w:rsidR="00C55F92" w:rsidRPr="00C55F92" w:rsidRDefault="00C55F92" w:rsidP="00C55F92">
            <w:pPr>
              <w:rPr>
                <w:rFonts w:ascii="Georgia" w:hAnsi="Georgia" w:cs="Arial"/>
                <w:b/>
                <w:bCs/>
                <w:color w:val="404040" w:themeColor="text1" w:themeTint="BF"/>
                <w:sz w:val="20"/>
                <w:szCs w:val="20"/>
                <w:lang w:eastAsia="en-GB"/>
              </w:rPr>
            </w:pPr>
          </w:p>
        </w:tc>
        <w:tc>
          <w:tcPr>
            <w:tcW w:w="295" w:type="pct"/>
            <w:gridSpan w:val="2"/>
            <w:tcBorders>
              <w:top w:val="nil"/>
              <w:left w:val="nil"/>
              <w:bottom w:val="nil"/>
              <w:right w:val="nil"/>
            </w:tcBorders>
            <w:shd w:val="clear" w:color="auto" w:fill="auto"/>
            <w:noWrap/>
            <w:vAlign w:val="center"/>
          </w:tcPr>
          <w:p w14:paraId="5A22EA08" w14:textId="77777777" w:rsidR="00C55F92" w:rsidRPr="00C55F92" w:rsidRDefault="00C55F92" w:rsidP="00C55F92">
            <w:pPr>
              <w:rPr>
                <w:rFonts w:ascii="Georgia" w:hAnsi="Georgia" w:cs="Arial"/>
                <w:b/>
                <w:bCs/>
                <w:color w:val="404040" w:themeColor="text1" w:themeTint="BF"/>
                <w:sz w:val="20"/>
                <w:szCs w:val="20"/>
                <w:lang w:eastAsia="en-GB"/>
              </w:rPr>
            </w:pPr>
          </w:p>
        </w:tc>
        <w:tc>
          <w:tcPr>
            <w:tcW w:w="212" w:type="pct"/>
            <w:tcBorders>
              <w:top w:val="nil"/>
              <w:left w:val="nil"/>
              <w:bottom w:val="nil"/>
              <w:right w:val="nil"/>
            </w:tcBorders>
            <w:shd w:val="clear" w:color="auto" w:fill="auto"/>
            <w:noWrap/>
            <w:vAlign w:val="center"/>
          </w:tcPr>
          <w:p w14:paraId="087912B8" w14:textId="77777777" w:rsidR="00C55F92" w:rsidRPr="00C55F92" w:rsidRDefault="00C55F92" w:rsidP="00C55F92">
            <w:pPr>
              <w:rPr>
                <w:rFonts w:ascii="Georgia" w:hAnsi="Georgia" w:cs="Arial"/>
                <w:b/>
                <w:bCs/>
                <w:color w:val="404040" w:themeColor="text1" w:themeTint="BF"/>
                <w:sz w:val="20"/>
                <w:szCs w:val="20"/>
                <w:lang w:eastAsia="en-GB"/>
              </w:rPr>
            </w:pPr>
          </w:p>
        </w:tc>
        <w:tc>
          <w:tcPr>
            <w:tcW w:w="1190" w:type="pct"/>
            <w:gridSpan w:val="2"/>
            <w:tcBorders>
              <w:left w:val="nil"/>
              <w:right w:val="nil"/>
            </w:tcBorders>
            <w:shd w:val="clear" w:color="auto" w:fill="auto"/>
            <w:noWrap/>
            <w:vAlign w:val="center"/>
          </w:tcPr>
          <w:p w14:paraId="27CFE035" w14:textId="77777777" w:rsidR="00C55F92" w:rsidRPr="00C55F92" w:rsidRDefault="00C55F92" w:rsidP="00EF6D72">
            <w:pPr>
              <w:jc w:val="right"/>
              <w:rPr>
                <w:rFonts w:ascii="Georgia" w:hAnsi="Georgia" w:cs="Arial"/>
                <w:b/>
                <w:bCs/>
                <w:color w:val="404040" w:themeColor="text1" w:themeTint="BF"/>
                <w:sz w:val="20"/>
                <w:szCs w:val="20"/>
              </w:rPr>
            </w:pPr>
            <w:r w:rsidRPr="00C55F92">
              <w:rPr>
                <w:rFonts w:ascii="Georgia" w:hAnsi="Georgia" w:cs="Arial"/>
                <w:b/>
                <w:bCs/>
                <w:color w:val="404040" w:themeColor="text1" w:themeTint="BF"/>
                <w:sz w:val="20"/>
                <w:szCs w:val="20"/>
              </w:rPr>
              <w:t>Total</w:t>
            </w:r>
          </w:p>
        </w:tc>
        <w:tc>
          <w:tcPr>
            <w:tcW w:w="960" w:type="pct"/>
            <w:tcBorders>
              <w:left w:val="nil"/>
              <w:right w:val="nil"/>
            </w:tcBorders>
            <w:shd w:val="clear" w:color="auto" w:fill="auto"/>
            <w:vAlign w:val="center"/>
          </w:tcPr>
          <w:p w14:paraId="6CD9100B" w14:textId="77777777" w:rsidR="00C55F92" w:rsidRPr="00C55F92" w:rsidRDefault="00C55F92" w:rsidP="00EF6D72">
            <w:pPr>
              <w:jc w:val="right"/>
              <w:rPr>
                <w:rFonts w:ascii="Georgia" w:hAnsi="Georgia" w:cs="Arial"/>
                <w:b/>
                <w:bCs/>
                <w:color w:val="404040" w:themeColor="text1" w:themeTint="BF"/>
                <w:sz w:val="20"/>
                <w:szCs w:val="20"/>
              </w:rPr>
            </w:pPr>
            <w:r w:rsidRPr="00C55F92">
              <w:rPr>
                <w:rFonts w:ascii="Georgia" w:hAnsi="Georgia" w:cs="Arial"/>
                <w:b/>
                <w:bCs/>
                <w:color w:val="404040" w:themeColor="text1" w:themeTint="BF"/>
                <w:sz w:val="20"/>
                <w:szCs w:val="20"/>
              </w:rPr>
              <w:t>Total</w:t>
            </w:r>
          </w:p>
        </w:tc>
      </w:tr>
      <w:tr w:rsidR="00A65503" w:rsidRPr="00753012" w14:paraId="1F58881E" w14:textId="77777777" w:rsidTr="00A65503">
        <w:trPr>
          <w:trHeight w:val="270"/>
        </w:trPr>
        <w:tc>
          <w:tcPr>
            <w:tcW w:w="2343" w:type="pct"/>
            <w:gridSpan w:val="2"/>
            <w:tcBorders>
              <w:top w:val="nil"/>
              <w:left w:val="nil"/>
              <w:bottom w:val="nil"/>
              <w:right w:val="nil"/>
            </w:tcBorders>
            <w:shd w:val="clear" w:color="auto" w:fill="auto"/>
            <w:noWrap/>
            <w:vAlign w:val="center"/>
          </w:tcPr>
          <w:p w14:paraId="3EC4C843" w14:textId="77777777" w:rsidR="00C55F92" w:rsidRPr="00C55F92" w:rsidRDefault="00C55F92" w:rsidP="00C55F92">
            <w:pPr>
              <w:rPr>
                <w:rFonts w:ascii="Georgia" w:hAnsi="Georgia" w:cs="Arial"/>
                <w:b/>
                <w:bCs/>
                <w:color w:val="404040" w:themeColor="text1" w:themeTint="BF"/>
                <w:sz w:val="20"/>
                <w:szCs w:val="20"/>
                <w:lang w:eastAsia="en-GB"/>
              </w:rPr>
            </w:pPr>
          </w:p>
        </w:tc>
        <w:tc>
          <w:tcPr>
            <w:tcW w:w="295" w:type="pct"/>
            <w:gridSpan w:val="2"/>
            <w:tcBorders>
              <w:top w:val="nil"/>
              <w:left w:val="nil"/>
              <w:bottom w:val="nil"/>
              <w:right w:val="nil"/>
            </w:tcBorders>
            <w:shd w:val="clear" w:color="auto" w:fill="auto"/>
            <w:noWrap/>
            <w:vAlign w:val="center"/>
          </w:tcPr>
          <w:p w14:paraId="1E4399BE" w14:textId="77777777" w:rsidR="00C55F92" w:rsidRPr="00C55F92" w:rsidRDefault="00C55F92" w:rsidP="00C55F92">
            <w:pPr>
              <w:rPr>
                <w:rFonts w:ascii="Georgia" w:hAnsi="Georgia" w:cs="Arial"/>
                <w:b/>
                <w:bCs/>
                <w:color w:val="404040" w:themeColor="text1" w:themeTint="BF"/>
                <w:sz w:val="20"/>
                <w:szCs w:val="20"/>
                <w:lang w:eastAsia="en-GB"/>
              </w:rPr>
            </w:pPr>
          </w:p>
        </w:tc>
        <w:tc>
          <w:tcPr>
            <w:tcW w:w="212" w:type="pct"/>
            <w:tcBorders>
              <w:top w:val="nil"/>
              <w:left w:val="nil"/>
              <w:bottom w:val="nil"/>
              <w:right w:val="nil"/>
            </w:tcBorders>
            <w:shd w:val="clear" w:color="auto" w:fill="auto"/>
            <w:noWrap/>
            <w:vAlign w:val="center"/>
          </w:tcPr>
          <w:p w14:paraId="226DDAFA" w14:textId="77777777" w:rsidR="00C55F92" w:rsidRPr="00C55F92" w:rsidRDefault="00C55F92" w:rsidP="00C55F92">
            <w:pPr>
              <w:rPr>
                <w:rFonts w:ascii="Georgia" w:hAnsi="Georgia" w:cs="Arial"/>
                <w:b/>
                <w:bCs/>
                <w:color w:val="404040" w:themeColor="text1" w:themeTint="BF"/>
                <w:sz w:val="20"/>
                <w:szCs w:val="20"/>
                <w:lang w:eastAsia="en-GB"/>
              </w:rPr>
            </w:pPr>
          </w:p>
        </w:tc>
        <w:tc>
          <w:tcPr>
            <w:tcW w:w="1190" w:type="pct"/>
            <w:gridSpan w:val="2"/>
            <w:tcBorders>
              <w:left w:val="nil"/>
              <w:right w:val="nil"/>
            </w:tcBorders>
            <w:shd w:val="clear" w:color="auto" w:fill="auto"/>
            <w:noWrap/>
            <w:vAlign w:val="center"/>
          </w:tcPr>
          <w:p w14:paraId="6B767133" w14:textId="5F49A643" w:rsidR="00C55F92" w:rsidRPr="00C55F92" w:rsidRDefault="00C55F92" w:rsidP="00EF6D72">
            <w:pPr>
              <w:jc w:val="right"/>
              <w:rPr>
                <w:rFonts w:ascii="Georgia" w:hAnsi="Georgia" w:cs="Arial"/>
                <w:b/>
                <w:bCs/>
                <w:color w:val="404040" w:themeColor="text1" w:themeTint="BF"/>
                <w:sz w:val="20"/>
                <w:szCs w:val="20"/>
              </w:rPr>
            </w:pPr>
            <w:r w:rsidRPr="00C55F92">
              <w:rPr>
                <w:rFonts w:ascii="Georgia" w:hAnsi="Georgia" w:cs="Arial"/>
                <w:b/>
                <w:bCs/>
                <w:color w:val="404040" w:themeColor="text1" w:themeTint="BF"/>
                <w:sz w:val="20"/>
                <w:szCs w:val="20"/>
              </w:rPr>
              <w:t>£</w:t>
            </w:r>
            <w:r w:rsidR="007D1ED5">
              <w:rPr>
                <w:rFonts w:ascii="Georgia" w:hAnsi="Georgia" w:cs="Arial"/>
                <w:b/>
                <w:bCs/>
                <w:color w:val="404040" w:themeColor="text1" w:themeTint="BF"/>
                <w:sz w:val="20"/>
                <w:szCs w:val="20"/>
              </w:rPr>
              <w:t>’000</w:t>
            </w:r>
          </w:p>
        </w:tc>
        <w:tc>
          <w:tcPr>
            <w:tcW w:w="960" w:type="pct"/>
            <w:tcBorders>
              <w:left w:val="nil"/>
              <w:right w:val="nil"/>
            </w:tcBorders>
            <w:shd w:val="clear" w:color="auto" w:fill="auto"/>
            <w:vAlign w:val="center"/>
          </w:tcPr>
          <w:p w14:paraId="39E19D33" w14:textId="41C8CCF4" w:rsidR="00C55F92" w:rsidRPr="00C55F92" w:rsidRDefault="00C55F92" w:rsidP="00EF6D72">
            <w:pPr>
              <w:jc w:val="right"/>
              <w:rPr>
                <w:rFonts w:ascii="Georgia" w:hAnsi="Georgia" w:cs="Arial"/>
                <w:b/>
                <w:bCs/>
                <w:color w:val="404040" w:themeColor="text1" w:themeTint="BF"/>
                <w:sz w:val="20"/>
                <w:szCs w:val="20"/>
              </w:rPr>
            </w:pPr>
            <w:r w:rsidRPr="00C55F92">
              <w:rPr>
                <w:rFonts w:ascii="Georgia" w:hAnsi="Georgia" w:cs="Arial"/>
                <w:b/>
                <w:bCs/>
                <w:color w:val="404040" w:themeColor="text1" w:themeTint="BF"/>
                <w:sz w:val="20"/>
                <w:szCs w:val="20"/>
              </w:rPr>
              <w:t>£</w:t>
            </w:r>
            <w:r w:rsidR="007D1ED5">
              <w:rPr>
                <w:rFonts w:ascii="Georgia" w:hAnsi="Georgia" w:cs="Arial"/>
                <w:b/>
                <w:bCs/>
                <w:color w:val="404040" w:themeColor="text1" w:themeTint="BF"/>
                <w:sz w:val="20"/>
                <w:szCs w:val="20"/>
              </w:rPr>
              <w:t>’000</w:t>
            </w:r>
          </w:p>
        </w:tc>
      </w:tr>
      <w:tr w:rsidR="00470A05" w:rsidRPr="00753012" w14:paraId="19A2ABD6" w14:textId="77777777" w:rsidTr="00EF6D72">
        <w:trPr>
          <w:trHeight w:val="250"/>
        </w:trPr>
        <w:tc>
          <w:tcPr>
            <w:tcW w:w="2417" w:type="pct"/>
            <w:gridSpan w:val="3"/>
            <w:tcBorders>
              <w:top w:val="nil"/>
              <w:left w:val="nil"/>
              <w:bottom w:val="nil"/>
              <w:right w:val="nil"/>
            </w:tcBorders>
            <w:shd w:val="clear" w:color="auto" w:fill="auto"/>
            <w:noWrap/>
            <w:vAlign w:val="center"/>
            <w:hideMark/>
          </w:tcPr>
          <w:p w14:paraId="226AB187" w14:textId="77777777" w:rsidR="00470A05" w:rsidRPr="00753012" w:rsidRDefault="00470A05" w:rsidP="00470A05">
            <w:pPr>
              <w:rPr>
                <w:rFonts w:ascii="Georgia" w:hAnsi="Georgia" w:cs="Arial"/>
                <w:color w:val="333333"/>
                <w:sz w:val="20"/>
                <w:szCs w:val="20"/>
              </w:rPr>
            </w:pPr>
            <w:r>
              <w:rPr>
                <w:rFonts w:ascii="Georgia" w:hAnsi="Georgia" w:cs="Arial"/>
                <w:color w:val="333333"/>
                <w:sz w:val="20"/>
                <w:szCs w:val="20"/>
              </w:rPr>
              <w:t>SPV i</w:t>
            </w:r>
            <w:r w:rsidRPr="00753012">
              <w:rPr>
                <w:rFonts w:ascii="Georgia" w:hAnsi="Georgia" w:cs="Arial"/>
                <w:color w:val="333333"/>
                <w:sz w:val="20"/>
                <w:szCs w:val="20"/>
              </w:rPr>
              <w:t>nvestment portfolio, Directors’ Valuation</w:t>
            </w:r>
          </w:p>
        </w:tc>
        <w:tc>
          <w:tcPr>
            <w:tcW w:w="452" w:type="pct"/>
            <w:gridSpan w:val="3"/>
            <w:tcBorders>
              <w:top w:val="nil"/>
              <w:left w:val="nil"/>
              <w:bottom w:val="nil"/>
              <w:right w:val="nil"/>
            </w:tcBorders>
            <w:shd w:val="clear" w:color="auto" w:fill="auto"/>
            <w:noWrap/>
            <w:vAlign w:val="center"/>
            <w:hideMark/>
          </w:tcPr>
          <w:p w14:paraId="72295E95" w14:textId="77777777" w:rsidR="00470A05" w:rsidRPr="00753012" w:rsidRDefault="00470A05" w:rsidP="00470A05">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center"/>
            <w:hideMark/>
          </w:tcPr>
          <w:p w14:paraId="381E7277" w14:textId="463E2148" w:rsidR="00470A05" w:rsidRPr="00746B8E" w:rsidRDefault="00C46CF4" w:rsidP="00470A05">
            <w:pPr>
              <w:jc w:val="right"/>
              <w:rPr>
                <w:rFonts w:ascii="Georgia" w:hAnsi="Georgia" w:cs="Arial"/>
                <w:color w:val="333333"/>
                <w:sz w:val="20"/>
                <w:szCs w:val="20"/>
              </w:rPr>
            </w:pPr>
            <w:r>
              <w:rPr>
                <w:rFonts w:ascii="Georgia" w:hAnsi="Georgia" w:cs="Arial"/>
                <w:color w:val="333333"/>
                <w:sz w:val="20"/>
                <w:szCs w:val="20"/>
              </w:rPr>
              <w:t>624,269</w:t>
            </w:r>
            <w:r w:rsidR="00470A05" w:rsidRPr="00746B8E">
              <w:rPr>
                <w:rFonts w:ascii="Georgia" w:hAnsi="Georgia" w:cs="Arial"/>
                <w:color w:val="333333"/>
                <w:sz w:val="20"/>
                <w:szCs w:val="20"/>
              </w:rPr>
              <w:t xml:space="preserve">                      </w:t>
            </w:r>
          </w:p>
        </w:tc>
        <w:tc>
          <w:tcPr>
            <w:tcW w:w="960" w:type="pct"/>
            <w:tcBorders>
              <w:top w:val="nil"/>
              <w:left w:val="nil"/>
              <w:bottom w:val="nil"/>
              <w:right w:val="nil"/>
            </w:tcBorders>
            <w:shd w:val="clear" w:color="auto" w:fill="auto"/>
            <w:noWrap/>
            <w:vAlign w:val="center"/>
            <w:hideMark/>
          </w:tcPr>
          <w:p w14:paraId="031A0E49" w14:textId="62A206F0" w:rsidR="00470A05" w:rsidRPr="00753012" w:rsidRDefault="00470A05" w:rsidP="00470A05">
            <w:pPr>
              <w:jc w:val="right"/>
              <w:rPr>
                <w:rFonts w:ascii="Georgia" w:hAnsi="Georgia" w:cs="Arial"/>
                <w:color w:val="333333"/>
                <w:sz w:val="20"/>
                <w:szCs w:val="20"/>
              </w:rPr>
            </w:pPr>
            <w:r>
              <w:rPr>
                <w:rFonts w:ascii="Georgia" w:hAnsi="Georgia" w:cs="Arial"/>
                <w:color w:val="333333"/>
                <w:sz w:val="20"/>
                <w:szCs w:val="20"/>
              </w:rPr>
              <w:t>6</w:t>
            </w:r>
            <w:r w:rsidR="00A036F0">
              <w:rPr>
                <w:rFonts w:ascii="Georgia" w:hAnsi="Georgia" w:cs="Arial"/>
                <w:color w:val="333333"/>
                <w:sz w:val="20"/>
                <w:szCs w:val="20"/>
              </w:rPr>
              <w:t>22,055</w:t>
            </w:r>
            <w:r w:rsidRPr="00425B8D">
              <w:rPr>
                <w:rFonts w:ascii="Georgia" w:hAnsi="Georgia" w:cs="Arial"/>
                <w:color w:val="333333"/>
                <w:sz w:val="20"/>
                <w:szCs w:val="20"/>
              </w:rPr>
              <w:t xml:space="preserve">                      </w:t>
            </w:r>
          </w:p>
        </w:tc>
      </w:tr>
      <w:tr w:rsidR="00470A05" w:rsidRPr="00753012" w14:paraId="2A6E9F05" w14:textId="77777777" w:rsidTr="00EF6D72">
        <w:trPr>
          <w:trHeight w:val="250"/>
        </w:trPr>
        <w:tc>
          <w:tcPr>
            <w:tcW w:w="460" w:type="pct"/>
            <w:tcBorders>
              <w:top w:val="nil"/>
              <w:left w:val="nil"/>
              <w:bottom w:val="nil"/>
              <w:right w:val="nil"/>
            </w:tcBorders>
            <w:shd w:val="clear" w:color="auto" w:fill="auto"/>
            <w:noWrap/>
            <w:vAlign w:val="center"/>
            <w:hideMark/>
          </w:tcPr>
          <w:p w14:paraId="10A6F5C2" w14:textId="77777777" w:rsidR="00470A05" w:rsidRPr="00753012" w:rsidRDefault="00470A05" w:rsidP="00470A05">
            <w:pPr>
              <w:rPr>
                <w:rFonts w:ascii="Georgia" w:hAnsi="Georgia" w:cs="Arial"/>
                <w:color w:val="333333"/>
                <w:sz w:val="20"/>
                <w:szCs w:val="20"/>
              </w:rPr>
            </w:pPr>
          </w:p>
        </w:tc>
        <w:tc>
          <w:tcPr>
            <w:tcW w:w="1957" w:type="pct"/>
            <w:gridSpan w:val="2"/>
            <w:tcBorders>
              <w:top w:val="nil"/>
              <w:left w:val="nil"/>
              <w:bottom w:val="nil"/>
              <w:right w:val="nil"/>
            </w:tcBorders>
            <w:shd w:val="clear" w:color="auto" w:fill="auto"/>
            <w:noWrap/>
            <w:vAlign w:val="center"/>
            <w:hideMark/>
          </w:tcPr>
          <w:p w14:paraId="702EC2C1" w14:textId="77777777" w:rsidR="00470A05" w:rsidRPr="00753012" w:rsidRDefault="00470A05" w:rsidP="00470A05">
            <w:pPr>
              <w:jc w:val="right"/>
              <w:rPr>
                <w:rFonts w:ascii="Georgia" w:hAnsi="Georgia" w:cs="Arial"/>
                <w:color w:val="333333"/>
                <w:sz w:val="20"/>
                <w:szCs w:val="20"/>
              </w:rPr>
            </w:pPr>
          </w:p>
        </w:tc>
        <w:tc>
          <w:tcPr>
            <w:tcW w:w="452" w:type="pct"/>
            <w:gridSpan w:val="3"/>
            <w:tcBorders>
              <w:top w:val="nil"/>
              <w:left w:val="nil"/>
              <w:bottom w:val="nil"/>
              <w:right w:val="nil"/>
            </w:tcBorders>
            <w:shd w:val="clear" w:color="auto" w:fill="auto"/>
            <w:noWrap/>
            <w:vAlign w:val="center"/>
            <w:hideMark/>
          </w:tcPr>
          <w:p w14:paraId="4CF2578E" w14:textId="77777777" w:rsidR="00470A05" w:rsidRPr="00753012" w:rsidRDefault="00470A05" w:rsidP="00470A05">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center"/>
            <w:hideMark/>
          </w:tcPr>
          <w:p w14:paraId="0815BCBA" w14:textId="77777777" w:rsidR="00470A05" w:rsidRPr="00746B8E" w:rsidRDefault="00470A05" w:rsidP="00470A05">
            <w:pPr>
              <w:jc w:val="right"/>
              <w:rPr>
                <w:rFonts w:ascii="Georgia" w:hAnsi="Georgia" w:cs="Arial"/>
                <w:color w:val="333333"/>
                <w:sz w:val="20"/>
                <w:szCs w:val="20"/>
              </w:rPr>
            </w:pPr>
          </w:p>
        </w:tc>
        <w:tc>
          <w:tcPr>
            <w:tcW w:w="960" w:type="pct"/>
            <w:tcBorders>
              <w:top w:val="nil"/>
              <w:left w:val="nil"/>
              <w:bottom w:val="nil"/>
              <w:right w:val="nil"/>
            </w:tcBorders>
            <w:shd w:val="clear" w:color="auto" w:fill="auto"/>
            <w:noWrap/>
            <w:vAlign w:val="center"/>
            <w:hideMark/>
          </w:tcPr>
          <w:p w14:paraId="44F5F2C1" w14:textId="77777777" w:rsidR="00470A05" w:rsidRPr="00753012" w:rsidRDefault="00470A05" w:rsidP="00470A05">
            <w:pPr>
              <w:jc w:val="right"/>
              <w:rPr>
                <w:rFonts w:ascii="Georgia" w:hAnsi="Georgia" w:cs="Arial"/>
                <w:color w:val="333333"/>
                <w:sz w:val="20"/>
                <w:szCs w:val="20"/>
              </w:rPr>
            </w:pPr>
          </w:p>
        </w:tc>
      </w:tr>
      <w:tr w:rsidR="00470A05" w:rsidRPr="00753012" w14:paraId="7457245E" w14:textId="77777777" w:rsidTr="00EF6D72">
        <w:trPr>
          <w:trHeight w:val="250"/>
        </w:trPr>
        <w:tc>
          <w:tcPr>
            <w:tcW w:w="460" w:type="pct"/>
            <w:tcBorders>
              <w:top w:val="nil"/>
              <w:left w:val="nil"/>
              <w:bottom w:val="nil"/>
              <w:right w:val="nil"/>
            </w:tcBorders>
            <w:shd w:val="clear" w:color="auto" w:fill="auto"/>
            <w:noWrap/>
            <w:vAlign w:val="center"/>
            <w:hideMark/>
          </w:tcPr>
          <w:p w14:paraId="70D7528A" w14:textId="77777777" w:rsidR="00470A05" w:rsidRPr="00753012" w:rsidRDefault="00470A05" w:rsidP="00470A05">
            <w:pPr>
              <w:rPr>
                <w:rFonts w:ascii="Georgia" w:hAnsi="Georgia" w:cs="Arial"/>
                <w:color w:val="333333"/>
                <w:sz w:val="20"/>
                <w:szCs w:val="20"/>
              </w:rPr>
            </w:pPr>
            <w:r w:rsidRPr="00753012">
              <w:rPr>
                <w:rFonts w:ascii="Georgia" w:hAnsi="Georgia" w:cs="Arial"/>
                <w:color w:val="333333"/>
                <w:sz w:val="20"/>
                <w:szCs w:val="20"/>
              </w:rPr>
              <w:t>BSIFIL</w:t>
            </w:r>
          </w:p>
        </w:tc>
        <w:tc>
          <w:tcPr>
            <w:tcW w:w="1957" w:type="pct"/>
            <w:gridSpan w:val="2"/>
            <w:tcBorders>
              <w:top w:val="nil"/>
              <w:left w:val="nil"/>
              <w:bottom w:val="nil"/>
              <w:right w:val="nil"/>
            </w:tcBorders>
            <w:shd w:val="clear" w:color="auto" w:fill="auto"/>
            <w:noWrap/>
            <w:vAlign w:val="center"/>
            <w:hideMark/>
          </w:tcPr>
          <w:p w14:paraId="0F865C2A" w14:textId="77777777" w:rsidR="00470A05" w:rsidRPr="00753012" w:rsidRDefault="00470A05" w:rsidP="00470A05">
            <w:pPr>
              <w:jc w:val="right"/>
              <w:rPr>
                <w:rFonts w:ascii="Georgia" w:hAnsi="Georgia" w:cs="Arial"/>
                <w:color w:val="333333"/>
                <w:sz w:val="20"/>
                <w:szCs w:val="20"/>
              </w:rPr>
            </w:pPr>
          </w:p>
        </w:tc>
        <w:tc>
          <w:tcPr>
            <w:tcW w:w="452" w:type="pct"/>
            <w:gridSpan w:val="3"/>
            <w:tcBorders>
              <w:top w:val="nil"/>
              <w:left w:val="nil"/>
              <w:bottom w:val="nil"/>
              <w:right w:val="nil"/>
            </w:tcBorders>
            <w:shd w:val="clear" w:color="auto" w:fill="auto"/>
            <w:noWrap/>
            <w:vAlign w:val="center"/>
            <w:hideMark/>
          </w:tcPr>
          <w:p w14:paraId="308A7D9E" w14:textId="77777777" w:rsidR="00470A05" w:rsidRPr="00753012" w:rsidRDefault="00470A05" w:rsidP="00470A05">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center"/>
            <w:hideMark/>
          </w:tcPr>
          <w:p w14:paraId="4C01DF61" w14:textId="77777777" w:rsidR="00470A05" w:rsidRPr="00746B8E" w:rsidRDefault="00470A05" w:rsidP="00470A05">
            <w:pPr>
              <w:jc w:val="right"/>
              <w:rPr>
                <w:rFonts w:ascii="Georgia" w:hAnsi="Georgia" w:cs="Arial"/>
                <w:color w:val="333333"/>
                <w:sz w:val="20"/>
                <w:szCs w:val="20"/>
              </w:rPr>
            </w:pPr>
          </w:p>
        </w:tc>
        <w:tc>
          <w:tcPr>
            <w:tcW w:w="960" w:type="pct"/>
            <w:tcBorders>
              <w:top w:val="nil"/>
              <w:left w:val="nil"/>
              <w:bottom w:val="nil"/>
              <w:right w:val="nil"/>
            </w:tcBorders>
            <w:shd w:val="clear" w:color="auto" w:fill="auto"/>
            <w:noWrap/>
            <w:vAlign w:val="center"/>
            <w:hideMark/>
          </w:tcPr>
          <w:p w14:paraId="7EE362ED" w14:textId="77777777" w:rsidR="00470A05" w:rsidRPr="00753012" w:rsidRDefault="00470A05" w:rsidP="00470A05">
            <w:pPr>
              <w:jc w:val="right"/>
              <w:rPr>
                <w:rFonts w:ascii="Georgia" w:hAnsi="Georgia" w:cs="Arial"/>
                <w:color w:val="333333"/>
                <w:sz w:val="20"/>
                <w:szCs w:val="20"/>
              </w:rPr>
            </w:pPr>
          </w:p>
        </w:tc>
      </w:tr>
      <w:tr w:rsidR="007A3EA7" w:rsidRPr="00753012" w14:paraId="654E18D0" w14:textId="77777777" w:rsidTr="00EF6D72">
        <w:trPr>
          <w:trHeight w:val="250"/>
        </w:trPr>
        <w:tc>
          <w:tcPr>
            <w:tcW w:w="460" w:type="pct"/>
            <w:tcBorders>
              <w:top w:val="nil"/>
              <w:left w:val="nil"/>
              <w:bottom w:val="nil"/>
              <w:right w:val="nil"/>
            </w:tcBorders>
            <w:shd w:val="clear" w:color="auto" w:fill="auto"/>
            <w:noWrap/>
            <w:vAlign w:val="center"/>
            <w:hideMark/>
          </w:tcPr>
          <w:p w14:paraId="4E1B172B" w14:textId="77777777" w:rsidR="007A3EA7" w:rsidRPr="00753012" w:rsidRDefault="007A3EA7" w:rsidP="007A3EA7">
            <w:pPr>
              <w:rPr>
                <w:rFonts w:ascii="Georgia" w:hAnsi="Georgia" w:cs="Arial"/>
                <w:color w:val="333333"/>
                <w:sz w:val="20"/>
                <w:szCs w:val="20"/>
              </w:rPr>
            </w:pPr>
          </w:p>
        </w:tc>
        <w:tc>
          <w:tcPr>
            <w:tcW w:w="1957" w:type="pct"/>
            <w:gridSpan w:val="2"/>
            <w:tcBorders>
              <w:top w:val="nil"/>
              <w:left w:val="nil"/>
              <w:bottom w:val="nil"/>
              <w:right w:val="nil"/>
            </w:tcBorders>
            <w:shd w:val="clear" w:color="auto" w:fill="auto"/>
            <w:noWrap/>
            <w:vAlign w:val="center"/>
            <w:hideMark/>
          </w:tcPr>
          <w:p w14:paraId="0054B18E" w14:textId="77777777" w:rsidR="007A3EA7" w:rsidRPr="00753012" w:rsidRDefault="007A3EA7" w:rsidP="007A3EA7">
            <w:pPr>
              <w:rPr>
                <w:rFonts w:ascii="Georgia" w:hAnsi="Georgia" w:cs="Arial"/>
                <w:color w:val="333333"/>
                <w:sz w:val="20"/>
                <w:szCs w:val="20"/>
              </w:rPr>
            </w:pPr>
            <w:r w:rsidRPr="00753012">
              <w:rPr>
                <w:rFonts w:ascii="Georgia" w:hAnsi="Georgia" w:cs="Arial"/>
                <w:color w:val="333333"/>
                <w:sz w:val="20"/>
                <w:szCs w:val="20"/>
              </w:rPr>
              <w:t xml:space="preserve"> Cash </w:t>
            </w:r>
          </w:p>
        </w:tc>
        <w:tc>
          <w:tcPr>
            <w:tcW w:w="452" w:type="pct"/>
            <w:gridSpan w:val="3"/>
            <w:tcBorders>
              <w:top w:val="nil"/>
              <w:left w:val="nil"/>
              <w:bottom w:val="nil"/>
              <w:right w:val="nil"/>
            </w:tcBorders>
            <w:shd w:val="clear" w:color="auto" w:fill="auto"/>
            <w:noWrap/>
            <w:vAlign w:val="center"/>
            <w:hideMark/>
          </w:tcPr>
          <w:p w14:paraId="4C2C3B66" w14:textId="77777777" w:rsidR="007A3EA7" w:rsidRPr="00753012" w:rsidRDefault="007A3EA7" w:rsidP="007A3EA7">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center"/>
            <w:hideMark/>
          </w:tcPr>
          <w:p w14:paraId="57EF9557" w14:textId="76B33A1E" w:rsidR="007A3EA7" w:rsidRPr="00746B8E" w:rsidRDefault="00746B8E" w:rsidP="007A3EA7">
            <w:pPr>
              <w:jc w:val="right"/>
              <w:rPr>
                <w:rFonts w:ascii="Georgia" w:hAnsi="Georgia" w:cs="Arial"/>
                <w:color w:val="333333"/>
                <w:sz w:val="20"/>
                <w:szCs w:val="20"/>
              </w:rPr>
            </w:pPr>
            <w:r w:rsidRPr="00746B8E">
              <w:rPr>
                <w:rFonts w:ascii="Georgia" w:hAnsi="Georgia" w:cs="Arial"/>
                <w:color w:val="333333"/>
                <w:sz w:val="20"/>
                <w:szCs w:val="20"/>
              </w:rPr>
              <w:t>16,918</w:t>
            </w:r>
            <w:r w:rsidR="007A3EA7" w:rsidRPr="00746B8E">
              <w:rPr>
                <w:rFonts w:ascii="Georgia" w:hAnsi="Georgia" w:cs="Arial"/>
                <w:color w:val="333333"/>
                <w:sz w:val="20"/>
                <w:szCs w:val="20"/>
              </w:rPr>
              <w:t xml:space="preserve">                   </w:t>
            </w:r>
          </w:p>
        </w:tc>
        <w:tc>
          <w:tcPr>
            <w:tcW w:w="960" w:type="pct"/>
            <w:tcBorders>
              <w:top w:val="nil"/>
              <w:left w:val="nil"/>
              <w:bottom w:val="nil"/>
              <w:right w:val="nil"/>
            </w:tcBorders>
            <w:shd w:val="clear" w:color="auto" w:fill="auto"/>
            <w:noWrap/>
            <w:vAlign w:val="center"/>
            <w:hideMark/>
          </w:tcPr>
          <w:p w14:paraId="1D41184E" w14:textId="1026F992" w:rsidR="007A3EA7" w:rsidRPr="007A3EA7" w:rsidRDefault="007A3EA7" w:rsidP="007A3EA7">
            <w:pPr>
              <w:jc w:val="right"/>
              <w:rPr>
                <w:rFonts w:ascii="Georgia" w:hAnsi="Georgia" w:cs="Arial"/>
                <w:color w:val="333333"/>
                <w:sz w:val="20"/>
                <w:szCs w:val="20"/>
              </w:rPr>
            </w:pPr>
            <w:r>
              <w:rPr>
                <w:rFonts w:ascii="Georgia" w:hAnsi="Georgia" w:cs="Arial"/>
                <w:color w:val="333333"/>
                <w:sz w:val="20"/>
                <w:szCs w:val="20"/>
              </w:rPr>
              <w:t>15,466</w:t>
            </w:r>
            <w:r w:rsidRPr="007A3EA7">
              <w:rPr>
                <w:rFonts w:ascii="Georgia" w:hAnsi="Georgia" w:cs="Arial"/>
                <w:color w:val="333333"/>
                <w:sz w:val="20"/>
                <w:szCs w:val="20"/>
              </w:rPr>
              <w:t xml:space="preserve">                   </w:t>
            </w:r>
          </w:p>
        </w:tc>
      </w:tr>
      <w:tr w:rsidR="007A3EA7" w:rsidRPr="00753012" w14:paraId="33B10442" w14:textId="77777777" w:rsidTr="00EF6D72">
        <w:trPr>
          <w:trHeight w:val="250"/>
        </w:trPr>
        <w:tc>
          <w:tcPr>
            <w:tcW w:w="460" w:type="pct"/>
            <w:tcBorders>
              <w:top w:val="nil"/>
              <w:left w:val="nil"/>
              <w:bottom w:val="nil"/>
              <w:right w:val="nil"/>
            </w:tcBorders>
            <w:shd w:val="clear" w:color="auto" w:fill="auto"/>
            <w:noWrap/>
            <w:vAlign w:val="center"/>
            <w:hideMark/>
          </w:tcPr>
          <w:p w14:paraId="001AD169" w14:textId="77777777" w:rsidR="007A3EA7" w:rsidRPr="00753012" w:rsidRDefault="007A3EA7" w:rsidP="007A3EA7">
            <w:pPr>
              <w:rPr>
                <w:rFonts w:ascii="Georgia" w:hAnsi="Georgia" w:cs="Arial"/>
                <w:color w:val="333333"/>
                <w:sz w:val="20"/>
                <w:szCs w:val="20"/>
              </w:rPr>
            </w:pPr>
          </w:p>
        </w:tc>
        <w:tc>
          <w:tcPr>
            <w:tcW w:w="1957" w:type="pct"/>
            <w:gridSpan w:val="2"/>
            <w:tcBorders>
              <w:top w:val="nil"/>
              <w:left w:val="nil"/>
              <w:bottom w:val="nil"/>
              <w:right w:val="nil"/>
            </w:tcBorders>
            <w:shd w:val="clear" w:color="auto" w:fill="auto"/>
            <w:noWrap/>
            <w:vAlign w:val="center"/>
            <w:hideMark/>
          </w:tcPr>
          <w:p w14:paraId="1FE06790" w14:textId="77777777" w:rsidR="007A3EA7" w:rsidRPr="00753012" w:rsidRDefault="007A3EA7" w:rsidP="007A3EA7">
            <w:pPr>
              <w:rPr>
                <w:rFonts w:ascii="Georgia" w:hAnsi="Georgia" w:cs="Arial"/>
                <w:color w:val="333333"/>
                <w:sz w:val="20"/>
                <w:szCs w:val="20"/>
              </w:rPr>
            </w:pPr>
            <w:r w:rsidRPr="00753012">
              <w:rPr>
                <w:rFonts w:ascii="Georgia" w:hAnsi="Georgia" w:cs="Arial"/>
                <w:color w:val="333333"/>
                <w:sz w:val="20"/>
                <w:szCs w:val="20"/>
              </w:rPr>
              <w:t xml:space="preserve"> Working capital </w:t>
            </w:r>
          </w:p>
        </w:tc>
        <w:tc>
          <w:tcPr>
            <w:tcW w:w="452" w:type="pct"/>
            <w:gridSpan w:val="3"/>
            <w:tcBorders>
              <w:top w:val="nil"/>
              <w:left w:val="nil"/>
              <w:bottom w:val="nil"/>
              <w:right w:val="nil"/>
            </w:tcBorders>
            <w:shd w:val="clear" w:color="auto" w:fill="auto"/>
            <w:noWrap/>
            <w:vAlign w:val="center"/>
            <w:hideMark/>
          </w:tcPr>
          <w:p w14:paraId="7EF1BE8D" w14:textId="77777777" w:rsidR="007A3EA7" w:rsidRPr="00753012" w:rsidRDefault="007A3EA7" w:rsidP="007A3EA7">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center"/>
            <w:hideMark/>
          </w:tcPr>
          <w:p w14:paraId="1B281B24" w14:textId="4C84EBC8" w:rsidR="007A3EA7" w:rsidRPr="00746B8E" w:rsidRDefault="00C46CF4" w:rsidP="00064B7A">
            <w:pPr>
              <w:jc w:val="right"/>
              <w:rPr>
                <w:rFonts w:ascii="Georgia" w:hAnsi="Georgia" w:cs="Arial"/>
                <w:color w:val="333333"/>
                <w:sz w:val="20"/>
                <w:szCs w:val="20"/>
              </w:rPr>
            </w:pPr>
            <w:r>
              <w:rPr>
                <w:rFonts w:ascii="Georgia" w:hAnsi="Georgia" w:cs="Arial"/>
                <w:color w:val="333333"/>
                <w:sz w:val="20"/>
                <w:szCs w:val="20"/>
              </w:rPr>
              <w:t>4,</w:t>
            </w:r>
            <w:r w:rsidR="00064B7A">
              <w:rPr>
                <w:rFonts w:ascii="Georgia" w:hAnsi="Georgia" w:cs="Arial"/>
                <w:color w:val="333333"/>
                <w:sz w:val="20"/>
                <w:szCs w:val="20"/>
              </w:rPr>
              <w:t>012</w:t>
            </w:r>
            <w:r w:rsidR="007A3EA7" w:rsidRPr="00746B8E">
              <w:rPr>
                <w:rFonts w:ascii="Georgia" w:hAnsi="Georgia" w:cs="Arial"/>
                <w:color w:val="333333"/>
                <w:sz w:val="20"/>
                <w:szCs w:val="20"/>
              </w:rPr>
              <w:t xml:space="preserve">                    </w:t>
            </w:r>
          </w:p>
        </w:tc>
        <w:tc>
          <w:tcPr>
            <w:tcW w:w="960" w:type="pct"/>
            <w:tcBorders>
              <w:top w:val="nil"/>
              <w:left w:val="nil"/>
              <w:bottom w:val="nil"/>
              <w:right w:val="nil"/>
            </w:tcBorders>
            <w:shd w:val="clear" w:color="auto" w:fill="auto"/>
            <w:noWrap/>
            <w:vAlign w:val="center"/>
            <w:hideMark/>
          </w:tcPr>
          <w:p w14:paraId="6CA5E78D" w14:textId="1CEED62A" w:rsidR="007A3EA7" w:rsidRPr="007A3EA7" w:rsidRDefault="007A3EA7" w:rsidP="007A3EA7">
            <w:pPr>
              <w:jc w:val="right"/>
              <w:rPr>
                <w:rFonts w:ascii="Georgia" w:hAnsi="Georgia" w:cs="Arial"/>
                <w:color w:val="333333"/>
                <w:sz w:val="20"/>
                <w:szCs w:val="20"/>
              </w:rPr>
            </w:pPr>
            <w:r>
              <w:rPr>
                <w:rFonts w:ascii="Georgia" w:hAnsi="Georgia" w:cs="Arial"/>
                <w:color w:val="333333"/>
                <w:sz w:val="20"/>
                <w:szCs w:val="20"/>
              </w:rPr>
              <w:t>4,035</w:t>
            </w:r>
            <w:r w:rsidRPr="007A3EA7">
              <w:rPr>
                <w:rFonts w:ascii="Georgia" w:hAnsi="Georgia" w:cs="Arial"/>
                <w:color w:val="333333"/>
                <w:sz w:val="20"/>
                <w:szCs w:val="20"/>
              </w:rPr>
              <w:t xml:space="preserve">                    </w:t>
            </w:r>
          </w:p>
        </w:tc>
      </w:tr>
      <w:tr w:rsidR="007A3EA7" w:rsidRPr="00753012" w14:paraId="0BCD83DF" w14:textId="77777777" w:rsidTr="00EF6D72">
        <w:trPr>
          <w:trHeight w:val="250"/>
        </w:trPr>
        <w:tc>
          <w:tcPr>
            <w:tcW w:w="460" w:type="pct"/>
            <w:tcBorders>
              <w:top w:val="nil"/>
              <w:left w:val="nil"/>
              <w:bottom w:val="nil"/>
              <w:right w:val="nil"/>
            </w:tcBorders>
            <w:shd w:val="clear" w:color="auto" w:fill="auto"/>
            <w:noWrap/>
            <w:vAlign w:val="center"/>
            <w:hideMark/>
          </w:tcPr>
          <w:p w14:paraId="28FD3185" w14:textId="77777777" w:rsidR="007A3EA7" w:rsidRPr="00753012" w:rsidRDefault="007A3EA7" w:rsidP="007A3EA7">
            <w:pPr>
              <w:rPr>
                <w:rFonts w:ascii="Georgia" w:hAnsi="Georgia" w:cs="Arial"/>
                <w:color w:val="333333"/>
                <w:sz w:val="20"/>
                <w:szCs w:val="20"/>
              </w:rPr>
            </w:pPr>
          </w:p>
        </w:tc>
        <w:tc>
          <w:tcPr>
            <w:tcW w:w="1957" w:type="pct"/>
            <w:gridSpan w:val="2"/>
            <w:tcBorders>
              <w:top w:val="nil"/>
              <w:left w:val="nil"/>
              <w:bottom w:val="nil"/>
              <w:right w:val="nil"/>
            </w:tcBorders>
            <w:shd w:val="clear" w:color="auto" w:fill="auto"/>
            <w:noWrap/>
            <w:vAlign w:val="center"/>
            <w:hideMark/>
          </w:tcPr>
          <w:p w14:paraId="1461711E" w14:textId="214C1F13" w:rsidR="007A3EA7" w:rsidRPr="00753012" w:rsidRDefault="007A3EA7" w:rsidP="007A3EA7">
            <w:pPr>
              <w:rPr>
                <w:rFonts w:ascii="Georgia" w:hAnsi="Georgia" w:cs="Arial"/>
                <w:color w:val="333333"/>
                <w:sz w:val="20"/>
                <w:szCs w:val="20"/>
              </w:rPr>
            </w:pPr>
            <w:r w:rsidRPr="00753012">
              <w:rPr>
                <w:rFonts w:ascii="Georgia" w:hAnsi="Georgia" w:cs="Arial"/>
                <w:color w:val="333333"/>
                <w:sz w:val="20"/>
                <w:szCs w:val="20"/>
              </w:rPr>
              <w:t xml:space="preserve"> Debt </w:t>
            </w:r>
          </w:p>
        </w:tc>
        <w:tc>
          <w:tcPr>
            <w:tcW w:w="452" w:type="pct"/>
            <w:gridSpan w:val="3"/>
            <w:tcBorders>
              <w:top w:val="nil"/>
              <w:left w:val="nil"/>
              <w:bottom w:val="nil"/>
              <w:right w:val="nil"/>
            </w:tcBorders>
            <w:shd w:val="clear" w:color="auto" w:fill="auto"/>
            <w:noWrap/>
            <w:vAlign w:val="center"/>
            <w:hideMark/>
          </w:tcPr>
          <w:p w14:paraId="793D4F68" w14:textId="77777777" w:rsidR="007A3EA7" w:rsidRPr="00753012" w:rsidRDefault="007A3EA7" w:rsidP="007A3EA7">
            <w:pPr>
              <w:jc w:val="right"/>
              <w:rPr>
                <w:rFonts w:ascii="Georgia" w:hAnsi="Georgia" w:cs="Arial"/>
                <w:color w:val="333333"/>
                <w:sz w:val="20"/>
                <w:szCs w:val="20"/>
              </w:rPr>
            </w:pPr>
          </w:p>
        </w:tc>
        <w:tc>
          <w:tcPr>
            <w:tcW w:w="1171" w:type="pct"/>
            <w:tcBorders>
              <w:top w:val="nil"/>
              <w:left w:val="nil"/>
              <w:bottom w:val="single" w:sz="4" w:space="0" w:color="auto"/>
              <w:right w:val="nil"/>
            </w:tcBorders>
            <w:shd w:val="clear" w:color="auto" w:fill="auto"/>
            <w:noWrap/>
            <w:vAlign w:val="center"/>
          </w:tcPr>
          <w:p w14:paraId="401C3BDF" w14:textId="05001B23" w:rsidR="007A3EA7" w:rsidRPr="00746B8E" w:rsidRDefault="00746B8E" w:rsidP="007A3EA7">
            <w:pPr>
              <w:jc w:val="right"/>
              <w:rPr>
                <w:rFonts w:ascii="Georgia" w:hAnsi="Georgia" w:cs="Arial"/>
                <w:color w:val="333333"/>
                <w:sz w:val="20"/>
                <w:szCs w:val="20"/>
              </w:rPr>
            </w:pPr>
            <w:r w:rsidRPr="00746B8E">
              <w:rPr>
                <w:rFonts w:ascii="Georgia" w:hAnsi="Georgia" w:cs="Arial"/>
                <w:color w:val="333333"/>
                <w:sz w:val="20"/>
                <w:szCs w:val="20"/>
              </w:rPr>
              <w:t>(212,773</w:t>
            </w:r>
            <w:r w:rsidR="007A3EA7" w:rsidRPr="00746B8E">
              <w:rPr>
                <w:rFonts w:ascii="Georgia" w:hAnsi="Georgia" w:cs="Arial"/>
                <w:color w:val="333333"/>
                <w:sz w:val="20"/>
                <w:szCs w:val="20"/>
              </w:rPr>
              <w:t>)</w:t>
            </w:r>
          </w:p>
        </w:tc>
        <w:tc>
          <w:tcPr>
            <w:tcW w:w="960" w:type="pct"/>
            <w:tcBorders>
              <w:top w:val="nil"/>
              <w:left w:val="nil"/>
              <w:bottom w:val="single" w:sz="4" w:space="0" w:color="auto"/>
              <w:right w:val="nil"/>
            </w:tcBorders>
            <w:shd w:val="clear" w:color="auto" w:fill="auto"/>
            <w:noWrap/>
            <w:vAlign w:val="center"/>
            <w:hideMark/>
          </w:tcPr>
          <w:p w14:paraId="1631B3DB" w14:textId="35F6930A" w:rsidR="007A3EA7" w:rsidRPr="007A3EA7" w:rsidRDefault="007A3EA7" w:rsidP="007A3EA7">
            <w:pPr>
              <w:jc w:val="right"/>
              <w:rPr>
                <w:rFonts w:ascii="Georgia" w:hAnsi="Georgia" w:cs="Arial"/>
                <w:color w:val="333333"/>
                <w:sz w:val="20"/>
                <w:szCs w:val="20"/>
              </w:rPr>
            </w:pPr>
            <w:r>
              <w:rPr>
                <w:rFonts w:ascii="Georgia" w:hAnsi="Georgia" w:cs="Arial"/>
                <w:color w:val="333333"/>
                <w:sz w:val="20"/>
                <w:szCs w:val="20"/>
              </w:rPr>
              <w:t>(205,820</w:t>
            </w:r>
            <w:r w:rsidRPr="007A3EA7">
              <w:rPr>
                <w:rFonts w:ascii="Georgia" w:hAnsi="Georgia" w:cs="Arial"/>
                <w:color w:val="333333"/>
                <w:sz w:val="20"/>
                <w:szCs w:val="20"/>
              </w:rPr>
              <w:t>)</w:t>
            </w:r>
          </w:p>
        </w:tc>
      </w:tr>
      <w:tr w:rsidR="007A3EA7" w:rsidRPr="00753012" w14:paraId="5984344A" w14:textId="77777777" w:rsidTr="00EF6D72">
        <w:trPr>
          <w:trHeight w:val="250"/>
        </w:trPr>
        <w:tc>
          <w:tcPr>
            <w:tcW w:w="460" w:type="pct"/>
            <w:tcBorders>
              <w:top w:val="nil"/>
              <w:left w:val="nil"/>
              <w:bottom w:val="nil"/>
              <w:right w:val="nil"/>
            </w:tcBorders>
            <w:shd w:val="clear" w:color="auto" w:fill="auto"/>
            <w:noWrap/>
            <w:vAlign w:val="center"/>
            <w:hideMark/>
          </w:tcPr>
          <w:p w14:paraId="6648B509" w14:textId="77777777" w:rsidR="007A3EA7" w:rsidRPr="00753012" w:rsidRDefault="007A3EA7" w:rsidP="007A3EA7">
            <w:pPr>
              <w:rPr>
                <w:rFonts w:ascii="Georgia" w:hAnsi="Georgia" w:cs="Arial"/>
                <w:color w:val="333333"/>
                <w:sz w:val="20"/>
                <w:szCs w:val="20"/>
              </w:rPr>
            </w:pPr>
          </w:p>
        </w:tc>
        <w:tc>
          <w:tcPr>
            <w:tcW w:w="1957" w:type="pct"/>
            <w:gridSpan w:val="2"/>
            <w:tcBorders>
              <w:top w:val="nil"/>
              <w:left w:val="nil"/>
              <w:bottom w:val="nil"/>
              <w:right w:val="nil"/>
            </w:tcBorders>
            <w:shd w:val="clear" w:color="auto" w:fill="auto"/>
            <w:noWrap/>
            <w:vAlign w:val="center"/>
            <w:hideMark/>
          </w:tcPr>
          <w:p w14:paraId="0E560EDC" w14:textId="77777777" w:rsidR="007A3EA7" w:rsidRPr="00753012" w:rsidRDefault="007A3EA7" w:rsidP="007A3EA7">
            <w:pPr>
              <w:jc w:val="right"/>
              <w:rPr>
                <w:rFonts w:ascii="Georgia" w:hAnsi="Georgia" w:cs="Arial"/>
                <w:color w:val="333333"/>
                <w:sz w:val="20"/>
                <w:szCs w:val="20"/>
              </w:rPr>
            </w:pPr>
          </w:p>
        </w:tc>
        <w:tc>
          <w:tcPr>
            <w:tcW w:w="452" w:type="pct"/>
            <w:gridSpan w:val="3"/>
            <w:tcBorders>
              <w:top w:val="nil"/>
              <w:left w:val="nil"/>
              <w:bottom w:val="nil"/>
              <w:right w:val="nil"/>
            </w:tcBorders>
            <w:shd w:val="clear" w:color="auto" w:fill="auto"/>
            <w:noWrap/>
            <w:vAlign w:val="center"/>
            <w:hideMark/>
          </w:tcPr>
          <w:p w14:paraId="1684D9AD" w14:textId="77777777" w:rsidR="007A3EA7" w:rsidRPr="00753012" w:rsidRDefault="007A3EA7" w:rsidP="007A3EA7">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center"/>
          </w:tcPr>
          <w:p w14:paraId="019F8DD4" w14:textId="1C4EC4FF" w:rsidR="007A3EA7" w:rsidRPr="00746B8E" w:rsidRDefault="00064B7A" w:rsidP="007A3EA7">
            <w:pPr>
              <w:jc w:val="right"/>
              <w:rPr>
                <w:rFonts w:ascii="Georgia" w:hAnsi="Georgia" w:cs="Arial"/>
                <w:color w:val="333333"/>
                <w:sz w:val="20"/>
                <w:szCs w:val="20"/>
              </w:rPr>
            </w:pPr>
            <w:r>
              <w:rPr>
                <w:rFonts w:ascii="Georgia" w:hAnsi="Georgia" w:cs="Arial"/>
                <w:color w:val="333333"/>
                <w:sz w:val="20"/>
                <w:szCs w:val="20"/>
              </w:rPr>
              <w:t>(191,843</w:t>
            </w:r>
            <w:r w:rsidR="007A3EA7" w:rsidRPr="00746B8E">
              <w:rPr>
                <w:rFonts w:ascii="Georgia" w:hAnsi="Georgia" w:cs="Arial"/>
                <w:color w:val="333333"/>
                <w:sz w:val="20"/>
                <w:szCs w:val="20"/>
              </w:rPr>
              <w:t>)</w:t>
            </w:r>
          </w:p>
        </w:tc>
        <w:tc>
          <w:tcPr>
            <w:tcW w:w="960" w:type="pct"/>
            <w:tcBorders>
              <w:top w:val="nil"/>
              <w:left w:val="nil"/>
              <w:bottom w:val="nil"/>
              <w:right w:val="nil"/>
            </w:tcBorders>
            <w:shd w:val="clear" w:color="auto" w:fill="auto"/>
            <w:noWrap/>
            <w:vAlign w:val="center"/>
            <w:hideMark/>
          </w:tcPr>
          <w:p w14:paraId="6110B888" w14:textId="33C48512" w:rsidR="007A3EA7" w:rsidRPr="007A3EA7" w:rsidRDefault="007A3EA7" w:rsidP="007A3EA7">
            <w:pPr>
              <w:jc w:val="right"/>
              <w:rPr>
                <w:rFonts w:ascii="Georgia" w:hAnsi="Georgia" w:cs="Arial"/>
                <w:color w:val="333333"/>
                <w:sz w:val="20"/>
                <w:szCs w:val="20"/>
              </w:rPr>
            </w:pPr>
            <w:r>
              <w:rPr>
                <w:rFonts w:ascii="Georgia" w:hAnsi="Georgia" w:cs="Arial"/>
                <w:color w:val="333333"/>
                <w:sz w:val="20"/>
                <w:szCs w:val="20"/>
              </w:rPr>
              <w:t>(186,319</w:t>
            </w:r>
            <w:r w:rsidRPr="007A3EA7">
              <w:rPr>
                <w:rFonts w:ascii="Georgia" w:hAnsi="Georgia" w:cs="Arial"/>
                <w:color w:val="333333"/>
                <w:sz w:val="20"/>
                <w:szCs w:val="20"/>
              </w:rPr>
              <w:t>)</w:t>
            </w:r>
          </w:p>
        </w:tc>
      </w:tr>
      <w:tr w:rsidR="007A3EA7" w:rsidRPr="00753012" w14:paraId="38F41A33" w14:textId="77777777" w:rsidTr="00EF6D72">
        <w:trPr>
          <w:trHeight w:val="264"/>
        </w:trPr>
        <w:tc>
          <w:tcPr>
            <w:tcW w:w="460" w:type="pct"/>
            <w:tcBorders>
              <w:top w:val="nil"/>
              <w:left w:val="nil"/>
              <w:bottom w:val="nil"/>
              <w:right w:val="nil"/>
            </w:tcBorders>
            <w:shd w:val="clear" w:color="auto" w:fill="auto"/>
            <w:noWrap/>
            <w:vAlign w:val="center"/>
            <w:hideMark/>
          </w:tcPr>
          <w:p w14:paraId="3FD6DBFD" w14:textId="77777777" w:rsidR="007A3EA7" w:rsidRPr="00753012" w:rsidRDefault="007A3EA7" w:rsidP="007A3EA7">
            <w:pPr>
              <w:rPr>
                <w:rFonts w:ascii="Georgia" w:hAnsi="Georgia" w:cs="Arial"/>
                <w:color w:val="333333"/>
                <w:sz w:val="20"/>
                <w:szCs w:val="20"/>
              </w:rPr>
            </w:pPr>
          </w:p>
        </w:tc>
        <w:tc>
          <w:tcPr>
            <w:tcW w:w="1957" w:type="pct"/>
            <w:gridSpan w:val="2"/>
            <w:tcBorders>
              <w:top w:val="nil"/>
              <w:left w:val="nil"/>
              <w:bottom w:val="nil"/>
              <w:right w:val="nil"/>
            </w:tcBorders>
            <w:shd w:val="clear" w:color="auto" w:fill="auto"/>
            <w:noWrap/>
            <w:vAlign w:val="center"/>
            <w:hideMark/>
          </w:tcPr>
          <w:p w14:paraId="30C26256" w14:textId="77777777" w:rsidR="007A3EA7" w:rsidRPr="00753012" w:rsidRDefault="007A3EA7" w:rsidP="007A3EA7">
            <w:pPr>
              <w:jc w:val="right"/>
              <w:rPr>
                <w:rFonts w:ascii="Georgia" w:hAnsi="Georgia" w:cs="Arial"/>
                <w:color w:val="333333"/>
                <w:sz w:val="20"/>
                <w:szCs w:val="20"/>
              </w:rPr>
            </w:pPr>
          </w:p>
        </w:tc>
        <w:tc>
          <w:tcPr>
            <w:tcW w:w="452" w:type="pct"/>
            <w:gridSpan w:val="3"/>
            <w:tcBorders>
              <w:top w:val="nil"/>
              <w:left w:val="nil"/>
              <w:bottom w:val="nil"/>
              <w:right w:val="nil"/>
            </w:tcBorders>
            <w:shd w:val="clear" w:color="auto" w:fill="auto"/>
            <w:noWrap/>
            <w:vAlign w:val="center"/>
            <w:hideMark/>
          </w:tcPr>
          <w:p w14:paraId="2C434686" w14:textId="77777777" w:rsidR="007A3EA7" w:rsidRPr="00753012" w:rsidRDefault="007A3EA7" w:rsidP="007A3EA7">
            <w:pPr>
              <w:jc w:val="right"/>
              <w:rPr>
                <w:rFonts w:ascii="Georgia" w:hAnsi="Georgia" w:cs="Arial"/>
                <w:color w:val="333333"/>
                <w:sz w:val="20"/>
                <w:szCs w:val="20"/>
              </w:rPr>
            </w:pPr>
          </w:p>
        </w:tc>
        <w:tc>
          <w:tcPr>
            <w:tcW w:w="1171" w:type="pct"/>
            <w:tcBorders>
              <w:top w:val="nil"/>
              <w:left w:val="nil"/>
              <w:bottom w:val="nil"/>
              <w:right w:val="nil"/>
            </w:tcBorders>
            <w:shd w:val="clear" w:color="auto" w:fill="auto"/>
            <w:noWrap/>
            <w:vAlign w:val="bottom"/>
            <w:hideMark/>
          </w:tcPr>
          <w:p w14:paraId="2BF54EE2" w14:textId="77777777" w:rsidR="007A3EA7" w:rsidRPr="00746B8E" w:rsidRDefault="007A3EA7" w:rsidP="007A3EA7">
            <w:pPr>
              <w:rPr>
                <w:rFonts w:ascii="Georgia" w:hAnsi="Georgia" w:cs="Arial"/>
                <w:color w:val="333333"/>
                <w:sz w:val="20"/>
                <w:szCs w:val="20"/>
              </w:rPr>
            </w:pPr>
          </w:p>
        </w:tc>
        <w:tc>
          <w:tcPr>
            <w:tcW w:w="960" w:type="pct"/>
            <w:tcBorders>
              <w:top w:val="nil"/>
              <w:left w:val="nil"/>
              <w:bottom w:val="nil"/>
              <w:right w:val="nil"/>
            </w:tcBorders>
            <w:shd w:val="clear" w:color="auto" w:fill="auto"/>
            <w:noWrap/>
            <w:vAlign w:val="bottom"/>
            <w:hideMark/>
          </w:tcPr>
          <w:p w14:paraId="7CE00386" w14:textId="77777777" w:rsidR="007A3EA7" w:rsidRPr="007A3EA7" w:rsidRDefault="007A3EA7" w:rsidP="007A3EA7">
            <w:pPr>
              <w:jc w:val="right"/>
              <w:rPr>
                <w:rFonts w:ascii="Georgia" w:hAnsi="Georgia" w:cs="Arial"/>
                <w:color w:val="333333"/>
                <w:sz w:val="20"/>
                <w:szCs w:val="20"/>
              </w:rPr>
            </w:pPr>
          </w:p>
        </w:tc>
      </w:tr>
      <w:tr w:rsidR="007A3EA7" w:rsidRPr="00753012" w14:paraId="6199D553" w14:textId="77777777" w:rsidTr="00EF6D72">
        <w:trPr>
          <w:trHeight w:val="264"/>
        </w:trPr>
        <w:tc>
          <w:tcPr>
            <w:tcW w:w="2869" w:type="pct"/>
            <w:gridSpan w:val="6"/>
            <w:tcBorders>
              <w:top w:val="nil"/>
              <w:left w:val="nil"/>
              <w:bottom w:val="nil"/>
              <w:right w:val="nil"/>
            </w:tcBorders>
            <w:shd w:val="clear" w:color="auto" w:fill="auto"/>
            <w:noWrap/>
            <w:vAlign w:val="center"/>
            <w:hideMark/>
          </w:tcPr>
          <w:p w14:paraId="079DED5F" w14:textId="77777777" w:rsidR="007A3EA7" w:rsidRPr="00753012" w:rsidRDefault="007A3EA7" w:rsidP="007A3EA7">
            <w:pPr>
              <w:rPr>
                <w:rFonts w:ascii="Georgia" w:hAnsi="Georgia" w:cs="Arial"/>
                <w:b/>
                <w:bCs/>
                <w:color w:val="404040" w:themeColor="text1" w:themeTint="BF"/>
                <w:sz w:val="20"/>
                <w:szCs w:val="20"/>
              </w:rPr>
            </w:pPr>
            <w:r w:rsidRPr="00753012">
              <w:rPr>
                <w:rFonts w:ascii="Georgia" w:hAnsi="Georgia" w:cs="Arial"/>
                <w:b/>
                <w:bCs/>
                <w:color w:val="404040" w:themeColor="text1" w:themeTint="BF"/>
                <w:sz w:val="20"/>
                <w:szCs w:val="20"/>
              </w:rPr>
              <w:t>Financial assets at fair value through profit or loss</w:t>
            </w:r>
          </w:p>
        </w:tc>
        <w:tc>
          <w:tcPr>
            <w:tcW w:w="1171" w:type="pct"/>
            <w:tcBorders>
              <w:top w:val="single" w:sz="8" w:space="0" w:color="auto"/>
              <w:left w:val="nil"/>
              <w:bottom w:val="double" w:sz="6" w:space="0" w:color="auto"/>
              <w:right w:val="nil"/>
            </w:tcBorders>
            <w:shd w:val="clear" w:color="auto" w:fill="auto"/>
            <w:noWrap/>
            <w:vAlign w:val="center"/>
            <w:hideMark/>
          </w:tcPr>
          <w:p w14:paraId="50A81CFE" w14:textId="1178EFD1" w:rsidR="007A3EA7" w:rsidRPr="00746B8E" w:rsidRDefault="00064B7A" w:rsidP="007A3EA7">
            <w:pPr>
              <w:jc w:val="right"/>
              <w:rPr>
                <w:rFonts w:ascii="Georgia" w:hAnsi="Georgia" w:cs="Arial"/>
                <w:b/>
                <w:bCs/>
                <w:color w:val="404040" w:themeColor="text1" w:themeTint="BF"/>
                <w:sz w:val="20"/>
                <w:szCs w:val="20"/>
              </w:rPr>
            </w:pPr>
            <w:r>
              <w:rPr>
                <w:rFonts w:ascii="Georgia" w:hAnsi="Georgia" w:cs="Arial"/>
                <w:b/>
                <w:bCs/>
                <w:color w:val="404040" w:themeColor="text1" w:themeTint="BF"/>
                <w:sz w:val="20"/>
                <w:szCs w:val="20"/>
              </w:rPr>
              <w:t>432,426</w:t>
            </w:r>
          </w:p>
        </w:tc>
        <w:tc>
          <w:tcPr>
            <w:tcW w:w="960" w:type="pct"/>
            <w:tcBorders>
              <w:top w:val="single" w:sz="8" w:space="0" w:color="auto"/>
              <w:left w:val="nil"/>
              <w:bottom w:val="double" w:sz="6" w:space="0" w:color="auto"/>
              <w:right w:val="nil"/>
            </w:tcBorders>
            <w:shd w:val="clear" w:color="auto" w:fill="auto"/>
            <w:noWrap/>
            <w:vAlign w:val="center"/>
            <w:hideMark/>
          </w:tcPr>
          <w:p w14:paraId="5C6D210D" w14:textId="18A5E713" w:rsidR="007A3EA7" w:rsidRPr="007A3EA7" w:rsidRDefault="00A036F0" w:rsidP="007A3EA7">
            <w:pPr>
              <w:jc w:val="right"/>
              <w:rPr>
                <w:rFonts w:ascii="Georgia" w:hAnsi="Georgia" w:cs="Arial"/>
                <w:b/>
                <w:bCs/>
                <w:color w:val="404040" w:themeColor="text1" w:themeTint="BF"/>
                <w:sz w:val="20"/>
                <w:szCs w:val="20"/>
              </w:rPr>
            </w:pPr>
            <w:r>
              <w:rPr>
                <w:rFonts w:ascii="Georgia" w:hAnsi="Georgia" w:cs="Arial"/>
                <w:b/>
                <w:bCs/>
                <w:color w:val="404040" w:themeColor="text1" w:themeTint="BF"/>
                <w:sz w:val="20"/>
                <w:szCs w:val="20"/>
              </w:rPr>
              <w:t>435,736</w:t>
            </w:r>
          </w:p>
        </w:tc>
      </w:tr>
    </w:tbl>
    <w:p w14:paraId="2C2316C8" w14:textId="77777777" w:rsidR="00753012" w:rsidRDefault="00753012" w:rsidP="000F51FA">
      <w:pPr>
        <w:pStyle w:val="body"/>
        <w:rPr>
          <w:b/>
        </w:rPr>
      </w:pPr>
    </w:p>
    <w:p w14:paraId="60E39B18" w14:textId="77777777" w:rsidR="00A04AB0" w:rsidRDefault="00A04AB0" w:rsidP="000F51FA">
      <w:pPr>
        <w:pStyle w:val="body"/>
        <w:rPr>
          <w:b/>
        </w:rPr>
      </w:pPr>
    </w:p>
    <w:p w14:paraId="7714FB5F" w14:textId="20E3DEB5" w:rsidR="000F51FA" w:rsidRPr="00F42B01" w:rsidRDefault="000F51FA" w:rsidP="000F51FA">
      <w:pPr>
        <w:pStyle w:val="body"/>
        <w:rPr>
          <w:b/>
        </w:rPr>
      </w:pPr>
      <w:r w:rsidRPr="00F42B01">
        <w:rPr>
          <w:b/>
        </w:rPr>
        <w:t>Fair value measurements</w:t>
      </w:r>
    </w:p>
    <w:p w14:paraId="7AFC5109" w14:textId="77777777" w:rsidR="00E42A95" w:rsidRDefault="000F51FA" w:rsidP="00E42A95">
      <w:pPr>
        <w:pStyle w:val="BluefieldBody"/>
      </w:pPr>
      <w:r w:rsidRPr="00F42B01">
        <w:t>IFRS 13 ‘Fair Value Measurement’ requires disclosure of fair value measurement by level. The level of fair value hierarchy within the financial assets or financial liabilities is determined on the basis of the lowest level input that is significant to the fair value measurement. Financial assets and financial liabilities are classified in their entirety into only one of the three levels.</w:t>
      </w:r>
    </w:p>
    <w:p w14:paraId="6E70C262" w14:textId="41B7AE48" w:rsidR="004248EE" w:rsidRDefault="004248EE" w:rsidP="00E85EF6">
      <w:pPr>
        <w:pStyle w:val="Notehead1"/>
      </w:pPr>
    </w:p>
    <w:p w14:paraId="621106DA" w14:textId="77777777" w:rsidR="00DB474D" w:rsidRDefault="00DB474D" w:rsidP="00DB474D">
      <w:pPr>
        <w:pStyle w:val="BluefieldBody"/>
        <w:tabs>
          <w:tab w:val="left" w:pos="6457"/>
        </w:tabs>
      </w:pPr>
      <w:r w:rsidRPr="00572CD0">
        <w:t>The fair value hierarchy has the following levels:</w:t>
      </w:r>
    </w:p>
    <w:p w14:paraId="4240C791" w14:textId="77777777" w:rsidR="007C4A69" w:rsidRDefault="007C4A69" w:rsidP="00E85EF6">
      <w:pPr>
        <w:pStyle w:val="Bluefieldbullets10pt"/>
        <w:numPr>
          <w:ilvl w:val="0"/>
          <w:numId w:val="0"/>
        </w:numPr>
        <w:ind w:left="360"/>
      </w:pPr>
    </w:p>
    <w:p w14:paraId="4A34CE81" w14:textId="77777777" w:rsidR="0071310A" w:rsidRDefault="000F51FA" w:rsidP="00E42A95">
      <w:pPr>
        <w:pStyle w:val="Bluefieldbullets10pt"/>
      </w:pPr>
      <w:r w:rsidRPr="00572CD0">
        <w:t xml:space="preserve">Level </w:t>
      </w:r>
      <w:r w:rsidR="00DB474D">
        <w:t>1</w:t>
      </w:r>
      <w:r w:rsidRPr="00572CD0">
        <w:tab/>
        <w:t xml:space="preserve"> – </w:t>
      </w:r>
      <w:r w:rsidR="00DB474D">
        <w:t>quoted</w:t>
      </w:r>
      <w:r w:rsidRPr="00572CD0">
        <w:t xml:space="preserve"> prices</w:t>
      </w:r>
      <w:r w:rsidR="00DB474D">
        <w:t xml:space="preserve"> (unadjusted) in active markets for identical assets or liabilities</w:t>
      </w:r>
      <w:r w:rsidRPr="00572CD0">
        <w:t>;</w:t>
      </w:r>
    </w:p>
    <w:p w14:paraId="66E319FB" w14:textId="2F598AD0" w:rsidR="00DB474D" w:rsidRDefault="00DB474D" w:rsidP="00E42A95">
      <w:pPr>
        <w:pStyle w:val="Bluefieldbullets10pt"/>
      </w:pPr>
      <w:r w:rsidRPr="00572CD0">
        <w:t>Level 2</w:t>
      </w:r>
      <w:r w:rsidRPr="00572CD0">
        <w:tab/>
        <w:t xml:space="preserve"> – inputs other than quoted prices included within Level 1 that are observable for the assets or</w:t>
      </w:r>
      <w:r>
        <w:t xml:space="preserve"> </w:t>
      </w:r>
      <w:r w:rsidRPr="00572CD0">
        <w:tab/>
      </w:r>
      <w:r>
        <w:tab/>
      </w:r>
      <w:r>
        <w:tab/>
      </w:r>
      <w:r>
        <w:tab/>
      </w:r>
      <w:r>
        <w:tab/>
      </w:r>
      <w:r>
        <w:tab/>
      </w:r>
      <w:r>
        <w:tab/>
      </w:r>
      <w:r>
        <w:tab/>
      </w:r>
      <w:r>
        <w:tab/>
      </w:r>
      <w:r>
        <w:tab/>
      </w:r>
      <w:r>
        <w:tab/>
      </w:r>
      <w:r>
        <w:tab/>
      </w:r>
      <w:r>
        <w:tab/>
      </w:r>
      <w:r>
        <w:tab/>
        <w:t xml:space="preserve">         l</w:t>
      </w:r>
      <w:r w:rsidRPr="00572CD0">
        <w:t>iabilities, either directly (i.e. as prices) or indirectly (i.e. derived from prices);</w:t>
      </w:r>
      <w:r w:rsidR="00AA5007">
        <w:t xml:space="preserve"> and</w:t>
      </w:r>
    </w:p>
    <w:p w14:paraId="31689A56" w14:textId="77777777" w:rsidR="00E42A95" w:rsidRDefault="000F51FA" w:rsidP="00E42A95">
      <w:pPr>
        <w:pStyle w:val="Bluefieldbullets10pt"/>
      </w:pPr>
      <w:r w:rsidRPr="00572CD0">
        <w:t>Level 3 – inputs for assets or liabilities that are not based on observable market data (unobservable inputs).</w:t>
      </w:r>
    </w:p>
    <w:p w14:paraId="14F59B27" w14:textId="4A71D2A8" w:rsidR="00E42A95" w:rsidRDefault="000F51FA" w:rsidP="00E42A95">
      <w:pPr>
        <w:pStyle w:val="BluefieldBody"/>
      </w:pPr>
      <w:r>
        <w:t xml:space="preserve">The determination of what constitutes ‘observable’ requires significant judgement by the </w:t>
      </w:r>
      <w:r w:rsidR="00353C33">
        <w:t>Company</w:t>
      </w:r>
      <w:r>
        <w:t xml:space="preserve">. The </w:t>
      </w:r>
      <w:r w:rsidR="00353C33">
        <w:t>Company</w:t>
      </w:r>
      <w:r>
        <w:t xml:space="preserve"> considers observable data to be market data that is readily available, regularly distributed or updated, reliable and verifiable, not proprietary, and provided by independent sources that are actively involved in the relevant market.</w:t>
      </w:r>
    </w:p>
    <w:p w14:paraId="2D4DECB4" w14:textId="77777777" w:rsidR="009B3F1B" w:rsidRDefault="009B3F1B" w:rsidP="009B3F1B">
      <w:pPr>
        <w:pStyle w:val="body"/>
        <w:rPr>
          <w:b/>
        </w:rPr>
      </w:pPr>
    </w:p>
    <w:p w14:paraId="75B678C3" w14:textId="386DB3A6" w:rsidR="00753012" w:rsidRDefault="00753012" w:rsidP="00753012">
      <w:pPr>
        <w:pStyle w:val="body"/>
        <w:spacing w:line="240" w:lineRule="auto"/>
      </w:pPr>
      <w:r w:rsidRPr="00572CD0">
        <w:t>The only financial instrum</w:t>
      </w:r>
      <w:r w:rsidR="006E672D">
        <w:t>ent</w:t>
      </w:r>
      <w:r w:rsidRPr="00572CD0">
        <w:t xml:space="preserve"> carried at fair value </w:t>
      </w:r>
      <w:r w:rsidR="00335290">
        <w:t>is</w:t>
      </w:r>
      <w:r w:rsidR="006E672D">
        <w:t xml:space="preserve"> the investment</w:t>
      </w:r>
      <w:r w:rsidRPr="00572CD0">
        <w:t xml:space="preserve"> held by the </w:t>
      </w:r>
      <w:r>
        <w:t>Company</w:t>
      </w:r>
      <w:r w:rsidRPr="00572CD0">
        <w:t xml:space="preserve">, </w:t>
      </w:r>
      <w:r>
        <w:t>BSIFIL</w:t>
      </w:r>
      <w:r w:rsidRPr="00572CD0">
        <w:t xml:space="preserve">, which </w:t>
      </w:r>
      <w:r w:rsidR="00335290">
        <w:t>is</w:t>
      </w:r>
      <w:r w:rsidRPr="00572CD0">
        <w:t xml:space="preserve"> fair valued at each reporting date. The </w:t>
      </w:r>
      <w:r>
        <w:t>Company</w:t>
      </w:r>
      <w:r w:rsidR="00335290">
        <w:t>’s investment has</w:t>
      </w:r>
      <w:r w:rsidRPr="00572CD0">
        <w:t xml:space="preserve"> been classified within Level 3 as </w:t>
      </w:r>
      <w:r>
        <w:t xml:space="preserve">BSIFIL’s </w:t>
      </w:r>
      <w:r w:rsidRPr="00572CD0">
        <w:t>investments are not traded and contain unobservable inputs</w:t>
      </w:r>
      <w:r>
        <w:t xml:space="preserve">. </w:t>
      </w:r>
    </w:p>
    <w:p w14:paraId="0CC5B914" w14:textId="77777777" w:rsidR="004E4B0B" w:rsidRPr="00837182" w:rsidRDefault="004E4B0B" w:rsidP="000F51FA">
      <w:pPr>
        <w:pStyle w:val="body"/>
        <w:rPr>
          <w:b/>
        </w:rPr>
      </w:pPr>
    </w:p>
    <w:p w14:paraId="1859E9B1" w14:textId="77777777" w:rsidR="003C3BEC" w:rsidRPr="00974A01" w:rsidRDefault="003C3BEC" w:rsidP="003C3BEC">
      <w:pPr>
        <w:pStyle w:val="body"/>
        <w:rPr>
          <w:b/>
        </w:rPr>
      </w:pPr>
      <w:r w:rsidRPr="00974A01">
        <w:rPr>
          <w:b/>
        </w:rPr>
        <w:t>Transfers during the period</w:t>
      </w:r>
    </w:p>
    <w:p w14:paraId="4C66F255" w14:textId="0D5F3D5D" w:rsidR="00E42A95" w:rsidRDefault="003C3BEC" w:rsidP="00E42A95">
      <w:pPr>
        <w:pStyle w:val="BluefieldBody"/>
      </w:pPr>
      <w:r w:rsidRPr="001D58EC">
        <w:t xml:space="preserve">There have been no transfers between levels during the </w:t>
      </w:r>
      <w:r w:rsidR="00BB21A4">
        <w:t>year</w:t>
      </w:r>
      <w:r w:rsidRPr="001D58EC">
        <w:t xml:space="preserve"> ended 30 June </w:t>
      </w:r>
      <w:r w:rsidR="00904E51">
        <w:t>2020</w:t>
      </w:r>
      <w:r w:rsidRPr="001D58EC">
        <w:t>. Any transfers between the levels will</w:t>
      </w:r>
      <w:r w:rsidRPr="00974A01">
        <w:t xml:space="preserve"> be accounted for on the last day of each financial period. Due to the nature of the investments, these are always expected to be classified as Level 3.</w:t>
      </w:r>
    </w:p>
    <w:p w14:paraId="246B8836" w14:textId="77777777" w:rsidR="003C3BEC" w:rsidRDefault="003C3BEC" w:rsidP="000F51FA">
      <w:pPr>
        <w:pStyle w:val="body"/>
        <w:rPr>
          <w:b/>
        </w:rPr>
      </w:pPr>
    </w:p>
    <w:p w14:paraId="681C0867" w14:textId="7401EFD0" w:rsidR="00C55F92" w:rsidRDefault="00C55F92" w:rsidP="00F424C1">
      <w:pPr>
        <w:pStyle w:val="Notehead1"/>
      </w:pPr>
    </w:p>
    <w:p w14:paraId="7232B60E" w14:textId="5E0D452A" w:rsidR="00C55F92" w:rsidRDefault="00C55F92" w:rsidP="00F424C1">
      <w:pPr>
        <w:pStyle w:val="Notehead1"/>
      </w:pPr>
    </w:p>
    <w:p w14:paraId="3E23569E" w14:textId="0BD134A1" w:rsidR="003A2341" w:rsidRDefault="003A2341" w:rsidP="00F424C1">
      <w:pPr>
        <w:pStyle w:val="Notehead1"/>
      </w:pPr>
    </w:p>
    <w:p w14:paraId="73DCB2F1" w14:textId="77777777" w:rsidR="00335290" w:rsidRDefault="00335290" w:rsidP="00F424C1">
      <w:pPr>
        <w:pStyle w:val="Notehead1"/>
      </w:pPr>
    </w:p>
    <w:p w14:paraId="6FBD7A14" w14:textId="77777777" w:rsidR="003A2341" w:rsidRDefault="003A2341" w:rsidP="00F424C1">
      <w:pPr>
        <w:pStyle w:val="Notehead1"/>
      </w:pPr>
    </w:p>
    <w:p w14:paraId="41041FA7" w14:textId="77777777" w:rsidR="0011750C" w:rsidRDefault="0011750C" w:rsidP="00F424C1">
      <w:pPr>
        <w:pStyle w:val="Notehead1"/>
      </w:pPr>
    </w:p>
    <w:p w14:paraId="2B19CA63" w14:textId="77777777" w:rsidR="00A04AB0" w:rsidRDefault="00A04AB0" w:rsidP="00F424C1">
      <w:pPr>
        <w:pStyle w:val="Notehead1"/>
      </w:pPr>
    </w:p>
    <w:p w14:paraId="67C72B8E" w14:textId="1030CBC9" w:rsidR="00F424C1" w:rsidRPr="00384BCB" w:rsidRDefault="00F424C1" w:rsidP="00F424C1">
      <w:pPr>
        <w:pStyle w:val="Notehead1"/>
      </w:pPr>
      <w:r>
        <w:lastRenderedPageBreak/>
        <w:t>8</w:t>
      </w:r>
      <w:r w:rsidRPr="00E42A95">
        <w:t>.</w:t>
      </w:r>
      <w:r w:rsidRPr="00E42A95">
        <w:tab/>
      </w:r>
      <w:r w:rsidRPr="00E42A95">
        <w:tab/>
      </w:r>
      <w:r w:rsidRPr="00E42A95">
        <w:tab/>
        <w:t xml:space="preserve"> Financial assets held at fair value through profit or loss (continued)</w:t>
      </w:r>
    </w:p>
    <w:p w14:paraId="5EDEC764" w14:textId="77777777" w:rsidR="00F424C1" w:rsidRDefault="00F424C1" w:rsidP="00F424C1">
      <w:pPr>
        <w:pStyle w:val="BluefieldBody"/>
      </w:pPr>
    </w:p>
    <w:p w14:paraId="242EFE58" w14:textId="77777777" w:rsidR="00A04AB0" w:rsidRPr="006E1957" w:rsidRDefault="00A04AB0" w:rsidP="00A04AB0">
      <w:pPr>
        <w:pStyle w:val="body"/>
        <w:rPr>
          <w:b/>
        </w:rPr>
      </w:pPr>
      <w:r>
        <w:rPr>
          <w:b/>
        </w:rPr>
        <w:t xml:space="preserve">Directors’ </w:t>
      </w:r>
      <w:r w:rsidRPr="006E1957">
        <w:rPr>
          <w:b/>
        </w:rPr>
        <w:t>Valuation methodology and process</w:t>
      </w:r>
    </w:p>
    <w:p w14:paraId="39E0392E" w14:textId="01E2CBA4" w:rsidR="00A04AB0" w:rsidRDefault="00A04AB0" w:rsidP="00A04AB0">
      <w:pPr>
        <w:pStyle w:val="BluefieldBody"/>
      </w:pPr>
      <w:r w:rsidRPr="00B73779">
        <w:t>The same valuation methodology and process</w:t>
      </w:r>
      <w:r>
        <w:t xml:space="preserve"> for operational solar plants</w:t>
      </w:r>
      <w:r w:rsidRPr="00B73779">
        <w:t xml:space="preserve"> is followed in these financial statements as was applied in the preparat</w:t>
      </w:r>
      <w:r>
        <w:t xml:space="preserve">ion of the Company’s </w:t>
      </w:r>
      <w:r w:rsidRPr="00B73779">
        <w:t xml:space="preserve">financial statements for the year ended 30 June </w:t>
      </w:r>
      <w:r w:rsidR="00904E51">
        <w:t>2019</w:t>
      </w:r>
      <w:r w:rsidRPr="00B73779">
        <w:t>.</w:t>
      </w:r>
      <w:r>
        <w:t xml:space="preserve"> Solar plants under construction and not yet operational are valued at cost and exclude acquisition costs which are expensed in the period in which they are incurred, whilst investments that are operational are valued on a DCF basis over the life of the asset (typically</w:t>
      </w:r>
      <w:r w:rsidR="007D2D14">
        <w:t xml:space="preserve"> more than</w:t>
      </w:r>
      <w:r>
        <w:t xml:space="preserve"> 25 years) and, under the ‘willing buyer-willing seller’ methodology, prudently benchmarked on a £/</w:t>
      </w:r>
      <w:proofErr w:type="spellStart"/>
      <w:r>
        <w:t>MWp</w:t>
      </w:r>
      <w:proofErr w:type="spellEnd"/>
      <w:r>
        <w:t xml:space="preserve"> basis against comparable transactions for large scale portfolios. No assets were valued at cost as at </w:t>
      </w:r>
      <w:r w:rsidR="00AB7AB1">
        <w:t>30 June 2020 (2019: Nil).</w:t>
      </w:r>
    </w:p>
    <w:p w14:paraId="581C07AB" w14:textId="77777777" w:rsidR="00684D86" w:rsidRDefault="00684D86" w:rsidP="00684D86">
      <w:pPr>
        <w:pStyle w:val="BluefieldBody"/>
      </w:pPr>
    </w:p>
    <w:p w14:paraId="07AD9226" w14:textId="77777777" w:rsidR="00C640A0" w:rsidRPr="00C640A0" w:rsidRDefault="00C640A0" w:rsidP="00C640A0">
      <w:pPr>
        <w:pStyle w:val="BluefieldBody"/>
      </w:pPr>
      <w:r w:rsidRPr="00C640A0">
        <w:t>Each investment is subject to full UK corporate taxation at the prevailing rate with the tax shield being limited to the applicable capital allowances from the Company’s SPV investments.</w:t>
      </w:r>
    </w:p>
    <w:p w14:paraId="28CC6265" w14:textId="77777777" w:rsidR="00C640A0" w:rsidRPr="00C640A0" w:rsidRDefault="00C640A0" w:rsidP="00C640A0">
      <w:pPr>
        <w:pStyle w:val="BluefieldBody"/>
      </w:pPr>
    </w:p>
    <w:p w14:paraId="33582BE0" w14:textId="77777777" w:rsidR="007D7B8C" w:rsidRDefault="00C640A0" w:rsidP="00C640A0">
      <w:pPr>
        <w:pStyle w:val="BluefieldBody"/>
      </w:pPr>
      <w:r w:rsidRPr="00C640A0">
        <w:t>The key inputs to a DCF based approach are: the equity discount rate, the cost of debt (influenced by interest rate, gearing level and length of debt), power price forecasts, long term inflation rates, irradiation forecasts, operational costs and taxation. Given discount rates are a product of not only the factors listed previously but also regulatory support, perceived sector risk and competitive tensions, it is not unusual for discount rates to change over time. Evidence of this is shown by way of the revisions to the original discount rates applied between the first UK solar investments and those witnessed in the past twelve months</w:t>
      </w:r>
      <w:r w:rsidR="007D7B8C">
        <w:t>.</w:t>
      </w:r>
      <w:r w:rsidRPr="00C640A0">
        <w:t xml:space="preserve"> </w:t>
      </w:r>
    </w:p>
    <w:p w14:paraId="01B07BEB" w14:textId="77777777" w:rsidR="007D7B8C" w:rsidRDefault="007D7B8C" w:rsidP="00C640A0">
      <w:pPr>
        <w:pStyle w:val="BluefieldBody"/>
      </w:pPr>
    </w:p>
    <w:p w14:paraId="43E78512" w14:textId="76E9A26A" w:rsidR="00C640A0" w:rsidRPr="00C640A0" w:rsidRDefault="007D7B8C" w:rsidP="00C640A0">
      <w:pPr>
        <w:pStyle w:val="BluefieldBody"/>
      </w:pPr>
      <w:r>
        <w:t>G</w:t>
      </w:r>
      <w:r w:rsidR="00C640A0" w:rsidRPr="00C640A0">
        <w:t>iven discount rates are subjective, there is sensitivity within these to the interpretation of factors outlined above.</w:t>
      </w:r>
    </w:p>
    <w:p w14:paraId="5116C2A3" w14:textId="77777777" w:rsidR="00481503" w:rsidRDefault="00481503" w:rsidP="00194721">
      <w:pPr>
        <w:pStyle w:val="BluefieldBody"/>
      </w:pPr>
    </w:p>
    <w:p w14:paraId="6C9229BC" w14:textId="24B4C190" w:rsidR="00970E61" w:rsidRPr="00E223BF" w:rsidRDefault="00970E61" w:rsidP="00970E61">
      <w:pPr>
        <w:pStyle w:val="BluefieldBody"/>
      </w:pPr>
      <w:r w:rsidRPr="00350C5E">
        <w:t xml:space="preserve">Judgement is used by the Board in </w:t>
      </w:r>
      <w:r w:rsidRPr="00C14593">
        <w:t xml:space="preserve">determining </w:t>
      </w:r>
      <w:r w:rsidR="005C2B29" w:rsidRPr="00C14593">
        <w:t xml:space="preserve">the </w:t>
      </w:r>
      <w:r w:rsidR="007D7B8C" w:rsidRPr="00C14593">
        <w:t>dec</w:t>
      </w:r>
      <w:r w:rsidR="005C2B29" w:rsidRPr="00C14593">
        <w:t>rease of</w:t>
      </w:r>
      <w:r w:rsidRPr="00C14593">
        <w:t xml:space="preserve"> the </w:t>
      </w:r>
      <w:r w:rsidR="001C1DD5" w:rsidRPr="00C14593">
        <w:t xml:space="preserve">weighted average discount rate </w:t>
      </w:r>
      <w:r w:rsidR="005C2B29" w:rsidRPr="00C14593">
        <w:t>from</w:t>
      </w:r>
      <w:r w:rsidRPr="00C14593">
        <w:t xml:space="preserve"> </w:t>
      </w:r>
      <w:r w:rsidR="00F704D4" w:rsidRPr="00C14593">
        <w:t>7</w:t>
      </w:r>
      <w:r w:rsidRPr="00C14593">
        <w:t>.</w:t>
      </w:r>
      <w:r w:rsidR="0026502A" w:rsidRPr="00C14593">
        <w:t>18</w:t>
      </w:r>
      <w:r w:rsidRPr="00C14593">
        <w:t xml:space="preserve">%, </w:t>
      </w:r>
      <w:r w:rsidR="007D7B8C" w:rsidRPr="00C14593">
        <w:t>as at</w:t>
      </w:r>
      <w:r w:rsidRPr="00C14593">
        <w:t xml:space="preserve"> 30 June </w:t>
      </w:r>
      <w:r w:rsidR="00904E51" w:rsidRPr="00C14593">
        <w:t>2019</w:t>
      </w:r>
      <w:r w:rsidRPr="00C14593">
        <w:t>,</w:t>
      </w:r>
      <w:r w:rsidR="005C2B29" w:rsidRPr="00C14593">
        <w:t xml:space="preserve"> to </w:t>
      </w:r>
      <w:r w:rsidR="00C14593" w:rsidRPr="00C14593">
        <w:t>6.00</w:t>
      </w:r>
      <w:r w:rsidR="005C2B29" w:rsidRPr="00C14593">
        <w:t>%</w:t>
      </w:r>
      <w:r w:rsidRPr="00C14593">
        <w:t xml:space="preserve"> </w:t>
      </w:r>
      <w:r w:rsidR="002B6394" w:rsidRPr="00C14593">
        <w:t>as</w:t>
      </w:r>
      <w:r w:rsidR="002B6394">
        <w:t xml:space="preserve"> at 30 June 2020 </w:t>
      </w:r>
      <w:r w:rsidR="007D7B8C">
        <w:t>with</w:t>
      </w:r>
      <w:r w:rsidRPr="00350C5E">
        <w:t xml:space="preserve"> </w:t>
      </w:r>
      <w:r>
        <w:t>t</w:t>
      </w:r>
      <w:r w:rsidR="009E1EBB">
        <w:t>hree</w:t>
      </w:r>
      <w:r>
        <w:t xml:space="preserve"> key factors</w:t>
      </w:r>
      <w:r w:rsidRPr="00350C5E">
        <w:t xml:space="preserve"> that have impacted the adoption of this rate </w:t>
      </w:r>
      <w:r w:rsidRPr="00E223BF">
        <w:t>outlined below:</w:t>
      </w:r>
    </w:p>
    <w:p w14:paraId="3E57F028" w14:textId="77777777" w:rsidR="00970E61" w:rsidRPr="00E223BF" w:rsidRDefault="00970E61" w:rsidP="00970E61">
      <w:pPr>
        <w:pStyle w:val="BluefieldBody"/>
      </w:pPr>
    </w:p>
    <w:p w14:paraId="4EA506DF" w14:textId="457FB1E1" w:rsidR="00970E61" w:rsidRPr="0084334A" w:rsidRDefault="00970E61" w:rsidP="000916C2">
      <w:pPr>
        <w:numPr>
          <w:ilvl w:val="0"/>
          <w:numId w:val="15"/>
        </w:numPr>
        <w:spacing w:after="160" w:line="259" w:lineRule="auto"/>
        <w:ind w:left="851" w:hanging="851"/>
        <w:contextualSpacing/>
        <w:jc w:val="both"/>
        <w:rPr>
          <w:rFonts w:ascii="Georgia" w:hAnsi="Georgia"/>
          <w:color w:val="404040" w:themeColor="text1" w:themeTint="BF"/>
          <w:sz w:val="20"/>
          <w:szCs w:val="20"/>
        </w:rPr>
      </w:pPr>
      <w:r w:rsidRPr="0084334A">
        <w:rPr>
          <w:rFonts w:ascii="Georgia" w:hAnsi="Georgia"/>
          <w:color w:val="404040" w:themeColor="text1" w:themeTint="BF"/>
          <w:sz w:val="20"/>
          <w:szCs w:val="20"/>
        </w:rPr>
        <w:t>Transaction values have remained consistent at ca</w:t>
      </w:r>
      <w:r w:rsidRPr="006B0DB2">
        <w:rPr>
          <w:rFonts w:ascii="Georgia" w:hAnsi="Georgia"/>
          <w:color w:val="404040" w:themeColor="text1" w:themeTint="BF"/>
          <w:sz w:val="20"/>
          <w:szCs w:val="20"/>
        </w:rPr>
        <w:t xml:space="preserve">. </w:t>
      </w:r>
      <w:r w:rsidR="000C09E9">
        <w:rPr>
          <w:rFonts w:ascii="Georgia" w:hAnsi="Georgia"/>
          <w:color w:val="404040" w:themeColor="text1" w:themeTint="BF"/>
          <w:sz w:val="20"/>
          <w:szCs w:val="20"/>
        </w:rPr>
        <w:t>£1.2</w:t>
      </w:r>
      <w:r w:rsidR="006B0DB2" w:rsidRPr="006B0DB2">
        <w:rPr>
          <w:rFonts w:ascii="Georgia" w:hAnsi="Georgia"/>
          <w:color w:val="404040" w:themeColor="text1" w:themeTint="BF"/>
          <w:sz w:val="20"/>
          <w:szCs w:val="20"/>
        </w:rPr>
        <w:t>0-1.40</w:t>
      </w:r>
      <w:r w:rsidRPr="006B0DB2">
        <w:rPr>
          <w:rFonts w:ascii="Georgia" w:hAnsi="Georgia"/>
          <w:color w:val="404040" w:themeColor="text1" w:themeTint="BF"/>
          <w:sz w:val="20"/>
          <w:szCs w:val="20"/>
        </w:rPr>
        <w:t>/</w:t>
      </w:r>
      <w:proofErr w:type="spellStart"/>
      <w:r w:rsidRPr="006B0DB2">
        <w:rPr>
          <w:rFonts w:ascii="Georgia" w:hAnsi="Georgia"/>
          <w:color w:val="404040" w:themeColor="text1" w:themeTint="BF"/>
          <w:sz w:val="20"/>
          <w:szCs w:val="20"/>
        </w:rPr>
        <w:t>MWp</w:t>
      </w:r>
      <w:proofErr w:type="spellEnd"/>
      <w:r w:rsidRPr="0084334A">
        <w:rPr>
          <w:rFonts w:ascii="Georgia" w:hAnsi="Georgia"/>
          <w:color w:val="404040" w:themeColor="text1" w:themeTint="BF"/>
          <w:sz w:val="20"/>
          <w:szCs w:val="20"/>
        </w:rPr>
        <w:t xml:space="preserve"> for large scale portfolios and which the Board have used </w:t>
      </w:r>
      <w:r w:rsidRPr="0084334A">
        <w:rPr>
          <w:rFonts w:ascii="Georgia" w:hAnsi="Georgia"/>
          <w:color w:val="404040"/>
          <w:sz w:val="20"/>
          <w:szCs w:val="20"/>
        </w:rPr>
        <w:t xml:space="preserve">to determine that an effective price </w:t>
      </w:r>
      <w:r w:rsidRPr="00C14593">
        <w:rPr>
          <w:rFonts w:ascii="Georgia" w:hAnsi="Georgia"/>
          <w:color w:val="404040"/>
          <w:sz w:val="20"/>
          <w:szCs w:val="20"/>
        </w:rPr>
        <w:t>of £1.</w:t>
      </w:r>
      <w:r w:rsidR="00C14593" w:rsidRPr="00C14593">
        <w:rPr>
          <w:rFonts w:ascii="Georgia" w:hAnsi="Georgia"/>
          <w:color w:val="404040"/>
          <w:sz w:val="20"/>
          <w:szCs w:val="20"/>
        </w:rPr>
        <w:t>26</w:t>
      </w:r>
      <w:r w:rsidRPr="00C14593">
        <w:rPr>
          <w:rFonts w:ascii="Georgia" w:hAnsi="Georgia"/>
          <w:color w:val="404040"/>
          <w:sz w:val="20"/>
          <w:szCs w:val="20"/>
        </w:rPr>
        <w:t>m</w:t>
      </w:r>
      <w:r w:rsidRPr="00EF6D72">
        <w:rPr>
          <w:rFonts w:ascii="Georgia" w:hAnsi="Georgia"/>
          <w:color w:val="404040"/>
          <w:sz w:val="20"/>
          <w:szCs w:val="20"/>
        </w:rPr>
        <w:t>/</w:t>
      </w:r>
      <w:proofErr w:type="spellStart"/>
      <w:r w:rsidRPr="00EF6D72">
        <w:rPr>
          <w:rFonts w:ascii="Georgia" w:hAnsi="Georgia"/>
          <w:color w:val="404040"/>
          <w:sz w:val="20"/>
          <w:szCs w:val="20"/>
        </w:rPr>
        <w:t>MWp</w:t>
      </w:r>
      <w:proofErr w:type="spellEnd"/>
      <w:r w:rsidRPr="0084334A">
        <w:rPr>
          <w:rFonts w:ascii="Georgia" w:hAnsi="Georgia"/>
          <w:color w:val="404040"/>
          <w:sz w:val="20"/>
          <w:szCs w:val="20"/>
        </w:rPr>
        <w:t xml:space="preserve"> is an appropriate basis for the valuation of the BSIF portfolio as at </w:t>
      </w:r>
      <w:r w:rsidR="007D7B8C">
        <w:rPr>
          <w:rFonts w:ascii="Georgia" w:hAnsi="Georgia"/>
          <w:color w:val="404040"/>
          <w:sz w:val="20"/>
          <w:szCs w:val="20"/>
        </w:rPr>
        <w:t xml:space="preserve">30 June </w:t>
      </w:r>
      <w:r w:rsidR="00904E51">
        <w:rPr>
          <w:rFonts w:ascii="Georgia" w:hAnsi="Georgia"/>
          <w:color w:val="404040"/>
          <w:sz w:val="20"/>
          <w:szCs w:val="20"/>
        </w:rPr>
        <w:t>2020</w:t>
      </w:r>
      <w:r w:rsidRPr="0084334A">
        <w:rPr>
          <w:rFonts w:ascii="Georgia" w:hAnsi="Georgia"/>
          <w:color w:val="404040" w:themeColor="text1" w:themeTint="BF"/>
          <w:sz w:val="20"/>
          <w:szCs w:val="20"/>
        </w:rPr>
        <w:t>;</w:t>
      </w:r>
    </w:p>
    <w:p w14:paraId="2C0578C6" w14:textId="1EB055D4" w:rsidR="00970E61" w:rsidRDefault="00970E61" w:rsidP="000916C2">
      <w:pPr>
        <w:numPr>
          <w:ilvl w:val="0"/>
          <w:numId w:val="15"/>
        </w:numPr>
        <w:spacing w:after="160" w:line="259" w:lineRule="auto"/>
        <w:ind w:left="851" w:hanging="851"/>
        <w:contextualSpacing/>
        <w:jc w:val="both"/>
        <w:rPr>
          <w:rFonts w:ascii="Georgia" w:hAnsi="Georgia"/>
          <w:color w:val="404040" w:themeColor="text1" w:themeTint="BF"/>
          <w:sz w:val="20"/>
          <w:szCs w:val="20"/>
        </w:rPr>
      </w:pPr>
      <w:r w:rsidRPr="00E223BF">
        <w:rPr>
          <w:rFonts w:ascii="Georgia" w:hAnsi="Georgia"/>
          <w:color w:val="404040" w:themeColor="text1" w:themeTint="BF"/>
          <w:sz w:val="20"/>
          <w:szCs w:val="20"/>
        </w:rPr>
        <w:tab/>
        <w:t xml:space="preserve">Inclusion of the latest </w:t>
      </w:r>
      <w:r>
        <w:rPr>
          <w:rFonts w:ascii="Georgia" w:hAnsi="Georgia"/>
          <w:color w:val="404040" w:themeColor="text1" w:themeTint="BF"/>
          <w:sz w:val="20"/>
          <w:szCs w:val="20"/>
        </w:rPr>
        <w:t>long term</w:t>
      </w:r>
      <w:r w:rsidRPr="00E223BF">
        <w:rPr>
          <w:rFonts w:ascii="Georgia" w:hAnsi="Georgia"/>
          <w:color w:val="404040" w:themeColor="text1" w:themeTint="BF"/>
          <w:sz w:val="20"/>
          <w:szCs w:val="20"/>
        </w:rPr>
        <w:t xml:space="preserve"> power </w:t>
      </w:r>
      <w:r w:rsidR="00C30602">
        <w:rPr>
          <w:rFonts w:ascii="Georgia" w:hAnsi="Georgia"/>
          <w:color w:val="404040" w:themeColor="text1" w:themeTint="BF"/>
          <w:sz w:val="20"/>
          <w:szCs w:val="20"/>
        </w:rPr>
        <w:t>forecasts from the Company’s three</w:t>
      </w:r>
      <w:r w:rsidRPr="00E223BF">
        <w:rPr>
          <w:rFonts w:ascii="Georgia" w:hAnsi="Georgia"/>
          <w:color w:val="404040" w:themeColor="text1" w:themeTint="BF"/>
          <w:sz w:val="20"/>
          <w:szCs w:val="20"/>
        </w:rPr>
        <w:t xml:space="preserve"> providers</w:t>
      </w:r>
      <w:r>
        <w:rPr>
          <w:rFonts w:ascii="Georgia" w:hAnsi="Georgia"/>
          <w:color w:val="404040" w:themeColor="text1" w:themeTint="BF"/>
          <w:sz w:val="20"/>
          <w:szCs w:val="20"/>
        </w:rPr>
        <w:t>.</w:t>
      </w:r>
      <w:r w:rsidRPr="00E223BF">
        <w:rPr>
          <w:rFonts w:ascii="Georgia" w:hAnsi="Georgia"/>
          <w:color w:val="404040" w:themeColor="text1" w:themeTint="BF"/>
          <w:sz w:val="20"/>
          <w:szCs w:val="20"/>
        </w:rPr>
        <w:t xml:space="preserve"> </w:t>
      </w:r>
    </w:p>
    <w:p w14:paraId="338336A1" w14:textId="4508B76D" w:rsidR="009E1EBB" w:rsidRPr="0084334A" w:rsidRDefault="009E1EBB" w:rsidP="000916C2">
      <w:pPr>
        <w:numPr>
          <w:ilvl w:val="0"/>
          <w:numId w:val="15"/>
        </w:numPr>
        <w:spacing w:after="160" w:line="259" w:lineRule="auto"/>
        <w:ind w:left="851" w:hanging="851"/>
        <w:contextualSpacing/>
        <w:jc w:val="both"/>
        <w:rPr>
          <w:rFonts w:ascii="Georgia" w:hAnsi="Georgia"/>
          <w:color w:val="404040" w:themeColor="text1" w:themeTint="BF"/>
          <w:sz w:val="20"/>
          <w:szCs w:val="20"/>
        </w:rPr>
      </w:pPr>
      <w:r>
        <w:rPr>
          <w:rFonts w:ascii="Georgia" w:hAnsi="Georgia"/>
          <w:color w:val="404040" w:themeColor="text1" w:themeTint="BF"/>
          <w:sz w:val="20"/>
          <w:szCs w:val="20"/>
        </w:rPr>
        <w:t xml:space="preserve">Inclusion of a prudent uplift with respect to asset extensions of 15 years on a </w:t>
      </w:r>
      <w:r w:rsidRPr="00A53607">
        <w:rPr>
          <w:rFonts w:ascii="Georgia" w:hAnsi="Georgia"/>
          <w:color w:val="404040" w:themeColor="text1" w:themeTint="BF"/>
          <w:sz w:val="20"/>
          <w:szCs w:val="20"/>
        </w:rPr>
        <w:t xml:space="preserve">subset </w:t>
      </w:r>
      <w:r w:rsidR="00A53607" w:rsidRPr="00A53607">
        <w:rPr>
          <w:rFonts w:ascii="Georgia" w:hAnsi="Georgia"/>
          <w:color w:val="404040" w:themeColor="text1" w:themeTint="BF"/>
          <w:sz w:val="20"/>
          <w:szCs w:val="20"/>
        </w:rPr>
        <w:t>(132</w:t>
      </w:r>
      <w:r>
        <w:rPr>
          <w:rFonts w:ascii="Georgia" w:hAnsi="Georgia"/>
          <w:color w:val="404040" w:themeColor="text1" w:themeTint="BF"/>
          <w:sz w:val="20"/>
          <w:szCs w:val="20"/>
        </w:rPr>
        <w:t xml:space="preserve"> </w:t>
      </w:r>
      <w:proofErr w:type="spellStart"/>
      <w:r>
        <w:rPr>
          <w:rFonts w:ascii="Georgia" w:hAnsi="Georgia"/>
          <w:color w:val="404040" w:themeColor="text1" w:themeTint="BF"/>
          <w:sz w:val="20"/>
          <w:szCs w:val="20"/>
        </w:rPr>
        <w:t>MWp</w:t>
      </w:r>
      <w:proofErr w:type="spellEnd"/>
      <w:r>
        <w:rPr>
          <w:rFonts w:ascii="Georgia" w:hAnsi="Georgia"/>
          <w:color w:val="404040" w:themeColor="text1" w:themeTint="BF"/>
          <w:sz w:val="20"/>
          <w:szCs w:val="20"/>
        </w:rPr>
        <w:t>) of the portfolio.</w:t>
      </w:r>
    </w:p>
    <w:p w14:paraId="68F6FCA6" w14:textId="77777777" w:rsidR="00970E61" w:rsidRPr="0084334A" w:rsidRDefault="00970E61" w:rsidP="00970E61">
      <w:pPr>
        <w:contextualSpacing/>
        <w:rPr>
          <w:rFonts w:ascii="Georgia" w:hAnsi="Georgia"/>
          <w:color w:val="404040" w:themeColor="text1" w:themeTint="BF"/>
          <w:sz w:val="20"/>
          <w:szCs w:val="20"/>
        </w:rPr>
      </w:pPr>
    </w:p>
    <w:p w14:paraId="66475966" w14:textId="234D6A96" w:rsidR="00970E61" w:rsidRPr="00350C5E" w:rsidRDefault="00970E61" w:rsidP="00970E61">
      <w:pPr>
        <w:pStyle w:val="BluefieldBody"/>
      </w:pPr>
      <w:r w:rsidRPr="00E223BF">
        <w:t>In order to smooth the sensitivity of the valuation to forecast timing or</w:t>
      </w:r>
      <w:r w:rsidRPr="00350C5E">
        <w:t xml:space="preserve"> opinion taken by a single forecast, the Board continues to adopt the application of a blended power curve from leading forecasters.</w:t>
      </w:r>
      <w:r w:rsidR="00ED620B">
        <w:t xml:space="preserve"> For the year ended 30 June 2020, the Company adopted a third provider, having previously used two, upon recommendation by its Investme</w:t>
      </w:r>
      <w:r w:rsidR="00BC5A1E">
        <w:t>nt Advise</w:t>
      </w:r>
      <w:r w:rsidR="001763EF">
        <w:t>r and approval by the B</w:t>
      </w:r>
      <w:r w:rsidR="00ED620B">
        <w:t>oard.</w:t>
      </w:r>
    </w:p>
    <w:p w14:paraId="40AB4BB6" w14:textId="77777777" w:rsidR="00C640A0" w:rsidRDefault="00C640A0" w:rsidP="00C640A0">
      <w:pPr>
        <w:pStyle w:val="BluefieldBody"/>
      </w:pPr>
    </w:p>
    <w:p w14:paraId="2902882F" w14:textId="1FDDD872" w:rsidR="00684D86" w:rsidRDefault="00345B60" w:rsidP="00C640A0">
      <w:pPr>
        <w:pStyle w:val="BluefieldBody"/>
      </w:pPr>
      <w:r>
        <w:t>The f</w:t>
      </w:r>
      <w:r w:rsidR="00C640A0" w:rsidRPr="00C640A0">
        <w:t xml:space="preserve">air value of operational SPVs </w:t>
      </w:r>
      <w:r>
        <w:t>are</w:t>
      </w:r>
      <w:r w:rsidR="00C640A0" w:rsidRPr="00C640A0">
        <w:t xml:space="preserve"> calculated on </w:t>
      </w:r>
      <w:r w:rsidR="00A04AB0">
        <w:t>a</w:t>
      </w:r>
      <w:r w:rsidR="00C640A0" w:rsidRPr="00C640A0">
        <w:t xml:space="preserve"> discounted cash flow basis in accordance with the IPEV Valuation Guidelines. </w:t>
      </w:r>
      <w:r w:rsidR="00904A5F">
        <w:t xml:space="preserve">The Investment Adviser produces fair value calculations on a semi-annual basis as at 30 June and 31 December each year. </w:t>
      </w:r>
      <w:r w:rsidR="00B12BA4" w:rsidRPr="00E01ABE">
        <w:rPr>
          <w:rFonts w:cs="Calibri"/>
        </w:rPr>
        <w:t>Previously, in every third year, the Board had an external valuation or benchmarking exercise performed by an independent expert. Based on the availability of market data, the Board does not intend to continue this practice and will ask for an external valuation to be carried out from time to time at its discretion.</w:t>
      </w:r>
      <w:r w:rsidR="002335BE" w:rsidRPr="002335BE">
        <w:t xml:space="preserve"> </w:t>
      </w:r>
      <w:r w:rsidR="002335BE">
        <w:t xml:space="preserve">An external </w:t>
      </w:r>
      <w:r w:rsidR="00BA75F0">
        <w:t>benchmarking exercise</w:t>
      </w:r>
      <w:r w:rsidR="002335BE">
        <w:t xml:space="preserve"> was undertaken</w:t>
      </w:r>
      <w:r w:rsidR="00DF75A4">
        <w:t xml:space="preserve"> for the year ended 30 June </w:t>
      </w:r>
      <w:r w:rsidR="00904E51">
        <w:t>201</w:t>
      </w:r>
      <w:r w:rsidR="0026502A">
        <w:t>8</w:t>
      </w:r>
      <w:r w:rsidR="002335BE">
        <w:t>.</w:t>
      </w:r>
    </w:p>
    <w:p w14:paraId="4C984AE5" w14:textId="68C6A159" w:rsidR="00565C75" w:rsidRDefault="00565C75" w:rsidP="00760C53">
      <w:pPr>
        <w:pStyle w:val="BluefieldBody"/>
      </w:pPr>
    </w:p>
    <w:p w14:paraId="2728B318" w14:textId="3B5E16A5" w:rsidR="00F424C1" w:rsidRDefault="00F424C1" w:rsidP="00760C53">
      <w:pPr>
        <w:pStyle w:val="BluefieldBody"/>
      </w:pPr>
    </w:p>
    <w:p w14:paraId="239795AE" w14:textId="615C54F1" w:rsidR="00F424C1" w:rsidRDefault="00F424C1" w:rsidP="00760C53">
      <w:pPr>
        <w:pStyle w:val="BluefieldBody"/>
      </w:pPr>
    </w:p>
    <w:p w14:paraId="169D4CFF" w14:textId="1F50CDB6" w:rsidR="0011750C" w:rsidRDefault="0011750C" w:rsidP="00760C53">
      <w:pPr>
        <w:pStyle w:val="BluefieldBody"/>
      </w:pPr>
    </w:p>
    <w:p w14:paraId="104428F0" w14:textId="256C1731" w:rsidR="00811FC4" w:rsidRDefault="00811FC4" w:rsidP="00760C53">
      <w:pPr>
        <w:pStyle w:val="BluefieldBody"/>
      </w:pPr>
    </w:p>
    <w:p w14:paraId="3EC286DF" w14:textId="77777777" w:rsidR="006E672D" w:rsidRDefault="006E672D" w:rsidP="00760C53">
      <w:pPr>
        <w:pStyle w:val="BluefieldBody"/>
      </w:pPr>
    </w:p>
    <w:p w14:paraId="416006EA" w14:textId="2D25D9EE" w:rsidR="00F424C1" w:rsidRDefault="00F424C1" w:rsidP="00760C53">
      <w:pPr>
        <w:pStyle w:val="BluefieldBody"/>
      </w:pPr>
    </w:p>
    <w:p w14:paraId="2026490B" w14:textId="6ECE7771" w:rsidR="00F424C1" w:rsidRDefault="00F424C1" w:rsidP="00760C53">
      <w:pPr>
        <w:pStyle w:val="BluefieldBody"/>
      </w:pPr>
    </w:p>
    <w:p w14:paraId="01C92E01" w14:textId="05A399B6" w:rsidR="00F424C1" w:rsidRDefault="00F424C1" w:rsidP="00760C53">
      <w:pPr>
        <w:pStyle w:val="BluefieldBody"/>
      </w:pPr>
    </w:p>
    <w:p w14:paraId="704C8EF7" w14:textId="01129702" w:rsidR="00F424C1" w:rsidRDefault="00F424C1" w:rsidP="00760C53">
      <w:pPr>
        <w:pStyle w:val="BluefieldBody"/>
      </w:pPr>
    </w:p>
    <w:p w14:paraId="097E2190" w14:textId="557E778E" w:rsidR="00565C75" w:rsidRPr="00384BCB" w:rsidRDefault="007D08FA" w:rsidP="00565C75">
      <w:pPr>
        <w:pStyle w:val="Notehead1"/>
      </w:pPr>
      <w:r>
        <w:t>8</w:t>
      </w:r>
      <w:r w:rsidR="00565C75" w:rsidRPr="00E42A95">
        <w:t>.</w:t>
      </w:r>
      <w:r w:rsidR="00565C75" w:rsidRPr="00E42A95">
        <w:tab/>
      </w:r>
      <w:r w:rsidR="00565C75" w:rsidRPr="00E42A95">
        <w:tab/>
      </w:r>
      <w:r w:rsidR="00565C75" w:rsidRPr="00E42A95">
        <w:tab/>
        <w:t xml:space="preserve"> Financial assets held at fair value through profit or loss (continued)</w:t>
      </w:r>
    </w:p>
    <w:p w14:paraId="46DA5A25" w14:textId="77777777" w:rsidR="00565C75" w:rsidRPr="001A6438" w:rsidRDefault="00565C75" w:rsidP="00565C75">
      <w:pPr>
        <w:pStyle w:val="body"/>
      </w:pPr>
    </w:p>
    <w:p w14:paraId="41C10632" w14:textId="177981BF" w:rsidR="00565C75" w:rsidRPr="001B56EC" w:rsidRDefault="00F5420A" w:rsidP="00565C75">
      <w:pPr>
        <w:pStyle w:val="body"/>
        <w:rPr>
          <w:b/>
        </w:rPr>
      </w:pPr>
      <w:r>
        <w:rPr>
          <w:b/>
        </w:rPr>
        <w:t xml:space="preserve">Directors’ </w:t>
      </w:r>
      <w:r w:rsidR="00565C75" w:rsidRPr="006E1957">
        <w:rPr>
          <w:b/>
        </w:rPr>
        <w:t>Valuation methodology and process</w:t>
      </w:r>
      <w:r w:rsidR="00565C75">
        <w:rPr>
          <w:b/>
        </w:rPr>
        <w:t xml:space="preserve"> (continued)</w:t>
      </w:r>
    </w:p>
    <w:p w14:paraId="25179451" w14:textId="77777777" w:rsidR="00565C75" w:rsidRDefault="00565C75" w:rsidP="00760C53">
      <w:pPr>
        <w:pStyle w:val="BluefieldBody"/>
      </w:pPr>
    </w:p>
    <w:p w14:paraId="38106B0E" w14:textId="77777777" w:rsidR="00F424C1" w:rsidRPr="001A6438" w:rsidRDefault="00F424C1" w:rsidP="00F424C1">
      <w:pPr>
        <w:pStyle w:val="body"/>
        <w:rPr>
          <w:b/>
        </w:rPr>
      </w:pPr>
      <w:r w:rsidRPr="001A6438">
        <w:rPr>
          <w:b/>
        </w:rPr>
        <w:t>Sensitivity analysis</w:t>
      </w:r>
    </w:p>
    <w:p w14:paraId="68E7C855" w14:textId="77777777" w:rsidR="00F424C1" w:rsidRPr="008C77E4" w:rsidRDefault="00F424C1" w:rsidP="00F424C1">
      <w:pPr>
        <w:pStyle w:val="BluefieldBody"/>
      </w:pPr>
      <w:r w:rsidRPr="008C77E4">
        <w:t xml:space="preserve">The table below analyses the sensitivity of the fair value of the </w:t>
      </w:r>
      <w:r>
        <w:t>Directors’ Valuation</w:t>
      </w:r>
      <w:r w:rsidRPr="008C77E4">
        <w:t xml:space="preserve"> to an individual input, while all other variables remain constant. </w:t>
      </w:r>
    </w:p>
    <w:p w14:paraId="1EFD5353" w14:textId="77777777" w:rsidR="00F424C1" w:rsidRPr="008C77E4" w:rsidRDefault="00F424C1" w:rsidP="00F424C1">
      <w:pPr>
        <w:pStyle w:val="BluefieldBody"/>
      </w:pPr>
    </w:p>
    <w:p w14:paraId="6E52C7F5" w14:textId="11886C79" w:rsidR="00F424C1" w:rsidRDefault="00F424C1" w:rsidP="00760C53">
      <w:pPr>
        <w:pStyle w:val="BluefieldBody"/>
        <w:rPr>
          <w:b/>
        </w:rPr>
      </w:pPr>
      <w:r w:rsidRPr="008C77E4">
        <w:t xml:space="preserve">The </w:t>
      </w:r>
      <w:r>
        <w:t>Directors</w:t>
      </w:r>
      <w:r w:rsidRPr="008C77E4">
        <w:t xml:space="preserve"> consider the changes in inputs to be within a reasonable range based on their understanding of market transactions. This is not intended to imply that the likelihood of change or that possible changes in value would be restricted to this range. </w:t>
      </w:r>
    </w:p>
    <w:p w14:paraId="148F5E61" w14:textId="77777777" w:rsidR="00F424C1" w:rsidRDefault="00F424C1" w:rsidP="00760C53">
      <w:pPr>
        <w:pStyle w:val="BluefieldBody"/>
      </w:pPr>
    </w:p>
    <w:p w14:paraId="198381C7" w14:textId="77777777" w:rsidR="007A3990" w:rsidRDefault="007A3990" w:rsidP="000F51FA">
      <w:pPr>
        <w:rPr>
          <w:lang w:eastAsia="en-GB"/>
        </w:rPr>
      </w:pPr>
    </w:p>
    <w:tbl>
      <w:tblPr>
        <w:tblW w:w="5089" w:type="pct"/>
        <w:tblBorders>
          <w:bottom w:val="single" w:sz="8" w:space="0" w:color="auto"/>
        </w:tblBorders>
        <w:tblLayout w:type="fixed"/>
        <w:tblCellMar>
          <w:bottom w:w="57" w:type="dxa"/>
        </w:tblCellMar>
        <w:tblLook w:val="04A0" w:firstRow="1" w:lastRow="0" w:firstColumn="1" w:lastColumn="0" w:noHBand="0" w:noVBand="1"/>
      </w:tblPr>
      <w:tblGrid>
        <w:gridCol w:w="1833"/>
        <w:gridCol w:w="1437"/>
        <w:gridCol w:w="1803"/>
        <w:gridCol w:w="1381"/>
        <w:gridCol w:w="1827"/>
        <w:gridCol w:w="1246"/>
      </w:tblGrid>
      <w:tr w:rsidR="00567F7B" w:rsidRPr="00E1355D" w14:paraId="516A7ECD" w14:textId="77777777" w:rsidTr="001B56EC">
        <w:trPr>
          <w:trHeight w:val="289"/>
        </w:trPr>
        <w:tc>
          <w:tcPr>
            <w:tcW w:w="962" w:type="pct"/>
            <w:tcBorders>
              <w:bottom w:val="nil"/>
            </w:tcBorders>
            <w:shd w:val="clear" w:color="auto" w:fill="auto"/>
            <w:noWrap/>
            <w:vAlign w:val="bottom"/>
          </w:tcPr>
          <w:p w14:paraId="65167859" w14:textId="77777777" w:rsidR="002C76E7" w:rsidRPr="00801DDC" w:rsidRDefault="002C76E7" w:rsidP="00760C53">
            <w:pPr>
              <w:rPr>
                <w:rFonts w:ascii="Georgia" w:hAnsi="Georgia" w:cs="Arial"/>
                <w:b/>
                <w:bCs/>
                <w:color w:val="404040" w:themeColor="text1" w:themeTint="BF"/>
                <w:sz w:val="20"/>
                <w:szCs w:val="20"/>
                <w:lang w:eastAsia="en-GB"/>
              </w:rPr>
            </w:pPr>
          </w:p>
        </w:tc>
        <w:tc>
          <w:tcPr>
            <w:tcW w:w="754" w:type="pct"/>
            <w:tcBorders>
              <w:bottom w:val="nil"/>
            </w:tcBorders>
            <w:shd w:val="clear" w:color="auto" w:fill="auto"/>
            <w:noWrap/>
            <w:vAlign w:val="bottom"/>
          </w:tcPr>
          <w:p w14:paraId="2A13CBFE" w14:textId="77777777" w:rsidR="002C76E7" w:rsidRPr="00801DDC" w:rsidRDefault="002C76E7" w:rsidP="00760C53">
            <w:pPr>
              <w:jc w:val="right"/>
              <w:rPr>
                <w:rFonts w:ascii="Georgia" w:hAnsi="Georgia" w:cs="Arial"/>
                <w:b/>
                <w:bCs/>
                <w:color w:val="404040" w:themeColor="text1" w:themeTint="BF"/>
                <w:sz w:val="20"/>
                <w:szCs w:val="20"/>
                <w:lang w:eastAsia="en-GB"/>
              </w:rPr>
            </w:pPr>
          </w:p>
        </w:tc>
        <w:tc>
          <w:tcPr>
            <w:tcW w:w="1671" w:type="pct"/>
            <w:gridSpan w:val="2"/>
            <w:tcBorders>
              <w:bottom w:val="single" w:sz="8" w:space="0" w:color="auto"/>
            </w:tcBorders>
            <w:vAlign w:val="bottom"/>
          </w:tcPr>
          <w:p w14:paraId="5485AB0F" w14:textId="0B0A6E0E" w:rsidR="002C76E7" w:rsidRPr="00801DDC" w:rsidRDefault="009342BA" w:rsidP="00BA4A7F">
            <w:pPr>
              <w:ind w:left="240"/>
              <w:jc w:val="center"/>
              <w:rPr>
                <w:rFonts w:ascii="Georgia" w:hAnsi="Georgia"/>
                <w:b/>
                <w:color w:val="404040" w:themeColor="text1" w:themeTint="BF"/>
                <w:sz w:val="20"/>
              </w:rPr>
            </w:pPr>
            <w:r w:rsidRPr="00801DDC">
              <w:rPr>
                <w:rFonts w:ascii="Georgia" w:hAnsi="Georgia"/>
                <w:b/>
                <w:color w:val="404040" w:themeColor="text1" w:themeTint="BF"/>
                <w:sz w:val="20"/>
              </w:rPr>
              <w:t>30 June</w:t>
            </w:r>
            <w:r w:rsidR="002C76E7" w:rsidRPr="00801DDC">
              <w:rPr>
                <w:rFonts w:ascii="Georgia" w:hAnsi="Georgia"/>
                <w:b/>
                <w:color w:val="404040" w:themeColor="text1" w:themeTint="BF"/>
                <w:sz w:val="20"/>
              </w:rPr>
              <w:t xml:space="preserve"> </w:t>
            </w:r>
            <w:r w:rsidR="00904E51">
              <w:rPr>
                <w:rFonts w:ascii="Georgia" w:hAnsi="Georgia"/>
                <w:b/>
                <w:color w:val="404040" w:themeColor="text1" w:themeTint="BF"/>
                <w:sz w:val="20"/>
              </w:rPr>
              <w:t>2020</w:t>
            </w:r>
          </w:p>
        </w:tc>
        <w:tc>
          <w:tcPr>
            <w:tcW w:w="1613" w:type="pct"/>
            <w:gridSpan w:val="2"/>
            <w:tcBorders>
              <w:bottom w:val="single" w:sz="8" w:space="0" w:color="auto"/>
            </w:tcBorders>
            <w:shd w:val="clear" w:color="auto" w:fill="auto"/>
            <w:noWrap/>
            <w:vAlign w:val="bottom"/>
          </w:tcPr>
          <w:p w14:paraId="27004BD9" w14:textId="25553187" w:rsidR="002C76E7" w:rsidRPr="00801DDC" w:rsidRDefault="009342BA" w:rsidP="00BA4A7F">
            <w:pPr>
              <w:ind w:left="240"/>
              <w:jc w:val="center"/>
              <w:rPr>
                <w:rFonts w:ascii="Georgia" w:hAnsi="Georgia"/>
                <w:b/>
                <w:color w:val="404040" w:themeColor="text1" w:themeTint="BF"/>
                <w:sz w:val="20"/>
              </w:rPr>
            </w:pPr>
            <w:r w:rsidRPr="00801DDC">
              <w:rPr>
                <w:rFonts w:ascii="Georgia" w:hAnsi="Georgia"/>
                <w:b/>
                <w:color w:val="404040" w:themeColor="text1" w:themeTint="BF"/>
                <w:sz w:val="20"/>
              </w:rPr>
              <w:t>30 June</w:t>
            </w:r>
            <w:r w:rsidR="002C76E7" w:rsidRPr="00801DDC">
              <w:rPr>
                <w:rFonts w:ascii="Georgia" w:hAnsi="Georgia"/>
                <w:b/>
                <w:color w:val="404040" w:themeColor="text1" w:themeTint="BF"/>
                <w:sz w:val="20"/>
              </w:rPr>
              <w:t xml:space="preserve"> </w:t>
            </w:r>
            <w:r w:rsidR="00904E51">
              <w:rPr>
                <w:rFonts w:ascii="Georgia" w:hAnsi="Georgia"/>
                <w:b/>
                <w:color w:val="404040" w:themeColor="text1" w:themeTint="BF"/>
                <w:sz w:val="20"/>
              </w:rPr>
              <w:t>2019</w:t>
            </w:r>
          </w:p>
        </w:tc>
      </w:tr>
      <w:tr w:rsidR="00176476" w:rsidRPr="00E1355D" w14:paraId="4E68971B" w14:textId="77777777" w:rsidTr="00567F7B">
        <w:trPr>
          <w:trHeight w:val="679"/>
        </w:trPr>
        <w:tc>
          <w:tcPr>
            <w:tcW w:w="962" w:type="pct"/>
            <w:tcBorders>
              <w:top w:val="nil"/>
              <w:bottom w:val="single" w:sz="8" w:space="0" w:color="auto"/>
            </w:tcBorders>
            <w:shd w:val="clear" w:color="auto" w:fill="auto"/>
            <w:noWrap/>
            <w:vAlign w:val="bottom"/>
          </w:tcPr>
          <w:p w14:paraId="7D8F566F" w14:textId="77777777" w:rsidR="00176476" w:rsidRPr="00801DDC" w:rsidRDefault="00176476" w:rsidP="00760C53">
            <w:pPr>
              <w:ind w:left="240"/>
              <w:rPr>
                <w:rFonts w:ascii="Georgia" w:hAnsi="Georgia"/>
                <w:b/>
                <w:color w:val="404040" w:themeColor="text1" w:themeTint="BF"/>
                <w:sz w:val="20"/>
              </w:rPr>
            </w:pPr>
            <w:r w:rsidRPr="00801DDC">
              <w:rPr>
                <w:rFonts w:ascii="Georgia" w:hAnsi="Georgia"/>
                <w:b/>
                <w:color w:val="404040" w:themeColor="text1" w:themeTint="BF"/>
                <w:sz w:val="20"/>
              </w:rPr>
              <w:t>Input</w:t>
            </w:r>
          </w:p>
        </w:tc>
        <w:tc>
          <w:tcPr>
            <w:tcW w:w="754" w:type="pct"/>
            <w:tcBorders>
              <w:top w:val="nil"/>
              <w:bottom w:val="single" w:sz="8" w:space="0" w:color="auto"/>
            </w:tcBorders>
            <w:shd w:val="clear" w:color="auto" w:fill="auto"/>
            <w:noWrap/>
            <w:vAlign w:val="bottom"/>
          </w:tcPr>
          <w:p w14:paraId="7EF3E9F7" w14:textId="77777777" w:rsidR="00176476" w:rsidRPr="00801DDC" w:rsidRDefault="00176476" w:rsidP="00760C53">
            <w:pPr>
              <w:jc w:val="right"/>
              <w:rPr>
                <w:rFonts w:ascii="Georgia" w:hAnsi="Georgia"/>
                <w:b/>
                <w:color w:val="404040" w:themeColor="text1" w:themeTint="BF"/>
                <w:sz w:val="20"/>
              </w:rPr>
            </w:pPr>
            <w:r w:rsidRPr="00801DDC">
              <w:rPr>
                <w:rFonts w:ascii="Georgia" w:hAnsi="Georgia"/>
                <w:b/>
                <w:color w:val="404040" w:themeColor="text1" w:themeTint="BF"/>
                <w:sz w:val="20"/>
              </w:rPr>
              <w:t>Change in input</w:t>
            </w:r>
          </w:p>
        </w:tc>
        <w:tc>
          <w:tcPr>
            <w:tcW w:w="946" w:type="pct"/>
            <w:tcBorders>
              <w:bottom w:val="single" w:sz="8" w:space="0" w:color="auto"/>
            </w:tcBorders>
            <w:vAlign w:val="bottom"/>
          </w:tcPr>
          <w:p w14:paraId="6E639C7E" w14:textId="77777777" w:rsidR="00176476" w:rsidRPr="00801DDC" w:rsidRDefault="00176476" w:rsidP="0018287C">
            <w:pPr>
              <w:jc w:val="right"/>
              <w:rPr>
                <w:rFonts w:ascii="Georgia" w:hAnsi="Georgia"/>
                <w:b/>
                <w:color w:val="404040" w:themeColor="text1" w:themeTint="BF"/>
                <w:sz w:val="20"/>
              </w:rPr>
            </w:pPr>
            <w:r w:rsidRPr="00801DDC">
              <w:rPr>
                <w:rFonts w:ascii="Georgia" w:hAnsi="Georgia"/>
                <w:b/>
                <w:color w:val="404040" w:themeColor="text1" w:themeTint="BF"/>
                <w:sz w:val="20"/>
              </w:rPr>
              <w:t xml:space="preserve">Change in fair value </w:t>
            </w:r>
          </w:p>
          <w:p w14:paraId="7E778009" w14:textId="62DFAE7B" w:rsidR="00176476" w:rsidRPr="00801DDC" w:rsidRDefault="00176476" w:rsidP="0018287C">
            <w:pPr>
              <w:jc w:val="right"/>
              <w:rPr>
                <w:rFonts w:ascii="Georgia" w:hAnsi="Georgia"/>
                <w:b/>
                <w:color w:val="404040" w:themeColor="text1" w:themeTint="BF"/>
                <w:sz w:val="20"/>
              </w:rPr>
            </w:pPr>
            <w:r w:rsidRPr="00801DDC">
              <w:rPr>
                <w:rFonts w:ascii="Georgia" w:hAnsi="Georgia"/>
                <w:b/>
                <w:color w:val="404040" w:themeColor="text1" w:themeTint="BF"/>
                <w:sz w:val="20"/>
              </w:rPr>
              <w:t xml:space="preserve">of </w:t>
            </w:r>
            <w:r w:rsidR="00684D86">
              <w:rPr>
                <w:rFonts w:ascii="Georgia" w:hAnsi="Georgia"/>
                <w:b/>
                <w:color w:val="404040" w:themeColor="text1" w:themeTint="BF"/>
                <w:sz w:val="20"/>
              </w:rPr>
              <w:t>Directors’ Valuation</w:t>
            </w:r>
          </w:p>
          <w:p w14:paraId="4977D99F" w14:textId="529DD8BD" w:rsidR="00176476" w:rsidRPr="00801DDC" w:rsidRDefault="00176476" w:rsidP="0018287C">
            <w:pPr>
              <w:jc w:val="right"/>
              <w:rPr>
                <w:rFonts w:ascii="Georgia" w:hAnsi="Georgia"/>
                <w:b/>
                <w:color w:val="404040" w:themeColor="text1" w:themeTint="BF"/>
                <w:sz w:val="20"/>
              </w:rPr>
            </w:pPr>
            <w:r w:rsidRPr="00801DDC">
              <w:rPr>
                <w:rFonts w:ascii="Georgia" w:hAnsi="Georgia"/>
                <w:b/>
                <w:color w:val="404040" w:themeColor="text1" w:themeTint="BF"/>
                <w:sz w:val="20"/>
              </w:rPr>
              <w:t>£</w:t>
            </w:r>
            <w:r w:rsidR="00D15006">
              <w:rPr>
                <w:rFonts w:ascii="Georgia" w:hAnsi="Georgia"/>
                <w:b/>
                <w:color w:val="404040" w:themeColor="text1" w:themeTint="BF"/>
                <w:sz w:val="20"/>
              </w:rPr>
              <w:t>m</w:t>
            </w:r>
          </w:p>
        </w:tc>
        <w:tc>
          <w:tcPr>
            <w:tcW w:w="725" w:type="pct"/>
            <w:tcBorders>
              <w:bottom w:val="single" w:sz="8" w:space="0" w:color="auto"/>
            </w:tcBorders>
            <w:vAlign w:val="bottom"/>
          </w:tcPr>
          <w:p w14:paraId="15E48873" w14:textId="77777777" w:rsidR="00176476" w:rsidRPr="00801DDC" w:rsidRDefault="00176476" w:rsidP="0018287C">
            <w:pPr>
              <w:jc w:val="right"/>
              <w:rPr>
                <w:rFonts w:ascii="Georgia" w:hAnsi="Georgia"/>
                <w:b/>
                <w:color w:val="404040" w:themeColor="text1" w:themeTint="BF"/>
                <w:sz w:val="20"/>
              </w:rPr>
            </w:pPr>
            <w:r w:rsidRPr="00801DDC">
              <w:rPr>
                <w:rFonts w:ascii="Georgia" w:hAnsi="Georgia"/>
                <w:b/>
                <w:color w:val="404040" w:themeColor="text1" w:themeTint="BF"/>
                <w:sz w:val="20"/>
              </w:rPr>
              <w:t xml:space="preserve">Change in NAV </w:t>
            </w:r>
          </w:p>
          <w:p w14:paraId="7B535587" w14:textId="77777777" w:rsidR="00176476" w:rsidRPr="00801DDC" w:rsidRDefault="00176476" w:rsidP="0018287C">
            <w:pPr>
              <w:jc w:val="right"/>
              <w:rPr>
                <w:rFonts w:ascii="Georgia" w:hAnsi="Georgia"/>
                <w:b/>
                <w:color w:val="404040" w:themeColor="text1" w:themeTint="BF"/>
                <w:sz w:val="20"/>
              </w:rPr>
            </w:pPr>
            <w:r w:rsidRPr="00801DDC">
              <w:rPr>
                <w:rFonts w:ascii="Georgia" w:hAnsi="Georgia"/>
                <w:b/>
                <w:color w:val="404040" w:themeColor="text1" w:themeTint="BF"/>
                <w:sz w:val="20"/>
              </w:rPr>
              <w:t>per share</w:t>
            </w:r>
          </w:p>
          <w:p w14:paraId="47050D42" w14:textId="77777777" w:rsidR="00176476" w:rsidRPr="00801DDC" w:rsidRDefault="00176476" w:rsidP="0018287C">
            <w:pPr>
              <w:jc w:val="right"/>
              <w:rPr>
                <w:rFonts w:ascii="Georgia" w:hAnsi="Georgia"/>
                <w:b/>
                <w:color w:val="404040" w:themeColor="text1" w:themeTint="BF"/>
                <w:sz w:val="20"/>
              </w:rPr>
            </w:pPr>
            <w:r w:rsidRPr="00801DDC">
              <w:rPr>
                <w:rFonts w:ascii="Georgia" w:hAnsi="Georgia"/>
                <w:b/>
                <w:color w:val="404040" w:themeColor="text1" w:themeTint="BF"/>
                <w:sz w:val="20"/>
              </w:rPr>
              <w:t>(pence)</w:t>
            </w:r>
          </w:p>
        </w:tc>
        <w:tc>
          <w:tcPr>
            <w:tcW w:w="959" w:type="pct"/>
            <w:tcBorders>
              <w:bottom w:val="single" w:sz="8" w:space="0" w:color="auto"/>
            </w:tcBorders>
            <w:shd w:val="clear" w:color="auto" w:fill="auto"/>
            <w:noWrap/>
            <w:vAlign w:val="bottom"/>
          </w:tcPr>
          <w:p w14:paraId="27DA8880" w14:textId="77777777" w:rsidR="00176476" w:rsidRPr="00801DDC" w:rsidRDefault="00176476" w:rsidP="00872CCD">
            <w:pPr>
              <w:jc w:val="right"/>
              <w:rPr>
                <w:rFonts w:ascii="Georgia" w:hAnsi="Georgia"/>
                <w:b/>
                <w:color w:val="404040" w:themeColor="text1" w:themeTint="BF"/>
                <w:sz w:val="20"/>
              </w:rPr>
            </w:pPr>
            <w:r w:rsidRPr="00801DDC">
              <w:rPr>
                <w:rFonts w:ascii="Georgia" w:hAnsi="Georgia"/>
                <w:b/>
                <w:color w:val="404040" w:themeColor="text1" w:themeTint="BF"/>
                <w:sz w:val="20"/>
              </w:rPr>
              <w:t xml:space="preserve">Change in fair value </w:t>
            </w:r>
          </w:p>
          <w:p w14:paraId="05B36315" w14:textId="561F7479" w:rsidR="00176476" w:rsidRPr="00801DDC" w:rsidRDefault="00684D86" w:rsidP="00872CCD">
            <w:pPr>
              <w:jc w:val="right"/>
              <w:rPr>
                <w:rFonts w:ascii="Georgia" w:hAnsi="Georgia"/>
                <w:b/>
                <w:color w:val="404040" w:themeColor="text1" w:themeTint="BF"/>
                <w:sz w:val="20"/>
              </w:rPr>
            </w:pPr>
            <w:r>
              <w:rPr>
                <w:rFonts w:ascii="Georgia" w:hAnsi="Georgia"/>
                <w:b/>
                <w:color w:val="404040" w:themeColor="text1" w:themeTint="BF"/>
                <w:sz w:val="20"/>
              </w:rPr>
              <w:t>of Directors’ Valuation</w:t>
            </w:r>
          </w:p>
          <w:p w14:paraId="4DECC22B" w14:textId="30D58E5E" w:rsidR="00176476" w:rsidRPr="00801DDC" w:rsidRDefault="00176476" w:rsidP="00760C53">
            <w:pPr>
              <w:jc w:val="right"/>
              <w:rPr>
                <w:rFonts w:ascii="Georgia" w:hAnsi="Georgia"/>
                <w:b/>
                <w:color w:val="404040" w:themeColor="text1" w:themeTint="BF"/>
                <w:sz w:val="20"/>
              </w:rPr>
            </w:pPr>
            <w:r w:rsidRPr="00801DDC">
              <w:rPr>
                <w:rFonts w:ascii="Georgia" w:hAnsi="Georgia"/>
                <w:b/>
                <w:color w:val="404040" w:themeColor="text1" w:themeTint="BF"/>
                <w:sz w:val="20"/>
              </w:rPr>
              <w:t>£</w:t>
            </w:r>
            <w:r w:rsidR="002250A1">
              <w:rPr>
                <w:rFonts w:ascii="Georgia" w:hAnsi="Georgia"/>
                <w:b/>
                <w:color w:val="404040" w:themeColor="text1" w:themeTint="BF"/>
                <w:sz w:val="20"/>
              </w:rPr>
              <w:t>m</w:t>
            </w:r>
          </w:p>
        </w:tc>
        <w:tc>
          <w:tcPr>
            <w:tcW w:w="654" w:type="pct"/>
            <w:tcBorders>
              <w:bottom w:val="single" w:sz="8" w:space="0" w:color="auto"/>
            </w:tcBorders>
            <w:shd w:val="clear" w:color="auto" w:fill="auto"/>
            <w:noWrap/>
            <w:vAlign w:val="bottom"/>
          </w:tcPr>
          <w:p w14:paraId="0EE1C58A" w14:textId="77777777" w:rsidR="00176476" w:rsidRPr="00801DDC" w:rsidRDefault="00176476" w:rsidP="00872CCD">
            <w:pPr>
              <w:jc w:val="right"/>
              <w:rPr>
                <w:rFonts w:ascii="Georgia" w:hAnsi="Georgia"/>
                <w:b/>
                <w:color w:val="404040" w:themeColor="text1" w:themeTint="BF"/>
                <w:sz w:val="20"/>
              </w:rPr>
            </w:pPr>
            <w:r w:rsidRPr="00801DDC">
              <w:rPr>
                <w:rFonts w:ascii="Georgia" w:hAnsi="Georgia"/>
                <w:b/>
                <w:color w:val="404040" w:themeColor="text1" w:themeTint="BF"/>
                <w:sz w:val="20"/>
              </w:rPr>
              <w:t xml:space="preserve">Change in NAV </w:t>
            </w:r>
          </w:p>
          <w:p w14:paraId="0663F16A" w14:textId="77777777" w:rsidR="00176476" w:rsidRPr="00801DDC" w:rsidRDefault="00176476" w:rsidP="00872CCD">
            <w:pPr>
              <w:jc w:val="right"/>
              <w:rPr>
                <w:rFonts w:ascii="Georgia" w:hAnsi="Georgia"/>
                <w:b/>
                <w:color w:val="404040" w:themeColor="text1" w:themeTint="BF"/>
                <w:sz w:val="20"/>
              </w:rPr>
            </w:pPr>
            <w:r w:rsidRPr="00801DDC">
              <w:rPr>
                <w:rFonts w:ascii="Georgia" w:hAnsi="Georgia"/>
                <w:b/>
                <w:color w:val="404040" w:themeColor="text1" w:themeTint="BF"/>
                <w:sz w:val="20"/>
              </w:rPr>
              <w:t>per share</w:t>
            </w:r>
          </w:p>
          <w:p w14:paraId="43311E6A" w14:textId="77777777" w:rsidR="00176476" w:rsidRPr="00801DDC" w:rsidRDefault="00176476" w:rsidP="00760C53">
            <w:pPr>
              <w:jc w:val="right"/>
              <w:rPr>
                <w:rFonts w:ascii="Georgia" w:hAnsi="Georgia"/>
                <w:b/>
                <w:color w:val="404040" w:themeColor="text1" w:themeTint="BF"/>
                <w:sz w:val="20"/>
              </w:rPr>
            </w:pPr>
            <w:r w:rsidRPr="00801DDC">
              <w:rPr>
                <w:rFonts w:ascii="Georgia" w:hAnsi="Georgia"/>
                <w:b/>
                <w:color w:val="404040" w:themeColor="text1" w:themeTint="BF"/>
                <w:sz w:val="20"/>
              </w:rPr>
              <w:t>(pence)</w:t>
            </w:r>
          </w:p>
        </w:tc>
      </w:tr>
      <w:tr w:rsidR="0026502A" w:rsidRPr="00E1355D" w14:paraId="04EFA33F" w14:textId="77777777" w:rsidTr="00F36C8A">
        <w:trPr>
          <w:trHeight w:val="340"/>
        </w:trPr>
        <w:tc>
          <w:tcPr>
            <w:tcW w:w="962" w:type="pct"/>
            <w:vMerge w:val="restart"/>
            <w:tcBorders>
              <w:top w:val="single" w:sz="8" w:space="0" w:color="auto"/>
            </w:tcBorders>
            <w:shd w:val="clear" w:color="auto" w:fill="auto"/>
            <w:noWrap/>
            <w:vAlign w:val="center"/>
          </w:tcPr>
          <w:p w14:paraId="1D79D568" w14:textId="05FC3E65" w:rsidR="0026502A" w:rsidRPr="00BA3D7B" w:rsidRDefault="0026502A" w:rsidP="0026502A">
            <w:pPr>
              <w:rPr>
                <w:rFonts w:ascii="Georgia" w:hAnsi="Georgia"/>
                <w:color w:val="404040" w:themeColor="text1" w:themeTint="BF"/>
                <w:sz w:val="20"/>
              </w:rPr>
            </w:pPr>
            <w:r w:rsidRPr="00BA3D7B">
              <w:rPr>
                <w:rFonts w:ascii="Georgia" w:hAnsi="Georgia"/>
                <w:color w:val="404040" w:themeColor="text1" w:themeTint="BF"/>
                <w:sz w:val="20"/>
              </w:rPr>
              <w:t>Discount rate</w:t>
            </w:r>
          </w:p>
        </w:tc>
        <w:tc>
          <w:tcPr>
            <w:tcW w:w="754" w:type="pct"/>
            <w:tcBorders>
              <w:top w:val="single" w:sz="8" w:space="0" w:color="auto"/>
              <w:bottom w:val="nil"/>
            </w:tcBorders>
            <w:shd w:val="clear" w:color="auto" w:fill="auto"/>
            <w:noWrap/>
            <w:vAlign w:val="center"/>
          </w:tcPr>
          <w:p w14:paraId="65FCAE27" w14:textId="77777777" w:rsidR="0026502A" w:rsidRPr="00BA3D7B" w:rsidRDefault="0026502A" w:rsidP="0026502A">
            <w:pPr>
              <w:jc w:val="right"/>
              <w:rPr>
                <w:rFonts w:ascii="Georgia" w:hAnsi="Georgia"/>
                <w:color w:val="404040" w:themeColor="text1" w:themeTint="BF"/>
                <w:sz w:val="20"/>
              </w:rPr>
            </w:pPr>
            <w:r w:rsidRPr="00BA3D7B">
              <w:rPr>
                <w:rFonts w:ascii="Georgia" w:hAnsi="Georgia"/>
                <w:color w:val="404040" w:themeColor="text1" w:themeTint="BF"/>
                <w:sz w:val="20"/>
              </w:rPr>
              <w:t xml:space="preserve"> + 0.5% </w:t>
            </w:r>
          </w:p>
        </w:tc>
        <w:tc>
          <w:tcPr>
            <w:tcW w:w="946" w:type="pct"/>
            <w:tcBorders>
              <w:top w:val="single" w:sz="8" w:space="0" w:color="auto"/>
              <w:bottom w:val="nil"/>
            </w:tcBorders>
            <w:vAlign w:val="center"/>
          </w:tcPr>
          <w:p w14:paraId="29B1F0ED" w14:textId="442C6AEC" w:rsidR="0026502A" w:rsidRPr="00A5054C" w:rsidRDefault="00F574BA" w:rsidP="0026502A">
            <w:pPr>
              <w:jc w:val="right"/>
              <w:rPr>
                <w:rFonts w:ascii="Georgia" w:hAnsi="Georgia"/>
                <w:color w:val="404040" w:themeColor="text1" w:themeTint="BF"/>
                <w:sz w:val="20"/>
              </w:rPr>
            </w:pPr>
            <w:r>
              <w:rPr>
                <w:rFonts w:ascii="Georgia" w:hAnsi="Georgia"/>
                <w:color w:val="404040" w:themeColor="text1" w:themeTint="BF"/>
                <w:sz w:val="20"/>
              </w:rPr>
              <w:t>(24.0</w:t>
            </w:r>
            <w:r w:rsidR="0026502A" w:rsidRPr="00A5054C">
              <w:rPr>
                <w:rFonts w:ascii="Georgia" w:hAnsi="Georgia"/>
                <w:color w:val="404040" w:themeColor="text1" w:themeTint="BF"/>
                <w:sz w:val="20"/>
              </w:rPr>
              <w:t>)</w:t>
            </w:r>
          </w:p>
        </w:tc>
        <w:tc>
          <w:tcPr>
            <w:tcW w:w="725" w:type="pct"/>
            <w:tcBorders>
              <w:top w:val="single" w:sz="8" w:space="0" w:color="auto"/>
              <w:bottom w:val="nil"/>
            </w:tcBorders>
            <w:vAlign w:val="center"/>
          </w:tcPr>
          <w:p w14:paraId="2A747703" w14:textId="190A172E" w:rsidR="0026502A" w:rsidRPr="004414B7" w:rsidRDefault="0026502A" w:rsidP="004414B7">
            <w:pPr>
              <w:jc w:val="right"/>
              <w:rPr>
                <w:rFonts w:ascii="Georgia" w:hAnsi="Georgia"/>
                <w:color w:val="404040" w:themeColor="text1" w:themeTint="BF"/>
                <w:sz w:val="20"/>
              </w:rPr>
            </w:pPr>
            <w:r w:rsidRPr="004414B7">
              <w:rPr>
                <w:rFonts w:ascii="Georgia" w:hAnsi="Georgia"/>
                <w:color w:val="404040" w:themeColor="text1" w:themeTint="BF"/>
                <w:sz w:val="20"/>
              </w:rPr>
              <w:t>(</w:t>
            </w:r>
            <w:r w:rsidR="00F574BA">
              <w:rPr>
                <w:rFonts w:ascii="Georgia" w:hAnsi="Georgia"/>
                <w:color w:val="404040" w:themeColor="text1" w:themeTint="BF"/>
                <w:sz w:val="20"/>
              </w:rPr>
              <w:t>6.48</w:t>
            </w:r>
            <w:r w:rsidRPr="004414B7">
              <w:rPr>
                <w:rFonts w:ascii="Georgia" w:hAnsi="Georgia"/>
                <w:color w:val="404040" w:themeColor="text1" w:themeTint="BF"/>
                <w:sz w:val="20"/>
              </w:rPr>
              <w:t>)</w:t>
            </w:r>
          </w:p>
        </w:tc>
        <w:tc>
          <w:tcPr>
            <w:tcW w:w="959" w:type="pct"/>
            <w:tcBorders>
              <w:top w:val="single" w:sz="8" w:space="0" w:color="auto"/>
              <w:bottom w:val="nil"/>
            </w:tcBorders>
            <w:shd w:val="clear" w:color="auto" w:fill="auto"/>
            <w:noWrap/>
            <w:vAlign w:val="center"/>
          </w:tcPr>
          <w:p w14:paraId="5106696F" w14:textId="21BBF3AD" w:rsidR="0026502A" w:rsidRPr="00BA3D7B" w:rsidRDefault="0026502A" w:rsidP="0026502A">
            <w:pPr>
              <w:jc w:val="right"/>
              <w:rPr>
                <w:rFonts w:ascii="Georgia" w:hAnsi="Georgia"/>
                <w:color w:val="404040" w:themeColor="text1" w:themeTint="BF"/>
                <w:sz w:val="20"/>
              </w:rPr>
            </w:pPr>
            <w:r w:rsidRPr="00BA3D7B">
              <w:rPr>
                <w:rFonts w:ascii="Georgia" w:hAnsi="Georgia"/>
                <w:color w:val="404040" w:themeColor="text1" w:themeTint="BF"/>
                <w:sz w:val="20"/>
              </w:rPr>
              <w:t>(16.0)</w:t>
            </w:r>
          </w:p>
        </w:tc>
        <w:tc>
          <w:tcPr>
            <w:tcW w:w="654" w:type="pct"/>
            <w:tcBorders>
              <w:top w:val="single" w:sz="8" w:space="0" w:color="auto"/>
              <w:bottom w:val="nil"/>
            </w:tcBorders>
            <w:shd w:val="clear" w:color="auto" w:fill="auto"/>
            <w:noWrap/>
            <w:vAlign w:val="center"/>
          </w:tcPr>
          <w:p w14:paraId="7E079BC4" w14:textId="45047156" w:rsidR="0026502A" w:rsidRPr="00BA3D7B" w:rsidRDefault="0026502A" w:rsidP="0026502A">
            <w:pPr>
              <w:jc w:val="right"/>
              <w:rPr>
                <w:rFonts w:ascii="Georgia" w:hAnsi="Georgia"/>
                <w:color w:val="404040" w:themeColor="text1" w:themeTint="BF"/>
                <w:sz w:val="20"/>
              </w:rPr>
            </w:pPr>
            <w:r w:rsidRPr="00BA3D7B">
              <w:rPr>
                <w:rFonts w:ascii="Georgia" w:hAnsi="Georgia"/>
                <w:color w:val="404040" w:themeColor="text1" w:themeTint="BF"/>
                <w:sz w:val="20"/>
              </w:rPr>
              <w:t>(4.33)</w:t>
            </w:r>
          </w:p>
        </w:tc>
      </w:tr>
      <w:tr w:rsidR="0026502A" w:rsidRPr="00E1355D" w14:paraId="67B73471" w14:textId="77777777" w:rsidTr="001B56EC">
        <w:trPr>
          <w:trHeight w:val="231"/>
        </w:trPr>
        <w:tc>
          <w:tcPr>
            <w:tcW w:w="962" w:type="pct"/>
            <w:vMerge/>
            <w:tcBorders>
              <w:bottom w:val="single" w:sz="8" w:space="0" w:color="auto"/>
            </w:tcBorders>
            <w:shd w:val="clear" w:color="auto" w:fill="auto"/>
            <w:noWrap/>
            <w:vAlign w:val="center"/>
          </w:tcPr>
          <w:p w14:paraId="785650DF" w14:textId="77777777" w:rsidR="0026502A" w:rsidRPr="00BA3D7B" w:rsidRDefault="0026502A" w:rsidP="0026502A">
            <w:pPr>
              <w:rPr>
                <w:rFonts w:ascii="Georgia" w:hAnsi="Georgia"/>
                <w:color w:val="404040" w:themeColor="text1" w:themeTint="BF"/>
                <w:sz w:val="20"/>
              </w:rPr>
            </w:pPr>
          </w:p>
        </w:tc>
        <w:tc>
          <w:tcPr>
            <w:tcW w:w="754" w:type="pct"/>
            <w:tcBorders>
              <w:bottom w:val="single" w:sz="8" w:space="0" w:color="auto"/>
            </w:tcBorders>
            <w:shd w:val="clear" w:color="auto" w:fill="auto"/>
            <w:noWrap/>
            <w:vAlign w:val="center"/>
          </w:tcPr>
          <w:p w14:paraId="22696291" w14:textId="77777777" w:rsidR="0026502A" w:rsidRPr="00BA3D7B" w:rsidRDefault="0026502A" w:rsidP="0026502A">
            <w:pPr>
              <w:jc w:val="right"/>
              <w:rPr>
                <w:rFonts w:ascii="Georgia" w:hAnsi="Georgia"/>
                <w:color w:val="404040" w:themeColor="text1" w:themeTint="BF"/>
                <w:sz w:val="20"/>
              </w:rPr>
            </w:pPr>
            <w:r w:rsidRPr="00BA3D7B">
              <w:rPr>
                <w:rFonts w:ascii="Georgia" w:hAnsi="Georgia"/>
                <w:color w:val="404040" w:themeColor="text1" w:themeTint="BF"/>
                <w:sz w:val="20"/>
              </w:rPr>
              <w:t xml:space="preserve"> - 0.5% </w:t>
            </w:r>
          </w:p>
        </w:tc>
        <w:tc>
          <w:tcPr>
            <w:tcW w:w="946" w:type="pct"/>
            <w:tcBorders>
              <w:bottom w:val="single" w:sz="8" w:space="0" w:color="auto"/>
            </w:tcBorders>
            <w:vAlign w:val="center"/>
          </w:tcPr>
          <w:p w14:paraId="3FF7095A" w14:textId="4B0C9F41" w:rsidR="0026502A" w:rsidRPr="00A5054C" w:rsidRDefault="00A5054C" w:rsidP="0026502A">
            <w:pPr>
              <w:jc w:val="right"/>
              <w:rPr>
                <w:rFonts w:ascii="Georgia" w:hAnsi="Georgia"/>
                <w:color w:val="404040" w:themeColor="text1" w:themeTint="BF"/>
                <w:sz w:val="20"/>
              </w:rPr>
            </w:pPr>
            <w:r w:rsidRPr="00A5054C">
              <w:rPr>
                <w:rFonts w:ascii="Georgia" w:hAnsi="Georgia"/>
                <w:color w:val="404040" w:themeColor="text1" w:themeTint="BF"/>
                <w:sz w:val="20"/>
              </w:rPr>
              <w:t>25.7</w:t>
            </w:r>
          </w:p>
        </w:tc>
        <w:tc>
          <w:tcPr>
            <w:tcW w:w="725" w:type="pct"/>
            <w:tcBorders>
              <w:bottom w:val="single" w:sz="8" w:space="0" w:color="auto"/>
            </w:tcBorders>
            <w:vAlign w:val="center"/>
          </w:tcPr>
          <w:p w14:paraId="032E8FC6" w14:textId="2B7AB407" w:rsidR="0026502A" w:rsidRPr="004414B7" w:rsidRDefault="004414B7" w:rsidP="0026502A">
            <w:pPr>
              <w:jc w:val="right"/>
              <w:rPr>
                <w:rFonts w:ascii="Georgia" w:hAnsi="Georgia"/>
                <w:color w:val="404040" w:themeColor="text1" w:themeTint="BF"/>
                <w:sz w:val="20"/>
              </w:rPr>
            </w:pPr>
            <w:r w:rsidRPr="004414B7">
              <w:rPr>
                <w:rFonts w:ascii="Georgia" w:hAnsi="Georgia"/>
                <w:color w:val="404040" w:themeColor="text1" w:themeTint="BF"/>
                <w:sz w:val="20"/>
              </w:rPr>
              <w:t>6.94</w:t>
            </w:r>
          </w:p>
        </w:tc>
        <w:tc>
          <w:tcPr>
            <w:tcW w:w="959" w:type="pct"/>
            <w:tcBorders>
              <w:bottom w:val="single" w:sz="8" w:space="0" w:color="auto"/>
            </w:tcBorders>
            <w:shd w:val="clear" w:color="auto" w:fill="auto"/>
            <w:noWrap/>
            <w:vAlign w:val="center"/>
          </w:tcPr>
          <w:p w14:paraId="2C4E5CBF" w14:textId="09EEB57F" w:rsidR="0026502A" w:rsidRPr="00BA3D7B" w:rsidRDefault="0026502A" w:rsidP="0026502A">
            <w:pPr>
              <w:jc w:val="right"/>
              <w:rPr>
                <w:rFonts w:ascii="Georgia" w:hAnsi="Georgia"/>
                <w:color w:val="404040" w:themeColor="text1" w:themeTint="BF"/>
                <w:sz w:val="20"/>
              </w:rPr>
            </w:pPr>
            <w:r w:rsidRPr="00BA3D7B">
              <w:rPr>
                <w:rFonts w:ascii="Georgia" w:hAnsi="Georgia"/>
                <w:color w:val="404040" w:themeColor="text1" w:themeTint="BF"/>
                <w:sz w:val="20"/>
              </w:rPr>
              <w:t>16.3</w:t>
            </w:r>
          </w:p>
        </w:tc>
        <w:tc>
          <w:tcPr>
            <w:tcW w:w="654" w:type="pct"/>
            <w:tcBorders>
              <w:bottom w:val="single" w:sz="8" w:space="0" w:color="auto"/>
            </w:tcBorders>
            <w:shd w:val="clear" w:color="auto" w:fill="auto"/>
            <w:noWrap/>
            <w:vAlign w:val="center"/>
          </w:tcPr>
          <w:p w14:paraId="5548DF9C" w14:textId="40D049CF" w:rsidR="0026502A" w:rsidRPr="00BA3D7B" w:rsidRDefault="0026502A" w:rsidP="0026502A">
            <w:pPr>
              <w:jc w:val="right"/>
              <w:rPr>
                <w:rFonts w:ascii="Georgia" w:hAnsi="Georgia"/>
                <w:color w:val="404040" w:themeColor="text1" w:themeTint="BF"/>
                <w:sz w:val="20"/>
              </w:rPr>
            </w:pPr>
            <w:r w:rsidRPr="00BA3D7B">
              <w:rPr>
                <w:rFonts w:ascii="Georgia" w:hAnsi="Georgia"/>
                <w:color w:val="404040" w:themeColor="text1" w:themeTint="BF"/>
                <w:sz w:val="20"/>
              </w:rPr>
              <w:t>4.41</w:t>
            </w:r>
          </w:p>
        </w:tc>
      </w:tr>
      <w:tr w:rsidR="0026502A" w:rsidRPr="00E1355D" w14:paraId="5C63AD8A" w14:textId="77777777" w:rsidTr="00F36C8A">
        <w:trPr>
          <w:trHeight w:val="340"/>
        </w:trPr>
        <w:tc>
          <w:tcPr>
            <w:tcW w:w="962" w:type="pct"/>
            <w:vMerge w:val="restart"/>
            <w:tcBorders>
              <w:top w:val="single" w:sz="8" w:space="0" w:color="auto"/>
            </w:tcBorders>
            <w:shd w:val="clear" w:color="auto" w:fill="auto"/>
            <w:noWrap/>
            <w:vAlign w:val="center"/>
          </w:tcPr>
          <w:p w14:paraId="40851CC3" w14:textId="77777777" w:rsidR="0026502A" w:rsidRPr="00801DDC" w:rsidRDefault="0026502A" w:rsidP="0026502A">
            <w:pPr>
              <w:rPr>
                <w:rFonts w:ascii="Georgia" w:hAnsi="Georgia"/>
                <w:color w:val="404040" w:themeColor="text1" w:themeTint="BF"/>
                <w:sz w:val="20"/>
              </w:rPr>
            </w:pPr>
            <w:r w:rsidRPr="00801DDC">
              <w:rPr>
                <w:rFonts w:ascii="Georgia" w:hAnsi="Georgia"/>
                <w:color w:val="404040" w:themeColor="text1" w:themeTint="BF"/>
                <w:sz w:val="20"/>
              </w:rPr>
              <w:t>Power prices</w:t>
            </w:r>
          </w:p>
        </w:tc>
        <w:tc>
          <w:tcPr>
            <w:tcW w:w="754" w:type="pct"/>
            <w:tcBorders>
              <w:top w:val="single" w:sz="8" w:space="0" w:color="auto"/>
              <w:bottom w:val="nil"/>
            </w:tcBorders>
            <w:shd w:val="clear" w:color="auto" w:fill="auto"/>
            <w:noWrap/>
            <w:vAlign w:val="center"/>
          </w:tcPr>
          <w:p w14:paraId="4DAD2A4C" w14:textId="77777777"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+10%</w:t>
            </w:r>
          </w:p>
        </w:tc>
        <w:tc>
          <w:tcPr>
            <w:tcW w:w="946" w:type="pct"/>
            <w:tcBorders>
              <w:top w:val="single" w:sz="8" w:space="0" w:color="auto"/>
              <w:bottom w:val="nil"/>
            </w:tcBorders>
            <w:vAlign w:val="center"/>
          </w:tcPr>
          <w:p w14:paraId="073C8E10" w14:textId="28F790DE" w:rsidR="0026502A" w:rsidRPr="00A5054C" w:rsidRDefault="00F574BA" w:rsidP="0026502A">
            <w:pPr>
              <w:jc w:val="right"/>
              <w:rPr>
                <w:rFonts w:ascii="Georgia" w:hAnsi="Georgia"/>
                <w:color w:val="404040" w:themeColor="text1" w:themeTint="BF"/>
                <w:sz w:val="20"/>
              </w:rPr>
            </w:pPr>
            <w:r>
              <w:rPr>
                <w:rFonts w:ascii="Georgia" w:hAnsi="Georgia"/>
                <w:color w:val="404040" w:themeColor="text1" w:themeTint="BF"/>
                <w:sz w:val="20"/>
              </w:rPr>
              <w:t>31</w:t>
            </w:r>
            <w:r w:rsidR="00A5054C" w:rsidRPr="00A5054C">
              <w:rPr>
                <w:rFonts w:ascii="Georgia" w:hAnsi="Georgia"/>
                <w:color w:val="404040" w:themeColor="text1" w:themeTint="BF"/>
                <w:sz w:val="20"/>
              </w:rPr>
              <w:t>.5</w:t>
            </w:r>
          </w:p>
        </w:tc>
        <w:tc>
          <w:tcPr>
            <w:tcW w:w="725" w:type="pct"/>
            <w:tcBorders>
              <w:top w:val="single" w:sz="8" w:space="0" w:color="auto"/>
              <w:bottom w:val="nil"/>
            </w:tcBorders>
            <w:vAlign w:val="center"/>
          </w:tcPr>
          <w:p w14:paraId="3922B73B" w14:textId="43FA97E6" w:rsidR="0026502A" w:rsidRPr="004414B7" w:rsidRDefault="00F574BA" w:rsidP="0026502A">
            <w:pPr>
              <w:jc w:val="right"/>
              <w:rPr>
                <w:rFonts w:ascii="Georgia" w:hAnsi="Georgia"/>
                <w:color w:val="404040" w:themeColor="text1" w:themeTint="BF"/>
                <w:sz w:val="20"/>
              </w:rPr>
            </w:pPr>
            <w:r>
              <w:rPr>
                <w:rFonts w:ascii="Georgia" w:hAnsi="Georgia"/>
                <w:color w:val="404040" w:themeColor="text1" w:themeTint="BF"/>
                <w:sz w:val="20"/>
              </w:rPr>
              <w:t>8.50</w:t>
            </w:r>
          </w:p>
        </w:tc>
        <w:tc>
          <w:tcPr>
            <w:tcW w:w="959" w:type="pct"/>
            <w:tcBorders>
              <w:top w:val="single" w:sz="8" w:space="0" w:color="auto"/>
              <w:bottom w:val="nil"/>
            </w:tcBorders>
            <w:shd w:val="clear" w:color="auto" w:fill="auto"/>
            <w:noWrap/>
            <w:vAlign w:val="center"/>
          </w:tcPr>
          <w:p w14:paraId="03DC2DDA" w14:textId="1B7B7CD8"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31.</w:t>
            </w:r>
            <w:r>
              <w:rPr>
                <w:rFonts w:ascii="Georgia" w:hAnsi="Georgia"/>
                <w:color w:val="404040" w:themeColor="text1" w:themeTint="BF"/>
                <w:sz w:val="20"/>
              </w:rPr>
              <w:t>7</w:t>
            </w:r>
          </w:p>
        </w:tc>
        <w:tc>
          <w:tcPr>
            <w:tcW w:w="654" w:type="pct"/>
            <w:tcBorders>
              <w:top w:val="single" w:sz="8" w:space="0" w:color="auto"/>
              <w:bottom w:val="nil"/>
            </w:tcBorders>
            <w:shd w:val="clear" w:color="auto" w:fill="auto"/>
            <w:noWrap/>
            <w:vAlign w:val="center"/>
          </w:tcPr>
          <w:p w14:paraId="30D7A863" w14:textId="70AFFAE4"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8.</w:t>
            </w:r>
            <w:r>
              <w:rPr>
                <w:rFonts w:ascii="Georgia" w:hAnsi="Georgia"/>
                <w:color w:val="404040" w:themeColor="text1" w:themeTint="BF"/>
                <w:sz w:val="20"/>
              </w:rPr>
              <w:t>57</w:t>
            </w:r>
          </w:p>
        </w:tc>
      </w:tr>
      <w:tr w:rsidR="0026502A" w:rsidRPr="00E1355D" w14:paraId="4A001C9F" w14:textId="77777777" w:rsidTr="001B56EC">
        <w:trPr>
          <w:trHeight w:val="211"/>
        </w:trPr>
        <w:tc>
          <w:tcPr>
            <w:tcW w:w="962" w:type="pct"/>
            <w:vMerge/>
            <w:tcBorders>
              <w:bottom w:val="single" w:sz="8" w:space="0" w:color="auto"/>
            </w:tcBorders>
            <w:shd w:val="clear" w:color="auto" w:fill="auto"/>
            <w:noWrap/>
            <w:vAlign w:val="center"/>
          </w:tcPr>
          <w:p w14:paraId="77055D39" w14:textId="77777777" w:rsidR="0026502A" w:rsidRPr="00801DDC" w:rsidRDefault="0026502A" w:rsidP="0026502A">
            <w:pPr>
              <w:rPr>
                <w:rFonts w:ascii="Georgia" w:hAnsi="Georgia"/>
                <w:color w:val="404040" w:themeColor="text1" w:themeTint="BF"/>
                <w:sz w:val="20"/>
              </w:rPr>
            </w:pPr>
          </w:p>
        </w:tc>
        <w:tc>
          <w:tcPr>
            <w:tcW w:w="754" w:type="pct"/>
            <w:tcBorders>
              <w:bottom w:val="single" w:sz="8" w:space="0" w:color="auto"/>
            </w:tcBorders>
            <w:shd w:val="clear" w:color="auto" w:fill="auto"/>
            <w:noWrap/>
            <w:vAlign w:val="center"/>
          </w:tcPr>
          <w:p w14:paraId="23D64899" w14:textId="77777777"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-10%</w:t>
            </w:r>
          </w:p>
        </w:tc>
        <w:tc>
          <w:tcPr>
            <w:tcW w:w="946" w:type="pct"/>
            <w:tcBorders>
              <w:bottom w:val="single" w:sz="8" w:space="0" w:color="auto"/>
            </w:tcBorders>
            <w:vAlign w:val="center"/>
          </w:tcPr>
          <w:p w14:paraId="6EABD6D8" w14:textId="12D5E8D1" w:rsidR="0026502A" w:rsidRPr="00A5054C" w:rsidRDefault="00F574BA" w:rsidP="0026502A">
            <w:pPr>
              <w:jc w:val="right"/>
              <w:rPr>
                <w:rFonts w:ascii="Georgia" w:hAnsi="Georgia"/>
                <w:color w:val="404040" w:themeColor="text1" w:themeTint="BF"/>
                <w:sz w:val="20"/>
              </w:rPr>
            </w:pPr>
            <w:r>
              <w:rPr>
                <w:rFonts w:ascii="Georgia" w:hAnsi="Georgia"/>
                <w:color w:val="404040" w:themeColor="text1" w:themeTint="BF"/>
                <w:sz w:val="20"/>
              </w:rPr>
              <w:t>(32</w:t>
            </w:r>
            <w:r w:rsidR="00A5054C" w:rsidRPr="00A5054C">
              <w:rPr>
                <w:rFonts w:ascii="Georgia" w:hAnsi="Georgia"/>
                <w:color w:val="404040" w:themeColor="text1" w:themeTint="BF"/>
                <w:sz w:val="20"/>
              </w:rPr>
              <w:t>.0</w:t>
            </w:r>
            <w:r w:rsidR="0026502A" w:rsidRPr="00A5054C">
              <w:rPr>
                <w:rFonts w:ascii="Georgia" w:hAnsi="Georgia"/>
                <w:color w:val="404040" w:themeColor="text1" w:themeTint="BF"/>
                <w:sz w:val="20"/>
              </w:rPr>
              <w:t>)</w:t>
            </w:r>
          </w:p>
        </w:tc>
        <w:tc>
          <w:tcPr>
            <w:tcW w:w="725" w:type="pct"/>
            <w:tcBorders>
              <w:bottom w:val="single" w:sz="8" w:space="0" w:color="auto"/>
            </w:tcBorders>
            <w:vAlign w:val="center"/>
          </w:tcPr>
          <w:p w14:paraId="515DFE53" w14:textId="4812FF26" w:rsidR="0026502A" w:rsidRPr="004414B7" w:rsidRDefault="00F574BA" w:rsidP="0026502A">
            <w:pPr>
              <w:jc w:val="right"/>
              <w:rPr>
                <w:rFonts w:ascii="Georgia" w:hAnsi="Georgia"/>
                <w:color w:val="404040" w:themeColor="text1" w:themeTint="BF"/>
                <w:sz w:val="20"/>
              </w:rPr>
            </w:pPr>
            <w:r>
              <w:rPr>
                <w:rFonts w:ascii="Georgia" w:hAnsi="Georgia"/>
                <w:color w:val="404040" w:themeColor="text1" w:themeTint="BF"/>
                <w:sz w:val="20"/>
              </w:rPr>
              <w:t>(8.64</w:t>
            </w:r>
            <w:r w:rsidR="0026502A" w:rsidRPr="004414B7">
              <w:rPr>
                <w:rFonts w:ascii="Georgia" w:hAnsi="Georgia"/>
                <w:color w:val="404040" w:themeColor="text1" w:themeTint="BF"/>
                <w:sz w:val="20"/>
              </w:rPr>
              <w:t>)</w:t>
            </w:r>
          </w:p>
        </w:tc>
        <w:tc>
          <w:tcPr>
            <w:tcW w:w="959" w:type="pct"/>
            <w:tcBorders>
              <w:bottom w:val="single" w:sz="8" w:space="0" w:color="auto"/>
            </w:tcBorders>
            <w:shd w:val="clear" w:color="auto" w:fill="auto"/>
            <w:noWrap/>
            <w:vAlign w:val="center"/>
          </w:tcPr>
          <w:p w14:paraId="1DF298AF" w14:textId="638A191B"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(31.</w:t>
            </w:r>
            <w:r>
              <w:rPr>
                <w:rFonts w:ascii="Georgia" w:hAnsi="Georgia"/>
                <w:color w:val="404040" w:themeColor="text1" w:themeTint="BF"/>
                <w:sz w:val="20"/>
              </w:rPr>
              <w:t>8</w:t>
            </w:r>
            <w:r w:rsidRPr="005A643D">
              <w:rPr>
                <w:rFonts w:ascii="Georgia" w:hAnsi="Georgia"/>
                <w:color w:val="404040" w:themeColor="text1" w:themeTint="BF"/>
                <w:sz w:val="20"/>
              </w:rPr>
              <w:t>)</w:t>
            </w:r>
          </w:p>
        </w:tc>
        <w:tc>
          <w:tcPr>
            <w:tcW w:w="654" w:type="pct"/>
            <w:tcBorders>
              <w:bottom w:val="single" w:sz="8" w:space="0" w:color="auto"/>
            </w:tcBorders>
            <w:shd w:val="clear" w:color="auto" w:fill="auto"/>
            <w:noWrap/>
            <w:vAlign w:val="center"/>
          </w:tcPr>
          <w:p w14:paraId="7ED845F1" w14:textId="36AD9285"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(8.</w:t>
            </w:r>
            <w:r>
              <w:rPr>
                <w:rFonts w:ascii="Georgia" w:hAnsi="Georgia"/>
                <w:color w:val="404040" w:themeColor="text1" w:themeTint="BF"/>
                <w:sz w:val="20"/>
              </w:rPr>
              <w:t>60</w:t>
            </w:r>
            <w:r w:rsidRPr="005A643D">
              <w:rPr>
                <w:rFonts w:ascii="Georgia" w:hAnsi="Georgia"/>
                <w:color w:val="404040" w:themeColor="text1" w:themeTint="BF"/>
                <w:sz w:val="20"/>
              </w:rPr>
              <w:t>)</w:t>
            </w:r>
          </w:p>
        </w:tc>
      </w:tr>
      <w:tr w:rsidR="0026502A" w:rsidRPr="00E1355D" w14:paraId="49596A6E" w14:textId="77777777" w:rsidTr="00F36C8A">
        <w:trPr>
          <w:trHeight w:val="340"/>
        </w:trPr>
        <w:tc>
          <w:tcPr>
            <w:tcW w:w="962" w:type="pct"/>
            <w:vMerge w:val="restart"/>
            <w:tcBorders>
              <w:top w:val="single" w:sz="8" w:space="0" w:color="auto"/>
            </w:tcBorders>
            <w:shd w:val="clear" w:color="auto" w:fill="auto"/>
            <w:noWrap/>
            <w:vAlign w:val="center"/>
          </w:tcPr>
          <w:p w14:paraId="0156D329" w14:textId="0A4EB6E8" w:rsidR="0026502A" w:rsidRPr="00801DDC" w:rsidRDefault="0026502A" w:rsidP="008E1064">
            <w:pPr>
              <w:rPr>
                <w:rFonts w:ascii="Georgia" w:hAnsi="Georgia"/>
                <w:color w:val="404040" w:themeColor="text1" w:themeTint="BF"/>
                <w:sz w:val="20"/>
              </w:rPr>
            </w:pPr>
            <w:r w:rsidRPr="00801DDC">
              <w:rPr>
                <w:rFonts w:ascii="Georgia" w:hAnsi="Georgia"/>
                <w:color w:val="404040" w:themeColor="text1" w:themeTint="BF"/>
                <w:sz w:val="20"/>
              </w:rPr>
              <w:t>Inflation rate</w:t>
            </w:r>
            <w:r>
              <w:rPr>
                <w:rFonts w:ascii="Georgia" w:hAnsi="Georgia"/>
                <w:color w:val="404040" w:themeColor="text1" w:themeTint="BF"/>
                <w:sz w:val="20"/>
              </w:rPr>
              <w:t xml:space="preserve"> </w:t>
            </w:r>
          </w:p>
        </w:tc>
        <w:tc>
          <w:tcPr>
            <w:tcW w:w="754" w:type="pct"/>
            <w:tcBorders>
              <w:top w:val="single" w:sz="8" w:space="0" w:color="auto"/>
              <w:bottom w:val="nil"/>
            </w:tcBorders>
            <w:shd w:val="clear" w:color="auto" w:fill="auto"/>
            <w:noWrap/>
            <w:vAlign w:val="center"/>
          </w:tcPr>
          <w:p w14:paraId="7AEF85BC" w14:textId="77777777"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 xml:space="preserve"> + 0.25% </w:t>
            </w:r>
          </w:p>
        </w:tc>
        <w:tc>
          <w:tcPr>
            <w:tcW w:w="946" w:type="pct"/>
            <w:tcBorders>
              <w:top w:val="single" w:sz="8" w:space="0" w:color="auto"/>
              <w:bottom w:val="nil"/>
            </w:tcBorders>
            <w:vAlign w:val="center"/>
          </w:tcPr>
          <w:p w14:paraId="51EA8631" w14:textId="2F7CA749" w:rsidR="0026502A" w:rsidRPr="00A5054C" w:rsidRDefault="00A5054C" w:rsidP="0026502A">
            <w:pPr>
              <w:jc w:val="right"/>
              <w:rPr>
                <w:rFonts w:ascii="Georgia" w:hAnsi="Georgia"/>
                <w:color w:val="404040" w:themeColor="text1" w:themeTint="BF"/>
                <w:sz w:val="20"/>
              </w:rPr>
            </w:pPr>
            <w:r w:rsidRPr="00A5054C">
              <w:rPr>
                <w:rFonts w:ascii="Georgia" w:hAnsi="Georgia"/>
                <w:color w:val="404040" w:themeColor="text1" w:themeTint="BF"/>
                <w:sz w:val="20"/>
              </w:rPr>
              <w:t>9</w:t>
            </w:r>
            <w:r w:rsidR="0026502A" w:rsidRPr="00A5054C">
              <w:rPr>
                <w:rFonts w:ascii="Georgia" w:hAnsi="Georgia"/>
                <w:color w:val="404040" w:themeColor="text1" w:themeTint="BF"/>
                <w:sz w:val="20"/>
              </w:rPr>
              <w:t>.8</w:t>
            </w:r>
          </w:p>
        </w:tc>
        <w:tc>
          <w:tcPr>
            <w:tcW w:w="725" w:type="pct"/>
            <w:tcBorders>
              <w:top w:val="single" w:sz="8" w:space="0" w:color="auto"/>
              <w:bottom w:val="nil"/>
            </w:tcBorders>
            <w:vAlign w:val="center"/>
          </w:tcPr>
          <w:p w14:paraId="2D2AE5C9" w14:textId="7D3DD901" w:rsidR="0026502A" w:rsidRPr="004414B7" w:rsidRDefault="004414B7" w:rsidP="0026502A">
            <w:pPr>
              <w:jc w:val="right"/>
              <w:rPr>
                <w:rFonts w:ascii="Georgia" w:hAnsi="Georgia"/>
                <w:color w:val="404040" w:themeColor="text1" w:themeTint="BF"/>
                <w:sz w:val="20"/>
              </w:rPr>
            </w:pPr>
            <w:r w:rsidRPr="004414B7">
              <w:rPr>
                <w:rFonts w:ascii="Georgia" w:hAnsi="Georgia"/>
                <w:color w:val="404040" w:themeColor="text1" w:themeTint="BF"/>
                <w:sz w:val="20"/>
              </w:rPr>
              <w:t>2.65</w:t>
            </w:r>
          </w:p>
        </w:tc>
        <w:tc>
          <w:tcPr>
            <w:tcW w:w="959" w:type="pct"/>
            <w:tcBorders>
              <w:top w:val="single" w:sz="8" w:space="0" w:color="auto"/>
              <w:bottom w:val="nil"/>
            </w:tcBorders>
            <w:shd w:val="clear" w:color="auto" w:fill="auto"/>
            <w:noWrap/>
            <w:vAlign w:val="center"/>
          </w:tcPr>
          <w:p w14:paraId="61BE1DA5" w14:textId="51C91C37"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8.</w:t>
            </w:r>
            <w:r>
              <w:rPr>
                <w:rFonts w:ascii="Georgia" w:hAnsi="Georgia"/>
                <w:color w:val="404040" w:themeColor="text1" w:themeTint="BF"/>
                <w:sz w:val="20"/>
              </w:rPr>
              <w:t>8</w:t>
            </w:r>
          </w:p>
        </w:tc>
        <w:tc>
          <w:tcPr>
            <w:tcW w:w="654" w:type="pct"/>
            <w:tcBorders>
              <w:top w:val="single" w:sz="8" w:space="0" w:color="auto"/>
              <w:bottom w:val="nil"/>
            </w:tcBorders>
            <w:shd w:val="clear" w:color="auto" w:fill="auto"/>
            <w:noWrap/>
            <w:vAlign w:val="center"/>
          </w:tcPr>
          <w:p w14:paraId="558423AC" w14:textId="2934310E"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2.3</w:t>
            </w:r>
            <w:r>
              <w:rPr>
                <w:rFonts w:ascii="Georgia" w:hAnsi="Georgia"/>
                <w:color w:val="404040" w:themeColor="text1" w:themeTint="BF"/>
                <w:sz w:val="20"/>
              </w:rPr>
              <w:t>8</w:t>
            </w:r>
          </w:p>
        </w:tc>
      </w:tr>
      <w:tr w:rsidR="0026502A" w:rsidRPr="00E1355D" w14:paraId="11697CF5" w14:textId="77777777" w:rsidTr="001B56EC">
        <w:trPr>
          <w:trHeight w:val="191"/>
        </w:trPr>
        <w:tc>
          <w:tcPr>
            <w:tcW w:w="962" w:type="pct"/>
            <w:vMerge/>
            <w:tcBorders>
              <w:bottom w:val="single" w:sz="8" w:space="0" w:color="auto"/>
            </w:tcBorders>
            <w:shd w:val="clear" w:color="auto" w:fill="auto"/>
            <w:noWrap/>
            <w:vAlign w:val="center"/>
          </w:tcPr>
          <w:p w14:paraId="0654DBDA" w14:textId="77777777" w:rsidR="0026502A" w:rsidRPr="00801DDC" w:rsidRDefault="0026502A" w:rsidP="0026502A">
            <w:pPr>
              <w:rPr>
                <w:rFonts w:ascii="Calibri" w:hAnsi="Calibri"/>
                <w:color w:val="404040" w:themeColor="text1" w:themeTint="BF"/>
                <w:sz w:val="20"/>
              </w:rPr>
            </w:pPr>
          </w:p>
        </w:tc>
        <w:tc>
          <w:tcPr>
            <w:tcW w:w="754" w:type="pct"/>
            <w:tcBorders>
              <w:bottom w:val="single" w:sz="8" w:space="0" w:color="auto"/>
            </w:tcBorders>
            <w:shd w:val="clear" w:color="auto" w:fill="auto"/>
            <w:noWrap/>
            <w:vAlign w:val="center"/>
          </w:tcPr>
          <w:p w14:paraId="0082DE2A" w14:textId="77777777"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 xml:space="preserve"> - 0.25% </w:t>
            </w:r>
          </w:p>
        </w:tc>
        <w:tc>
          <w:tcPr>
            <w:tcW w:w="946" w:type="pct"/>
            <w:tcBorders>
              <w:bottom w:val="single" w:sz="8" w:space="0" w:color="auto"/>
            </w:tcBorders>
            <w:vAlign w:val="center"/>
          </w:tcPr>
          <w:p w14:paraId="3791ABED" w14:textId="44CA195B" w:rsidR="0026502A" w:rsidRPr="00A5054C" w:rsidRDefault="00F574BA" w:rsidP="0026502A">
            <w:pPr>
              <w:jc w:val="right"/>
              <w:rPr>
                <w:rFonts w:ascii="Georgia" w:hAnsi="Georgia"/>
                <w:color w:val="404040" w:themeColor="text1" w:themeTint="BF"/>
                <w:sz w:val="20"/>
              </w:rPr>
            </w:pPr>
            <w:r>
              <w:rPr>
                <w:rFonts w:ascii="Georgia" w:hAnsi="Georgia"/>
                <w:color w:val="404040" w:themeColor="text1" w:themeTint="BF"/>
                <w:sz w:val="20"/>
              </w:rPr>
              <w:t>(9.5</w:t>
            </w:r>
            <w:r w:rsidR="0026502A" w:rsidRPr="00A5054C">
              <w:rPr>
                <w:rFonts w:ascii="Georgia" w:hAnsi="Georgia"/>
                <w:color w:val="404040" w:themeColor="text1" w:themeTint="BF"/>
                <w:sz w:val="20"/>
              </w:rPr>
              <w:t>)</w:t>
            </w:r>
          </w:p>
        </w:tc>
        <w:tc>
          <w:tcPr>
            <w:tcW w:w="725" w:type="pct"/>
            <w:tcBorders>
              <w:bottom w:val="single" w:sz="8" w:space="0" w:color="auto"/>
            </w:tcBorders>
            <w:vAlign w:val="center"/>
          </w:tcPr>
          <w:p w14:paraId="6A7D858D" w14:textId="3DEEB65C" w:rsidR="0026502A" w:rsidRPr="004414B7" w:rsidRDefault="00F574BA" w:rsidP="0026502A">
            <w:pPr>
              <w:jc w:val="right"/>
              <w:rPr>
                <w:rFonts w:ascii="Georgia" w:hAnsi="Georgia"/>
                <w:color w:val="404040" w:themeColor="text1" w:themeTint="BF"/>
                <w:sz w:val="20"/>
              </w:rPr>
            </w:pPr>
            <w:r>
              <w:rPr>
                <w:rFonts w:ascii="Georgia" w:hAnsi="Georgia"/>
                <w:color w:val="404040" w:themeColor="text1" w:themeTint="BF"/>
                <w:sz w:val="20"/>
              </w:rPr>
              <w:t>(2.56</w:t>
            </w:r>
            <w:r w:rsidR="0026502A" w:rsidRPr="004414B7">
              <w:rPr>
                <w:rFonts w:ascii="Georgia" w:hAnsi="Georgia"/>
                <w:color w:val="404040" w:themeColor="text1" w:themeTint="BF"/>
                <w:sz w:val="20"/>
              </w:rPr>
              <w:t>)</w:t>
            </w:r>
          </w:p>
        </w:tc>
        <w:tc>
          <w:tcPr>
            <w:tcW w:w="959" w:type="pct"/>
            <w:tcBorders>
              <w:bottom w:val="single" w:sz="8" w:space="0" w:color="auto"/>
            </w:tcBorders>
            <w:shd w:val="clear" w:color="auto" w:fill="auto"/>
            <w:noWrap/>
            <w:vAlign w:val="center"/>
          </w:tcPr>
          <w:p w14:paraId="6C797173" w14:textId="176727A5"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(8.</w:t>
            </w:r>
            <w:r>
              <w:rPr>
                <w:rFonts w:ascii="Georgia" w:hAnsi="Georgia"/>
                <w:color w:val="404040" w:themeColor="text1" w:themeTint="BF"/>
                <w:sz w:val="20"/>
              </w:rPr>
              <w:t>5</w:t>
            </w:r>
            <w:r w:rsidRPr="005A643D">
              <w:rPr>
                <w:rFonts w:ascii="Georgia" w:hAnsi="Georgia"/>
                <w:color w:val="404040" w:themeColor="text1" w:themeTint="BF"/>
                <w:sz w:val="20"/>
              </w:rPr>
              <w:t>)</w:t>
            </w:r>
          </w:p>
        </w:tc>
        <w:tc>
          <w:tcPr>
            <w:tcW w:w="654" w:type="pct"/>
            <w:tcBorders>
              <w:bottom w:val="single" w:sz="8" w:space="0" w:color="auto"/>
            </w:tcBorders>
            <w:shd w:val="clear" w:color="auto" w:fill="auto"/>
            <w:noWrap/>
            <w:vAlign w:val="center"/>
          </w:tcPr>
          <w:p w14:paraId="0A0232F4" w14:textId="28A31BEA"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(2.</w:t>
            </w:r>
            <w:r>
              <w:rPr>
                <w:rFonts w:ascii="Georgia" w:hAnsi="Georgia"/>
                <w:color w:val="404040" w:themeColor="text1" w:themeTint="BF"/>
                <w:sz w:val="20"/>
              </w:rPr>
              <w:t>30</w:t>
            </w:r>
            <w:r w:rsidRPr="005A643D">
              <w:rPr>
                <w:rFonts w:ascii="Georgia" w:hAnsi="Georgia"/>
                <w:color w:val="404040" w:themeColor="text1" w:themeTint="BF"/>
                <w:sz w:val="20"/>
              </w:rPr>
              <w:t>)</w:t>
            </w:r>
          </w:p>
        </w:tc>
      </w:tr>
      <w:tr w:rsidR="0026502A" w:rsidRPr="00E1355D" w14:paraId="3BB136A4" w14:textId="77777777" w:rsidTr="00F36C8A">
        <w:trPr>
          <w:trHeight w:val="340"/>
        </w:trPr>
        <w:tc>
          <w:tcPr>
            <w:tcW w:w="962" w:type="pct"/>
            <w:vMerge w:val="restart"/>
            <w:tcBorders>
              <w:top w:val="single" w:sz="8" w:space="0" w:color="auto"/>
            </w:tcBorders>
            <w:shd w:val="clear" w:color="auto" w:fill="auto"/>
            <w:noWrap/>
            <w:vAlign w:val="center"/>
          </w:tcPr>
          <w:p w14:paraId="16EB6CF7" w14:textId="77777777" w:rsidR="0026502A" w:rsidRPr="00801DDC" w:rsidRDefault="0026502A" w:rsidP="0026502A">
            <w:pPr>
              <w:rPr>
                <w:rFonts w:ascii="Georgia" w:hAnsi="Georgia"/>
                <w:color w:val="404040" w:themeColor="text1" w:themeTint="BF"/>
                <w:sz w:val="20"/>
              </w:rPr>
            </w:pPr>
            <w:r w:rsidRPr="00801DDC">
              <w:rPr>
                <w:rFonts w:ascii="Georgia" w:hAnsi="Georgia"/>
                <w:color w:val="404040" w:themeColor="text1" w:themeTint="BF"/>
                <w:sz w:val="20"/>
              </w:rPr>
              <w:t>Energy yield</w:t>
            </w:r>
          </w:p>
        </w:tc>
        <w:tc>
          <w:tcPr>
            <w:tcW w:w="754" w:type="pct"/>
            <w:tcBorders>
              <w:top w:val="single" w:sz="8" w:space="0" w:color="auto"/>
              <w:bottom w:val="nil"/>
            </w:tcBorders>
            <w:shd w:val="clear" w:color="auto" w:fill="auto"/>
            <w:noWrap/>
            <w:vAlign w:val="center"/>
          </w:tcPr>
          <w:p w14:paraId="60C00EC7" w14:textId="77777777"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 xml:space="preserve"> 10 year P90 </w:t>
            </w:r>
          </w:p>
        </w:tc>
        <w:tc>
          <w:tcPr>
            <w:tcW w:w="946" w:type="pct"/>
            <w:tcBorders>
              <w:top w:val="single" w:sz="8" w:space="0" w:color="auto"/>
              <w:bottom w:val="nil"/>
            </w:tcBorders>
            <w:vAlign w:val="center"/>
          </w:tcPr>
          <w:p w14:paraId="4303DA55" w14:textId="2229B6BC" w:rsidR="0026502A" w:rsidRPr="00A5054C" w:rsidRDefault="00F574BA" w:rsidP="0026502A">
            <w:pPr>
              <w:jc w:val="right"/>
              <w:rPr>
                <w:rFonts w:ascii="Georgia" w:hAnsi="Georgia"/>
                <w:color w:val="404040" w:themeColor="text1" w:themeTint="BF"/>
                <w:sz w:val="20"/>
              </w:rPr>
            </w:pPr>
            <w:r>
              <w:rPr>
                <w:rFonts w:ascii="Georgia" w:hAnsi="Georgia"/>
                <w:color w:val="404040" w:themeColor="text1" w:themeTint="BF"/>
                <w:sz w:val="20"/>
              </w:rPr>
              <w:t>(51.8</w:t>
            </w:r>
            <w:r w:rsidR="0026502A" w:rsidRPr="00A5054C">
              <w:rPr>
                <w:rFonts w:ascii="Georgia" w:hAnsi="Georgia"/>
                <w:color w:val="404040" w:themeColor="text1" w:themeTint="BF"/>
                <w:sz w:val="20"/>
              </w:rPr>
              <w:t>)</w:t>
            </w:r>
          </w:p>
        </w:tc>
        <w:tc>
          <w:tcPr>
            <w:tcW w:w="725" w:type="pct"/>
            <w:tcBorders>
              <w:top w:val="single" w:sz="8" w:space="0" w:color="auto"/>
              <w:bottom w:val="nil"/>
            </w:tcBorders>
            <w:vAlign w:val="center"/>
          </w:tcPr>
          <w:p w14:paraId="05DBDA41" w14:textId="4C46B6F9" w:rsidR="0026502A" w:rsidRPr="004414B7" w:rsidRDefault="00F574BA" w:rsidP="0026502A">
            <w:pPr>
              <w:jc w:val="right"/>
              <w:rPr>
                <w:rFonts w:ascii="Georgia" w:hAnsi="Georgia"/>
                <w:color w:val="404040" w:themeColor="text1" w:themeTint="BF"/>
                <w:sz w:val="20"/>
              </w:rPr>
            </w:pPr>
            <w:r>
              <w:rPr>
                <w:rFonts w:ascii="Georgia" w:hAnsi="Georgia"/>
                <w:color w:val="404040" w:themeColor="text1" w:themeTint="BF"/>
                <w:sz w:val="20"/>
              </w:rPr>
              <w:t>(13.98</w:t>
            </w:r>
            <w:r w:rsidR="0026502A" w:rsidRPr="004414B7">
              <w:rPr>
                <w:rFonts w:ascii="Georgia" w:hAnsi="Georgia"/>
                <w:color w:val="404040" w:themeColor="text1" w:themeTint="BF"/>
                <w:sz w:val="20"/>
              </w:rPr>
              <w:t>)</w:t>
            </w:r>
          </w:p>
        </w:tc>
        <w:tc>
          <w:tcPr>
            <w:tcW w:w="959" w:type="pct"/>
            <w:tcBorders>
              <w:top w:val="single" w:sz="8" w:space="0" w:color="auto"/>
              <w:bottom w:val="nil"/>
            </w:tcBorders>
            <w:shd w:val="clear" w:color="auto" w:fill="auto"/>
            <w:noWrap/>
            <w:vAlign w:val="center"/>
          </w:tcPr>
          <w:p w14:paraId="5E50AE40" w14:textId="0BAA810C"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w:t>
            </w:r>
            <w:r>
              <w:rPr>
                <w:rFonts w:ascii="Georgia" w:hAnsi="Georgia"/>
                <w:color w:val="404040" w:themeColor="text1" w:themeTint="BF"/>
                <w:sz w:val="20"/>
              </w:rPr>
              <w:t>50.6</w:t>
            </w:r>
            <w:r w:rsidRPr="005A643D">
              <w:rPr>
                <w:rFonts w:ascii="Georgia" w:hAnsi="Georgia"/>
                <w:color w:val="404040" w:themeColor="text1" w:themeTint="BF"/>
                <w:sz w:val="20"/>
              </w:rPr>
              <w:t>)</w:t>
            </w:r>
          </w:p>
        </w:tc>
        <w:tc>
          <w:tcPr>
            <w:tcW w:w="654" w:type="pct"/>
            <w:tcBorders>
              <w:top w:val="single" w:sz="8" w:space="0" w:color="auto"/>
              <w:bottom w:val="nil"/>
            </w:tcBorders>
            <w:shd w:val="clear" w:color="auto" w:fill="auto"/>
            <w:noWrap/>
            <w:vAlign w:val="center"/>
          </w:tcPr>
          <w:p w14:paraId="5839C7C2" w14:textId="620DB0E4"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(13.</w:t>
            </w:r>
            <w:r>
              <w:rPr>
                <w:rFonts w:ascii="Georgia" w:hAnsi="Georgia"/>
                <w:color w:val="404040" w:themeColor="text1" w:themeTint="BF"/>
                <w:sz w:val="20"/>
              </w:rPr>
              <w:t>68</w:t>
            </w:r>
            <w:r w:rsidRPr="005A643D">
              <w:rPr>
                <w:rFonts w:ascii="Georgia" w:hAnsi="Georgia"/>
                <w:color w:val="404040" w:themeColor="text1" w:themeTint="BF"/>
                <w:sz w:val="20"/>
              </w:rPr>
              <w:t>)</w:t>
            </w:r>
          </w:p>
        </w:tc>
      </w:tr>
      <w:tr w:rsidR="0026502A" w:rsidRPr="00E1355D" w14:paraId="6D7EA1BD" w14:textId="77777777" w:rsidTr="001B56EC">
        <w:trPr>
          <w:trHeight w:val="157"/>
        </w:trPr>
        <w:tc>
          <w:tcPr>
            <w:tcW w:w="962" w:type="pct"/>
            <w:vMerge/>
            <w:tcBorders>
              <w:bottom w:val="single" w:sz="8" w:space="0" w:color="auto"/>
            </w:tcBorders>
            <w:shd w:val="clear" w:color="auto" w:fill="auto"/>
            <w:noWrap/>
            <w:vAlign w:val="center"/>
          </w:tcPr>
          <w:p w14:paraId="188A1144" w14:textId="77777777" w:rsidR="0026502A" w:rsidRPr="00801DDC" w:rsidRDefault="0026502A" w:rsidP="0026502A">
            <w:pPr>
              <w:rPr>
                <w:rFonts w:ascii="Georgia" w:hAnsi="Georgia"/>
                <w:color w:val="404040" w:themeColor="text1" w:themeTint="BF"/>
                <w:sz w:val="20"/>
              </w:rPr>
            </w:pPr>
          </w:p>
        </w:tc>
        <w:tc>
          <w:tcPr>
            <w:tcW w:w="754" w:type="pct"/>
            <w:tcBorders>
              <w:bottom w:val="single" w:sz="8" w:space="0" w:color="auto"/>
            </w:tcBorders>
            <w:shd w:val="clear" w:color="auto" w:fill="auto"/>
            <w:noWrap/>
            <w:vAlign w:val="center"/>
          </w:tcPr>
          <w:p w14:paraId="03C50F76" w14:textId="77777777"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 xml:space="preserve"> 10 year P10 </w:t>
            </w:r>
          </w:p>
        </w:tc>
        <w:tc>
          <w:tcPr>
            <w:tcW w:w="946" w:type="pct"/>
            <w:tcBorders>
              <w:bottom w:val="single" w:sz="8" w:space="0" w:color="auto"/>
            </w:tcBorders>
            <w:vAlign w:val="center"/>
          </w:tcPr>
          <w:p w14:paraId="39EEC65C" w14:textId="5A5D4F50" w:rsidR="0026502A" w:rsidRPr="00A5054C" w:rsidRDefault="00F574BA" w:rsidP="0026502A">
            <w:pPr>
              <w:jc w:val="right"/>
              <w:rPr>
                <w:rFonts w:ascii="Georgia" w:hAnsi="Georgia"/>
                <w:color w:val="404040" w:themeColor="text1" w:themeTint="BF"/>
                <w:sz w:val="20"/>
              </w:rPr>
            </w:pPr>
            <w:r>
              <w:rPr>
                <w:rFonts w:ascii="Georgia" w:hAnsi="Georgia"/>
                <w:color w:val="404040" w:themeColor="text1" w:themeTint="BF"/>
                <w:sz w:val="20"/>
              </w:rPr>
              <w:t>51.4</w:t>
            </w:r>
          </w:p>
        </w:tc>
        <w:tc>
          <w:tcPr>
            <w:tcW w:w="725" w:type="pct"/>
            <w:tcBorders>
              <w:bottom w:val="single" w:sz="8" w:space="0" w:color="auto"/>
            </w:tcBorders>
            <w:vAlign w:val="center"/>
          </w:tcPr>
          <w:p w14:paraId="183C7C82" w14:textId="2897ABD8" w:rsidR="0026502A" w:rsidRPr="004414B7" w:rsidRDefault="00F574BA" w:rsidP="0026502A">
            <w:pPr>
              <w:jc w:val="right"/>
              <w:rPr>
                <w:rFonts w:ascii="Georgia" w:hAnsi="Georgia"/>
                <w:color w:val="404040" w:themeColor="text1" w:themeTint="BF"/>
                <w:sz w:val="20"/>
              </w:rPr>
            </w:pPr>
            <w:r>
              <w:rPr>
                <w:rFonts w:ascii="Georgia" w:hAnsi="Georgia"/>
                <w:color w:val="404040" w:themeColor="text1" w:themeTint="BF"/>
                <w:sz w:val="20"/>
              </w:rPr>
              <w:t>13.87</w:t>
            </w:r>
          </w:p>
        </w:tc>
        <w:tc>
          <w:tcPr>
            <w:tcW w:w="959" w:type="pct"/>
            <w:tcBorders>
              <w:bottom w:val="single" w:sz="8" w:space="0" w:color="auto"/>
            </w:tcBorders>
            <w:shd w:val="clear" w:color="auto" w:fill="auto"/>
            <w:noWrap/>
            <w:vAlign w:val="center"/>
          </w:tcPr>
          <w:p w14:paraId="63814CD5" w14:textId="612B2BA2" w:rsidR="0026502A" w:rsidRPr="00447388" w:rsidRDefault="0026502A" w:rsidP="0026502A">
            <w:pPr>
              <w:jc w:val="right"/>
              <w:rPr>
                <w:rFonts w:ascii="Georgia" w:hAnsi="Georgia"/>
                <w:color w:val="404040" w:themeColor="text1" w:themeTint="BF"/>
                <w:sz w:val="20"/>
              </w:rPr>
            </w:pPr>
            <w:r>
              <w:rPr>
                <w:rFonts w:ascii="Georgia" w:hAnsi="Georgia"/>
                <w:color w:val="404040" w:themeColor="text1" w:themeTint="BF"/>
                <w:sz w:val="20"/>
              </w:rPr>
              <w:t>50.3</w:t>
            </w:r>
          </w:p>
        </w:tc>
        <w:tc>
          <w:tcPr>
            <w:tcW w:w="654" w:type="pct"/>
            <w:tcBorders>
              <w:bottom w:val="single" w:sz="8" w:space="0" w:color="auto"/>
            </w:tcBorders>
            <w:shd w:val="clear" w:color="auto" w:fill="auto"/>
            <w:noWrap/>
            <w:vAlign w:val="center"/>
          </w:tcPr>
          <w:p w14:paraId="726D7DC3" w14:textId="38D9BD0B"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13.</w:t>
            </w:r>
            <w:r>
              <w:rPr>
                <w:rFonts w:ascii="Georgia" w:hAnsi="Georgia"/>
                <w:color w:val="404040" w:themeColor="text1" w:themeTint="BF"/>
                <w:sz w:val="20"/>
              </w:rPr>
              <w:t>60</w:t>
            </w:r>
          </w:p>
        </w:tc>
      </w:tr>
      <w:tr w:rsidR="0026502A" w:rsidRPr="00801DDC" w14:paraId="7B41E15D" w14:textId="77777777" w:rsidTr="00102A3D">
        <w:trPr>
          <w:trHeight w:val="340"/>
        </w:trPr>
        <w:tc>
          <w:tcPr>
            <w:tcW w:w="962" w:type="pct"/>
            <w:vMerge w:val="restart"/>
            <w:tcBorders>
              <w:top w:val="single" w:sz="8" w:space="0" w:color="auto"/>
            </w:tcBorders>
            <w:shd w:val="clear" w:color="auto" w:fill="auto"/>
            <w:noWrap/>
            <w:vAlign w:val="center"/>
          </w:tcPr>
          <w:p w14:paraId="7E19BDC1" w14:textId="47F7C43E" w:rsidR="0026502A" w:rsidRPr="00801DDC" w:rsidRDefault="0026502A" w:rsidP="0026502A">
            <w:pPr>
              <w:rPr>
                <w:rFonts w:ascii="Georgia" w:hAnsi="Georgia"/>
                <w:color w:val="404040" w:themeColor="text1" w:themeTint="BF"/>
                <w:sz w:val="20"/>
              </w:rPr>
            </w:pPr>
            <w:r>
              <w:rPr>
                <w:rFonts w:ascii="Georgia" w:hAnsi="Georgia"/>
                <w:color w:val="404040" w:themeColor="text1" w:themeTint="BF"/>
                <w:sz w:val="20"/>
              </w:rPr>
              <w:t>Operational costs</w:t>
            </w:r>
          </w:p>
        </w:tc>
        <w:tc>
          <w:tcPr>
            <w:tcW w:w="754" w:type="pct"/>
            <w:tcBorders>
              <w:top w:val="single" w:sz="8" w:space="0" w:color="auto"/>
              <w:bottom w:val="nil"/>
            </w:tcBorders>
            <w:shd w:val="clear" w:color="auto" w:fill="auto"/>
            <w:noWrap/>
            <w:vAlign w:val="center"/>
          </w:tcPr>
          <w:p w14:paraId="3C9197B7" w14:textId="127C0E90"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+10%</w:t>
            </w:r>
          </w:p>
        </w:tc>
        <w:tc>
          <w:tcPr>
            <w:tcW w:w="946" w:type="pct"/>
            <w:tcBorders>
              <w:top w:val="single" w:sz="8" w:space="0" w:color="auto"/>
              <w:bottom w:val="nil"/>
            </w:tcBorders>
            <w:vAlign w:val="center"/>
          </w:tcPr>
          <w:p w14:paraId="38761209" w14:textId="3838038F" w:rsidR="0026502A" w:rsidRPr="00A5054C" w:rsidRDefault="00A5054C" w:rsidP="0026502A">
            <w:pPr>
              <w:jc w:val="right"/>
              <w:rPr>
                <w:rFonts w:ascii="Georgia" w:hAnsi="Georgia"/>
                <w:color w:val="404040" w:themeColor="text1" w:themeTint="BF"/>
                <w:sz w:val="20"/>
              </w:rPr>
            </w:pPr>
            <w:r w:rsidRPr="00A5054C">
              <w:rPr>
                <w:rFonts w:ascii="Georgia" w:hAnsi="Georgia"/>
                <w:color w:val="404040" w:themeColor="text1" w:themeTint="BF"/>
                <w:sz w:val="20"/>
              </w:rPr>
              <w:t>(6.2</w:t>
            </w:r>
            <w:r w:rsidR="0026502A" w:rsidRPr="00A5054C">
              <w:rPr>
                <w:rFonts w:ascii="Georgia" w:hAnsi="Georgia"/>
                <w:color w:val="404040" w:themeColor="text1" w:themeTint="BF"/>
                <w:sz w:val="20"/>
              </w:rPr>
              <w:t>)</w:t>
            </w:r>
          </w:p>
        </w:tc>
        <w:tc>
          <w:tcPr>
            <w:tcW w:w="725" w:type="pct"/>
            <w:tcBorders>
              <w:top w:val="single" w:sz="8" w:space="0" w:color="auto"/>
              <w:bottom w:val="nil"/>
            </w:tcBorders>
            <w:vAlign w:val="center"/>
          </w:tcPr>
          <w:p w14:paraId="249EB2D8" w14:textId="418F6EE2" w:rsidR="0026502A" w:rsidRPr="004414B7" w:rsidRDefault="004414B7" w:rsidP="0026502A">
            <w:pPr>
              <w:jc w:val="right"/>
              <w:rPr>
                <w:rFonts w:ascii="Georgia" w:hAnsi="Georgia"/>
                <w:color w:val="404040" w:themeColor="text1" w:themeTint="BF"/>
                <w:sz w:val="20"/>
              </w:rPr>
            </w:pPr>
            <w:r w:rsidRPr="004414B7">
              <w:rPr>
                <w:rFonts w:ascii="Georgia" w:hAnsi="Georgia"/>
                <w:color w:val="404040" w:themeColor="text1" w:themeTint="BF"/>
                <w:sz w:val="20"/>
              </w:rPr>
              <w:t>(1.67</w:t>
            </w:r>
            <w:r w:rsidR="0026502A" w:rsidRPr="004414B7">
              <w:rPr>
                <w:rFonts w:ascii="Georgia" w:hAnsi="Georgia"/>
                <w:color w:val="404040" w:themeColor="text1" w:themeTint="BF"/>
                <w:sz w:val="20"/>
              </w:rPr>
              <w:t>)</w:t>
            </w:r>
          </w:p>
        </w:tc>
        <w:tc>
          <w:tcPr>
            <w:tcW w:w="959" w:type="pct"/>
            <w:tcBorders>
              <w:top w:val="single" w:sz="8" w:space="0" w:color="auto"/>
              <w:bottom w:val="nil"/>
            </w:tcBorders>
            <w:shd w:val="clear" w:color="auto" w:fill="auto"/>
            <w:noWrap/>
            <w:vAlign w:val="center"/>
          </w:tcPr>
          <w:p w14:paraId="773FDE8F" w14:textId="7B1A3ECF"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(5.</w:t>
            </w:r>
            <w:r>
              <w:rPr>
                <w:rFonts w:ascii="Georgia" w:hAnsi="Georgia"/>
                <w:color w:val="404040" w:themeColor="text1" w:themeTint="BF"/>
                <w:sz w:val="20"/>
              </w:rPr>
              <w:t>4</w:t>
            </w:r>
            <w:r w:rsidRPr="005A643D">
              <w:rPr>
                <w:rFonts w:ascii="Georgia" w:hAnsi="Georgia"/>
                <w:color w:val="404040" w:themeColor="text1" w:themeTint="BF"/>
                <w:sz w:val="20"/>
              </w:rPr>
              <w:t>)</w:t>
            </w:r>
          </w:p>
        </w:tc>
        <w:tc>
          <w:tcPr>
            <w:tcW w:w="654" w:type="pct"/>
            <w:tcBorders>
              <w:top w:val="single" w:sz="8" w:space="0" w:color="auto"/>
              <w:bottom w:val="nil"/>
            </w:tcBorders>
            <w:shd w:val="clear" w:color="auto" w:fill="auto"/>
            <w:noWrap/>
            <w:vAlign w:val="center"/>
          </w:tcPr>
          <w:p w14:paraId="684A08D6" w14:textId="4CCE3970"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(1.4</w:t>
            </w:r>
            <w:r>
              <w:rPr>
                <w:rFonts w:ascii="Georgia" w:hAnsi="Georgia"/>
                <w:color w:val="404040" w:themeColor="text1" w:themeTint="BF"/>
                <w:sz w:val="20"/>
              </w:rPr>
              <w:t>6</w:t>
            </w:r>
            <w:r w:rsidRPr="005A643D">
              <w:rPr>
                <w:rFonts w:ascii="Georgia" w:hAnsi="Georgia"/>
                <w:color w:val="404040" w:themeColor="text1" w:themeTint="BF"/>
                <w:sz w:val="20"/>
              </w:rPr>
              <w:t>)</w:t>
            </w:r>
          </w:p>
        </w:tc>
      </w:tr>
      <w:tr w:rsidR="0026502A" w:rsidRPr="00801DDC" w14:paraId="7232534A" w14:textId="77777777" w:rsidTr="009A5BD1">
        <w:trPr>
          <w:trHeight w:val="157"/>
        </w:trPr>
        <w:tc>
          <w:tcPr>
            <w:tcW w:w="962" w:type="pct"/>
            <w:vMerge/>
            <w:tcBorders>
              <w:bottom w:val="single" w:sz="8" w:space="0" w:color="auto"/>
            </w:tcBorders>
            <w:shd w:val="clear" w:color="auto" w:fill="auto"/>
            <w:noWrap/>
            <w:vAlign w:val="center"/>
          </w:tcPr>
          <w:p w14:paraId="296FB502" w14:textId="77777777" w:rsidR="0026502A" w:rsidRPr="00801DDC" w:rsidRDefault="0026502A" w:rsidP="0026502A">
            <w:pPr>
              <w:rPr>
                <w:rFonts w:ascii="Georgia" w:hAnsi="Georgia"/>
                <w:color w:val="404040" w:themeColor="text1" w:themeTint="BF"/>
                <w:sz w:val="20"/>
              </w:rPr>
            </w:pPr>
          </w:p>
        </w:tc>
        <w:tc>
          <w:tcPr>
            <w:tcW w:w="754" w:type="pct"/>
            <w:tcBorders>
              <w:bottom w:val="single" w:sz="8" w:space="0" w:color="auto"/>
            </w:tcBorders>
            <w:shd w:val="clear" w:color="auto" w:fill="auto"/>
            <w:noWrap/>
            <w:vAlign w:val="center"/>
          </w:tcPr>
          <w:p w14:paraId="3D7FC9E5" w14:textId="1D9F1F1A" w:rsidR="0026502A" w:rsidRPr="005E2963" w:rsidRDefault="0026502A" w:rsidP="0026502A">
            <w:pPr>
              <w:jc w:val="right"/>
              <w:rPr>
                <w:rFonts w:ascii="Georgia" w:hAnsi="Georgia"/>
                <w:color w:val="404040" w:themeColor="text1" w:themeTint="BF"/>
                <w:sz w:val="20"/>
              </w:rPr>
            </w:pPr>
            <w:r w:rsidRPr="005E2963">
              <w:rPr>
                <w:rFonts w:ascii="Georgia" w:hAnsi="Georgia"/>
                <w:color w:val="404040" w:themeColor="text1" w:themeTint="BF"/>
                <w:sz w:val="20"/>
              </w:rPr>
              <w:t>-10%</w:t>
            </w:r>
          </w:p>
        </w:tc>
        <w:tc>
          <w:tcPr>
            <w:tcW w:w="946" w:type="pct"/>
            <w:tcBorders>
              <w:bottom w:val="single" w:sz="8" w:space="0" w:color="auto"/>
            </w:tcBorders>
            <w:vAlign w:val="center"/>
          </w:tcPr>
          <w:p w14:paraId="6A712A8F" w14:textId="25A1679E" w:rsidR="0026502A" w:rsidRPr="00A5054C" w:rsidRDefault="00A5054C" w:rsidP="0026502A">
            <w:pPr>
              <w:jc w:val="right"/>
              <w:rPr>
                <w:rFonts w:ascii="Georgia" w:hAnsi="Georgia"/>
                <w:color w:val="404040" w:themeColor="text1" w:themeTint="BF"/>
                <w:sz w:val="20"/>
              </w:rPr>
            </w:pPr>
            <w:r w:rsidRPr="00A5054C">
              <w:rPr>
                <w:rFonts w:ascii="Georgia" w:hAnsi="Georgia"/>
                <w:color w:val="404040" w:themeColor="text1" w:themeTint="BF"/>
                <w:sz w:val="20"/>
              </w:rPr>
              <w:t>6.2</w:t>
            </w:r>
          </w:p>
        </w:tc>
        <w:tc>
          <w:tcPr>
            <w:tcW w:w="725" w:type="pct"/>
            <w:tcBorders>
              <w:bottom w:val="single" w:sz="8" w:space="0" w:color="auto"/>
            </w:tcBorders>
            <w:vAlign w:val="center"/>
          </w:tcPr>
          <w:p w14:paraId="127A9E06" w14:textId="10FF3F1B" w:rsidR="0026502A" w:rsidRPr="004414B7" w:rsidRDefault="004414B7" w:rsidP="0026502A">
            <w:pPr>
              <w:jc w:val="right"/>
              <w:rPr>
                <w:rFonts w:ascii="Georgia" w:hAnsi="Georgia"/>
                <w:color w:val="404040" w:themeColor="text1" w:themeTint="BF"/>
                <w:sz w:val="20"/>
              </w:rPr>
            </w:pPr>
            <w:r w:rsidRPr="004414B7">
              <w:rPr>
                <w:rFonts w:ascii="Georgia" w:hAnsi="Georgia"/>
                <w:color w:val="404040" w:themeColor="text1" w:themeTint="BF"/>
                <w:sz w:val="20"/>
              </w:rPr>
              <w:t>1.</w:t>
            </w:r>
            <w:r w:rsidR="0026502A" w:rsidRPr="004414B7">
              <w:rPr>
                <w:rFonts w:ascii="Georgia" w:hAnsi="Georgia"/>
                <w:color w:val="404040" w:themeColor="text1" w:themeTint="BF"/>
                <w:sz w:val="20"/>
              </w:rPr>
              <w:t>6</w:t>
            </w:r>
            <w:r w:rsidRPr="004414B7">
              <w:rPr>
                <w:rFonts w:ascii="Georgia" w:hAnsi="Georgia"/>
                <w:color w:val="404040" w:themeColor="text1" w:themeTint="BF"/>
                <w:sz w:val="20"/>
              </w:rPr>
              <w:t>7</w:t>
            </w:r>
          </w:p>
        </w:tc>
        <w:tc>
          <w:tcPr>
            <w:tcW w:w="959" w:type="pct"/>
            <w:tcBorders>
              <w:bottom w:val="single" w:sz="8" w:space="0" w:color="auto"/>
            </w:tcBorders>
            <w:shd w:val="clear" w:color="auto" w:fill="auto"/>
            <w:noWrap/>
            <w:vAlign w:val="center"/>
          </w:tcPr>
          <w:p w14:paraId="050CF924" w14:textId="734C210B"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5.4</w:t>
            </w:r>
          </w:p>
        </w:tc>
        <w:tc>
          <w:tcPr>
            <w:tcW w:w="654" w:type="pct"/>
            <w:tcBorders>
              <w:bottom w:val="single" w:sz="8" w:space="0" w:color="auto"/>
            </w:tcBorders>
            <w:shd w:val="clear" w:color="auto" w:fill="auto"/>
            <w:noWrap/>
            <w:vAlign w:val="center"/>
          </w:tcPr>
          <w:p w14:paraId="5DBE8CF4" w14:textId="756D15DC"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1.46</w:t>
            </w:r>
          </w:p>
        </w:tc>
      </w:tr>
      <w:tr w:rsidR="0026502A" w:rsidRPr="00801DDC" w14:paraId="37574012" w14:textId="77777777" w:rsidTr="009A5BD1">
        <w:trPr>
          <w:trHeight w:val="340"/>
        </w:trPr>
        <w:tc>
          <w:tcPr>
            <w:tcW w:w="962" w:type="pct"/>
            <w:vMerge w:val="restart"/>
            <w:tcBorders>
              <w:top w:val="single" w:sz="8" w:space="0" w:color="auto"/>
              <w:bottom w:val="single" w:sz="4" w:space="0" w:color="auto"/>
            </w:tcBorders>
            <w:shd w:val="clear" w:color="auto" w:fill="auto"/>
            <w:noWrap/>
            <w:vAlign w:val="center"/>
          </w:tcPr>
          <w:p w14:paraId="0EC3B309" w14:textId="5B7BD009" w:rsidR="0026502A" w:rsidRPr="00801DDC" w:rsidRDefault="0026502A" w:rsidP="0026502A">
            <w:pPr>
              <w:rPr>
                <w:rFonts w:ascii="Georgia" w:hAnsi="Georgia"/>
                <w:color w:val="404040" w:themeColor="text1" w:themeTint="BF"/>
                <w:sz w:val="20"/>
              </w:rPr>
            </w:pPr>
            <w:r>
              <w:rPr>
                <w:rFonts w:ascii="Georgia" w:hAnsi="Georgia"/>
                <w:color w:val="404040" w:themeColor="text1" w:themeTint="BF"/>
                <w:sz w:val="20"/>
              </w:rPr>
              <w:t>Interest Shield</w:t>
            </w:r>
          </w:p>
        </w:tc>
        <w:tc>
          <w:tcPr>
            <w:tcW w:w="754" w:type="pct"/>
            <w:tcBorders>
              <w:top w:val="single" w:sz="8" w:space="0" w:color="auto"/>
              <w:bottom w:val="nil"/>
            </w:tcBorders>
            <w:shd w:val="clear" w:color="auto" w:fill="auto"/>
            <w:noWrap/>
            <w:vAlign w:val="center"/>
          </w:tcPr>
          <w:p w14:paraId="04B8292E" w14:textId="00BE6430" w:rsidR="0026502A" w:rsidRPr="005E2963" w:rsidRDefault="0026502A" w:rsidP="0026502A">
            <w:pPr>
              <w:jc w:val="right"/>
              <w:rPr>
                <w:rFonts w:ascii="Georgia" w:hAnsi="Georgia"/>
                <w:color w:val="404040" w:themeColor="text1" w:themeTint="BF"/>
                <w:sz w:val="20"/>
              </w:rPr>
            </w:pPr>
            <w:r>
              <w:rPr>
                <w:rFonts w:ascii="Georgia" w:hAnsi="Georgia"/>
                <w:color w:val="404040" w:themeColor="text1" w:themeTint="BF"/>
                <w:sz w:val="20"/>
              </w:rPr>
              <w:t>+50</w:t>
            </w:r>
            <w:r w:rsidRPr="005E2963">
              <w:rPr>
                <w:rFonts w:ascii="Georgia" w:hAnsi="Georgia"/>
                <w:color w:val="404040" w:themeColor="text1" w:themeTint="BF"/>
                <w:sz w:val="20"/>
              </w:rPr>
              <w:t>%</w:t>
            </w:r>
          </w:p>
        </w:tc>
        <w:tc>
          <w:tcPr>
            <w:tcW w:w="946" w:type="pct"/>
            <w:tcBorders>
              <w:top w:val="single" w:sz="8" w:space="0" w:color="auto"/>
              <w:bottom w:val="nil"/>
            </w:tcBorders>
            <w:vAlign w:val="center"/>
          </w:tcPr>
          <w:p w14:paraId="28107313" w14:textId="00EB2584" w:rsidR="0026502A" w:rsidRPr="00A5054C" w:rsidRDefault="00A5054C" w:rsidP="0026502A">
            <w:pPr>
              <w:jc w:val="right"/>
              <w:rPr>
                <w:rFonts w:ascii="Georgia" w:hAnsi="Georgia"/>
                <w:color w:val="404040" w:themeColor="text1" w:themeTint="BF"/>
                <w:sz w:val="20"/>
              </w:rPr>
            </w:pPr>
            <w:r w:rsidRPr="00A5054C">
              <w:rPr>
                <w:rFonts w:ascii="Georgia" w:hAnsi="Georgia"/>
                <w:color w:val="404040" w:themeColor="text1" w:themeTint="BF"/>
                <w:sz w:val="20"/>
              </w:rPr>
              <w:t>11.9</w:t>
            </w:r>
          </w:p>
        </w:tc>
        <w:tc>
          <w:tcPr>
            <w:tcW w:w="725" w:type="pct"/>
            <w:tcBorders>
              <w:top w:val="single" w:sz="8" w:space="0" w:color="auto"/>
              <w:bottom w:val="nil"/>
            </w:tcBorders>
            <w:vAlign w:val="center"/>
          </w:tcPr>
          <w:p w14:paraId="1A1B5D92" w14:textId="6B612BD4" w:rsidR="0026502A" w:rsidRPr="004414B7" w:rsidRDefault="004414B7" w:rsidP="0026502A">
            <w:pPr>
              <w:jc w:val="right"/>
              <w:rPr>
                <w:rFonts w:ascii="Georgia" w:hAnsi="Georgia"/>
                <w:color w:val="404040" w:themeColor="text1" w:themeTint="BF"/>
                <w:sz w:val="20"/>
              </w:rPr>
            </w:pPr>
            <w:r w:rsidRPr="004414B7">
              <w:rPr>
                <w:rFonts w:ascii="Georgia" w:hAnsi="Georgia"/>
                <w:color w:val="404040" w:themeColor="text1" w:themeTint="BF"/>
                <w:sz w:val="20"/>
              </w:rPr>
              <w:t>3.21</w:t>
            </w:r>
          </w:p>
        </w:tc>
        <w:tc>
          <w:tcPr>
            <w:tcW w:w="959" w:type="pct"/>
            <w:tcBorders>
              <w:top w:val="single" w:sz="8" w:space="0" w:color="auto"/>
              <w:bottom w:val="nil"/>
            </w:tcBorders>
            <w:shd w:val="clear" w:color="auto" w:fill="auto"/>
            <w:noWrap/>
            <w:vAlign w:val="center"/>
          </w:tcPr>
          <w:p w14:paraId="26E17053" w14:textId="34CC4629"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9.</w:t>
            </w:r>
            <w:r>
              <w:rPr>
                <w:rFonts w:ascii="Georgia" w:hAnsi="Georgia"/>
                <w:color w:val="404040" w:themeColor="text1" w:themeTint="BF"/>
                <w:sz w:val="20"/>
              </w:rPr>
              <w:t>5</w:t>
            </w:r>
          </w:p>
        </w:tc>
        <w:tc>
          <w:tcPr>
            <w:tcW w:w="654" w:type="pct"/>
            <w:tcBorders>
              <w:top w:val="single" w:sz="8" w:space="0" w:color="auto"/>
              <w:bottom w:val="nil"/>
            </w:tcBorders>
            <w:shd w:val="clear" w:color="auto" w:fill="auto"/>
            <w:noWrap/>
            <w:vAlign w:val="center"/>
          </w:tcPr>
          <w:p w14:paraId="319EE22A" w14:textId="41AEB024"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2.5</w:t>
            </w:r>
            <w:r>
              <w:rPr>
                <w:rFonts w:ascii="Georgia" w:hAnsi="Georgia"/>
                <w:color w:val="404040" w:themeColor="text1" w:themeTint="BF"/>
                <w:sz w:val="20"/>
              </w:rPr>
              <w:t>7</w:t>
            </w:r>
          </w:p>
        </w:tc>
      </w:tr>
      <w:tr w:rsidR="0026502A" w:rsidRPr="00801DDC" w14:paraId="2DDCD975" w14:textId="77777777" w:rsidTr="009A5BD1">
        <w:trPr>
          <w:trHeight w:val="157"/>
        </w:trPr>
        <w:tc>
          <w:tcPr>
            <w:tcW w:w="962" w:type="pct"/>
            <w:vMerge/>
            <w:tcBorders>
              <w:bottom w:val="single" w:sz="4" w:space="0" w:color="auto"/>
            </w:tcBorders>
            <w:shd w:val="clear" w:color="auto" w:fill="auto"/>
            <w:noWrap/>
            <w:vAlign w:val="center"/>
          </w:tcPr>
          <w:p w14:paraId="2941D213" w14:textId="77777777" w:rsidR="0026502A" w:rsidRPr="00801DDC" w:rsidRDefault="0026502A" w:rsidP="0026502A">
            <w:pPr>
              <w:rPr>
                <w:rFonts w:ascii="Georgia" w:hAnsi="Georgia"/>
                <w:color w:val="404040" w:themeColor="text1" w:themeTint="BF"/>
                <w:sz w:val="20"/>
              </w:rPr>
            </w:pPr>
          </w:p>
        </w:tc>
        <w:tc>
          <w:tcPr>
            <w:tcW w:w="754" w:type="pct"/>
            <w:tcBorders>
              <w:bottom w:val="single" w:sz="4" w:space="0" w:color="auto"/>
            </w:tcBorders>
            <w:shd w:val="clear" w:color="auto" w:fill="auto"/>
            <w:noWrap/>
            <w:vAlign w:val="center"/>
          </w:tcPr>
          <w:p w14:paraId="5D24ED14" w14:textId="6C46D6C8" w:rsidR="0026502A" w:rsidRPr="005E2963" w:rsidRDefault="0026502A" w:rsidP="0026502A">
            <w:pPr>
              <w:jc w:val="right"/>
              <w:rPr>
                <w:rFonts w:ascii="Georgia" w:hAnsi="Georgia"/>
                <w:color w:val="404040" w:themeColor="text1" w:themeTint="BF"/>
                <w:sz w:val="20"/>
              </w:rPr>
            </w:pPr>
            <w:r>
              <w:rPr>
                <w:rFonts w:ascii="Georgia" w:hAnsi="Georgia"/>
                <w:color w:val="404040" w:themeColor="text1" w:themeTint="BF"/>
                <w:sz w:val="20"/>
              </w:rPr>
              <w:t>-50</w:t>
            </w:r>
            <w:r w:rsidRPr="005E2963">
              <w:rPr>
                <w:rFonts w:ascii="Georgia" w:hAnsi="Georgia"/>
                <w:color w:val="404040" w:themeColor="text1" w:themeTint="BF"/>
                <w:sz w:val="20"/>
              </w:rPr>
              <w:t>%</w:t>
            </w:r>
          </w:p>
        </w:tc>
        <w:tc>
          <w:tcPr>
            <w:tcW w:w="946" w:type="pct"/>
            <w:tcBorders>
              <w:bottom w:val="single" w:sz="4" w:space="0" w:color="auto"/>
            </w:tcBorders>
            <w:vAlign w:val="center"/>
          </w:tcPr>
          <w:p w14:paraId="6CA811B9" w14:textId="2C841929" w:rsidR="0026502A" w:rsidRPr="00A5054C" w:rsidRDefault="00A5054C" w:rsidP="0026502A">
            <w:pPr>
              <w:jc w:val="right"/>
              <w:rPr>
                <w:rFonts w:ascii="Georgia" w:hAnsi="Georgia"/>
                <w:color w:val="404040" w:themeColor="text1" w:themeTint="BF"/>
                <w:sz w:val="20"/>
              </w:rPr>
            </w:pPr>
            <w:r w:rsidRPr="00A5054C">
              <w:rPr>
                <w:rFonts w:ascii="Georgia" w:hAnsi="Georgia"/>
                <w:color w:val="404040" w:themeColor="text1" w:themeTint="BF"/>
                <w:sz w:val="20"/>
              </w:rPr>
              <w:t>(13.9</w:t>
            </w:r>
            <w:r w:rsidR="0026502A" w:rsidRPr="00A5054C">
              <w:rPr>
                <w:rFonts w:ascii="Georgia" w:hAnsi="Georgia"/>
                <w:color w:val="404040" w:themeColor="text1" w:themeTint="BF"/>
                <w:sz w:val="20"/>
              </w:rPr>
              <w:t>)</w:t>
            </w:r>
          </w:p>
        </w:tc>
        <w:tc>
          <w:tcPr>
            <w:tcW w:w="725" w:type="pct"/>
            <w:tcBorders>
              <w:bottom w:val="single" w:sz="4" w:space="0" w:color="auto"/>
            </w:tcBorders>
            <w:vAlign w:val="center"/>
          </w:tcPr>
          <w:p w14:paraId="06BCD0E9" w14:textId="2F6556E1" w:rsidR="0026502A" w:rsidRPr="004414B7" w:rsidRDefault="004414B7" w:rsidP="0026502A">
            <w:pPr>
              <w:jc w:val="right"/>
              <w:rPr>
                <w:rFonts w:ascii="Georgia" w:hAnsi="Georgia"/>
                <w:color w:val="404040" w:themeColor="text1" w:themeTint="BF"/>
                <w:sz w:val="20"/>
              </w:rPr>
            </w:pPr>
            <w:r w:rsidRPr="004414B7">
              <w:rPr>
                <w:rFonts w:ascii="Georgia" w:hAnsi="Georgia"/>
                <w:color w:val="404040" w:themeColor="text1" w:themeTint="BF"/>
                <w:sz w:val="20"/>
              </w:rPr>
              <w:t>(3.75</w:t>
            </w:r>
            <w:r w:rsidR="0026502A" w:rsidRPr="004414B7">
              <w:rPr>
                <w:rFonts w:ascii="Georgia" w:hAnsi="Georgia"/>
                <w:color w:val="404040" w:themeColor="text1" w:themeTint="BF"/>
                <w:sz w:val="20"/>
              </w:rPr>
              <w:t>)</w:t>
            </w:r>
          </w:p>
        </w:tc>
        <w:tc>
          <w:tcPr>
            <w:tcW w:w="959" w:type="pct"/>
            <w:tcBorders>
              <w:bottom w:val="single" w:sz="4" w:space="0" w:color="auto"/>
            </w:tcBorders>
            <w:shd w:val="clear" w:color="auto" w:fill="auto"/>
            <w:noWrap/>
            <w:vAlign w:val="center"/>
          </w:tcPr>
          <w:p w14:paraId="14A720F0" w14:textId="7F1A0AAE"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(10.</w:t>
            </w:r>
            <w:r>
              <w:rPr>
                <w:rFonts w:ascii="Georgia" w:hAnsi="Georgia"/>
                <w:color w:val="404040" w:themeColor="text1" w:themeTint="BF"/>
                <w:sz w:val="20"/>
              </w:rPr>
              <w:t>3</w:t>
            </w:r>
            <w:r w:rsidRPr="005A643D">
              <w:rPr>
                <w:rFonts w:ascii="Georgia" w:hAnsi="Georgia"/>
                <w:color w:val="404040" w:themeColor="text1" w:themeTint="BF"/>
                <w:sz w:val="20"/>
              </w:rPr>
              <w:t>)</w:t>
            </w:r>
          </w:p>
        </w:tc>
        <w:tc>
          <w:tcPr>
            <w:tcW w:w="654" w:type="pct"/>
            <w:tcBorders>
              <w:bottom w:val="single" w:sz="4" w:space="0" w:color="auto"/>
            </w:tcBorders>
            <w:shd w:val="clear" w:color="auto" w:fill="auto"/>
            <w:noWrap/>
            <w:vAlign w:val="center"/>
          </w:tcPr>
          <w:p w14:paraId="6AA743B1" w14:textId="3DFA8C04" w:rsidR="0026502A" w:rsidRPr="00447388" w:rsidRDefault="0026502A" w:rsidP="0026502A">
            <w:pPr>
              <w:jc w:val="right"/>
              <w:rPr>
                <w:rFonts w:ascii="Georgia" w:hAnsi="Georgia"/>
                <w:color w:val="404040" w:themeColor="text1" w:themeTint="BF"/>
                <w:sz w:val="20"/>
              </w:rPr>
            </w:pPr>
            <w:r w:rsidRPr="005A643D">
              <w:rPr>
                <w:rFonts w:ascii="Georgia" w:hAnsi="Georgia"/>
                <w:color w:val="404040" w:themeColor="text1" w:themeTint="BF"/>
                <w:sz w:val="20"/>
              </w:rPr>
              <w:t>(2.7</w:t>
            </w:r>
            <w:r>
              <w:rPr>
                <w:rFonts w:ascii="Georgia" w:hAnsi="Georgia"/>
                <w:color w:val="404040" w:themeColor="text1" w:themeTint="BF"/>
                <w:sz w:val="20"/>
              </w:rPr>
              <w:t>8</w:t>
            </w:r>
            <w:r w:rsidRPr="005A643D">
              <w:rPr>
                <w:rFonts w:ascii="Georgia" w:hAnsi="Georgia"/>
                <w:color w:val="404040" w:themeColor="text1" w:themeTint="BF"/>
                <w:sz w:val="20"/>
              </w:rPr>
              <w:t>)</w:t>
            </w:r>
          </w:p>
        </w:tc>
      </w:tr>
      <w:tr w:rsidR="00004683" w:rsidRPr="00801DDC" w14:paraId="2607DF75" w14:textId="77777777" w:rsidTr="009A5BD1">
        <w:trPr>
          <w:trHeight w:val="157"/>
        </w:trPr>
        <w:tc>
          <w:tcPr>
            <w:tcW w:w="962" w:type="pct"/>
            <w:vMerge w:val="restart"/>
            <w:tcBorders>
              <w:top w:val="single" w:sz="4" w:space="0" w:color="auto"/>
            </w:tcBorders>
            <w:shd w:val="clear" w:color="auto" w:fill="auto"/>
            <w:noWrap/>
            <w:vAlign w:val="center"/>
          </w:tcPr>
          <w:p w14:paraId="0DE9523B" w14:textId="1A9E904C" w:rsidR="00004683" w:rsidRPr="00801DDC" w:rsidRDefault="00004683" w:rsidP="00004683">
            <w:pPr>
              <w:rPr>
                <w:rFonts w:ascii="Georgia" w:hAnsi="Georgia"/>
                <w:color w:val="404040" w:themeColor="text1" w:themeTint="BF"/>
                <w:sz w:val="20"/>
              </w:rPr>
            </w:pPr>
            <w:r>
              <w:rPr>
                <w:rFonts w:ascii="Georgia" w:hAnsi="Georgia"/>
                <w:color w:val="404040" w:themeColor="text1" w:themeTint="BF"/>
                <w:sz w:val="20"/>
              </w:rPr>
              <w:t>Asset Life</w:t>
            </w:r>
          </w:p>
        </w:tc>
        <w:tc>
          <w:tcPr>
            <w:tcW w:w="754" w:type="pct"/>
            <w:tcBorders>
              <w:top w:val="single" w:sz="4" w:space="0" w:color="auto"/>
            </w:tcBorders>
            <w:shd w:val="clear" w:color="auto" w:fill="auto"/>
            <w:noWrap/>
            <w:vAlign w:val="center"/>
          </w:tcPr>
          <w:p w14:paraId="4B044DB7" w14:textId="2869C951" w:rsidR="00004683" w:rsidRDefault="00004683" w:rsidP="00004683">
            <w:pPr>
              <w:jc w:val="right"/>
              <w:rPr>
                <w:rFonts w:ascii="Georgia" w:hAnsi="Georgia"/>
                <w:color w:val="404040" w:themeColor="text1" w:themeTint="BF"/>
                <w:sz w:val="20"/>
              </w:rPr>
            </w:pPr>
            <w:r>
              <w:rPr>
                <w:rFonts w:ascii="Georgia" w:hAnsi="Georgia"/>
                <w:color w:val="404040" w:themeColor="text1" w:themeTint="BF"/>
                <w:sz w:val="20"/>
              </w:rPr>
              <w:t>+5</w:t>
            </w:r>
            <w:r w:rsidR="008E1064">
              <w:rPr>
                <w:rFonts w:ascii="Georgia" w:hAnsi="Georgia"/>
                <w:color w:val="404040" w:themeColor="text1" w:themeTint="BF"/>
                <w:sz w:val="20"/>
              </w:rPr>
              <w:t xml:space="preserve"> Years</w:t>
            </w:r>
          </w:p>
        </w:tc>
        <w:tc>
          <w:tcPr>
            <w:tcW w:w="946" w:type="pct"/>
            <w:tcBorders>
              <w:top w:val="single" w:sz="4" w:space="0" w:color="auto"/>
            </w:tcBorders>
            <w:vAlign w:val="center"/>
          </w:tcPr>
          <w:p w14:paraId="7F264CBA" w14:textId="030D73A1" w:rsidR="00004683" w:rsidRPr="00A5054C" w:rsidRDefault="008E1064" w:rsidP="00004683">
            <w:pPr>
              <w:jc w:val="right"/>
              <w:rPr>
                <w:rFonts w:ascii="Georgia" w:hAnsi="Georgia"/>
                <w:color w:val="404040" w:themeColor="text1" w:themeTint="BF"/>
                <w:sz w:val="20"/>
              </w:rPr>
            </w:pPr>
            <w:r>
              <w:rPr>
                <w:rFonts w:ascii="Georgia" w:hAnsi="Georgia"/>
                <w:color w:val="404040" w:themeColor="text1" w:themeTint="BF"/>
                <w:sz w:val="20"/>
              </w:rPr>
              <w:t>17.2</w:t>
            </w:r>
          </w:p>
        </w:tc>
        <w:tc>
          <w:tcPr>
            <w:tcW w:w="725" w:type="pct"/>
            <w:tcBorders>
              <w:top w:val="single" w:sz="4" w:space="0" w:color="auto"/>
            </w:tcBorders>
            <w:vAlign w:val="center"/>
          </w:tcPr>
          <w:p w14:paraId="7B5A874F" w14:textId="4165D964" w:rsidR="00004683" w:rsidRPr="004414B7" w:rsidRDefault="008E1064" w:rsidP="00004683">
            <w:pPr>
              <w:jc w:val="right"/>
              <w:rPr>
                <w:rFonts w:ascii="Georgia" w:hAnsi="Georgia"/>
                <w:color w:val="404040" w:themeColor="text1" w:themeTint="BF"/>
                <w:sz w:val="20"/>
              </w:rPr>
            </w:pPr>
            <w:r>
              <w:rPr>
                <w:rFonts w:ascii="Georgia" w:hAnsi="Georgia"/>
                <w:color w:val="404040" w:themeColor="text1" w:themeTint="BF"/>
                <w:sz w:val="20"/>
              </w:rPr>
              <w:t>4.64</w:t>
            </w:r>
          </w:p>
        </w:tc>
        <w:tc>
          <w:tcPr>
            <w:tcW w:w="959" w:type="pct"/>
            <w:tcBorders>
              <w:top w:val="single" w:sz="4" w:space="0" w:color="auto"/>
            </w:tcBorders>
            <w:shd w:val="clear" w:color="auto" w:fill="auto"/>
            <w:noWrap/>
            <w:vAlign w:val="center"/>
          </w:tcPr>
          <w:p w14:paraId="5B05D8C2" w14:textId="265D3B75" w:rsidR="00004683" w:rsidRPr="005A643D" w:rsidRDefault="008E1064" w:rsidP="00004683">
            <w:pPr>
              <w:jc w:val="right"/>
              <w:rPr>
                <w:rFonts w:ascii="Georgia" w:hAnsi="Georgia"/>
                <w:color w:val="404040" w:themeColor="text1" w:themeTint="BF"/>
                <w:sz w:val="20"/>
              </w:rPr>
            </w:pPr>
            <w:r>
              <w:rPr>
                <w:rFonts w:ascii="Georgia" w:hAnsi="Georgia"/>
                <w:color w:val="404040" w:themeColor="text1" w:themeTint="BF"/>
                <w:sz w:val="20"/>
              </w:rPr>
              <w:t>N/A</w:t>
            </w:r>
          </w:p>
        </w:tc>
        <w:tc>
          <w:tcPr>
            <w:tcW w:w="654" w:type="pct"/>
            <w:tcBorders>
              <w:top w:val="single" w:sz="4" w:space="0" w:color="auto"/>
            </w:tcBorders>
            <w:shd w:val="clear" w:color="auto" w:fill="auto"/>
            <w:noWrap/>
            <w:vAlign w:val="center"/>
          </w:tcPr>
          <w:p w14:paraId="0A597C72" w14:textId="44A9C6ED" w:rsidR="00004683" w:rsidRPr="005A643D" w:rsidRDefault="008E1064" w:rsidP="00004683">
            <w:pPr>
              <w:jc w:val="right"/>
              <w:rPr>
                <w:rFonts w:ascii="Georgia" w:hAnsi="Georgia"/>
                <w:color w:val="404040" w:themeColor="text1" w:themeTint="BF"/>
                <w:sz w:val="20"/>
              </w:rPr>
            </w:pPr>
            <w:r>
              <w:rPr>
                <w:rFonts w:ascii="Georgia" w:hAnsi="Georgia"/>
                <w:color w:val="404040" w:themeColor="text1" w:themeTint="BF"/>
                <w:sz w:val="20"/>
              </w:rPr>
              <w:t>N/A</w:t>
            </w:r>
          </w:p>
        </w:tc>
      </w:tr>
      <w:tr w:rsidR="00004683" w:rsidRPr="00801DDC" w14:paraId="7168F8FF" w14:textId="77777777" w:rsidTr="00102A3D">
        <w:trPr>
          <w:trHeight w:val="157"/>
        </w:trPr>
        <w:tc>
          <w:tcPr>
            <w:tcW w:w="962" w:type="pct"/>
            <w:vMerge/>
            <w:tcBorders>
              <w:bottom w:val="single" w:sz="8" w:space="0" w:color="auto"/>
            </w:tcBorders>
            <w:shd w:val="clear" w:color="auto" w:fill="auto"/>
            <w:noWrap/>
            <w:vAlign w:val="center"/>
          </w:tcPr>
          <w:p w14:paraId="3D21BD9D" w14:textId="77777777" w:rsidR="00004683" w:rsidRPr="00801DDC" w:rsidRDefault="00004683" w:rsidP="00004683">
            <w:pPr>
              <w:rPr>
                <w:rFonts w:ascii="Georgia" w:hAnsi="Georgia"/>
                <w:color w:val="404040" w:themeColor="text1" w:themeTint="BF"/>
                <w:sz w:val="20"/>
              </w:rPr>
            </w:pPr>
          </w:p>
        </w:tc>
        <w:tc>
          <w:tcPr>
            <w:tcW w:w="754" w:type="pct"/>
            <w:tcBorders>
              <w:bottom w:val="single" w:sz="8" w:space="0" w:color="auto"/>
            </w:tcBorders>
            <w:shd w:val="clear" w:color="auto" w:fill="auto"/>
            <w:noWrap/>
            <w:vAlign w:val="center"/>
          </w:tcPr>
          <w:p w14:paraId="52741497" w14:textId="750A7F85" w:rsidR="00004683" w:rsidRDefault="008E1064" w:rsidP="00004683">
            <w:pPr>
              <w:jc w:val="right"/>
              <w:rPr>
                <w:rFonts w:ascii="Georgia" w:hAnsi="Georgia"/>
                <w:color w:val="404040" w:themeColor="text1" w:themeTint="BF"/>
                <w:sz w:val="20"/>
              </w:rPr>
            </w:pPr>
            <w:r>
              <w:rPr>
                <w:rFonts w:ascii="Georgia" w:hAnsi="Georgia"/>
                <w:color w:val="404040" w:themeColor="text1" w:themeTint="BF"/>
                <w:sz w:val="20"/>
              </w:rPr>
              <w:t>-5 Years</w:t>
            </w:r>
          </w:p>
        </w:tc>
        <w:tc>
          <w:tcPr>
            <w:tcW w:w="946" w:type="pct"/>
            <w:tcBorders>
              <w:bottom w:val="single" w:sz="8" w:space="0" w:color="auto"/>
            </w:tcBorders>
            <w:vAlign w:val="center"/>
          </w:tcPr>
          <w:p w14:paraId="4A46B58E" w14:textId="7B21FA8D" w:rsidR="00004683" w:rsidRPr="00A5054C" w:rsidRDefault="00004683" w:rsidP="008E1064">
            <w:pPr>
              <w:jc w:val="right"/>
              <w:rPr>
                <w:rFonts w:ascii="Georgia" w:hAnsi="Georgia"/>
                <w:color w:val="404040" w:themeColor="text1" w:themeTint="BF"/>
                <w:sz w:val="20"/>
              </w:rPr>
            </w:pPr>
            <w:r w:rsidRPr="00A5054C">
              <w:rPr>
                <w:rFonts w:ascii="Georgia" w:hAnsi="Georgia"/>
                <w:color w:val="404040" w:themeColor="text1" w:themeTint="BF"/>
                <w:sz w:val="20"/>
              </w:rPr>
              <w:t>(</w:t>
            </w:r>
            <w:r w:rsidR="008E1064">
              <w:rPr>
                <w:rFonts w:ascii="Georgia" w:hAnsi="Georgia"/>
                <w:color w:val="404040" w:themeColor="text1" w:themeTint="BF"/>
                <w:sz w:val="20"/>
              </w:rPr>
              <w:t>26.3</w:t>
            </w:r>
            <w:r w:rsidRPr="00A5054C">
              <w:rPr>
                <w:rFonts w:ascii="Georgia" w:hAnsi="Georgia"/>
                <w:color w:val="404040" w:themeColor="text1" w:themeTint="BF"/>
                <w:sz w:val="20"/>
              </w:rPr>
              <w:t>)</w:t>
            </w:r>
          </w:p>
        </w:tc>
        <w:tc>
          <w:tcPr>
            <w:tcW w:w="725" w:type="pct"/>
            <w:tcBorders>
              <w:bottom w:val="single" w:sz="8" w:space="0" w:color="auto"/>
            </w:tcBorders>
            <w:vAlign w:val="center"/>
          </w:tcPr>
          <w:p w14:paraId="15AFD41E" w14:textId="3F0C1548" w:rsidR="00004683" w:rsidRPr="004414B7" w:rsidRDefault="008E1064" w:rsidP="00004683">
            <w:pPr>
              <w:jc w:val="right"/>
              <w:rPr>
                <w:rFonts w:ascii="Georgia" w:hAnsi="Georgia"/>
                <w:color w:val="404040" w:themeColor="text1" w:themeTint="BF"/>
                <w:sz w:val="20"/>
              </w:rPr>
            </w:pPr>
            <w:r>
              <w:rPr>
                <w:rFonts w:ascii="Georgia" w:hAnsi="Georgia"/>
                <w:color w:val="404040" w:themeColor="text1" w:themeTint="BF"/>
                <w:sz w:val="20"/>
              </w:rPr>
              <w:t>(7.10)</w:t>
            </w:r>
          </w:p>
        </w:tc>
        <w:tc>
          <w:tcPr>
            <w:tcW w:w="959" w:type="pct"/>
            <w:tcBorders>
              <w:bottom w:val="single" w:sz="8" w:space="0" w:color="auto"/>
            </w:tcBorders>
            <w:shd w:val="clear" w:color="auto" w:fill="auto"/>
            <w:noWrap/>
            <w:vAlign w:val="center"/>
          </w:tcPr>
          <w:p w14:paraId="156939F9" w14:textId="3E14B4DB" w:rsidR="00004683" w:rsidRPr="005A643D" w:rsidRDefault="008E1064" w:rsidP="00004683">
            <w:pPr>
              <w:jc w:val="right"/>
              <w:rPr>
                <w:rFonts w:ascii="Georgia" w:hAnsi="Georgia"/>
                <w:color w:val="404040" w:themeColor="text1" w:themeTint="BF"/>
                <w:sz w:val="20"/>
              </w:rPr>
            </w:pPr>
            <w:r>
              <w:rPr>
                <w:rFonts w:ascii="Georgia" w:hAnsi="Georgia"/>
                <w:color w:val="404040" w:themeColor="text1" w:themeTint="BF"/>
                <w:sz w:val="20"/>
              </w:rPr>
              <w:t>N/A</w:t>
            </w:r>
          </w:p>
        </w:tc>
        <w:tc>
          <w:tcPr>
            <w:tcW w:w="654" w:type="pct"/>
            <w:tcBorders>
              <w:bottom w:val="single" w:sz="8" w:space="0" w:color="auto"/>
            </w:tcBorders>
            <w:shd w:val="clear" w:color="auto" w:fill="auto"/>
            <w:noWrap/>
            <w:vAlign w:val="center"/>
          </w:tcPr>
          <w:p w14:paraId="00E1CC58" w14:textId="3A096285" w:rsidR="00004683" w:rsidRPr="005A643D" w:rsidRDefault="008E1064" w:rsidP="00004683">
            <w:pPr>
              <w:jc w:val="right"/>
              <w:rPr>
                <w:rFonts w:ascii="Georgia" w:hAnsi="Georgia"/>
                <w:color w:val="404040" w:themeColor="text1" w:themeTint="BF"/>
                <w:sz w:val="20"/>
              </w:rPr>
            </w:pPr>
            <w:r>
              <w:rPr>
                <w:rFonts w:ascii="Georgia" w:hAnsi="Georgia"/>
                <w:color w:val="404040" w:themeColor="text1" w:themeTint="BF"/>
                <w:sz w:val="20"/>
              </w:rPr>
              <w:t>N/A</w:t>
            </w:r>
          </w:p>
        </w:tc>
      </w:tr>
    </w:tbl>
    <w:p w14:paraId="4CB377FB" w14:textId="77777777" w:rsidR="004E4B0B" w:rsidRDefault="004E4B0B">
      <w:pPr>
        <w:rPr>
          <w:rFonts w:ascii="Georgia" w:hAnsi="Georgia" w:cs="Calibri"/>
          <w:b/>
          <w:color w:val="404040" w:themeColor="text1" w:themeTint="BF"/>
          <w:sz w:val="20"/>
        </w:rPr>
      </w:pPr>
    </w:p>
    <w:p w14:paraId="1C0EB912" w14:textId="77777777" w:rsidR="00122DAE" w:rsidRDefault="00122DAE" w:rsidP="001B56EC">
      <w:pPr>
        <w:rPr>
          <w:rFonts w:ascii="Georgia" w:hAnsi="Georgia" w:cs="Calibri"/>
          <w:color w:val="404040" w:themeColor="text1" w:themeTint="BF"/>
          <w:sz w:val="20"/>
        </w:rPr>
      </w:pPr>
    </w:p>
    <w:p w14:paraId="7BDE95B1" w14:textId="77777777" w:rsidR="00122DAE" w:rsidRDefault="00122DAE" w:rsidP="001B56EC">
      <w:pPr>
        <w:rPr>
          <w:rFonts w:ascii="Georgia" w:hAnsi="Georgia" w:cs="Calibri"/>
          <w:color w:val="404040" w:themeColor="text1" w:themeTint="BF"/>
          <w:sz w:val="20"/>
        </w:rPr>
      </w:pPr>
    </w:p>
    <w:p w14:paraId="2521A34F" w14:textId="77777777" w:rsidR="00122DAE" w:rsidRDefault="00122DAE" w:rsidP="001B56EC">
      <w:pPr>
        <w:rPr>
          <w:rFonts w:ascii="Georgia" w:hAnsi="Georgia" w:cs="Calibri"/>
          <w:color w:val="404040" w:themeColor="text1" w:themeTint="BF"/>
          <w:sz w:val="20"/>
        </w:rPr>
      </w:pPr>
    </w:p>
    <w:p w14:paraId="1682D8DB" w14:textId="77777777" w:rsidR="00122DAE" w:rsidRDefault="00122DAE" w:rsidP="001B56EC">
      <w:pPr>
        <w:rPr>
          <w:rFonts w:ascii="Georgia" w:hAnsi="Georgia" w:cs="Calibri"/>
          <w:color w:val="404040" w:themeColor="text1" w:themeTint="BF"/>
          <w:sz w:val="20"/>
        </w:rPr>
      </w:pPr>
    </w:p>
    <w:p w14:paraId="34C60427" w14:textId="77777777" w:rsidR="00122DAE" w:rsidRDefault="00122DAE" w:rsidP="001B56EC">
      <w:pPr>
        <w:rPr>
          <w:rFonts w:ascii="Georgia" w:hAnsi="Georgia" w:cs="Calibri"/>
          <w:color w:val="404040" w:themeColor="text1" w:themeTint="BF"/>
          <w:sz w:val="20"/>
        </w:rPr>
      </w:pPr>
    </w:p>
    <w:p w14:paraId="53F0298D" w14:textId="77777777" w:rsidR="00122DAE" w:rsidRDefault="00122DAE" w:rsidP="001B56EC">
      <w:pPr>
        <w:rPr>
          <w:rFonts w:ascii="Georgia" w:hAnsi="Georgia" w:cs="Calibri"/>
          <w:color w:val="404040" w:themeColor="text1" w:themeTint="BF"/>
          <w:sz w:val="20"/>
        </w:rPr>
      </w:pPr>
    </w:p>
    <w:p w14:paraId="3F76F80A" w14:textId="77777777" w:rsidR="00122DAE" w:rsidRDefault="00122DAE" w:rsidP="001B56EC">
      <w:pPr>
        <w:rPr>
          <w:rFonts w:ascii="Georgia" w:hAnsi="Georgia" w:cs="Calibri"/>
          <w:color w:val="404040" w:themeColor="text1" w:themeTint="BF"/>
          <w:sz w:val="20"/>
        </w:rPr>
      </w:pPr>
    </w:p>
    <w:p w14:paraId="52166E19" w14:textId="77777777" w:rsidR="00122DAE" w:rsidRDefault="00122DAE" w:rsidP="001B56EC">
      <w:pPr>
        <w:rPr>
          <w:rFonts w:ascii="Georgia" w:hAnsi="Georgia" w:cs="Calibri"/>
          <w:color w:val="404040" w:themeColor="text1" w:themeTint="BF"/>
          <w:sz w:val="20"/>
        </w:rPr>
      </w:pPr>
    </w:p>
    <w:p w14:paraId="418AA673" w14:textId="77777777" w:rsidR="00122DAE" w:rsidRDefault="00122DAE" w:rsidP="001B56EC">
      <w:pPr>
        <w:rPr>
          <w:rFonts w:ascii="Georgia" w:hAnsi="Georgia" w:cs="Calibri"/>
          <w:color w:val="404040" w:themeColor="text1" w:themeTint="BF"/>
          <w:sz w:val="20"/>
        </w:rPr>
      </w:pPr>
    </w:p>
    <w:p w14:paraId="7F205CCB" w14:textId="77777777" w:rsidR="00122DAE" w:rsidRDefault="00122DAE" w:rsidP="001B56EC">
      <w:pPr>
        <w:rPr>
          <w:rFonts w:ascii="Georgia" w:hAnsi="Georgia" w:cs="Calibri"/>
          <w:color w:val="404040" w:themeColor="text1" w:themeTint="BF"/>
          <w:sz w:val="20"/>
        </w:rPr>
      </w:pPr>
    </w:p>
    <w:p w14:paraId="1794E1D7" w14:textId="77777777" w:rsidR="00122DAE" w:rsidRDefault="00122DAE" w:rsidP="001B56EC">
      <w:pPr>
        <w:rPr>
          <w:rFonts w:ascii="Georgia" w:hAnsi="Georgia" w:cs="Calibri"/>
          <w:color w:val="404040" w:themeColor="text1" w:themeTint="BF"/>
          <w:sz w:val="20"/>
        </w:rPr>
      </w:pPr>
    </w:p>
    <w:p w14:paraId="45A8C5F4" w14:textId="77777777" w:rsidR="00122DAE" w:rsidRDefault="00122DAE" w:rsidP="001B56EC">
      <w:pPr>
        <w:rPr>
          <w:rFonts w:ascii="Georgia" w:hAnsi="Georgia" w:cs="Calibri"/>
          <w:color w:val="404040" w:themeColor="text1" w:themeTint="BF"/>
          <w:sz w:val="20"/>
        </w:rPr>
      </w:pPr>
    </w:p>
    <w:p w14:paraId="76BEFB1A" w14:textId="77777777" w:rsidR="00122DAE" w:rsidRDefault="00122DAE" w:rsidP="001B56EC">
      <w:pPr>
        <w:rPr>
          <w:rFonts w:ascii="Georgia" w:hAnsi="Georgia" w:cs="Calibri"/>
          <w:color w:val="404040" w:themeColor="text1" w:themeTint="BF"/>
          <w:sz w:val="20"/>
        </w:rPr>
      </w:pPr>
    </w:p>
    <w:p w14:paraId="17B41001" w14:textId="77777777" w:rsidR="0018483D" w:rsidRDefault="0018483D">
      <w:pPr>
        <w:rPr>
          <w:rFonts w:ascii="Georgia" w:hAnsi="Georgia" w:cs="Calibri"/>
          <w:color w:val="404040" w:themeColor="text1" w:themeTint="BF"/>
          <w:sz w:val="20"/>
        </w:rPr>
      </w:pPr>
      <w:r>
        <w:rPr>
          <w:rFonts w:ascii="Georgia" w:hAnsi="Georgia" w:cs="Calibri"/>
          <w:color w:val="404040" w:themeColor="text1" w:themeTint="BF"/>
          <w:sz w:val="20"/>
        </w:rPr>
        <w:br w:type="page"/>
      </w:r>
    </w:p>
    <w:p w14:paraId="343F5DF9" w14:textId="522D29A0" w:rsidR="009B3F1B" w:rsidRDefault="007D08FA" w:rsidP="009B3F1B">
      <w:pPr>
        <w:rPr>
          <w:color w:val="404040" w:themeColor="text1" w:themeTint="BF"/>
        </w:rPr>
      </w:pPr>
      <w:r>
        <w:rPr>
          <w:rFonts w:ascii="Georgia" w:hAnsi="Georgia" w:cs="Calibri"/>
          <w:b/>
          <w:color w:val="404040" w:themeColor="text1" w:themeTint="BF"/>
          <w:sz w:val="20"/>
        </w:rPr>
        <w:lastRenderedPageBreak/>
        <w:t>9</w:t>
      </w:r>
      <w:r w:rsidR="009B3F1B" w:rsidRPr="00E42A95">
        <w:rPr>
          <w:rFonts w:ascii="Georgia" w:hAnsi="Georgia" w:cs="Calibri"/>
          <w:b/>
          <w:color w:val="404040" w:themeColor="text1" w:themeTint="BF"/>
          <w:sz w:val="20"/>
        </w:rPr>
        <w:t>.</w:t>
      </w:r>
      <w:r w:rsidR="009B3F1B" w:rsidRPr="00E42A95">
        <w:rPr>
          <w:rFonts w:ascii="Georgia" w:hAnsi="Georgia" w:cs="Calibri"/>
          <w:b/>
          <w:color w:val="404040" w:themeColor="text1" w:themeTint="BF"/>
          <w:sz w:val="20"/>
        </w:rPr>
        <w:tab/>
      </w:r>
      <w:r w:rsidR="009B3F1B" w:rsidRPr="00E42A95">
        <w:rPr>
          <w:rFonts w:ascii="Georgia" w:hAnsi="Georgia" w:cs="Calibri"/>
          <w:b/>
          <w:color w:val="404040" w:themeColor="text1" w:themeTint="BF"/>
          <w:sz w:val="20"/>
        </w:rPr>
        <w:tab/>
      </w:r>
      <w:r w:rsidR="009B3F1B" w:rsidRPr="00E42A95">
        <w:rPr>
          <w:rFonts w:ascii="Georgia" w:hAnsi="Georgia" w:cs="Calibri"/>
          <w:b/>
          <w:color w:val="404040" w:themeColor="text1" w:themeTint="BF"/>
          <w:sz w:val="20"/>
        </w:rPr>
        <w:tab/>
        <w:t xml:space="preserve"> Trade and other receivables</w:t>
      </w:r>
      <w:r w:rsidR="009B3F1B" w:rsidRPr="00E42A95">
        <w:rPr>
          <w:color w:val="404040" w:themeColor="text1" w:themeTint="BF"/>
        </w:rPr>
        <w:t xml:space="preserve"> </w:t>
      </w:r>
    </w:p>
    <w:p w14:paraId="731FEE68" w14:textId="77777777" w:rsidR="006C2EC2" w:rsidRPr="008C77E4" w:rsidRDefault="006C2EC2" w:rsidP="006C2EC2">
      <w:pPr>
        <w:rPr>
          <w:color w:val="404040" w:themeColor="text1" w:themeTint="BF"/>
        </w:rPr>
      </w:pPr>
    </w:p>
    <w:tbl>
      <w:tblPr>
        <w:tblW w:w="5000" w:type="pct"/>
        <w:tblLayout w:type="fixed"/>
        <w:tblLook w:val="04A0" w:firstRow="1" w:lastRow="0" w:firstColumn="1" w:lastColumn="0" w:noHBand="0" w:noVBand="1"/>
      </w:tblPr>
      <w:tblGrid>
        <w:gridCol w:w="5135"/>
        <w:gridCol w:w="2297"/>
        <w:gridCol w:w="1928"/>
      </w:tblGrid>
      <w:tr w:rsidR="006C2EC2" w:rsidRPr="008C77E4" w14:paraId="299125ED" w14:textId="77777777" w:rsidTr="00102A3D">
        <w:trPr>
          <w:trHeight w:val="345"/>
        </w:trPr>
        <w:tc>
          <w:tcPr>
            <w:tcW w:w="2743" w:type="pct"/>
            <w:tcBorders>
              <w:top w:val="nil"/>
              <w:left w:val="nil"/>
              <w:bottom w:val="nil"/>
              <w:right w:val="nil"/>
            </w:tcBorders>
            <w:shd w:val="clear" w:color="auto" w:fill="auto"/>
            <w:noWrap/>
            <w:vAlign w:val="bottom"/>
            <w:hideMark/>
          </w:tcPr>
          <w:p w14:paraId="2B0A0E15" w14:textId="77777777" w:rsidR="006C2EC2" w:rsidRPr="008C77E4" w:rsidRDefault="006C2EC2" w:rsidP="00102A3D">
            <w:pPr>
              <w:rPr>
                <w:rFonts w:ascii="Georgia" w:hAnsi="Georgia" w:cs="Arial"/>
                <w:color w:val="404040" w:themeColor="text1" w:themeTint="BF"/>
                <w:sz w:val="20"/>
                <w:szCs w:val="20"/>
                <w:lang w:eastAsia="en-GB"/>
              </w:rPr>
            </w:pPr>
          </w:p>
        </w:tc>
        <w:tc>
          <w:tcPr>
            <w:tcW w:w="1227" w:type="pct"/>
            <w:tcBorders>
              <w:top w:val="nil"/>
              <w:left w:val="nil"/>
              <w:bottom w:val="nil"/>
              <w:right w:val="nil"/>
            </w:tcBorders>
            <w:shd w:val="clear" w:color="auto" w:fill="auto"/>
            <w:vAlign w:val="center"/>
            <w:hideMark/>
          </w:tcPr>
          <w:p w14:paraId="784B768A" w14:textId="132AF4BC" w:rsidR="006C2EC2" w:rsidRPr="008C77E4" w:rsidRDefault="006C2EC2" w:rsidP="00665A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30 June</w:t>
            </w:r>
            <w:r w:rsidRPr="008C77E4">
              <w:rPr>
                <w:rFonts w:ascii="Georgia" w:hAnsi="Georgia" w:cs="Arial"/>
                <w:b/>
                <w:bCs/>
                <w:color w:val="404040" w:themeColor="text1" w:themeTint="BF"/>
                <w:sz w:val="20"/>
                <w:szCs w:val="20"/>
                <w:lang w:eastAsia="en-GB"/>
              </w:rPr>
              <w:t xml:space="preserve"> </w:t>
            </w:r>
            <w:r w:rsidR="00904E51">
              <w:rPr>
                <w:rFonts w:ascii="Georgia" w:hAnsi="Georgia" w:cs="Arial"/>
                <w:b/>
                <w:bCs/>
                <w:color w:val="404040" w:themeColor="text1" w:themeTint="BF"/>
                <w:sz w:val="20"/>
                <w:szCs w:val="20"/>
                <w:lang w:eastAsia="en-GB"/>
              </w:rPr>
              <w:t>2020</w:t>
            </w:r>
          </w:p>
        </w:tc>
        <w:tc>
          <w:tcPr>
            <w:tcW w:w="1030" w:type="pct"/>
            <w:tcBorders>
              <w:top w:val="nil"/>
              <w:left w:val="nil"/>
              <w:bottom w:val="nil"/>
              <w:right w:val="nil"/>
            </w:tcBorders>
            <w:vAlign w:val="center"/>
          </w:tcPr>
          <w:p w14:paraId="28BE5A0B" w14:textId="1FFCB227" w:rsidR="006C2EC2" w:rsidRPr="008C77E4" w:rsidRDefault="006C2EC2" w:rsidP="00665AEF">
            <w:pPr>
              <w:jc w:val="right"/>
              <w:rPr>
                <w:rFonts w:ascii="Georgia" w:hAnsi="Georgia" w:cs="Arial"/>
                <w:b/>
                <w:bCs/>
                <w:color w:val="404040" w:themeColor="text1" w:themeTint="BF"/>
                <w:sz w:val="20"/>
                <w:szCs w:val="20"/>
                <w:lang w:eastAsia="en-GB"/>
              </w:rPr>
            </w:pPr>
            <w:r w:rsidRPr="008C77E4">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tc>
      </w:tr>
      <w:tr w:rsidR="006C2EC2" w:rsidRPr="008C77E4" w14:paraId="074982FE" w14:textId="77777777" w:rsidTr="00102A3D">
        <w:trPr>
          <w:trHeight w:val="255"/>
        </w:trPr>
        <w:tc>
          <w:tcPr>
            <w:tcW w:w="2743" w:type="pct"/>
            <w:tcBorders>
              <w:top w:val="nil"/>
              <w:left w:val="nil"/>
              <w:bottom w:val="nil"/>
              <w:right w:val="nil"/>
            </w:tcBorders>
            <w:shd w:val="clear" w:color="auto" w:fill="auto"/>
            <w:noWrap/>
            <w:vAlign w:val="bottom"/>
            <w:hideMark/>
          </w:tcPr>
          <w:p w14:paraId="4068BBFB" w14:textId="77777777" w:rsidR="006C2EC2" w:rsidRPr="008C77E4" w:rsidRDefault="006C2EC2" w:rsidP="00102A3D">
            <w:pPr>
              <w:rPr>
                <w:rFonts w:ascii="Georgia" w:hAnsi="Georgia" w:cs="Arial"/>
                <w:color w:val="404040" w:themeColor="text1" w:themeTint="BF"/>
                <w:sz w:val="20"/>
                <w:szCs w:val="20"/>
                <w:lang w:eastAsia="en-GB"/>
              </w:rPr>
            </w:pPr>
          </w:p>
        </w:tc>
        <w:tc>
          <w:tcPr>
            <w:tcW w:w="1227" w:type="pct"/>
            <w:tcBorders>
              <w:top w:val="nil"/>
              <w:left w:val="nil"/>
              <w:bottom w:val="nil"/>
              <w:right w:val="nil"/>
            </w:tcBorders>
            <w:shd w:val="clear" w:color="auto" w:fill="auto"/>
            <w:noWrap/>
            <w:vAlign w:val="center"/>
            <w:hideMark/>
          </w:tcPr>
          <w:p w14:paraId="0D005F95" w14:textId="7418C5AD" w:rsidR="006C2EC2" w:rsidRPr="008C77E4" w:rsidRDefault="006C2EC2" w:rsidP="00102A3D">
            <w:pPr>
              <w:jc w:val="right"/>
              <w:rPr>
                <w:rFonts w:ascii="Georgia" w:hAnsi="Georgia" w:cs="Arial"/>
                <w:b/>
                <w:bCs/>
                <w:color w:val="404040" w:themeColor="text1" w:themeTint="BF"/>
                <w:sz w:val="20"/>
                <w:szCs w:val="20"/>
                <w:lang w:eastAsia="en-GB"/>
              </w:rPr>
            </w:pPr>
            <w:r w:rsidRPr="008C77E4">
              <w:rPr>
                <w:rFonts w:ascii="Georgia" w:hAnsi="Georgia" w:cs="Arial"/>
                <w:b/>
                <w:bCs/>
                <w:color w:val="404040" w:themeColor="text1" w:themeTint="BF"/>
                <w:sz w:val="20"/>
                <w:szCs w:val="20"/>
                <w:lang w:eastAsia="en-GB"/>
              </w:rPr>
              <w:t>£</w:t>
            </w:r>
            <w:r w:rsidR="004F4E1C">
              <w:rPr>
                <w:rFonts w:ascii="Georgia" w:hAnsi="Georgia" w:cs="Arial"/>
                <w:b/>
                <w:bCs/>
                <w:color w:val="404040" w:themeColor="text1" w:themeTint="BF"/>
                <w:sz w:val="20"/>
                <w:szCs w:val="20"/>
                <w:lang w:eastAsia="en-GB"/>
              </w:rPr>
              <w:t>’000</w:t>
            </w:r>
          </w:p>
        </w:tc>
        <w:tc>
          <w:tcPr>
            <w:tcW w:w="1030" w:type="pct"/>
            <w:tcBorders>
              <w:top w:val="nil"/>
              <w:left w:val="nil"/>
              <w:bottom w:val="nil"/>
              <w:right w:val="nil"/>
            </w:tcBorders>
          </w:tcPr>
          <w:p w14:paraId="625F90F9" w14:textId="362BD696" w:rsidR="006C2EC2" w:rsidRPr="008C77E4" w:rsidRDefault="006C2EC2" w:rsidP="00102A3D">
            <w:pPr>
              <w:jc w:val="right"/>
              <w:rPr>
                <w:rFonts w:ascii="Georgia" w:hAnsi="Georgia" w:cs="Arial"/>
                <w:b/>
                <w:bCs/>
                <w:color w:val="404040" w:themeColor="text1" w:themeTint="BF"/>
                <w:sz w:val="20"/>
                <w:szCs w:val="20"/>
                <w:lang w:eastAsia="en-GB"/>
              </w:rPr>
            </w:pPr>
            <w:r w:rsidRPr="008C77E4">
              <w:rPr>
                <w:rFonts w:ascii="Georgia" w:hAnsi="Georgia" w:cs="Arial"/>
                <w:b/>
                <w:bCs/>
                <w:color w:val="404040" w:themeColor="text1" w:themeTint="BF"/>
                <w:sz w:val="20"/>
                <w:szCs w:val="20"/>
                <w:lang w:eastAsia="en-GB"/>
              </w:rPr>
              <w:t>£</w:t>
            </w:r>
            <w:r w:rsidR="004F4E1C">
              <w:rPr>
                <w:rFonts w:ascii="Georgia" w:hAnsi="Georgia" w:cs="Arial"/>
                <w:b/>
                <w:bCs/>
                <w:color w:val="404040" w:themeColor="text1" w:themeTint="BF"/>
                <w:sz w:val="20"/>
                <w:szCs w:val="20"/>
                <w:lang w:eastAsia="en-GB"/>
              </w:rPr>
              <w:t>’000</w:t>
            </w:r>
          </w:p>
        </w:tc>
      </w:tr>
      <w:tr w:rsidR="006C2EC2" w:rsidRPr="008C77E4" w14:paraId="33E7518D" w14:textId="77777777" w:rsidTr="00102A3D">
        <w:trPr>
          <w:trHeight w:val="255"/>
        </w:trPr>
        <w:tc>
          <w:tcPr>
            <w:tcW w:w="2743" w:type="pct"/>
            <w:tcBorders>
              <w:top w:val="nil"/>
              <w:left w:val="nil"/>
              <w:bottom w:val="nil"/>
              <w:right w:val="nil"/>
            </w:tcBorders>
            <w:shd w:val="clear" w:color="auto" w:fill="auto"/>
            <w:noWrap/>
            <w:vAlign w:val="center"/>
            <w:hideMark/>
          </w:tcPr>
          <w:p w14:paraId="2A32F848" w14:textId="77777777" w:rsidR="006C2EC2" w:rsidRPr="008C77E4" w:rsidRDefault="006C2EC2" w:rsidP="00102A3D">
            <w:pPr>
              <w:rPr>
                <w:rFonts w:ascii="Georgia" w:hAnsi="Georgia" w:cs="Arial"/>
                <w:b/>
                <w:bCs/>
                <w:color w:val="404040" w:themeColor="text1" w:themeTint="BF"/>
                <w:sz w:val="20"/>
                <w:szCs w:val="20"/>
                <w:lang w:eastAsia="en-GB"/>
              </w:rPr>
            </w:pPr>
            <w:r w:rsidRPr="008C77E4">
              <w:rPr>
                <w:rFonts w:ascii="Georgia" w:hAnsi="Georgia" w:cs="Arial"/>
                <w:b/>
                <w:bCs/>
                <w:color w:val="404040" w:themeColor="text1" w:themeTint="BF"/>
                <w:sz w:val="20"/>
                <w:szCs w:val="20"/>
                <w:lang w:eastAsia="en-GB"/>
              </w:rPr>
              <w:t>Current assets</w:t>
            </w:r>
          </w:p>
        </w:tc>
        <w:tc>
          <w:tcPr>
            <w:tcW w:w="1227" w:type="pct"/>
            <w:tcBorders>
              <w:top w:val="nil"/>
              <w:left w:val="nil"/>
              <w:bottom w:val="nil"/>
              <w:right w:val="nil"/>
            </w:tcBorders>
            <w:shd w:val="clear" w:color="auto" w:fill="auto"/>
            <w:noWrap/>
            <w:vAlign w:val="center"/>
          </w:tcPr>
          <w:p w14:paraId="006BA9DE" w14:textId="77777777" w:rsidR="006C2EC2" w:rsidRPr="008C77E4" w:rsidRDefault="006C2EC2" w:rsidP="00102A3D">
            <w:pPr>
              <w:jc w:val="right"/>
              <w:rPr>
                <w:rFonts w:ascii="Georgia" w:hAnsi="Georgia" w:cs="Arial"/>
                <w:color w:val="404040" w:themeColor="text1" w:themeTint="BF"/>
                <w:sz w:val="20"/>
                <w:szCs w:val="20"/>
                <w:lang w:eastAsia="en-GB"/>
              </w:rPr>
            </w:pPr>
          </w:p>
        </w:tc>
        <w:tc>
          <w:tcPr>
            <w:tcW w:w="1030" w:type="pct"/>
            <w:tcBorders>
              <w:top w:val="nil"/>
              <w:left w:val="nil"/>
              <w:bottom w:val="nil"/>
              <w:right w:val="nil"/>
            </w:tcBorders>
            <w:vAlign w:val="center"/>
          </w:tcPr>
          <w:p w14:paraId="3D60569B" w14:textId="77777777" w:rsidR="006C2EC2" w:rsidRPr="008C77E4" w:rsidRDefault="006C2EC2" w:rsidP="00102A3D">
            <w:pPr>
              <w:jc w:val="right"/>
              <w:rPr>
                <w:rFonts w:ascii="Georgia" w:hAnsi="Georgia" w:cs="Arial"/>
                <w:color w:val="404040" w:themeColor="text1" w:themeTint="BF"/>
                <w:sz w:val="20"/>
                <w:szCs w:val="20"/>
                <w:lang w:eastAsia="en-GB"/>
              </w:rPr>
            </w:pPr>
          </w:p>
        </w:tc>
      </w:tr>
      <w:tr w:rsidR="00617E9C" w:rsidRPr="008C77E4" w14:paraId="3D90DDDE" w14:textId="77777777" w:rsidTr="00102A3D">
        <w:trPr>
          <w:trHeight w:val="255"/>
        </w:trPr>
        <w:tc>
          <w:tcPr>
            <w:tcW w:w="2743" w:type="pct"/>
            <w:tcBorders>
              <w:top w:val="nil"/>
              <w:left w:val="nil"/>
              <w:bottom w:val="nil"/>
              <w:right w:val="nil"/>
            </w:tcBorders>
            <w:shd w:val="clear" w:color="auto" w:fill="auto"/>
            <w:noWrap/>
            <w:vAlign w:val="center"/>
          </w:tcPr>
          <w:p w14:paraId="4C3059FA" w14:textId="1E98FB84" w:rsidR="00617E9C" w:rsidRPr="008C77E4" w:rsidRDefault="00617E9C" w:rsidP="00617E9C">
            <w:pPr>
              <w:rPr>
                <w:rFonts w:ascii="Georgia" w:hAnsi="Georgia" w:cs="Arial"/>
                <w:color w:val="404040" w:themeColor="text1" w:themeTint="BF"/>
                <w:sz w:val="20"/>
                <w:szCs w:val="20"/>
                <w:lang w:eastAsia="en-GB"/>
              </w:rPr>
            </w:pPr>
            <w:r w:rsidRPr="008C77E4">
              <w:rPr>
                <w:rFonts w:ascii="Georgia" w:hAnsi="Georgia" w:cs="Arial"/>
                <w:color w:val="404040" w:themeColor="text1" w:themeTint="BF"/>
                <w:sz w:val="20"/>
                <w:szCs w:val="20"/>
                <w:lang w:eastAsia="en-GB"/>
              </w:rPr>
              <w:t xml:space="preserve">Income from investments </w:t>
            </w:r>
          </w:p>
        </w:tc>
        <w:tc>
          <w:tcPr>
            <w:tcW w:w="1227" w:type="pct"/>
            <w:tcBorders>
              <w:top w:val="nil"/>
              <w:left w:val="nil"/>
              <w:bottom w:val="nil"/>
              <w:right w:val="nil"/>
            </w:tcBorders>
            <w:shd w:val="clear" w:color="auto" w:fill="auto"/>
            <w:noWrap/>
            <w:vAlign w:val="center"/>
          </w:tcPr>
          <w:p w14:paraId="75F897CB" w14:textId="3C2B7F51" w:rsidR="00617E9C" w:rsidRPr="0058156E" w:rsidRDefault="004F4E1C" w:rsidP="00617E9C">
            <w:pPr>
              <w:jc w:val="right"/>
              <w:rPr>
                <w:rFonts w:ascii="Georgia" w:hAnsi="Georgia" w:cs="Arial"/>
                <w:color w:val="404040" w:themeColor="text1" w:themeTint="BF"/>
                <w:sz w:val="20"/>
                <w:szCs w:val="20"/>
                <w:lang w:eastAsia="en-GB"/>
              </w:rPr>
            </w:pPr>
            <w:r w:rsidRPr="0058156E">
              <w:rPr>
                <w:rFonts w:ascii="Georgia" w:hAnsi="Georgia" w:cs="Arial"/>
                <w:color w:val="404040" w:themeColor="text1" w:themeTint="BF"/>
                <w:sz w:val="20"/>
                <w:szCs w:val="20"/>
                <w:lang w:eastAsia="en-GB"/>
              </w:rPr>
              <w:t>725</w:t>
            </w:r>
          </w:p>
        </w:tc>
        <w:tc>
          <w:tcPr>
            <w:tcW w:w="1030" w:type="pct"/>
            <w:tcBorders>
              <w:top w:val="nil"/>
              <w:left w:val="nil"/>
              <w:bottom w:val="nil"/>
              <w:right w:val="nil"/>
            </w:tcBorders>
            <w:vAlign w:val="center"/>
          </w:tcPr>
          <w:p w14:paraId="5CE44DFD" w14:textId="62A713B0" w:rsidR="00617E9C" w:rsidRPr="008C77E4" w:rsidRDefault="004F4E1C" w:rsidP="00617E9C">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725</w:t>
            </w:r>
          </w:p>
        </w:tc>
      </w:tr>
      <w:tr w:rsidR="00617E9C" w:rsidRPr="008C77E4" w14:paraId="757A6DBE" w14:textId="77777777" w:rsidTr="00102A3D">
        <w:trPr>
          <w:trHeight w:val="255"/>
        </w:trPr>
        <w:tc>
          <w:tcPr>
            <w:tcW w:w="2743" w:type="pct"/>
            <w:tcBorders>
              <w:top w:val="nil"/>
              <w:left w:val="nil"/>
              <w:bottom w:val="nil"/>
              <w:right w:val="nil"/>
            </w:tcBorders>
            <w:shd w:val="clear" w:color="auto" w:fill="auto"/>
            <w:noWrap/>
            <w:vAlign w:val="center"/>
          </w:tcPr>
          <w:p w14:paraId="204DACC2" w14:textId="77777777" w:rsidR="00617E9C" w:rsidRPr="008C77E4" w:rsidRDefault="00617E9C" w:rsidP="00617E9C">
            <w:pPr>
              <w:rPr>
                <w:rFonts w:ascii="Georgia" w:hAnsi="Georgia" w:cs="Arial"/>
                <w:color w:val="404040" w:themeColor="text1" w:themeTint="BF"/>
                <w:sz w:val="20"/>
                <w:szCs w:val="20"/>
                <w:lang w:eastAsia="en-GB"/>
              </w:rPr>
            </w:pPr>
            <w:r w:rsidRPr="008C77E4">
              <w:rPr>
                <w:rFonts w:ascii="Georgia" w:hAnsi="Georgia" w:cs="Arial"/>
                <w:color w:val="404040" w:themeColor="text1" w:themeTint="BF"/>
                <w:sz w:val="20"/>
                <w:szCs w:val="20"/>
                <w:lang w:eastAsia="en-GB"/>
              </w:rPr>
              <w:t>Other receivables</w:t>
            </w:r>
          </w:p>
        </w:tc>
        <w:tc>
          <w:tcPr>
            <w:tcW w:w="1227" w:type="pct"/>
            <w:tcBorders>
              <w:top w:val="nil"/>
              <w:left w:val="nil"/>
              <w:bottom w:val="nil"/>
              <w:right w:val="nil"/>
            </w:tcBorders>
            <w:shd w:val="clear" w:color="auto" w:fill="auto"/>
            <w:noWrap/>
            <w:vAlign w:val="center"/>
          </w:tcPr>
          <w:p w14:paraId="5EE957AE" w14:textId="003637CF" w:rsidR="00617E9C" w:rsidRPr="0058156E" w:rsidRDefault="0058156E" w:rsidP="00617E9C">
            <w:pPr>
              <w:jc w:val="right"/>
              <w:rPr>
                <w:rFonts w:ascii="Georgia" w:hAnsi="Georgia" w:cs="Arial"/>
                <w:color w:val="404040" w:themeColor="text1" w:themeTint="BF"/>
                <w:sz w:val="20"/>
                <w:szCs w:val="20"/>
                <w:lang w:eastAsia="en-GB"/>
              </w:rPr>
            </w:pPr>
            <w:r w:rsidRPr="0058156E">
              <w:rPr>
                <w:rFonts w:ascii="Georgia" w:hAnsi="Georgia" w:cs="Arial"/>
                <w:color w:val="404040" w:themeColor="text1" w:themeTint="BF"/>
                <w:sz w:val="20"/>
                <w:szCs w:val="20"/>
                <w:lang w:eastAsia="en-GB"/>
              </w:rPr>
              <w:t>1</w:t>
            </w:r>
            <w:r w:rsidR="004F4E1C" w:rsidRPr="0058156E">
              <w:rPr>
                <w:rFonts w:ascii="Georgia" w:hAnsi="Georgia" w:cs="Arial"/>
                <w:color w:val="404040" w:themeColor="text1" w:themeTint="BF"/>
                <w:sz w:val="20"/>
                <w:szCs w:val="20"/>
                <w:lang w:eastAsia="en-GB"/>
              </w:rPr>
              <w:t>2</w:t>
            </w:r>
          </w:p>
        </w:tc>
        <w:tc>
          <w:tcPr>
            <w:tcW w:w="1030" w:type="pct"/>
            <w:tcBorders>
              <w:top w:val="nil"/>
              <w:left w:val="nil"/>
              <w:bottom w:val="nil"/>
              <w:right w:val="nil"/>
            </w:tcBorders>
            <w:vAlign w:val="center"/>
          </w:tcPr>
          <w:p w14:paraId="38D599CF" w14:textId="1C1542DA" w:rsidR="00617E9C" w:rsidRPr="008C77E4" w:rsidRDefault="00FA22B4" w:rsidP="00617E9C">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23</w:t>
            </w:r>
          </w:p>
        </w:tc>
      </w:tr>
      <w:tr w:rsidR="00617E9C" w:rsidRPr="008C77E4" w14:paraId="74061984" w14:textId="77777777" w:rsidTr="00102A3D">
        <w:trPr>
          <w:trHeight w:val="255"/>
        </w:trPr>
        <w:tc>
          <w:tcPr>
            <w:tcW w:w="2743" w:type="pct"/>
            <w:tcBorders>
              <w:top w:val="nil"/>
              <w:left w:val="nil"/>
              <w:bottom w:val="nil"/>
              <w:right w:val="nil"/>
            </w:tcBorders>
            <w:shd w:val="clear" w:color="auto" w:fill="auto"/>
            <w:noWrap/>
            <w:vAlign w:val="center"/>
            <w:hideMark/>
          </w:tcPr>
          <w:p w14:paraId="74D1002A" w14:textId="77777777" w:rsidR="00617E9C" w:rsidRPr="008C77E4" w:rsidRDefault="00617E9C" w:rsidP="00617E9C">
            <w:pPr>
              <w:rPr>
                <w:rFonts w:ascii="Georgia" w:hAnsi="Georgia" w:cs="Arial"/>
                <w:color w:val="404040" w:themeColor="text1" w:themeTint="BF"/>
                <w:sz w:val="20"/>
                <w:szCs w:val="20"/>
                <w:lang w:eastAsia="en-GB"/>
              </w:rPr>
            </w:pPr>
            <w:r w:rsidRPr="008C77E4">
              <w:rPr>
                <w:rFonts w:ascii="Georgia" w:hAnsi="Georgia" w:cs="Arial"/>
                <w:color w:val="404040" w:themeColor="text1" w:themeTint="BF"/>
                <w:sz w:val="20"/>
                <w:szCs w:val="20"/>
                <w:lang w:eastAsia="en-GB"/>
              </w:rPr>
              <w:t>Prepayments</w:t>
            </w:r>
          </w:p>
        </w:tc>
        <w:tc>
          <w:tcPr>
            <w:tcW w:w="1227" w:type="pct"/>
            <w:tcBorders>
              <w:top w:val="nil"/>
              <w:left w:val="nil"/>
              <w:bottom w:val="nil"/>
              <w:right w:val="nil"/>
            </w:tcBorders>
            <w:shd w:val="clear" w:color="auto" w:fill="auto"/>
            <w:noWrap/>
            <w:vAlign w:val="center"/>
          </w:tcPr>
          <w:p w14:paraId="11004C10" w14:textId="19D1C77F" w:rsidR="00617E9C" w:rsidRPr="0058156E" w:rsidRDefault="0058156E" w:rsidP="00617E9C">
            <w:pPr>
              <w:jc w:val="right"/>
              <w:rPr>
                <w:rFonts w:ascii="Georgia" w:hAnsi="Georgia" w:cs="Arial"/>
                <w:color w:val="404040" w:themeColor="text1" w:themeTint="BF"/>
                <w:sz w:val="20"/>
                <w:szCs w:val="20"/>
                <w:lang w:eastAsia="en-GB"/>
              </w:rPr>
            </w:pPr>
            <w:r w:rsidRPr="0058156E">
              <w:rPr>
                <w:rFonts w:ascii="Georgia" w:hAnsi="Georgia" w:cs="Arial"/>
                <w:color w:val="404040" w:themeColor="text1" w:themeTint="BF"/>
                <w:sz w:val="20"/>
                <w:szCs w:val="20"/>
                <w:lang w:eastAsia="en-GB"/>
              </w:rPr>
              <w:t>31</w:t>
            </w:r>
          </w:p>
        </w:tc>
        <w:tc>
          <w:tcPr>
            <w:tcW w:w="1030" w:type="pct"/>
            <w:tcBorders>
              <w:top w:val="nil"/>
              <w:left w:val="nil"/>
              <w:bottom w:val="nil"/>
              <w:right w:val="nil"/>
            </w:tcBorders>
            <w:vAlign w:val="center"/>
          </w:tcPr>
          <w:p w14:paraId="5372BE94" w14:textId="4BF2DB97" w:rsidR="00617E9C" w:rsidRPr="008C77E4" w:rsidRDefault="004F4E1C" w:rsidP="00617E9C">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20</w:t>
            </w:r>
          </w:p>
        </w:tc>
      </w:tr>
      <w:tr w:rsidR="00617E9C" w:rsidRPr="008C77E4" w14:paraId="5DCAF4CD" w14:textId="77777777" w:rsidTr="00102A3D">
        <w:trPr>
          <w:trHeight w:val="270"/>
        </w:trPr>
        <w:tc>
          <w:tcPr>
            <w:tcW w:w="2743" w:type="pct"/>
            <w:tcBorders>
              <w:top w:val="nil"/>
              <w:left w:val="nil"/>
              <w:bottom w:val="nil"/>
              <w:right w:val="nil"/>
            </w:tcBorders>
            <w:shd w:val="clear" w:color="auto" w:fill="auto"/>
            <w:noWrap/>
            <w:vAlign w:val="bottom"/>
            <w:hideMark/>
          </w:tcPr>
          <w:p w14:paraId="290DD06B" w14:textId="77777777" w:rsidR="00617E9C" w:rsidRPr="008C77E4" w:rsidRDefault="00617E9C" w:rsidP="00617E9C">
            <w:pPr>
              <w:rPr>
                <w:rFonts w:ascii="Georgia" w:hAnsi="Georgia" w:cs="Arial"/>
                <w:color w:val="404040" w:themeColor="text1" w:themeTint="BF"/>
                <w:sz w:val="20"/>
                <w:szCs w:val="20"/>
                <w:lang w:eastAsia="en-GB"/>
              </w:rPr>
            </w:pPr>
          </w:p>
        </w:tc>
        <w:tc>
          <w:tcPr>
            <w:tcW w:w="1227" w:type="pct"/>
            <w:tcBorders>
              <w:top w:val="single" w:sz="8" w:space="0" w:color="auto"/>
              <w:left w:val="nil"/>
              <w:bottom w:val="double" w:sz="6" w:space="0" w:color="auto"/>
              <w:right w:val="nil"/>
            </w:tcBorders>
            <w:shd w:val="clear" w:color="auto" w:fill="auto"/>
            <w:noWrap/>
            <w:vAlign w:val="center"/>
          </w:tcPr>
          <w:p w14:paraId="12016F44" w14:textId="29EF62EF" w:rsidR="00617E9C" w:rsidRPr="0058156E" w:rsidRDefault="0058156E" w:rsidP="00617E9C">
            <w:pPr>
              <w:jc w:val="right"/>
              <w:rPr>
                <w:rFonts w:ascii="Georgia" w:hAnsi="Georgia" w:cs="Arial"/>
                <w:b/>
                <w:bCs/>
                <w:color w:val="404040" w:themeColor="text1" w:themeTint="BF"/>
                <w:sz w:val="20"/>
                <w:szCs w:val="20"/>
                <w:lang w:eastAsia="en-GB"/>
              </w:rPr>
            </w:pPr>
            <w:r w:rsidRPr="0058156E">
              <w:rPr>
                <w:rFonts w:ascii="Georgia" w:hAnsi="Georgia" w:cs="Arial"/>
                <w:b/>
                <w:bCs/>
                <w:color w:val="404040" w:themeColor="text1" w:themeTint="BF"/>
                <w:sz w:val="20"/>
                <w:szCs w:val="20"/>
                <w:lang w:eastAsia="en-GB"/>
              </w:rPr>
              <w:t>768</w:t>
            </w:r>
          </w:p>
        </w:tc>
        <w:tc>
          <w:tcPr>
            <w:tcW w:w="1030" w:type="pct"/>
            <w:tcBorders>
              <w:top w:val="single" w:sz="8" w:space="0" w:color="auto"/>
              <w:left w:val="nil"/>
              <w:bottom w:val="double" w:sz="6" w:space="0" w:color="auto"/>
              <w:right w:val="nil"/>
            </w:tcBorders>
            <w:vAlign w:val="center"/>
          </w:tcPr>
          <w:p w14:paraId="5C1647BD" w14:textId="6DA2BADE" w:rsidR="00617E9C" w:rsidRPr="008C77E4" w:rsidRDefault="00FA22B4" w:rsidP="004F4E1C">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768</w:t>
            </w:r>
          </w:p>
        </w:tc>
      </w:tr>
    </w:tbl>
    <w:p w14:paraId="4E1E3FD4" w14:textId="77777777" w:rsidR="006C2EC2" w:rsidRPr="008C77E4" w:rsidRDefault="006C2EC2" w:rsidP="006C2EC2">
      <w:pPr>
        <w:pStyle w:val="body"/>
        <w:spacing w:line="240" w:lineRule="auto"/>
      </w:pPr>
    </w:p>
    <w:p w14:paraId="79837C4F" w14:textId="77777777" w:rsidR="006C2EC2" w:rsidRPr="008C77E4" w:rsidRDefault="006C2EC2" w:rsidP="006C2EC2">
      <w:pPr>
        <w:pStyle w:val="body"/>
        <w:spacing w:line="240" w:lineRule="auto"/>
      </w:pPr>
      <w:r w:rsidRPr="008C77E4">
        <w:t>There are no other material past due or impaired receivable balances outstanding at the period end.</w:t>
      </w:r>
    </w:p>
    <w:p w14:paraId="4444C9CD" w14:textId="77777777" w:rsidR="006C2EC2" w:rsidRPr="008C77E4" w:rsidRDefault="006C2EC2" w:rsidP="006C2EC2">
      <w:pPr>
        <w:pStyle w:val="body"/>
        <w:spacing w:line="240" w:lineRule="auto"/>
        <w:rPr>
          <w:b/>
        </w:rPr>
      </w:pPr>
      <w:r w:rsidRPr="008C77E4">
        <w:rPr>
          <w:b/>
        </w:rPr>
        <w:t xml:space="preserve"> </w:t>
      </w:r>
    </w:p>
    <w:p w14:paraId="1DFE94EB" w14:textId="77777777" w:rsidR="006C2EC2" w:rsidRPr="008C77E4" w:rsidRDefault="006C2EC2" w:rsidP="006C2EC2">
      <w:pPr>
        <w:pStyle w:val="body"/>
        <w:spacing w:line="240" w:lineRule="auto"/>
      </w:pPr>
      <w:r w:rsidRPr="008C77E4">
        <w:t>The Directors consider that the carrying amount of all receivables approximates to their fair value.</w:t>
      </w:r>
    </w:p>
    <w:p w14:paraId="4AA3ADDF" w14:textId="77777777" w:rsidR="006C2EC2" w:rsidRPr="008C77E4" w:rsidRDefault="006C2EC2" w:rsidP="006C2EC2">
      <w:pPr>
        <w:rPr>
          <w:rFonts w:ascii="Georgia" w:hAnsi="Georgia" w:cs="Calibri"/>
          <w:b/>
          <w:color w:val="404040" w:themeColor="text1" w:themeTint="BF"/>
          <w:sz w:val="20"/>
        </w:rPr>
      </w:pPr>
    </w:p>
    <w:p w14:paraId="1CB61955" w14:textId="49F41B34" w:rsidR="000F51FA" w:rsidRPr="00384BCB" w:rsidRDefault="00E42A95" w:rsidP="000F51FA">
      <w:pPr>
        <w:rPr>
          <w:color w:val="404040" w:themeColor="text1" w:themeTint="BF"/>
        </w:rPr>
      </w:pPr>
      <w:r w:rsidRPr="00E42A95">
        <w:rPr>
          <w:rFonts w:ascii="Georgia" w:hAnsi="Georgia" w:cs="Calibri"/>
          <w:b/>
          <w:color w:val="404040" w:themeColor="text1" w:themeTint="BF"/>
          <w:sz w:val="20"/>
        </w:rPr>
        <w:t>1</w:t>
      </w:r>
      <w:r w:rsidR="006C2EC2">
        <w:rPr>
          <w:rFonts w:ascii="Georgia" w:hAnsi="Georgia" w:cs="Calibri"/>
          <w:b/>
          <w:color w:val="404040" w:themeColor="text1" w:themeTint="BF"/>
          <w:sz w:val="20"/>
        </w:rPr>
        <w:t>0</w:t>
      </w:r>
      <w:r w:rsidRPr="00E42A95">
        <w:rPr>
          <w:rFonts w:ascii="Georgia" w:hAnsi="Georgia" w:cs="Calibri"/>
          <w:b/>
          <w:color w:val="404040" w:themeColor="text1" w:themeTint="BF"/>
          <w:sz w:val="20"/>
        </w:rPr>
        <w:t>.  Cash and cash equivalents</w:t>
      </w:r>
    </w:p>
    <w:p w14:paraId="10F6867B" w14:textId="77777777" w:rsidR="00E42A95" w:rsidRDefault="00E42A95" w:rsidP="00E42A95">
      <w:pPr>
        <w:pStyle w:val="BluefieldBody"/>
      </w:pPr>
    </w:p>
    <w:p w14:paraId="5C91E3CA" w14:textId="1775D3D5" w:rsidR="00E42A95" w:rsidRDefault="000F51FA" w:rsidP="00E42A95">
      <w:pPr>
        <w:pStyle w:val="BluefieldBody"/>
        <w:rPr>
          <w:b/>
        </w:rPr>
      </w:pPr>
      <w:r w:rsidRPr="00615E01">
        <w:t xml:space="preserve">Cash and cash equivalents comprise cash held by the </w:t>
      </w:r>
      <w:r w:rsidR="00001A24">
        <w:t>Company</w:t>
      </w:r>
      <w:r w:rsidRPr="00615E01">
        <w:t xml:space="preserve"> and short</w:t>
      </w:r>
      <w:r w:rsidR="00A379B0">
        <w:t xml:space="preserve"> </w:t>
      </w:r>
      <w:r w:rsidRPr="00615E01">
        <w:t xml:space="preserve">term bank deposits </w:t>
      </w:r>
      <w:r w:rsidRPr="00457208">
        <w:t>held with maturities of up to th</w:t>
      </w:r>
      <w:r w:rsidR="00001A24" w:rsidRPr="00457208">
        <w:t>ree months. The carrying amount</w:t>
      </w:r>
      <w:r w:rsidRPr="00457208">
        <w:t xml:space="preserve"> of these assets</w:t>
      </w:r>
      <w:r w:rsidR="00001A24" w:rsidRPr="00457208">
        <w:t xml:space="preserve"> as at 30 June </w:t>
      </w:r>
      <w:r w:rsidR="00904E51" w:rsidRPr="00457208">
        <w:t>2020</w:t>
      </w:r>
      <w:r w:rsidR="00001A24" w:rsidRPr="00457208">
        <w:t xml:space="preserve"> was </w:t>
      </w:r>
      <w:r w:rsidR="00617E9C" w:rsidRPr="00457208">
        <w:t>£</w:t>
      </w:r>
      <w:r w:rsidR="00457208" w:rsidRPr="00457208">
        <w:t>746</w:t>
      </w:r>
      <w:r w:rsidR="00457208">
        <w:t>,501</w:t>
      </w:r>
      <w:r w:rsidR="00617E9C">
        <w:t xml:space="preserve"> </w:t>
      </w:r>
      <w:r w:rsidR="00001A24">
        <w:t>(</w:t>
      </w:r>
      <w:r w:rsidR="00904E51">
        <w:t>2019</w:t>
      </w:r>
      <w:r w:rsidR="00001A24">
        <w:t xml:space="preserve">: </w:t>
      </w:r>
      <w:r w:rsidR="00FB1E21">
        <w:t>£</w:t>
      </w:r>
      <w:r w:rsidR="00473857">
        <w:t>277,876</w:t>
      </w:r>
      <w:r w:rsidR="00001A24">
        <w:t>) and</w:t>
      </w:r>
      <w:r w:rsidRPr="00615E01">
        <w:t xml:space="preserve"> approximate</w:t>
      </w:r>
      <w:r w:rsidR="00001A24">
        <w:t>d</w:t>
      </w:r>
      <w:r w:rsidRPr="00615E01">
        <w:t xml:space="preserve"> their fair value. </w:t>
      </w:r>
      <w:r w:rsidR="006C3C0C">
        <w:t xml:space="preserve">Cash held by BSIFIL, the Company’s </w:t>
      </w:r>
      <w:r w:rsidR="00453A4E">
        <w:t>wholly owned</w:t>
      </w:r>
      <w:r w:rsidR="00453FA1">
        <w:t xml:space="preserve"> subsidiary, as at 30 June </w:t>
      </w:r>
      <w:r w:rsidR="00904E51">
        <w:t>2020</w:t>
      </w:r>
      <w:r w:rsidR="006C3C0C">
        <w:t xml:space="preserve"> is shown in Note 8.</w:t>
      </w:r>
    </w:p>
    <w:p w14:paraId="63DCA4AE" w14:textId="77777777" w:rsidR="00F80024" w:rsidRDefault="00F80024" w:rsidP="000F51FA">
      <w:pPr>
        <w:jc w:val="both"/>
        <w:rPr>
          <w:lang w:eastAsia="en-GB"/>
        </w:rPr>
      </w:pPr>
    </w:p>
    <w:p w14:paraId="559A60F5" w14:textId="77777777" w:rsidR="006C2EC2" w:rsidRPr="006C2EC2" w:rsidRDefault="006C2EC2" w:rsidP="006C2EC2">
      <w:pPr>
        <w:rPr>
          <w:rFonts w:ascii="Georgia" w:hAnsi="Georgia" w:cs="Calibri"/>
          <w:b/>
          <w:color w:val="404040" w:themeColor="text1" w:themeTint="BF"/>
          <w:sz w:val="20"/>
        </w:rPr>
      </w:pPr>
      <w:r w:rsidRPr="006C2EC2">
        <w:rPr>
          <w:rFonts w:ascii="Georgia" w:hAnsi="Georgia" w:cs="Calibri"/>
          <w:b/>
          <w:color w:val="404040" w:themeColor="text1" w:themeTint="BF"/>
          <w:sz w:val="20"/>
        </w:rPr>
        <w:t xml:space="preserve">11. </w:t>
      </w:r>
      <w:r w:rsidRPr="006C2EC2">
        <w:rPr>
          <w:rFonts w:ascii="Georgia" w:hAnsi="Georgia" w:cs="Calibri"/>
          <w:b/>
          <w:color w:val="404040" w:themeColor="text1" w:themeTint="BF"/>
          <w:sz w:val="20"/>
        </w:rPr>
        <w:tab/>
        <w:t>Other payables and accrued expenses</w:t>
      </w:r>
    </w:p>
    <w:p w14:paraId="1E8679C3" w14:textId="77777777" w:rsidR="006C2EC2" w:rsidRPr="006C2EC2" w:rsidRDefault="006C2EC2" w:rsidP="006C2EC2">
      <w:pPr>
        <w:rPr>
          <w:rFonts w:ascii="Georgia" w:hAnsi="Georgia" w:cs="Calibri"/>
          <w:b/>
          <w:color w:val="404040" w:themeColor="text1" w:themeTint="BF"/>
          <w:sz w:val="20"/>
        </w:rPr>
      </w:pPr>
    </w:p>
    <w:tbl>
      <w:tblPr>
        <w:tblW w:w="5000" w:type="pct"/>
        <w:tblLayout w:type="fixed"/>
        <w:tblLook w:val="04A0" w:firstRow="1" w:lastRow="0" w:firstColumn="1" w:lastColumn="0" w:noHBand="0" w:noVBand="1"/>
      </w:tblPr>
      <w:tblGrid>
        <w:gridCol w:w="5566"/>
        <w:gridCol w:w="69"/>
        <w:gridCol w:w="2087"/>
        <w:gridCol w:w="1638"/>
      </w:tblGrid>
      <w:tr w:rsidR="006C2EC2" w:rsidRPr="006C2EC2" w14:paraId="5980DFCB" w14:textId="77777777" w:rsidTr="00102A3D">
        <w:trPr>
          <w:trHeight w:val="255"/>
        </w:trPr>
        <w:tc>
          <w:tcPr>
            <w:tcW w:w="2973" w:type="pct"/>
            <w:tcBorders>
              <w:top w:val="nil"/>
              <w:left w:val="nil"/>
              <w:bottom w:val="nil"/>
              <w:right w:val="nil"/>
            </w:tcBorders>
            <w:shd w:val="clear" w:color="auto" w:fill="auto"/>
            <w:noWrap/>
            <w:vAlign w:val="bottom"/>
            <w:hideMark/>
          </w:tcPr>
          <w:p w14:paraId="27F9F0C1" w14:textId="77777777" w:rsidR="006C2EC2" w:rsidRPr="006C2EC2" w:rsidRDefault="006C2EC2" w:rsidP="006C2EC2">
            <w:pPr>
              <w:rPr>
                <w:rFonts w:ascii="Georgia" w:hAnsi="Georgia"/>
                <w:color w:val="404040" w:themeColor="text1" w:themeTint="BF"/>
                <w:sz w:val="20"/>
              </w:rPr>
            </w:pPr>
          </w:p>
        </w:tc>
        <w:tc>
          <w:tcPr>
            <w:tcW w:w="1152" w:type="pct"/>
            <w:gridSpan w:val="2"/>
            <w:tcBorders>
              <w:top w:val="nil"/>
              <w:left w:val="nil"/>
              <w:bottom w:val="nil"/>
              <w:right w:val="nil"/>
            </w:tcBorders>
            <w:shd w:val="clear" w:color="auto" w:fill="auto"/>
            <w:noWrap/>
            <w:vAlign w:val="bottom"/>
            <w:hideMark/>
          </w:tcPr>
          <w:p w14:paraId="217777F3" w14:textId="7D4C6778" w:rsidR="006C2EC2" w:rsidRPr="006C2EC2" w:rsidRDefault="001F1437" w:rsidP="00665AEF">
            <w:pPr>
              <w:jc w:val="right"/>
              <w:rPr>
                <w:rFonts w:ascii="Georgia" w:hAnsi="Georgia"/>
                <w:b/>
                <w:color w:val="404040" w:themeColor="text1" w:themeTint="BF"/>
                <w:sz w:val="20"/>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875" w:type="pct"/>
            <w:tcBorders>
              <w:top w:val="nil"/>
              <w:left w:val="nil"/>
              <w:bottom w:val="nil"/>
              <w:right w:val="nil"/>
            </w:tcBorders>
            <w:shd w:val="clear" w:color="auto" w:fill="auto"/>
            <w:noWrap/>
            <w:vAlign w:val="bottom"/>
            <w:hideMark/>
          </w:tcPr>
          <w:p w14:paraId="0D0A26D8" w14:textId="709E8344" w:rsidR="006C2EC2" w:rsidRPr="006C2EC2" w:rsidRDefault="006C2EC2" w:rsidP="00665AEF">
            <w:pPr>
              <w:jc w:val="right"/>
              <w:rPr>
                <w:rFonts w:ascii="Georgia" w:hAnsi="Georgia"/>
                <w:b/>
                <w:color w:val="404040" w:themeColor="text1" w:themeTint="BF"/>
                <w:sz w:val="20"/>
              </w:rPr>
            </w:pPr>
            <w:r w:rsidRPr="006C2EC2">
              <w:rPr>
                <w:rFonts w:ascii="Georgia" w:hAnsi="Georgia"/>
                <w:b/>
                <w:color w:val="404040" w:themeColor="text1" w:themeTint="BF"/>
                <w:sz w:val="20"/>
              </w:rPr>
              <w:t xml:space="preserve">30 June </w:t>
            </w:r>
            <w:r w:rsidR="00904E51">
              <w:rPr>
                <w:rFonts w:ascii="Georgia" w:hAnsi="Georgia"/>
                <w:b/>
                <w:color w:val="404040" w:themeColor="text1" w:themeTint="BF"/>
                <w:sz w:val="20"/>
              </w:rPr>
              <w:t>2019</w:t>
            </w:r>
          </w:p>
        </w:tc>
      </w:tr>
      <w:tr w:rsidR="006C2EC2" w:rsidRPr="006C2EC2" w14:paraId="26A3D288" w14:textId="77777777" w:rsidTr="00102A3D">
        <w:trPr>
          <w:trHeight w:val="255"/>
        </w:trPr>
        <w:tc>
          <w:tcPr>
            <w:tcW w:w="2973" w:type="pct"/>
            <w:tcBorders>
              <w:top w:val="nil"/>
              <w:left w:val="nil"/>
              <w:bottom w:val="nil"/>
              <w:right w:val="nil"/>
            </w:tcBorders>
            <w:shd w:val="clear" w:color="auto" w:fill="auto"/>
            <w:noWrap/>
            <w:vAlign w:val="bottom"/>
            <w:hideMark/>
          </w:tcPr>
          <w:p w14:paraId="401658D8" w14:textId="77777777" w:rsidR="006C2EC2" w:rsidRPr="006C2EC2" w:rsidRDefault="006C2EC2" w:rsidP="006C2EC2">
            <w:pPr>
              <w:rPr>
                <w:rFonts w:ascii="Georgia" w:hAnsi="Georgia" w:cs="Arial"/>
                <w:color w:val="404040" w:themeColor="text1" w:themeTint="BF"/>
                <w:sz w:val="20"/>
                <w:szCs w:val="20"/>
              </w:rPr>
            </w:pPr>
          </w:p>
        </w:tc>
        <w:tc>
          <w:tcPr>
            <w:tcW w:w="1152" w:type="pct"/>
            <w:gridSpan w:val="2"/>
            <w:tcBorders>
              <w:top w:val="nil"/>
              <w:left w:val="nil"/>
              <w:bottom w:val="nil"/>
              <w:right w:val="nil"/>
            </w:tcBorders>
            <w:shd w:val="clear" w:color="auto" w:fill="auto"/>
            <w:noWrap/>
            <w:vAlign w:val="center"/>
            <w:hideMark/>
          </w:tcPr>
          <w:p w14:paraId="345B381A" w14:textId="1DE582D8" w:rsidR="006C2EC2" w:rsidRPr="006C2EC2" w:rsidRDefault="006C2EC2" w:rsidP="006C2EC2">
            <w:pPr>
              <w:jc w:val="right"/>
              <w:rPr>
                <w:rFonts w:ascii="Georgia" w:hAnsi="Georgia" w:cs="Arial"/>
                <w:b/>
                <w:bCs/>
                <w:color w:val="404040" w:themeColor="text1" w:themeTint="BF"/>
                <w:sz w:val="20"/>
                <w:szCs w:val="20"/>
              </w:rPr>
            </w:pPr>
            <w:r w:rsidRPr="006C2EC2">
              <w:rPr>
                <w:rFonts w:ascii="Georgia" w:hAnsi="Georgia" w:cs="Arial"/>
                <w:b/>
                <w:bCs/>
                <w:color w:val="404040" w:themeColor="text1" w:themeTint="BF"/>
                <w:sz w:val="20"/>
                <w:szCs w:val="20"/>
              </w:rPr>
              <w:t>£</w:t>
            </w:r>
            <w:r w:rsidR="00E42D50">
              <w:rPr>
                <w:rFonts w:ascii="Georgia" w:hAnsi="Georgia" w:cs="Arial"/>
                <w:b/>
                <w:bCs/>
                <w:color w:val="404040" w:themeColor="text1" w:themeTint="BF"/>
                <w:sz w:val="20"/>
                <w:szCs w:val="20"/>
              </w:rPr>
              <w:t>’000</w:t>
            </w:r>
          </w:p>
        </w:tc>
        <w:tc>
          <w:tcPr>
            <w:tcW w:w="875" w:type="pct"/>
            <w:tcBorders>
              <w:top w:val="nil"/>
              <w:left w:val="nil"/>
              <w:bottom w:val="nil"/>
              <w:right w:val="nil"/>
            </w:tcBorders>
            <w:shd w:val="clear" w:color="auto" w:fill="auto"/>
            <w:noWrap/>
            <w:vAlign w:val="center"/>
            <w:hideMark/>
          </w:tcPr>
          <w:p w14:paraId="2A840AEC" w14:textId="110B1600" w:rsidR="006C2EC2" w:rsidRPr="006C2EC2" w:rsidRDefault="006C2EC2" w:rsidP="006C2EC2">
            <w:pPr>
              <w:jc w:val="right"/>
              <w:rPr>
                <w:rFonts w:ascii="Georgia" w:hAnsi="Georgia" w:cs="Arial"/>
                <w:b/>
                <w:bCs/>
                <w:color w:val="404040" w:themeColor="text1" w:themeTint="BF"/>
                <w:sz w:val="20"/>
                <w:szCs w:val="20"/>
              </w:rPr>
            </w:pPr>
            <w:r w:rsidRPr="006C2EC2">
              <w:rPr>
                <w:rFonts w:ascii="Georgia" w:hAnsi="Georgia" w:cs="Arial"/>
                <w:b/>
                <w:bCs/>
                <w:color w:val="404040" w:themeColor="text1" w:themeTint="BF"/>
                <w:sz w:val="20"/>
                <w:szCs w:val="20"/>
              </w:rPr>
              <w:t>£</w:t>
            </w:r>
            <w:r w:rsidR="00E42D50">
              <w:rPr>
                <w:rFonts w:ascii="Georgia" w:hAnsi="Georgia" w:cs="Arial"/>
                <w:b/>
                <w:bCs/>
                <w:color w:val="404040" w:themeColor="text1" w:themeTint="BF"/>
                <w:sz w:val="20"/>
                <w:szCs w:val="20"/>
              </w:rPr>
              <w:t>’000</w:t>
            </w:r>
          </w:p>
        </w:tc>
      </w:tr>
      <w:tr w:rsidR="006C2EC2" w:rsidRPr="006C2EC2" w14:paraId="6D76DFE4" w14:textId="77777777" w:rsidTr="00102A3D">
        <w:trPr>
          <w:trHeight w:val="255"/>
        </w:trPr>
        <w:tc>
          <w:tcPr>
            <w:tcW w:w="3010" w:type="pct"/>
            <w:gridSpan w:val="2"/>
            <w:tcBorders>
              <w:top w:val="nil"/>
              <w:left w:val="nil"/>
              <w:bottom w:val="nil"/>
              <w:right w:val="nil"/>
            </w:tcBorders>
            <w:shd w:val="clear" w:color="auto" w:fill="auto"/>
            <w:noWrap/>
            <w:vAlign w:val="bottom"/>
            <w:hideMark/>
          </w:tcPr>
          <w:p w14:paraId="75D07A3A" w14:textId="77777777" w:rsidR="006C2EC2" w:rsidRPr="006C2EC2" w:rsidRDefault="006C2EC2" w:rsidP="006C2EC2">
            <w:pPr>
              <w:rPr>
                <w:rFonts w:ascii="Georgia" w:hAnsi="Georgia" w:cs="Arial"/>
                <w:b/>
                <w:bCs/>
                <w:color w:val="404040" w:themeColor="text1" w:themeTint="BF"/>
                <w:sz w:val="20"/>
                <w:szCs w:val="20"/>
              </w:rPr>
            </w:pPr>
            <w:r w:rsidRPr="006C2EC2">
              <w:rPr>
                <w:rFonts w:ascii="Georgia" w:hAnsi="Georgia" w:cs="Arial"/>
                <w:b/>
                <w:bCs/>
                <w:color w:val="404040" w:themeColor="text1" w:themeTint="BF"/>
                <w:sz w:val="20"/>
                <w:szCs w:val="20"/>
              </w:rPr>
              <w:t xml:space="preserve">Current liabilities </w:t>
            </w:r>
          </w:p>
        </w:tc>
        <w:tc>
          <w:tcPr>
            <w:tcW w:w="1115" w:type="pct"/>
            <w:tcBorders>
              <w:top w:val="nil"/>
              <w:left w:val="nil"/>
              <w:bottom w:val="nil"/>
              <w:right w:val="nil"/>
            </w:tcBorders>
            <w:shd w:val="clear" w:color="auto" w:fill="auto"/>
            <w:noWrap/>
            <w:vAlign w:val="center"/>
            <w:hideMark/>
          </w:tcPr>
          <w:p w14:paraId="59EE0691" w14:textId="77777777" w:rsidR="006C2EC2" w:rsidRPr="006C2EC2" w:rsidRDefault="006C2EC2" w:rsidP="006C2EC2">
            <w:pPr>
              <w:jc w:val="right"/>
              <w:rPr>
                <w:rFonts w:ascii="Georgia" w:hAnsi="Georgia" w:cs="Arial"/>
                <w:b/>
                <w:bCs/>
                <w:color w:val="404040" w:themeColor="text1" w:themeTint="BF"/>
                <w:sz w:val="20"/>
                <w:szCs w:val="20"/>
              </w:rPr>
            </w:pPr>
          </w:p>
        </w:tc>
        <w:tc>
          <w:tcPr>
            <w:tcW w:w="875" w:type="pct"/>
            <w:tcBorders>
              <w:top w:val="nil"/>
              <w:left w:val="nil"/>
              <w:bottom w:val="nil"/>
              <w:right w:val="nil"/>
            </w:tcBorders>
            <w:shd w:val="clear" w:color="auto" w:fill="auto"/>
            <w:noWrap/>
            <w:vAlign w:val="center"/>
            <w:hideMark/>
          </w:tcPr>
          <w:p w14:paraId="1B7EE07D" w14:textId="77777777" w:rsidR="006C2EC2" w:rsidRPr="006C2EC2" w:rsidRDefault="006C2EC2" w:rsidP="006C2EC2">
            <w:pPr>
              <w:jc w:val="right"/>
              <w:rPr>
                <w:rFonts w:ascii="Georgia" w:hAnsi="Georgia" w:cs="Arial"/>
                <w:b/>
                <w:bCs/>
                <w:color w:val="404040" w:themeColor="text1" w:themeTint="BF"/>
                <w:sz w:val="20"/>
                <w:szCs w:val="20"/>
              </w:rPr>
            </w:pPr>
          </w:p>
        </w:tc>
      </w:tr>
      <w:tr w:rsidR="00617E9C" w:rsidRPr="006C2EC2" w14:paraId="3055EDAD" w14:textId="77777777" w:rsidTr="00102A3D">
        <w:trPr>
          <w:trHeight w:val="255"/>
        </w:trPr>
        <w:tc>
          <w:tcPr>
            <w:tcW w:w="3010" w:type="pct"/>
            <w:gridSpan w:val="2"/>
            <w:tcBorders>
              <w:top w:val="nil"/>
              <w:left w:val="nil"/>
              <w:bottom w:val="nil"/>
              <w:right w:val="nil"/>
            </w:tcBorders>
            <w:shd w:val="clear" w:color="auto" w:fill="auto"/>
            <w:noWrap/>
            <w:vAlign w:val="center"/>
            <w:hideMark/>
          </w:tcPr>
          <w:p w14:paraId="04782EC9" w14:textId="77777777" w:rsidR="00617E9C" w:rsidRPr="006C2EC2" w:rsidRDefault="00617E9C" w:rsidP="00617E9C">
            <w:pPr>
              <w:rPr>
                <w:rFonts w:ascii="Georgia" w:hAnsi="Georgia"/>
                <w:color w:val="404040" w:themeColor="text1" w:themeTint="BF"/>
                <w:sz w:val="20"/>
              </w:rPr>
            </w:pPr>
            <w:r w:rsidRPr="006C2EC2">
              <w:rPr>
                <w:rFonts w:ascii="Georgia" w:hAnsi="Georgia"/>
                <w:color w:val="404040" w:themeColor="text1" w:themeTint="BF"/>
                <w:sz w:val="20"/>
              </w:rPr>
              <w:t>Investment advisory fees</w:t>
            </w:r>
          </w:p>
        </w:tc>
        <w:tc>
          <w:tcPr>
            <w:tcW w:w="1115" w:type="pct"/>
            <w:tcBorders>
              <w:top w:val="nil"/>
              <w:left w:val="nil"/>
              <w:bottom w:val="nil"/>
              <w:right w:val="nil"/>
            </w:tcBorders>
            <w:shd w:val="clear" w:color="auto" w:fill="auto"/>
            <w:noWrap/>
            <w:vAlign w:val="center"/>
          </w:tcPr>
          <w:p w14:paraId="11A7795D" w14:textId="0BD1017C" w:rsidR="00617E9C" w:rsidRPr="00942653" w:rsidRDefault="00E42D50" w:rsidP="00617E9C">
            <w:pPr>
              <w:jc w:val="right"/>
              <w:rPr>
                <w:rFonts w:ascii="Georgia" w:hAnsi="Georgia"/>
                <w:color w:val="404040" w:themeColor="text1" w:themeTint="BF"/>
                <w:sz w:val="20"/>
              </w:rPr>
            </w:pPr>
            <w:r w:rsidRPr="00942653">
              <w:rPr>
                <w:rFonts w:ascii="Georgia" w:hAnsi="Georgia"/>
                <w:color w:val="404040" w:themeColor="text1" w:themeTint="BF"/>
                <w:sz w:val="20"/>
              </w:rPr>
              <w:t>78</w:t>
            </w:r>
          </w:p>
        </w:tc>
        <w:tc>
          <w:tcPr>
            <w:tcW w:w="875" w:type="pct"/>
            <w:tcBorders>
              <w:top w:val="nil"/>
              <w:left w:val="nil"/>
              <w:bottom w:val="nil"/>
              <w:right w:val="nil"/>
            </w:tcBorders>
            <w:shd w:val="clear" w:color="auto" w:fill="auto"/>
            <w:noWrap/>
            <w:vAlign w:val="center"/>
          </w:tcPr>
          <w:p w14:paraId="60E79BEE" w14:textId="6D29F319" w:rsidR="00617E9C" w:rsidRPr="006C2EC2" w:rsidRDefault="00E42D50" w:rsidP="00617E9C">
            <w:pPr>
              <w:jc w:val="right"/>
              <w:rPr>
                <w:rFonts w:ascii="Georgia" w:hAnsi="Georgia"/>
                <w:color w:val="404040" w:themeColor="text1" w:themeTint="BF"/>
                <w:sz w:val="20"/>
              </w:rPr>
            </w:pPr>
            <w:r>
              <w:rPr>
                <w:rFonts w:ascii="Georgia" w:hAnsi="Georgia"/>
                <w:color w:val="404040" w:themeColor="text1" w:themeTint="BF"/>
                <w:sz w:val="20"/>
              </w:rPr>
              <w:t>78</w:t>
            </w:r>
          </w:p>
        </w:tc>
      </w:tr>
      <w:tr w:rsidR="00617E9C" w:rsidRPr="006C2EC2" w14:paraId="03B4CD66" w14:textId="77777777" w:rsidTr="00102A3D">
        <w:trPr>
          <w:trHeight w:val="255"/>
        </w:trPr>
        <w:tc>
          <w:tcPr>
            <w:tcW w:w="3010" w:type="pct"/>
            <w:gridSpan w:val="2"/>
            <w:tcBorders>
              <w:top w:val="nil"/>
              <w:left w:val="nil"/>
              <w:bottom w:val="nil"/>
              <w:right w:val="nil"/>
            </w:tcBorders>
            <w:shd w:val="clear" w:color="auto" w:fill="auto"/>
            <w:noWrap/>
            <w:vAlign w:val="center"/>
            <w:hideMark/>
          </w:tcPr>
          <w:p w14:paraId="6B8BD51F" w14:textId="77777777" w:rsidR="00617E9C" w:rsidRPr="006C2EC2" w:rsidRDefault="00617E9C" w:rsidP="00617E9C">
            <w:pPr>
              <w:rPr>
                <w:rFonts w:ascii="Georgia" w:hAnsi="Georgia"/>
                <w:color w:val="404040" w:themeColor="text1" w:themeTint="BF"/>
                <w:sz w:val="20"/>
              </w:rPr>
            </w:pPr>
            <w:r w:rsidRPr="006C2EC2">
              <w:rPr>
                <w:rFonts w:ascii="Georgia" w:hAnsi="Georgia"/>
                <w:color w:val="404040" w:themeColor="text1" w:themeTint="BF"/>
                <w:sz w:val="20"/>
              </w:rPr>
              <w:t xml:space="preserve">Administration fees </w:t>
            </w:r>
          </w:p>
        </w:tc>
        <w:tc>
          <w:tcPr>
            <w:tcW w:w="1115" w:type="pct"/>
            <w:tcBorders>
              <w:top w:val="nil"/>
              <w:left w:val="nil"/>
              <w:bottom w:val="nil"/>
              <w:right w:val="nil"/>
            </w:tcBorders>
            <w:shd w:val="clear" w:color="auto" w:fill="auto"/>
            <w:noWrap/>
            <w:vAlign w:val="center"/>
          </w:tcPr>
          <w:p w14:paraId="6E7BE6D7" w14:textId="681B02A7" w:rsidR="00617E9C" w:rsidRPr="00942653" w:rsidRDefault="00FA22B4" w:rsidP="00617E9C">
            <w:pPr>
              <w:jc w:val="right"/>
              <w:rPr>
                <w:rFonts w:ascii="Georgia" w:hAnsi="Georgia"/>
                <w:color w:val="404040" w:themeColor="text1" w:themeTint="BF"/>
                <w:sz w:val="20"/>
              </w:rPr>
            </w:pPr>
            <w:r>
              <w:rPr>
                <w:rFonts w:ascii="Georgia" w:hAnsi="Georgia"/>
                <w:color w:val="404040" w:themeColor="text1" w:themeTint="BF"/>
                <w:sz w:val="20"/>
              </w:rPr>
              <w:t>74</w:t>
            </w:r>
          </w:p>
        </w:tc>
        <w:tc>
          <w:tcPr>
            <w:tcW w:w="875" w:type="pct"/>
            <w:tcBorders>
              <w:top w:val="nil"/>
              <w:left w:val="nil"/>
              <w:bottom w:val="nil"/>
              <w:right w:val="nil"/>
            </w:tcBorders>
            <w:shd w:val="clear" w:color="auto" w:fill="auto"/>
            <w:noWrap/>
            <w:vAlign w:val="center"/>
          </w:tcPr>
          <w:p w14:paraId="2253CB8E" w14:textId="181D0DE6" w:rsidR="00617E9C" w:rsidRPr="006C2EC2" w:rsidRDefault="00E42D50" w:rsidP="00617E9C">
            <w:pPr>
              <w:jc w:val="right"/>
              <w:rPr>
                <w:rFonts w:ascii="Georgia" w:hAnsi="Georgia"/>
                <w:color w:val="404040" w:themeColor="text1" w:themeTint="BF"/>
                <w:sz w:val="20"/>
              </w:rPr>
            </w:pPr>
            <w:r>
              <w:rPr>
                <w:rFonts w:ascii="Georgia" w:hAnsi="Georgia"/>
                <w:color w:val="404040" w:themeColor="text1" w:themeTint="BF"/>
                <w:sz w:val="20"/>
              </w:rPr>
              <w:t>73</w:t>
            </w:r>
          </w:p>
        </w:tc>
      </w:tr>
      <w:tr w:rsidR="00617E9C" w:rsidRPr="006C2EC2" w14:paraId="55D5B31C" w14:textId="77777777" w:rsidTr="00102A3D">
        <w:trPr>
          <w:trHeight w:val="255"/>
        </w:trPr>
        <w:tc>
          <w:tcPr>
            <w:tcW w:w="3010" w:type="pct"/>
            <w:gridSpan w:val="2"/>
            <w:tcBorders>
              <w:top w:val="nil"/>
              <w:left w:val="nil"/>
              <w:bottom w:val="nil"/>
              <w:right w:val="nil"/>
            </w:tcBorders>
            <w:shd w:val="clear" w:color="auto" w:fill="auto"/>
            <w:noWrap/>
            <w:vAlign w:val="center"/>
            <w:hideMark/>
          </w:tcPr>
          <w:p w14:paraId="4A38681E" w14:textId="77777777" w:rsidR="00617E9C" w:rsidRPr="006C2EC2" w:rsidRDefault="00617E9C" w:rsidP="00617E9C">
            <w:pPr>
              <w:rPr>
                <w:rFonts w:ascii="Georgia" w:hAnsi="Georgia"/>
                <w:color w:val="404040" w:themeColor="text1" w:themeTint="BF"/>
                <w:sz w:val="20"/>
              </w:rPr>
            </w:pPr>
            <w:r w:rsidRPr="006C2EC2">
              <w:rPr>
                <w:rFonts w:ascii="Georgia" w:hAnsi="Georgia"/>
                <w:color w:val="404040" w:themeColor="text1" w:themeTint="BF"/>
                <w:sz w:val="20"/>
              </w:rPr>
              <w:t>Audit fees</w:t>
            </w:r>
          </w:p>
        </w:tc>
        <w:tc>
          <w:tcPr>
            <w:tcW w:w="1115" w:type="pct"/>
            <w:tcBorders>
              <w:top w:val="nil"/>
              <w:left w:val="nil"/>
              <w:bottom w:val="nil"/>
              <w:right w:val="nil"/>
            </w:tcBorders>
            <w:shd w:val="clear" w:color="auto" w:fill="auto"/>
            <w:noWrap/>
            <w:vAlign w:val="center"/>
          </w:tcPr>
          <w:p w14:paraId="70FF2B3A" w14:textId="75AE835E" w:rsidR="00617E9C" w:rsidRPr="00942653" w:rsidRDefault="00942653" w:rsidP="00617E9C">
            <w:pPr>
              <w:jc w:val="right"/>
              <w:rPr>
                <w:rFonts w:ascii="Georgia" w:hAnsi="Georgia"/>
                <w:color w:val="404040" w:themeColor="text1" w:themeTint="BF"/>
                <w:sz w:val="20"/>
              </w:rPr>
            </w:pPr>
            <w:r w:rsidRPr="00942653">
              <w:rPr>
                <w:rFonts w:ascii="Georgia" w:hAnsi="Georgia"/>
                <w:color w:val="404040" w:themeColor="text1" w:themeTint="BF"/>
                <w:sz w:val="20"/>
              </w:rPr>
              <w:t>135</w:t>
            </w:r>
          </w:p>
        </w:tc>
        <w:tc>
          <w:tcPr>
            <w:tcW w:w="875" w:type="pct"/>
            <w:tcBorders>
              <w:top w:val="nil"/>
              <w:left w:val="nil"/>
              <w:bottom w:val="nil"/>
              <w:right w:val="nil"/>
            </w:tcBorders>
            <w:shd w:val="clear" w:color="auto" w:fill="auto"/>
            <w:noWrap/>
            <w:vAlign w:val="center"/>
          </w:tcPr>
          <w:p w14:paraId="082A323B" w14:textId="7B6A07E6" w:rsidR="00617E9C" w:rsidRPr="006C2EC2" w:rsidRDefault="00473857" w:rsidP="00617E9C">
            <w:pPr>
              <w:jc w:val="right"/>
              <w:rPr>
                <w:rFonts w:ascii="Georgia" w:hAnsi="Georgia"/>
                <w:color w:val="404040" w:themeColor="text1" w:themeTint="BF"/>
                <w:sz w:val="20"/>
              </w:rPr>
            </w:pPr>
            <w:r>
              <w:rPr>
                <w:rFonts w:ascii="Georgia" w:hAnsi="Georgia"/>
                <w:color w:val="404040" w:themeColor="text1" w:themeTint="BF"/>
                <w:sz w:val="20"/>
              </w:rPr>
              <w:t>95</w:t>
            </w:r>
          </w:p>
        </w:tc>
      </w:tr>
      <w:tr w:rsidR="00617E9C" w:rsidRPr="006C2EC2" w14:paraId="0E9C7BEC" w14:textId="77777777" w:rsidTr="00102A3D">
        <w:trPr>
          <w:trHeight w:val="255"/>
        </w:trPr>
        <w:tc>
          <w:tcPr>
            <w:tcW w:w="3010" w:type="pct"/>
            <w:gridSpan w:val="2"/>
            <w:tcBorders>
              <w:top w:val="nil"/>
              <w:left w:val="nil"/>
              <w:bottom w:val="nil"/>
              <w:right w:val="nil"/>
            </w:tcBorders>
            <w:shd w:val="clear" w:color="auto" w:fill="auto"/>
            <w:noWrap/>
            <w:vAlign w:val="center"/>
          </w:tcPr>
          <w:p w14:paraId="1DFA5488" w14:textId="345FDFC4" w:rsidR="00617E9C" w:rsidRPr="006C2EC2" w:rsidRDefault="00617E9C" w:rsidP="00617E9C">
            <w:pPr>
              <w:rPr>
                <w:rFonts w:ascii="Georgia" w:hAnsi="Georgia"/>
                <w:color w:val="404040" w:themeColor="text1" w:themeTint="BF"/>
                <w:sz w:val="20"/>
              </w:rPr>
            </w:pPr>
            <w:r>
              <w:rPr>
                <w:rFonts w:ascii="Georgia" w:hAnsi="Georgia"/>
                <w:color w:val="404040" w:themeColor="text1" w:themeTint="BF"/>
                <w:sz w:val="20"/>
              </w:rPr>
              <w:t>Directors’ fees</w:t>
            </w:r>
          </w:p>
        </w:tc>
        <w:tc>
          <w:tcPr>
            <w:tcW w:w="1115" w:type="pct"/>
            <w:tcBorders>
              <w:top w:val="nil"/>
              <w:left w:val="nil"/>
              <w:bottom w:val="nil"/>
              <w:right w:val="nil"/>
            </w:tcBorders>
            <w:shd w:val="clear" w:color="auto" w:fill="auto"/>
            <w:noWrap/>
            <w:vAlign w:val="center"/>
          </w:tcPr>
          <w:p w14:paraId="2789A420" w14:textId="2666C116" w:rsidR="00617E9C" w:rsidRPr="00942653" w:rsidRDefault="00E42D50" w:rsidP="00617E9C">
            <w:pPr>
              <w:jc w:val="right"/>
              <w:rPr>
                <w:rFonts w:ascii="Georgia" w:hAnsi="Georgia"/>
                <w:color w:val="404040" w:themeColor="text1" w:themeTint="BF"/>
                <w:sz w:val="20"/>
              </w:rPr>
            </w:pPr>
            <w:r w:rsidRPr="00942653">
              <w:rPr>
                <w:rFonts w:ascii="Georgia" w:hAnsi="Georgia"/>
                <w:color w:val="404040" w:themeColor="text1" w:themeTint="BF"/>
                <w:sz w:val="20"/>
              </w:rPr>
              <w:t>57</w:t>
            </w:r>
          </w:p>
        </w:tc>
        <w:tc>
          <w:tcPr>
            <w:tcW w:w="875" w:type="pct"/>
            <w:tcBorders>
              <w:top w:val="nil"/>
              <w:left w:val="nil"/>
              <w:bottom w:val="nil"/>
              <w:right w:val="nil"/>
            </w:tcBorders>
            <w:shd w:val="clear" w:color="auto" w:fill="auto"/>
            <w:noWrap/>
            <w:vAlign w:val="center"/>
          </w:tcPr>
          <w:p w14:paraId="666A145F" w14:textId="5D55DF87" w:rsidR="00617E9C" w:rsidRDefault="00E42D50" w:rsidP="00617E9C">
            <w:pPr>
              <w:jc w:val="right"/>
              <w:rPr>
                <w:rFonts w:ascii="Georgia" w:hAnsi="Georgia"/>
                <w:color w:val="404040" w:themeColor="text1" w:themeTint="BF"/>
                <w:sz w:val="20"/>
              </w:rPr>
            </w:pPr>
            <w:r>
              <w:rPr>
                <w:rFonts w:ascii="Georgia" w:hAnsi="Georgia"/>
                <w:color w:val="404040" w:themeColor="text1" w:themeTint="BF"/>
                <w:sz w:val="20"/>
              </w:rPr>
              <w:t>57</w:t>
            </w:r>
          </w:p>
        </w:tc>
      </w:tr>
      <w:tr w:rsidR="00617E9C" w:rsidRPr="006C2EC2" w14:paraId="7A22A610" w14:textId="77777777" w:rsidTr="00102A3D">
        <w:trPr>
          <w:trHeight w:val="255"/>
        </w:trPr>
        <w:tc>
          <w:tcPr>
            <w:tcW w:w="3010" w:type="pct"/>
            <w:gridSpan w:val="2"/>
            <w:tcBorders>
              <w:top w:val="nil"/>
              <w:left w:val="nil"/>
              <w:bottom w:val="nil"/>
              <w:right w:val="nil"/>
            </w:tcBorders>
            <w:shd w:val="clear" w:color="auto" w:fill="auto"/>
            <w:noWrap/>
            <w:vAlign w:val="center"/>
            <w:hideMark/>
          </w:tcPr>
          <w:p w14:paraId="0245236D" w14:textId="77777777" w:rsidR="00617E9C" w:rsidRPr="006C2EC2" w:rsidRDefault="00617E9C" w:rsidP="00617E9C">
            <w:pPr>
              <w:rPr>
                <w:rFonts w:ascii="Georgia" w:hAnsi="Georgia"/>
                <w:color w:val="404040" w:themeColor="text1" w:themeTint="BF"/>
                <w:sz w:val="20"/>
              </w:rPr>
            </w:pPr>
            <w:r w:rsidRPr="006C2EC2">
              <w:rPr>
                <w:rFonts w:ascii="Georgia" w:hAnsi="Georgia"/>
                <w:color w:val="404040" w:themeColor="text1" w:themeTint="BF"/>
                <w:sz w:val="20"/>
              </w:rPr>
              <w:t>Other payables</w:t>
            </w:r>
          </w:p>
        </w:tc>
        <w:tc>
          <w:tcPr>
            <w:tcW w:w="1115" w:type="pct"/>
            <w:tcBorders>
              <w:top w:val="nil"/>
              <w:left w:val="nil"/>
              <w:bottom w:val="nil"/>
              <w:right w:val="nil"/>
            </w:tcBorders>
            <w:shd w:val="clear" w:color="auto" w:fill="auto"/>
            <w:noWrap/>
            <w:vAlign w:val="center"/>
          </w:tcPr>
          <w:p w14:paraId="316CAF71" w14:textId="2446EB40" w:rsidR="00617E9C" w:rsidRPr="00942653" w:rsidRDefault="00942653" w:rsidP="00617E9C">
            <w:pPr>
              <w:jc w:val="right"/>
              <w:rPr>
                <w:rFonts w:ascii="Georgia" w:hAnsi="Georgia"/>
                <w:color w:val="404040" w:themeColor="text1" w:themeTint="BF"/>
                <w:sz w:val="20"/>
              </w:rPr>
            </w:pPr>
            <w:r w:rsidRPr="00942653">
              <w:rPr>
                <w:rFonts w:ascii="Georgia" w:hAnsi="Georgia"/>
                <w:color w:val="404040" w:themeColor="text1" w:themeTint="BF"/>
                <w:sz w:val="20"/>
              </w:rPr>
              <w:t>92</w:t>
            </w:r>
          </w:p>
        </w:tc>
        <w:tc>
          <w:tcPr>
            <w:tcW w:w="875" w:type="pct"/>
            <w:tcBorders>
              <w:top w:val="nil"/>
              <w:left w:val="nil"/>
              <w:bottom w:val="nil"/>
              <w:right w:val="nil"/>
            </w:tcBorders>
            <w:shd w:val="clear" w:color="auto" w:fill="auto"/>
            <w:noWrap/>
            <w:vAlign w:val="center"/>
          </w:tcPr>
          <w:p w14:paraId="3193474A" w14:textId="2595FA82" w:rsidR="00617E9C" w:rsidRPr="006C2EC2" w:rsidRDefault="00E42D50" w:rsidP="00617E9C">
            <w:pPr>
              <w:jc w:val="right"/>
              <w:rPr>
                <w:rFonts w:ascii="Georgia" w:hAnsi="Georgia"/>
                <w:color w:val="404040" w:themeColor="text1" w:themeTint="BF"/>
                <w:sz w:val="20"/>
              </w:rPr>
            </w:pPr>
            <w:r>
              <w:rPr>
                <w:rFonts w:ascii="Georgia" w:hAnsi="Georgia"/>
                <w:color w:val="404040" w:themeColor="text1" w:themeTint="BF"/>
                <w:sz w:val="20"/>
              </w:rPr>
              <w:t>83</w:t>
            </w:r>
          </w:p>
        </w:tc>
      </w:tr>
      <w:tr w:rsidR="00617E9C" w:rsidRPr="006C2EC2" w14:paraId="6E8A47FB" w14:textId="77777777" w:rsidTr="00102A3D">
        <w:trPr>
          <w:trHeight w:val="270"/>
        </w:trPr>
        <w:tc>
          <w:tcPr>
            <w:tcW w:w="3010" w:type="pct"/>
            <w:gridSpan w:val="2"/>
            <w:tcBorders>
              <w:top w:val="nil"/>
              <w:left w:val="nil"/>
              <w:bottom w:val="nil"/>
              <w:right w:val="nil"/>
            </w:tcBorders>
            <w:shd w:val="clear" w:color="auto" w:fill="auto"/>
            <w:noWrap/>
            <w:vAlign w:val="bottom"/>
            <w:hideMark/>
          </w:tcPr>
          <w:p w14:paraId="1E49BF42" w14:textId="77777777" w:rsidR="00617E9C" w:rsidRPr="006C2EC2" w:rsidRDefault="00617E9C" w:rsidP="00617E9C">
            <w:pPr>
              <w:rPr>
                <w:rFonts w:ascii="Georgia" w:hAnsi="Georgia"/>
                <w:color w:val="404040" w:themeColor="text1" w:themeTint="BF"/>
                <w:sz w:val="20"/>
              </w:rPr>
            </w:pPr>
          </w:p>
        </w:tc>
        <w:tc>
          <w:tcPr>
            <w:tcW w:w="1115" w:type="pct"/>
            <w:tcBorders>
              <w:top w:val="single" w:sz="4" w:space="0" w:color="auto"/>
              <w:left w:val="nil"/>
              <w:bottom w:val="double" w:sz="6" w:space="0" w:color="auto"/>
              <w:right w:val="nil"/>
            </w:tcBorders>
            <w:shd w:val="clear" w:color="auto" w:fill="auto"/>
            <w:noWrap/>
            <w:vAlign w:val="center"/>
          </w:tcPr>
          <w:p w14:paraId="0E3AFBCE" w14:textId="3463AAE5" w:rsidR="00617E9C" w:rsidRPr="00942653" w:rsidRDefault="00FA22B4" w:rsidP="00617E9C">
            <w:pPr>
              <w:jc w:val="right"/>
              <w:rPr>
                <w:rFonts w:ascii="Georgia" w:hAnsi="Georgia"/>
                <w:b/>
                <w:color w:val="404040" w:themeColor="text1" w:themeTint="BF"/>
                <w:sz w:val="20"/>
              </w:rPr>
            </w:pPr>
            <w:r>
              <w:rPr>
                <w:rFonts w:ascii="Georgia" w:hAnsi="Georgia"/>
                <w:b/>
                <w:color w:val="404040" w:themeColor="text1" w:themeTint="BF"/>
                <w:sz w:val="20"/>
              </w:rPr>
              <w:t>436</w:t>
            </w:r>
          </w:p>
        </w:tc>
        <w:tc>
          <w:tcPr>
            <w:tcW w:w="875" w:type="pct"/>
            <w:tcBorders>
              <w:top w:val="single" w:sz="4" w:space="0" w:color="auto"/>
              <w:left w:val="nil"/>
              <w:bottom w:val="double" w:sz="6" w:space="0" w:color="auto"/>
              <w:right w:val="nil"/>
            </w:tcBorders>
            <w:shd w:val="clear" w:color="auto" w:fill="auto"/>
            <w:noWrap/>
            <w:vAlign w:val="center"/>
            <w:hideMark/>
          </w:tcPr>
          <w:p w14:paraId="07DAC37D" w14:textId="79D0F1DD" w:rsidR="00617E9C" w:rsidRPr="006C2EC2" w:rsidRDefault="00E42D50" w:rsidP="00617E9C">
            <w:pPr>
              <w:jc w:val="right"/>
              <w:rPr>
                <w:rFonts w:ascii="Georgia" w:hAnsi="Georgia"/>
                <w:b/>
                <w:color w:val="404040" w:themeColor="text1" w:themeTint="BF"/>
                <w:sz w:val="20"/>
              </w:rPr>
            </w:pPr>
            <w:r>
              <w:rPr>
                <w:rFonts w:ascii="Georgia" w:hAnsi="Georgia"/>
                <w:b/>
                <w:color w:val="404040" w:themeColor="text1" w:themeTint="BF"/>
                <w:sz w:val="20"/>
              </w:rPr>
              <w:t>386</w:t>
            </w:r>
          </w:p>
        </w:tc>
      </w:tr>
    </w:tbl>
    <w:p w14:paraId="49F86384" w14:textId="77777777" w:rsidR="006C2EC2" w:rsidRPr="006C2EC2" w:rsidRDefault="006C2EC2" w:rsidP="006C2EC2">
      <w:pPr>
        <w:rPr>
          <w:rFonts w:ascii="Georgia" w:hAnsi="Georgia" w:cs="Calibri"/>
          <w:b/>
          <w:color w:val="404040" w:themeColor="text1" w:themeTint="BF"/>
          <w:sz w:val="20"/>
        </w:rPr>
      </w:pPr>
    </w:p>
    <w:p w14:paraId="1FF17674" w14:textId="3E27B73A" w:rsidR="006C2EC2" w:rsidRPr="006C2EC2" w:rsidRDefault="006C2EC2" w:rsidP="006C2EC2">
      <w:pPr>
        <w:jc w:val="both"/>
        <w:rPr>
          <w:rFonts w:ascii="Georgia" w:hAnsi="Georgia" w:cs="Calibri"/>
          <w:color w:val="404040" w:themeColor="text1" w:themeTint="BF"/>
          <w:sz w:val="20"/>
        </w:rPr>
      </w:pPr>
      <w:r w:rsidRPr="006C2EC2">
        <w:rPr>
          <w:rFonts w:ascii="Georgia" w:hAnsi="Georgia" w:cs="Calibri"/>
          <w:color w:val="404040" w:themeColor="text1" w:themeTint="BF"/>
          <w:sz w:val="20"/>
        </w:rPr>
        <w:t>The Company has financial risk management policies in place to ensure that all payables are paid within the agreed credit period. The Directors consider that the carrying amount</w:t>
      </w:r>
      <w:r w:rsidR="00453A4E">
        <w:rPr>
          <w:rFonts w:ascii="Georgia" w:hAnsi="Georgia" w:cs="Calibri"/>
          <w:color w:val="404040" w:themeColor="text1" w:themeTint="BF"/>
          <w:sz w:val="20"/>
        </w:rPr>
        <w:t>s</w:t>
      </w:r>
      <w:r w:rsidRPr="006C2EC2">
        <w:rPr>
          <w:rFonts w:ascii="Georgia" w:hAnsi="Georgia" w:cs="Calibri"/>
          <w:color w:val="404040" w:themeColor="text1" w:themeTint="BF"/>
          <w:sz w:val="20"/>
        </w:rPr>
        <w:t xml:space="preserve"> of all payables approximate to their fair value.</w:t>
      </w:r>
    </w:p>
    <w:p w14:paraId="6D6E8CD3" w14:textId="77777777" w:rsidR="006C2EC2" w:rsidRDefault="006C2EC2" w:rsidP="000F51FA">
      <w:pPr>
        <w:jc w:val="both"/>
        <w:rPr>
          <w:lang w:eastAsia="en-GB"/>
        </w:rPr>
      </w:pPr>
    </w:p>
    <w:p w14:paraId="0691FE7B" w14:textId="77777777" w:rsidR="006C2EC2" w:rsidRDefault="006C2EC2" w:rsidP="000F51FA">
      <w:pPr>
        <w:jc w:val="both"/>
        <w:rPr>
          <w:lang w:eastAsia="en-GB"/>
        </w:rPr>
      </w:pPr>
    </w:p>
    <w:p w14:paraId="29DC65B0" w14:textId="77777777" w:rsidR="006C2EC2" w:rsidRDefault="006C2EC2" w:rsidP="000F51FA">
      <w:pPr>
        <w:jc w:val="both"/>
        <w:rPr>
          <w:lang w:eastAsia="en-GB"/>
        </w:rPr>
      </w:pPr>
    </w:p>
    <w:p w14:paraId="0735E2D7" w14:textId="77777777" w:rsidR="006C2EC2" w:rsidRDefault="006C2EC2" w:rsidP="000F51FA">
      <w:pPr>
        <w:jc w:val="both"/>
        <w:rPr>
          <w:lang w:eastAsia="en-GB"/>
        </w:rPr>
      </w:pPr>
    </w:p>
    <w:p w14:paraId="394BF3AD" w14:textId="77777777" w:rsidR="006C2EC2" w:rsidRDefault="006C2EC2" w:rsidP="000F51FA">
      <w:pPr>
        <w:jc w:val="both"/>
        <w:rPr>
          <w:lang w:eastAsia="en-GB"/>
        </w:rPr>
      </w:pPr>
    </w:p>
    <w:p w14:paraId="31CFF5B6" w14:textId="77777777" w:rsidR="006C2EC2" w:rsidRDefault="006C2EC2" w:rsidP="000F51FA">
      <w:pPr>
        <w:jc w:val="both"/>
        <w:rPr>
          <w:lang w:eastAsia="en-GB"/>
        </w:rPr>
      </w:pPr>
    </w:p>
    <w:p w14:paraId="121213FF" w14:textId="77777777" w:rsidR="006C2EC2" w:rsidRDefault="006C2EC2" w:rsidP="000F51FA">
      <w:pPr>
        <w:jc w:val="both"/>
        <w:rPr>
          <w:lang w:eastAsia="en-GB"/>
        </w:rPr>
      </w:pPr>
    </w:p>
    <w:p w14:paraId="5A95DF0C" w14:textId="77777777" w:rsidR="006C2EC2" w:rsidRDefault="006C2EC2" w:rsidP="000F51FA">
      <w:pPr>
        <w:jc w:val="both"/>
        <w:rPr>
          <w:lang w:eastAsia="en-GB"/>
        </w:rPr>
      </w:pPr>
    </w:p>
    <w:p w14:paraId="429ABF27" w14:textId="77777777" w:rsidR="006C2EC2" w:rsidRDefault="006C2EC2" w:rsidP="000F51FA">
      <w:pPr>
        <w:jc w:val="both"/>
        <w:rPr>
          <w:lang w:eastAsia="en-GB"/>
        </w:rPr>
      </w:pPr>
    </w:p>
    <w:p w14:paraId="45A4154F" w14:textId="77777777" w:rsidR="006C2EC2" w:rsidRDefault="006C2EC2" w:rsidP="000F51FA">
      <w:pPr>
        <w:jc w:val="both"/>
        <w:rPr>
          <w:lang w:eastAsia="en-GB"/>
        </w:rPr>
      </w:pPr>
    </w:p>
    <w:p w14:paraId="42D23EE2" w14:textId="77777777" w:rsidR="006C2EC2" w:rsidRDefault="006C2EC2" w:rsidP="000F51FA">
      <w:pPr>
        <w:jc w:val="both"/>
        <w:rPr>
          <w:lang w:eastAsia="en-GB"/>
        </w:rPr>
      </w:pPr>
    </w:p>
    <w:p w14:paraId="16C32D02" w14:textId="77777777" w:rsidR="006C2EC2" w:rsidRDefault="006C2EC2" w:rsidP="000F51FA">
      <w:pPr>
        <w:jc w:val="both"/>
        <w:rPr>
          <w:lang w:eastAsia="en-GB"/>
        </w:rPr>
      </w:pPr>
    </w:p>
    <w:p w14:paraId="58A27573" w14:textId="77777777" w:rsidR="006C2EC2" w:rsidRDefault="006C2EC2" w:rsidP="000F51FA">
      <w:pPr>
        <w:jc w:val="both"/>
        <w:rPr>
          <w:lang w:eastAsia="en-GB"/>
        </w:rPr>
      </w:pPr>
    </w:p>
    <w:p w14:paraId="6B80A0CE" w14:textId="77777777" w:rsidR="006C2EC2" w:rsidRDefault="006C2EC2" w:rsidP="000F51FA">
      <w:pPr>
        <w:jc w:val="both"/>
        <w:rPr>
          <w:lang w:eastAsia="en-GB"/>
        </w:rPr>
      </w:pPr>
    </w:p>
    <w:p w14:paraId="3847B636" w14:textId="78D2AEE5" w:rsidR="006C2EC2" w:rsidRDefault="006C2EC2" w:rsidP="000F51FA">
      <w:pPr>
        <w:jc w:val="both"/>
        <w:rPr>
          <w:sz w:val="20"/>
          <w:szCs w:val="20"/>
          <w:lang w:eastAsia="en-GB"/>
        </w:rPr>
      </w:pPr>
    </w:p>
    <w:p w14:paraId="458C73C3" w14:textId="77777777" w:rsidR="00A27328" w:rsidRPr="00C640A0" w:rsidRDefault="00A27328" w:rsidP="000F51FA">
      <w:pPr>
        <w:jc w:val="both"/>
        <w:rPr>
          <w:sz w:val="20"/>
          <w:szCs w:val="20"/>
          <w:lang w:eastAsia="en-GB"/>
        </w:rPr>
      </w:pPr>
    </w:p>
    <w:p w14:paraId="439765C7" w14:textId="53C34DF1" w:rsidR="008C3745" w:rsidRPr="00384BCB" w:rsidRDefault="00E42A95" w:rsidP="008C3745">
      <w:pPr>
        <w:pStyle w:val="Heading-subheadblue"/>
        <w:rPr>
          <w:color w:val="404040" w:themeColor="text1" w:themeTint="BF"/>
          <w:lang w:eastAsia="en-GB"/>
        </w:rPr>
      </w:pPr>
      <w:r w:rsidRPr="00E42A95">
        <w:rPr>
          <w:color w:val="404040" w:themeColor="text1" w:themeTint="BF"/>
        </w:rPr>
        <w:lastRenderedPageBreak/>
        <w:t>1</w:t>
      </w:r>
      <w:r w:rsidR="006C2EC2">
        <w:rPr>
          <w:color w:val="404040" w:themeColor="text1" w:themeTint="BF"/>
        </w:rPr>
        <w:t>2</w:t>
      </w:r>
      <w:r w:rsidRPr="00E42A95">
        <w:rPr>
          <w:color w:val="404040" w:themeColor="text1" w:themeTint="BF"/>
        </w:rPr>
        <w:t>.</w:t>
      </w:r>
      <w:r w:rsidRPr="00E42A95">
        <w:rPr>
          <w:color w:val="404040" w:themeColor="text1" w:themeTint="BF"/>
        </w:rPr>
        <w:tab/>
        <w:t xml:space="preserve"> Earnings per share</w:t>
      </w:r>
    </w:p>
    <w:p w14:paraId="2228636E" w14:textId="77777777" w:rsidR="008C3745" w:rsidRPr="001640A0" w:rsidRDefault="008C3745" w:rsidP="008C3745">
      <w:pPr>
        <w:jc w:val="both"/>
        <w:rPr>
          <w:color w:val="404040" w:themeColor="text1" w:themeTint="BF"/>
          <w:sz w:val="8"/>
          <w:lang w:eastAsia="en-GB"/>
        </w:rPr>
      </w:pPr>
    </w:p>
    <w:tbl>
      <w:tblPr>
        <w:tblW w:w="5016" w:type="pct"/>
        <w:tblLayout w:type="fixed"/>
        <w:tblLook w:val="04A0" w:firstRow="1" w:lastRow="0" w:firstColumn="1" w:lastColumn="0" w:noHBand="0" w:noVBand="1"/>
      </w:tblPr>
      <w:tblGrid>
        <w:gridCol w:w="5786"/>
        <w:gridCol w:w="1850"/>
        <w:gridCol w:w="1754"/>
      </w:tblGrid>
      <w:tr w:rsidR="00797545" w:rsidRPr="00384BCB" w14:paraId="52C7C774" w14:textId="77777777" w:rsidTr="00F7439C">
        <w:trPr>
          <w:trHeight w:val="255"/>
        </w:trPr>
        <w:tc>
          <w:tcPr>
            <w:tcW w:w="3081" w:type="pct"/>
            <w:tcBorders>
              <w:top w:val="nil"/>
              <w:left w:val="nil"/>
              <w:right w:val="nil"/>
            </w:tcBorders>
            <w:shd w:val="clear" w:color="auto" w:fill="auto"/>
            <w:noWrap/>
            <w:vAlign w:val="bottom"/>
          </w:tcPr>
          <w:p w14:paraId="027B282A" w14:textId="77777777" w:rsidR="00797545" w:rsidRPr="00384BCB" w:rsidRDefault="00797545" w:rsidP="00DF7545">
            <w:pPr>
              <w:rPr>
                <w:rFonts w:ascii="Georgia" w:hAnsi="Georgia" w:cs="Arial"/>
                <w:color w:val="404040" w:themeColor="text1" w:themeTint="BF"/>
                <w:sz w:val="20"/>
                <w:szCs w:val="20"/>
                <w:lang w:eastAsia="en-GB"/>
              </w:rPr>
            </w:pPr>
          </w:p>
        </w:tc>
        <w:tc>
          <w:tcPr>
            <w:tcW w:w="985" w:type="pct"/>
            <w:tcBorders>
              <w:top w:val="nil"/>
              <w:left w:val="nil"/>
              <w:right w:val="nil"/>
            </w:tcBorders>
          </w:tcPr>
          <w:p w14:paraId="49C08562" w14:textId="77777777" w:rsidR="00797545" w:rsidRPr="00E42A95" w:rsidRDefault="00797545" w:rsidP="00DF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tc>
        <w:tc>
          <w:tcPr>
            <w:tcW w:w="934" w:type="pct"/>
            <w:tcBorders>
              <w:top w:val="nil"/>
              <w:left w:val="nil"/>
              <w:right w:val="nil"/>
            </w:tcBorders>
          </w:tcPr>
          <w:p w14:paraId="79C9EE4C" w14:textId="77777777" w:rsidR="00797545" w:rsidRDefault="00797545" w:rsidP="00DF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tc>
      </w:tr>
      <w:tr w:rsidR="00797545" w:rsidRPr="00384BCB" w14:paraId="6ECA5482" w14:textId="77777777" w:rsidTr="00F7439C">
        <w:trPr>
          <w:trHeight w:val="89"/>
        </w:trPr>
        <w:tc>
          <w:tcPr>
            <w:tcW w:w="3081" w:type="pct"/>
            <w:tcBorders>
              <w:top w:val="nil"/>
              <w:left w:val="nil"/>
              <w:bottom w:val="single" w:sz="4" w:space="0" w:color="000000" w:themeColor="text1"/>
              <w:right w:val="nil"/>
            </w:tcBorders>
            <w:shd w:val="clear" w:color="auto" w:fill="auto"/>
            <w:noWrap/>
            <w:vAlign w:val="bottom"/>
          </w:tcPr>
          <w:p w14:paraId="553B9211" w14:textId="77777777" w:rsidR="00797545" w:rsidRPr="00384BCB" w:rsidRDefault="00797545" w:rsidP="00DF7545">
            <w:pPr>
              <w:rPr>
                <w:rFonts w:ascii="Georgia" w:hAnsi="Georgia" w:cs="Arial"/>
                <w:color w:val="404040" w:themeColor="text1" w:themeTint="BF"/>
                <w:sz w:val="20"/>
                <w:szCs w:val="20"/>
                <w:lang w:eastAsia="en-GB"/>
              </w:rPr>
            </w:pPr>
          </w:p>
        </w:tc>
        <w:tc>
          <w:tcPr>
            <w:tcW w:w="985" w:type="pct"/>
            <w:tcBorders>
              <w:top w:val="nil"/>
              <w:left w:val="nil"/>
              <w:bottom w:val="single" w:sz="4" w:space="0" w:color="000000" w:themeColor="text1"/>
              <w:right w:val="nil"/>
            </w:tcBorders>
          </w:tcPr>
          <w:p w14:paraId="695F89B7" w14:textId="306035BD" w:rsidR="00797545" w:rsidRPr="00E42A95" w:rsidRDefault="00797545" w:rsidP="00665A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3</w:t>
            </w:r>
            <w:r w:rsidR="00873278">
              <w:rPr>
                <w:rFonts w:ascii="Georgia" w:hAnsi="Georgia" w:cs="Arial"/>
                <w:b/>
                <w:bCs/>
                <w:color w:val="404040" w:themeColor="text1" w:themeTint="BF"/>
                <w:sz w:val="20"/>
                <w:szCs w:val="20"/>
                <w:lang w:eastAsia="en-GB"/>
              </w:rPr>
              <w:t>0</w:t>
            </w:r>
            <w:r>
              <w:rPr>
                <w:rFonts w:ascii="Georgia" w:hAnsi="Georgia" w:cs="Arial"/>
                <w:b/>
                <w:bCs/>
                <w:color w:val="404040" w:themeColor="text1" w:themeTint="BF"/>
                <w:sz w:val="20"/>
                <w:szCs w:val="20"/>
                <w:lang w:eastAsia="en-GB"/>
              </w:rPr>
              <w:t xml:space="preserve"> June </w:t>
            </w:r>
            <w:r w:rsidR="00904E51">
              <w:rPr>
                <w:rFonts w:ascii="Georgia" w:hAnsi="Georgia" w:cs="Arial"/>
                <w:b/>
                <w:bCs/>
                <w:color w:val="404040" w:themeColor="text1" w:themeTint="BF"/>
                <w:sz w:val="20"/>
                <w:szCs w:val="20"/>
                <w:lang w:eastAsia="en-GB"/>
              </w:rPr>
              <w:t>2020</w:t>
            </w:r>
          </w:p>
        </w:tc>
        <w:tc>
          <w:tcPr>
            <w:tcW w:w="934" w:type="pct"/>
            <w:tcBorders>
              <w:top w:val="nil"/>
              <w:left w:val="nil"/>
              <w:bottom w:val="single" w:sz="4" w:space="0" w:color="000000" w:themeColor="text1"/>
              <w:right w:val="nil"/>
            </w:tcBorders>
          </w:tcPr>
          <w:p w14:paraId="11330EC5" w14:textId="14523C2C" w:rsidR="00797545" w:rsidRDefault="00873278" w:rsidP="00665A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30</w:t>
            </w:r>
            <w:r w:rsidR="00797545">
              <w:rPr>
                <w:rFonts w:ascii="Georgia" w:hAnsi="Georgia" w:cs="Arial"/>
                <w:b/>
                <w:bCs/>
                <w:color w:val="404040" w:themeColor="text1" w:themeTint="BF"/>
                <w:sz w:val="20"/>
                <w:szCs w:val="20"/>
                <w:lang w:eastAsia="en-GB"/>
              </w:rPr>
              <w:t xml:space="preserve"> June </w:t>
            </w:r>
            <w:r w:rsidR="00904E51">
              <w:rPr>
                <w:rFonts w:ascii="Georgia" w:hAnsi="Georgia" w:cs="Arial"/>
                <w:b/>
                <w:bCs/>
                <w:color w:val="404040" w:themeColor="text1" w:themeTint="BF"/>
                <w:sz w:val="20"/>
                <w:szCs w:val="20"/>
                <w:lang w:eastAsia="en-GB"/>
              </w:rPr>
              <w:t>2019</w:t>
            </w:r>
          </w:p>
        </w:tc>
      </w:tr>
      <w:tr w:rsidR="00797545" w:rsidRPr="00384BCB" w14:paraId="3A501782" w14:textId="77777777" w:rsidTr="00F7439C">
        <w:trPr>
          <w:trHeight w:val="255"/>
        </w:trPr>
        <w:tc>
          <w:tcPr>
            <w:tcW w:w="3081" w:type="pct"/>
            <w:tcBorders>
              <w:top w:val="single" w:sz="4" w:space="0" w:color="000000" w:themeColor="text1"/>
              <w:left w:val="nil"/>
              <w:bottom w:val="nil"/>
              <w:right w:val="nil"/>
            </w:tcBorders>
            <w:shd w:val="clear" w:color="auto" w:fill="auto"/>
            <w:noWrap/>
            <w:vAlign w:val="bottom"/>
          </w:tcPr>
          <w:p w14:paraId="6319013A" w14:textId="77777777" w:rsidR="00797545" w:rsidRPr="00384BCB" w:rsidRDefault="00797545" w:rsidP="00DF7545">
            <w:pPr>
              <w:rPr>
                <w:rFonts w:ascii="Georgia" w:hAnsi="Georgia" w:cs="Arial"/>
                <w:color w:val="404040" w:themeColor="text1" w:themeTint="BF"/>
                <w:sz w:val="20"/>
                <w:szCs w:val="20"/>
                <w:lang w:eastAsia="en-GB"/>
              </w:rPr>
            </w:pPr>
          </w:p>
        </w:tc>
        <w:tc>
          <w:tcPr>
            <w:tcW w:w="985" w:type="pct"/>
            <w:tcBorders>
              <w:top w:val="single" w:sz="4" w:space="0" w:color="000000" w:themeColor="text1"/>
              <w:left w:val="nil"/>
              <w:bottom w:val="nil"/>
              <w:right w:val="nil"/>
            </w:tcBorders>
          </w:tcPr>
          <w:p w14:paraId="5150ED9A" w14:textId="77777777" w:rsidR="00797545" w:rsidRPr="00384BCB" w:rsidRDefault="00797545" w:rsidP="00DF7545">
            <w:pPr>
              <w:rPr>
                <w:rFonts w:ascii="Georgia" w:hAnsi="Georgia" w:cs="Arial"/>
                <w:color w:val="404040" w:themeColor="text1" w:themeTint="BF"/>
                <w:sz w:val="20"/>
                <w:szCs w:val="20"/>
                <w:lang w:eastAsia="en-GB"/>
              </w:rPr>
            </w:pPr>
          </w:p>
        </w:tc>
        <w:tc>
          <w:tcPr>
            <w:tcW w:w="934" w:type="pct"/>
            <w:tcBorders>
              <w:top w:val="single" w:sz="4" w:space="0" w:color="000000" w:themeColor="text1"/>
              <w:left w:val="nil"/>
              <w:bottom w:val="nil"/>
              <w:right w:val="nil"/>
            </w:tcBorders>
          </w:tcPr>
          <w:p w14:paraId="28B81D7D" w14:textId="77777777" w:rsidR="00797545" w:rsidRPr="00384BCB" w:rsidRDefault="00797545" w:rsidP="00DF7545">
            <w:pPr>
              <w:rPr>
                <w:rFonts w:ascii="Georgia" w:hAnsi="Georgia" w:cs="Arial"/>
                <w:color w:val="404040" w:themeColor="text1" w:themeTint="BF"/>
                <w:sz w:val="20"/>
                <w:szCs w:val="20"/>
                <w:lang w:eastAsia="en-GB"/>
              </w:rPr>
            </w:pPr>
          </w:p>
        </w:tc>
      </w:tr>
      <w:tr w:rsidR="00002783" w:rsidRPr="00384BCB" w14:paraId="0B5D09BE" w14:textId="77777777" w:rsidTr="00D25837">
        <w:trPr>
          <w:trHeight w:val="255"/>
        </w:trPr>
        <w:tc>
          <w:tcPr>
            <w:tcW w:w="3081" w:type="pct"/>
            <w:tcBorders>
              <w:top w:val="nil"/>
              <w:left w:val="nil"/>
              <w:bottom w:val="nil"/>
              <w:right w:val="nil"/>
            </w:tcBorders>
            <w:shd w:val="clear" w:color="auto" w:fill="auto"/>
            <w:noWrap/>
            <w:vAlign w:val="center"/>
          </w:tcPr>
          <w:p w14:paraId="2DA29A90" w14:textId="4CCAD51C" w:rsidR="00002783" w:rsidRPr="00384BCB" w:rsidRDefault="005E56E1" w:rsidP="00B62844">
            <w:pPr>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Profit attributable to S</w:t>
            </w:r>
            <w:r w:rsidR="00002783" w:rsidRPr="00E42A95">
              <w:rPr>
                <w:rFonts w:ascii="Georgia" w:hAnsi="Georgia" w:cs="Arial"/>
                <w:color w:val="404040" w:themeColor="text1" w:themeTint="BF"/>
                <w:sz w:val="20"/>
                <w:szCs w:val="20"/>
                <w:lang w:eastAsia="en-GB"/>
              </w:rPr>
              <w:t>hareholders of the Company</w:t>
            </w:r>
            <w:r w:rsidR="006A63EB">
              <w:rPr>
                <w:rFonts w:ascii="Georgia" w:hAnsi="Georgia" w:cs="Arial"/>
                <w:color w:val="404040" w:themeColor="text1" w:themeTint="BF"/>
                <w:sz w:val="20"/>
                <w:szCs w:val="20"/>
                <w:lang w:eastAsia="en-GB"/>
              </w:rPr>
              <w:t xml:space="preserve"> </w:t>
            </w:r>
          </w:p>
        </w:tc>
        <w:tc>
          <w:tcPr>
            <w:tcW w:w="985" w:type="pct"/>
            <w:tcBorders>
              <w:top w:val="nil"/>
              <w:left w:val="nil"/>
              <w:bottom w:val="nil"/>
              <w:right w:val="nil"/>
            </w:tcBorders>
            <w:vAlign w:val="bottom"/>
          </w:tcPr>
          <w:p w14:paraId="521052F7" w14:textId="25E4C021" w:rsidR="00002783" w:rsidRPr="00B82DA9" w:rsidRDefault="00002783" w:rsidP="00190C3E">
            <w:pPr>
              <w:jc w:val="right"/>
              <w:rPr>
                <w:rFonts w:ascii="Georgia" w:hAnsi="Georgia" w:cs="Arial"/>
                <w:color w:val="404040" w:themeColor="text1" w:themeTint="BF"/>
                <w:sz w:val="20"/>
                <w:szCs w:val="20"/>
                <w:lang w:eastAsia="en-GB"/>
              </w:rPr>
            </w:pPr>
            <w:r w:rsidRPr="00B82DA9">
              <w:rPr>
                <w:rFonts w:ascii="Georgia" w:hAnsi="Georgia" w:cs="Arial"/>
                <w:color w:val="404040" w:themeColor="text1" w:themeTint="BF"/>
                <w:sz w:val="20"/>
                <w:szCs w:val="20"/>
                <w:lang w:eastAsia="en-GB"/>
              </w:rPr>
              <w:t>£</w:t>
            </w:r>
            <w:r w:rsidR="00B82DA9" w:rsidRPr="00B82DA9">
              <w:rPr>
                <w:rFonts w:ascii="Georgia" w:hAnsi="Georgia" w:cs="Arial"/>
                <w:color w:val="404040" w:themeColor="text1" w:themeTint="BF"/>
                <w:sz w:val="20"/>
                <w:szCs w:val="20"/>
                <w:lang w:eastAsia="en-GB"/>
              </w:rPr>
              <w:t>28,</w:t>
            </w:r>
            <w:r w:rsidR="00190C3E">
              <w:rPr>
                <w:rFonts w:ascii="Georgia" w:hAnsi="Georgia" w:cs="Arial"/>
                <w:color w:val="404040" w:themeColor="text1" w:themeTint="BF"/>
                <w:sz w:val="20"/>
                <w:szCs w:val="20"/>
                <w:lang w:eastAsia="en-GB"/>
              </w:rPr>
              <w:t>239,647</w:t>
            </w:r>
          </w:p>
        </w:tc>
        <w:tc>
          <w:tcPr>
            <w:tcW w:w="934" w:type="pct"/>
            <w:tcBorders>
              <w:top w:val="nil"/>
              <w:left w:val="nil"/>
              <w:bottom w:val="nil"/>
              <w:right w:val="nil"/>
            </w:tcBorders>
            <w:vAlign w:val="bottom"/>
          </w:tcPr>
          <w:p w14:paraId="574BA09A" w14:textId="46047C96" w:rsidR="00002783" w:rsidRDefault="00002783" w:rsidP="006A63EB">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£44,925</w:t>
            </w:r>
            <w:r w:rsidR="00B62844">
              <w:rPr>
                <w:rFonts w:ascii="Georgia" w:hAnsi="Georgia" w:cs="Arial"/>
                <w:color w:val="404040" w:themeColor="text1" w:themeTint="BF"/>
                <w:sz w:val="20"/>
                <w:szCs w:val="20"/>
                <w:lang w:eastAsia="en-GB"/>
              </w:rPr>
              <w:t>,088</w:t>
            </w:r>
          </w:p>
        </w:tc>
      </w:tr>
      <w:tr w:rsidR="00002783" w:rsidRPr="00384BCB" w14:paraId="678B00DE" w14:textId="77777777" w:rsidTr="00D25837">
        <w:trPr>
          <w:trHeight w:val="255"/>
        </w:trPr>
        <w:tc>
          <w:tcPr>
            <w:tcW w:w="3081" w:type="pct"/>
            <w:tcBorders>
              <w:top w:val="nil"/>
              <w:left w:val="nil"/>
              <w:bottom w:val="nil"/>
              <w:right w:val="nil"/>
            </w:tcBorders>
            <w:shd w:val="clear" w:color="auto" w:fill="auto"/>
            <w:noWrap/>
            <w:vAlign w:val="bottom"/>
          </w:tcPr>
          <w:p w14:paraId="0B4B70AE" w14:textId="77777777" w:rsidR="00002783" w:rsidRPr="00384BCB" w:rsidRDefault="00002783" w:rsidP="00002783">
            <w:pPr>
              <w:rPr>
                <w:rFonts w:ascii="Georgia" w:hAnsi="Georgia" w:cs="Arial"/>
                <w:color w:val="404040" w:themeColor="text1" w:themeTint="BF"/>
                <w:sz w:val="20"/>
                <w:szCs w:val="20"/>
                <w:lang w:eastAsia="en-GB"/>
              </w:rPr>
            </w:pPr>
          </w:p>
        </w:tc>
        <w:tc>
          <w:tcPr>
            <w:tcW w:w="985" w:type="pct"/>
            <w:tcBorders>
              <w:top w:val="nil"/>
              <w:left w:val="nil"/>
              <w:bottom w:val="nil"/>
              <w:right w:val="nil"/>
            </w:tcBorders>
            <w:vAlign w:val="bottom"/>
          </w:tcPr>
          <w:p w14:paraId="682E6E98" w14:textId="77777777" w:rsidR="00002783" w:rsidRPr="00B82DA9" w:rsidRDefault="00002783" w:rsidP="00002783">
            <w:pPr>
              <w:jc w:val="right"/>
              <w:rPr>
                <w:rFonts w:ascii="Georgia" w:hAnsi="Georgia" w:cs="Arial"/>
                <w:color w:val="404040" w:themeColor="text1" w:themeTint="BF"/>
                <w:sz w:val="20"/>
                <w:szCs w:val="20"/>
                <w:lang w:eastAsia="en-GB"/>
              </w:rPr>
            </w:pPr>
          </w:p>
        </w:tc>
        <w:tc>
          <w:tcPr>
            <w:tcW w:w="934" w:type="pct"/>
            <w:tcBorders>
              <w:top w:val="nil"/>
              <w:left w:val="nil"/>
              <w:bottom w:val="nil"/>
              <w:right w:val="nil"/>
            </w:tcBorders>
            <w:vAlign w:val="bottom"/>
          </w:tcPr>
          <w:p w14:paraId="58559D93" w14:textId="77777777" w:rsidR="00002783" w:rsidRPr="00384BCB" w:rsidRDefault="00002783" w:rsidP="00002783">
            <w:pPr>
              <w:rPr>
                <w:rFonts w:ascii="Georgia" w:hAnsi="Georgia" w:cs="Arial"/>
                <w:color w:val="404040" w:themeColor="text1" w:themeTint="BF"/>
                <w:sz w:val="20"/>
                <w:szCs w:val="20"/>
                <w:lang w:eastAsia="en-GB"/>
              </w:rPr>
            </w:pPr>
          </w:p>
        </w:tc>
      </w:tr>
      <w:tr w:rsidR="00002783" w:rsidRPr="00384BCB" w14:paraId="157A8EC1" w14:textId="77777777" w:rsidTr="00D25837">
        <w:trPr>
          <w:trHeight w:val="255"/>
        </w:trPr>
        <w:tc>
          <w:tcPr>
            <w:tcW w:w="3081" w:type="pct"/>
            <w:tcBorders>
              <w:top w:val="nil"/>
              <w:left w:val="nil"/>
              <w:bottom w:val="nil"/>
              <w:right w:val="nil"/>
            </w:tcBorders>
            <w:shd w:val="clear" w:color="auto" w:fill="auto"/>
            <w:noWrap/>
            <w:vAlign w:val="center"/>
          </w:tcPr>
          <w:p w14:paraId="5AAD3723" w14:textId="018E0213" w:rsidR="00002783" w:rsidRPr="00384BCB" w:rsidRDefault="00002783" w:rsidP="00B62844">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Weighted average nu</w:t>
            </w:r>
            <w:r>
              <w:rPr>
                <w:rFonts w:ascii="Georgia" w:hAnsi="Georgia" w:cs="Arial"/>
                <w:color w:val="404040" w:themeColor="text1" w:themeTint="BF"/>
                <w:sz w:val="20"/>
                <w:szCs w:val="20"/>
                <w:lang w:eastAsia="en-GB"/>
              </w:rPr>
              <w:t>mber of Ordinary shares</w:t>
            </w:r>
            <w:r w:rsidR="00296573">
              <w:rPr>
                <w:rFonts w:ascii="Georgia" w:hAnsi="Georgia" w:cs="Arial"/>
                <w:color w:val="404040" w:themeColor="text1" w:themeTint="BF"/>
                <w:sz w:val="20"/>
                <w:szCs w:val="20"/>
                <w:lang w:eastAsia="en-GB"/>
              </w:rPr>
              <w:t xml:space="preserve"> </w:t>
            </w:r>
          </w:p>
        </w:tc>
        <w:tc>
          <w:tcPr>
            <w:tcW w:w="985" w:type="pct"/>
            <w:tcBorders>
              <w:top w:val="nil"/>
              <w:left w:val="nil"/>
              <w:bottom w:val="nil"/>
              <w:right w:val="nil"/>
            </w:tcBorders>
            <w:vAlign w:val="center"/>
          </w:tcPr>
          <w:p w14:paraId="42292889" w14:textId="4A57446A" w:rsidR="00002783" w:rsidRPr="00B82DA9" w:rsidRDefault="00B82DA9" w:rsidP="00296573">
            <w:pPr>
              <w:jc w:val="right"/>
              <w:rPr>
                <w:rFonts w:ascii="Georgia" w:hAnsi="Georgia" w:cs="Arial"/>
                <w:color w:val="404040" w:themeColor="text1" w:themeTint="BF"/>
                <w:sz w:val="20"/>
                <w:szCs w:val="20"/>
                <w:lang w:eastAsia="en-GB"/>
              </w:rPr>
            </w:pPr>
            <w:r w:rsidRPr="00B82DA9">
              <w:rPr>
                <w:rFonts w:ascii="Georgia" w:hAnsi="Georgia" w:cs="Arial"/>
                <w:color w:val="404040" w:themeColor="text1" w:themeTint="BF"/>
                <w:sz w:val="20"/>
                <w:szCs w:val="20"/>
                <w:lang w:eastAsia="en-GB"/>
              </w:rPr>
              <w:t>370,203,359</w:t>
            </w:r>
          </w:p>
        </w:tc>
        <w:tc>
          <w:tcPr>
            <w:tcW w:w="934" w:type="pct"/>
            <w:tcBorders>
              <w:top w:val="nil"/>
              <w:left w:val="nil"/>
              <w:bottom w:val="nil"/>
              <w:right w:val="nil"/>
            </w:tcBorders>
            <w:vAlign w:val="center"/>
          </w:tcPr>
          <w:p w14:paraId="4004DC0C" w14:textId="5B44F9FD" w:rsidR="00002783" w:rsidRDefault="00002783" w:rsidP="00296573">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369,88</w:t>
            </w:r>
            <w:r w:rsidR="00B62844">
              <w:rPr>
                <w:rFonts w:ascii="Georgia" w:hAnsi="Georgia" w:cs="Arial"/>
                <w:color w:val="404040" w:themeColor="text1" w:themeTint="BF"/>
                <w:sz w:val="20"/>
                <w:szCs w:val="20"/>
                <w:lang w:eastAsia="en-GB"/>
              </w:rPr>
              <w:t>3,530</w:t>
            </w:r>
          </w:p>
        </w:tc>
      </w:tr>
      <w:tr w:rsidR="00002783" w:rsidRPr="00384BCB" w14:paraId="71317C82" w14:textId="77777777" w:rsidTr="00D25837">
        <w:trPr>
          <w:trHeight w:val="255"/>
        </w:trPr>
        <w:tc>
          <w:tcPr>
            <w:tcW w:w="3081" w:type="pct"/>
            <w:tcBorders>
              <w:top w:val="nil"/>
              <w:left w:val="nil"/>
              <w:bottom w:val="nil"/>
              <w:right w:val="nil"/>
            </w:tcBorders>
            <w:shd w:val="clear" w:color="auto" w:fill="auto"/>
            <w:noWrap/>
            <w:vAlign w:val="bottom"/>
          </w:tcPr>
          <w:p w14:paraId="19C34627" w14:textId="77777777" w:rsidR="00002783" w:rsidRPr="00384BCB" w:rsidRDefault="00002783" w:rsidP="00002783">
            <w:pPr>
              <w:rPr>
                <w:rFonts w:ascii="Georgia" w:hAnsi="Georgia" w:cs="Arial"/>
                <w:color w:val="404040" w:themeColor="text1" w:themeTint="BF"/>
                <w:sz w:val="20"/>
                <w:szCs w:val="20"/>
                <w:lang w:eastAsia="en-GB"/>
              </w:rPr>
            </w:pPr>
          </w:p>
        </w:tc>
        <w:tc>
          <w:tcPr>
            <w:tcW w:w="985" w:type="pct"/>
            <w:tcBorders>
              <w:top w:val="nil"/>
              <w:left w:val="nil"/>
              <w:bottom w:val="nil"/>
              <w:right w:val="nil"/>
            </w:tcBorders>
            <w:vAlign w:val="bottom"/>
          </w:tcPr>
          <w:p w14:paraId="7366F6F2" w14:textId="77777777" w:rsidR="00002783" w:rsidRPr="00B82DA9" w:rsidRDefault="00002783" w:rsidP="00002783">
            <w:pPr>
              <w:rPr>
                <w:rFonts w:ascii="Georgia" w:hAnsi="Georgia" w:cs="Arial"/>
                <w:color w:val="404040" w:themeColor="text1" w:themeTint="BF"/>
                <w:sz w:val="20"/>
                <w:szCs w:val="20"/>
                <w:lang w:eastAsia="en-GB"/>
              </w:rPr>
            </w:pPr>
          </w:p>
        </w:tc>
        <w:tc>
          <w:tcPr>
            <w:tcW w:w="934" w:type="pct"/>
            <w:tcBorders>
              <w:top w:val="nil"/>
              <w:left w:val="nil"/>
              <w:bottom w:val="nil"/>
              <w:right w:val="nil"/>
            </w:tcBorders>
            <w:vAlign w:val="bottom"/>
          </w:tcPr>
          <w:p w14:paraId="501C8545" w14:textId="77777777" w:rsidR="00002783" w:rsidRPr="00384BCB" w:rsidRDefault="00002783" w:rsidP="00002783">
            <w:pPr>
              <w:rPr>
                <w:rFonts w:ascii="Georgia" w:hAnsi="Georgia" w:cs="Arial"/>
                <w:color w:val="404040" w:themeColor="text1" w:themeTint="BF"/>
                <w:sz w:val="20"/>
                <w:szCs w:val="20"/>
                <w:lang w:eastAsia="en-GB"/>
              </w:rPr>
            </w:pPr>
          </w:p>
        </w:tc>
      </w:tr>
      <w:tr w:rsidR="00002783" w:rsidRPr="00384BCB" w14:paraId="6553F651" w14:textId="77777777" w:rsidTr="005D0ACB">
        <w:trPr>
          <w:trHeight w:val="454"/>
        </w:trPr>
        <w:tc>
          <w:tcPr>
            <w:tcW w:w="3081" w:type="pct"/>
            <w:tcBorders>
              <w:top w:val="nil"/>
              <w:left w:val="nil"/>
              <w:bottom w:val="nil"/>
              <w:right w:val="nil"/>
            </w:tcBorders>
            <w:shd w:val="clear" w:color="auto" w:fill="auto"/>
            <w:vAlign w:val="bottom"/>
          </w:tcPr>
          <w:p w14:paraId="12827C45" w14:textId="4C6F4E24" w:rsidR="00002783" w:rsidRPr="00384BCB" w:rsidRDefault="00002783" w:rsidP="00002783">
            <w:pPr>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 xml:space="preserve">Basic and diluted earnings from continuing operations and profit for the </w:t>
            </w:r>
            <w:r>
              <w:rPr>
                <w:rFonts w:ascii="Georgia" w:hAnsi="Georgia" w:cs="Arial"/>
                <w:b/>
                <w:bCs/>
                <w:color w:val="404040" w:themeColor="text1" w:themeTint="BF"/>
                <w:sz w:val="20"/>
                <w:szCs w:val="20"/>
                <w:lang w:eastAsia="en-GB"/>
              </w:rPr>
              <w:t>year</w:t>
            </w:r>
            <w:r w:rsidRPr="00E42A95">
              <w:rPr>
                <w:rFonts w:ascii="Georgia" w:hAnsi="Georgia" w:cs="Arial"/>
                <w:b/>
                <w:bCs/>
                <w:color w:val="404040" w:themeColor="text1" w:themeTint="BF"/>
                <w:sz w:val="20"/>
                <w:szCs w:val="20"/>
                <w:lang w:eastAsia="en-GB"/>
              </w:rPr>
              <w:t xml:space="preserve"> (pence</w:t>
            </w:r>
            <w:r>
              <w:rPr>
                <w:rFonts w:ascii="Georgia" w:hAnsi="Georgia" w:cs="Arial"/>
                <w:b/>
                <w:bCs/>
                <w:color w:val="404040" w:themeColor="text1" w:themeTint="BF"/>
                <w:sz w:val="20"/>
                <w:szCs w:val="20"/>
                <w:lang w:eastAsia="en-GB"/>
              </w:rPr>
              <w:t xml:space="preserve"> per share</w:t>
            </w:r>
            <w:r w:rsidRPr="00E42A95">
              <w:rPr>
                <w:rFonts w:ascii="Georgia" w:hAnsi="Georgia" w:cs="Arial"/>
                <w:b/>
                <w:bCs/>
                <w:color w:val="404040" w:themeColor="text1" w:themeTint="BF"/>
                <w:sz w:val="20"/>
                <w:szCs w:val="20"/>
                <w:lang w:eastAsia="en-GB"/>
              </w:rPr>
              <w:t>)</w:t>
            </w:r>
          </w:p>
        </w:tc>
        <w:tc>
          <w:tcPr>
            <w:tcW w:w="985" w:type="pct"/>
            <w:tcBorders>
              <w:top w:val="single" w:sz="4" w:space="0" w:color="auto"/>
              <w:left w:val="nil"/>
              <w:bottom w:val="double" w:sz="6" w:space="0" w:color="auto"/>
              <w:right w:val="nil"/>
            </w:tcBorders>
            <w:vAlign w:val="center"/>
          </w:tcPr>
          <w:p w14:paraId="32E60C0E" w14:textId="1BD1E708" w:rsidR="00002783" w:rsidRPr="00B82DA9" w:rsidRDefault="00190C3E" w:rsidP="00002783">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7.63</w:t>
            </w:r>
          </w:p>
        </w:tc>
        <w:tc>
          <w:tcPr>
            <w:tcW w:w="934" w:type="pct"/>
            <w:tcBorders>
              <w:top w:val="single" w:sz="4" w:space="0" w:color="auto"/>
              <w:left w:val="nil"/>
              <w:bottom w:val="double" w:sz="6" w:space="0" w:color="auto"/>
              <w:right w:val="nil"/>
            </w:tcBorders>
            <w:vAlign w:val="center"/>
          </w:tcPr>
          <w:p w14:paraId="3E693646" w14:textId="71D16A36" w:rsidR="00002783" w:rsidRPr="00E42A95" w:rsidRDefault="00002783" w:rsidP="00002783">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12.15</w:t>
            </w:r>
          </w:p>
        </w:tc>
      </w:tr>
    </w:tbl>
    <w:p w14:paraId="52504B88" w14:textId="77777777" w:rsidR="006C2EC2" w:rsidRPr="008F7ADD" w:rsidRDefault="006C2EC2" w:rsidP="0024470F"/>
    <w:p w14:paraId="03B25AA7" w14:textId="75A815A7" w:rsidR="008C3745" w:rsidRPr="00384BCB" w:rsidRDefault="00E42A95" w:rsidP="008C3745">
      <w:pPr>
        <w:pStyle w:val="Heading-subheadblue"/>
        <w:rPr>
          <w:color w:val="404040" w:themeColor="text1" w:themeTint="BF"/>
        </w:rPr>
      </w:pPr>
      <w:r w:rsidRPr="00E42A95">
        <w:rPr>
          <w:color w:val="404040" w:themeColor="text1" w:themeTint="BF"/>
        </w:rPr>
        <w:t>1</w:t>
      </w:r>
      <w:r w:rsidR="006C2EC2">
        <w:rPr>
          <w:color w:val="404040" w:themeColor="text1" w:themeTint="BF"/>
        </w:rPr>
        <w:t>3</w:t>
      </w:r>
      <w:r w:rsidRPr="00E42A95">
        <w:rPr>
          <w:color w:val="404040" w:themeColor="text1" w:themeTint="BF"/>
        </w:rPr>
        <w:t>.</w:t>
      </w:r>
      <w:r w:rsidRPr="00E42A95">
        <w:rPr>
          <w:color w:val="404040" w:themeColor="text1" w:themeTint="BF"/>
        </w:rPr>
        <w:tab/>
        <w:t xml:space="preserve"> Share capital</w:t>
      </w:r>
    </w:p>
    <w:p w14:paraId="6C4C6E04" w14:textId="77777777" w:rsidR="008C3745" w:rsidRPr="00D44FC2" w:rsidRDefault="008C3745" w:rsidP="008C3745">
      <w:pPr>
        <w:jc w:val="both"/>
        <w:rPr>
          <w:rFonts w:ascii="Calibri" w:hAnsi="Calibri" w:cs="Calibri"/>
          <w:b/>
          <w:sz w:val="20"/>
        </w:rPr>
      </w:pPr>
    </w:p>
    <w:p w14:paraId="4B2575E1" w14:textId="34C8F004" w:rsidR="00E42A95" w:rsidRPr="00E46777" w:rsidRDefault="008C3745" w:rsidP="00E42A95">
      <w:pPr>
        <w:pStyle w:val="BluefieldBody"/>
        <w:rPr>
          <w:lang w:val="en-US"/>
        </w:rPr>
      </w:pPr>
      <w:r w:rsidRPr="008F7ADD">
        <w:rPr>
          <w:lang w:val="en-US"/>
        </w:rPr>
        <w:t xml:space="preserve">The </w:t>
      </w:r>
      <w:proofErr w:type="spellStart"/>
      <w:r w:rsidRPr="008F7ADD">
        <w:rPr>
          <w:lang w:val="en-US"/>
        </w:rPr>
        <w:t>authorised</w:t>
      </w:r>
      <w:proofErr w:type="spellEnd"/>
      <w:r w:rsidRPr="008F7ADD">
        <w:rPr>
          <w:lang w:val="en-US"/>
        </w:rPr>
        <w:t xml:space="preserve"> share capital of the Company is represented by an unlimited number of Ordinary Shares of no par value which, upon issue, the Directors may designate into such classes and denominate in such currencies as they may determine.</w:t>
      </w:r>
    </w:p>
    <w:tbl>
      <w:tblPr>
        <w:tblW w:w="5018" w:type="pct"/>
        <w:tblLayout w:type="fixed"/>
        <w:tblLook w:val="04A0" w:firstRow="1" w:lastRow="0" w:firstColumn="1" w:lastColumn="0" w:noHBand="0" w:noVBand="1"/>
      </w:tblPr>
      <w:tblGrid>
        <w:gridCol w:w="5788"/>
        <w:gridCol w:w="1804"/>
        <w:gridCol w:w="1802"/>
      </w:tblGrid>
      <w:tr w:rsidR="00756167" w:rsidRPr="009848CF" w14:paraId="74A0FD92" w14:textId="77777777" w:rsidTr="00837182">
        <w:trPr>
          <w:trHeight w:val="617"/>
        </w:trPr>
        <w:tc>
          <w:tcPr>
            <w:tcW w:w="3081" w:type="pct"/>
            <w:tcBorders>
              <w:top w:val="nil"/>
              <w:left w:val="nil"/>
              <w:right w:val="nil"/>
            </w:tcBorders>
            <w:shd w:val="clear" w:color="auto" w:fill="auto"/>
            <w:noWrap/>
            <w:vAlign w:val="bottom"/>
          </w:tcPr>
          <w:p w14:paraId="77281E43" w14:textId="77777777" w:rsidR="00756167" w:rsidRPr="009D7A09" w:rsidRDefault="009D7A09" w:rsidP="00BE36C5">
            <w:pPr>
              <w:jc w:val="both"/>
              <w:rPr>
                <w:rFonts w:ascii="Georgia" w:hAnsi="Georgia" w:cs="Arial"/>
                <w:b/>
                <w:bCs/>
                <w:iCs/>
                <w:color w:val="404040" w:themeColor="text1" w:themeTint="BF"/>
                <w:sz w:val="20"/>
                <w:szCs w:val="20"/>
                <w:lang w:eastAsia="en-GB"/>
              </w:rPr>
            </w:pPr>
            <w:r w:rsidRPr="009D7A09">
              <w:rPr>
                <w:rFonts w:ascii="Georgia" w:hAnsi="Georgia" w:cs="Arial"/>
                <w:b/>
                <w:bCs/>
                <w:iCs/>
                <w:color w:val="404040" w:themeColor="text1" w:themeTint="BF"/>
                <w:sz w:val="20"/>
                <w:szCs w:val="20"/>
                <w:lang w:eastAsia="en-GB"/>
              </w:rPr>
              <w:t>Number of Ordinary Shares</w:t>
            </w:r>
          </w:p>
        </w:tc>
        <w:tc>
          <w:tcPr>
            <w:tcW w:w="960" w:type="pct"/>
            <w:tcBorders>
              <w:top w:val="nil"/>
              <w:left w:val="nil"/>
              <w:right w:val="nil"/>
            </w:tcBorders>
            <w:vAlign w:val="bottom"/>
          </w:tcPr>
          <w:p w14:paraId="591DF543" w14:textId="77777777" w:rsidR="009D7A09" w:rsidRDefault="00756167" w:rsidP="00756167">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Year ended </w:t>
            </w:r>
          </w:p>
          <w:p w14:paraId="6D56EE2B" w14:textId="1FCC8144" w:rsidR="00756167" w:rsidRDefault="00756167" w:rsidP="00665A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c>
          <w:tcPr>
            <w:tcW w:w="959" w:type="pct"/>
            <w:tcBorders>
              <w:top w:val="nil"/>
              <w:left w:val="nil"/>
              <w:right w:val="nil"/>
            </w:tcBorders>
            <w:shd w:val="clear" w:color="auto" w:fill="auto"/>
            <w:noWrap/>
            <w:vAlign w:val="bottom"/>
          </w:tcPr>
          <w:p w14:paraId="3AFBD7DD" w14:textId="77777777" w:rsidR="00797545" w:rsidRDefault="00797545" w:rsidP="0079754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Year ended </w:t>
            </w:r>
          </w:p>
          <w:p w14:paraId="6A951705" w14:textId="3D33FAA2" w:rsidR="00756167" w:rsidRPr="00384BCB" w:rsidRDefault="00797545" w:rsidP="00665A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tc>
      </w:tr>
      <w:tr w:rsidR="00756167" w:rsidRPr="009848CF" w14:paraId="46362AA8" w14:textId="77777777" w:rsidTr="00837182">
        <w:trPr>
          <w:trHeight w:val="324"/>
        </w:trPr>
        <w:tc>
          <w:tcPr>
            <w:tcW w:w="3081" w:type="pct"/>
            <w:tcBorders>
              <w:left w:val="nil"/>
              <w:bottom w:val="single" w:sz="4" w:space="0" w:color="000000" w:themeColor="text1"/>
              <w:right w:val="nil"/>
            </w:tcBorders>
            <w:shd w:val="clear" w:color="auto" w:fill="auto"/>
            <w:noWrap/>
            <w:vAlign w:val="bottom"/>
          </w:tcPr>
          <w:p w14:paraId="5F2CB350" w14:textId="77777777" w:rsidR="00756167" w:rsidRPr="00384BCB" w:rsidRDefault="00756167" w:rsidP="00BE36C5">
            <w:pPr>
              <w:jc w:val="both"/>
              <w:rPr>
                <w:rFonts w:ascii="Georgia" w:hAnsi="Georgia" w:cs="Arial"/>
                <w:b/>
                <w:bCs/>
                <w:i/>
                <w:iCs/>
                <w:color w:val="404040" w:themeColor="text1" w:themeTint="BF"/>
                <w:sz w:val="20"/>
                <w:szCs w:val="20"/>
                <w:lang w:eastAsia="en-GB"/>
              </w:rPr>
            </w:pPr>
          </w:p>
        </w:tc>
        <w:tc>
          <w:tcPr>
            <w:tcW w:w="960" w:type="pct"/>
            <w:tcBorders>
              <w:left w:val="nil"/>
              <w:bottom w:val="single" w:sz="4" w:space="0" w:color="000000" w:themeColor="text1"/>
              <w:right w:val="nil"/>
            </w:tcBorders>
            <w:vAlign w:val="bottom"/>
          </w:tcPr>
          <w:p w14:paraId="50E7E5D8" w14:textId="77777777" w:rsidR="00756167" w:rsidRDefault="00756167" w:rsidP="00584D59">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Number</w:t>
            </w:r>
          </w:p>
        </w:tc>
        <w:tc>
          <w:tcPr>
            <w:tcW w:w="959" w:type="pct"/>
            <w:tcBorders>
              <w:left w:val="nil"/>
              <w:bottom w:val="single" w:sz="4" w:space="0" w:color="000000" w:themeColor="text1"/>
              <w:right w:val="nil"/>
            </w:tcBorders>
            <w:shd w:val="clear" w:color="auto" w:fill="auto"/>
            <w:noWrap/>
            <w:vAlign w:val="bottom"/>
          </w:tcPr>
          <w:p w14:paraId="6B696AE1" w14:textId="77777777" w:rsidR="00756167" w:rsidRDefault="00756167" w:rsidP="00BE36C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Number</w:t>
            </w:r>
          </w:p>
        </w:tc>
      </w:tr>
      <w:tr w:rsidR="00756167" w:rsidRPr="00AD4B4D" w14:paraId="4DAA4461" w14:textId="77777777" w:rsidTr="00837182">
        <w:trPr>
          <w:trHeight w:val="133"/>
        </w:trPr>
        <w:tc>
          <w:tcPr>
            <w:tcW w:w="3081" w:type="pct"/>
            <w:tcBorders>
              <w:top w:val="single" w:sz="4" w:space="0" w:color="000000" w:themeColor="text1"/>
              <w:left w:val="nil"/>
              <w:right w:val="nil"/>
            </w:tcBorders>
            <w:shd w:val="clear" w:color="auto" w:fill="auto"/>
            <w:noWrap/>
            <w:vAlign w:val="center"/>
          </w:tcPr>
          <w:p w14:paraId="270F3EAF" w14:textId="77777777" w:rsidR="00756167" w:rsidRPr="00384BCB" w:rsidRDefault="00756167" w:rsidP="008C3745">
            <w:pPr>
              <w:rPr>
                <w:rFonts w:ascii="Georgia" w:hAnsi="Georgia" w:cs="Arial"/>
                <w:b/>
                <w:bCs/>
                <w:color w:val="404040" w:themeColor="text1" w:themeTint="BF"/>
                <w:sz w:val="8"/>
                <w:szCs w:val="20"/>
                <w:lang w:eastAsia="en-GB"/>
              </w:rPr>
            </w:pPr>
          </w:p>
        </w:tc>
        <w:tc>
          <w:tcPr>
            <w:tcW w:w="960" w:type="pct"/>
            <w:tcBorders>
              <w:top w:val="single" w:sz="4" w:space="0" w:color="000000" w:themeColor="text1"/>
              <w:left w:val="nil"/>
              <w:right w:val="nil"/>
            </w:tcBorders>
          </w:tcPr>
          <w:p w14:paraId="0EE47646" w14:textId="77777777" w:rsidR="00756167" w:rsidRPr="00384BCB" w:rsidRDefault="00756167" w:rsidP="008C3745">
            <w:pPr>
              <w:jc w:val="right"/>
              <w:rPr>
                <w:rFonts w:ascii="Georgia" w:hAnsi="Georgia" w:cs="Arial"/>
                <w:color w:val="404040" w:themeColor="text1" w:themeTint="BF"/>
                <w:sz w:val="8"/>
                <w:szCs w:val="20"/>
                <w:lang w:eastAsia="en-GB"/>
              </w:rPr>
            </w:pPr>
          </w:p>
        </w:tc>
        <w:tc>
          <w:tcPr>
            <w:tcW w:w="959" w:type="pct"/>
            <w:tcBorders>
              <w:top w:val="single" w:sz="4" w:space="0" w:color="000000" w:themeColor="text1"/>
              <w:left w:val="nil"/>
              <w:right w:val="nil"/>
            </w:tcBorders>
            <w:shd w:val="clear" w:color="auto" w:fill="auto"/>
            <w:noWrap/>
            <w:vAlign w:val="center"/>
          </w:tcPr>
          <w:p w14:paraId="6D9A25D5" w14:textId="77777777" w:rsidR="00756167" w:rsidRPr="00384BCB" w:rsidRDefault="00756167" w:rsidP="008C3745">
            <w:pPr>
              <w:jc w:val="right"/>
              <w:rPr>
                <w:rFonts w:ascii="Georgia" w:hAnsi="Georgia" w:cs="Arial"/>
                <w:color w:val="404040" w:themeColor="text1" w:themeTint="BF"/>
                <w:sz w:val="8"/>
                <w:szCs w:val="20"/>
                <w:lang w:eastAsia="en-GB"/>
              </w:rPr>
            </w:pPr>
          </w:p>
        </w:tc>
      </w:tr>
      <w:tr w:rsidR="00002783" w:rsidRPr="00BE36C5" w14:paraId="0BDA1B3C" w14:textId="77777777" w:rsidTr="00837182">
        <w:trPr>
          <w:trHeight w:val="416"/>
        </w:trPr>
        <w:tc>
          <w:tcPr>
            <w:tcW w:w="3081" w:type="pct"/>
            <w:tcBorders>
              <w:left w:val="nil"/>
              <w:bottom w:val="nil"/>
              <w:right w:val="nil"/>
            </w:tcBorders>
            <w:shd w:val="clear" w:color="auto" w:fill="auto"/>
            <w:noWrap/>
            <w:vAlign w:val="center"/>
          </w:tcPr>
          <w:p w14:paraId="180E1B93" w14:textId="3BD8327F" w:rsidR="00002783" w:rsidRPr="00384BCB" w:rsidRDefault="00002783" w:rsidP="00002783">
            <w:pP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Opening balance</w:t>
            </w:r>
            <w:r w:rsidR="00D23B5B">
              <w:rPr>
                <w:rFonts w:ascii="Georgia" w:hAnsi="Georgia" w:cs="Arial"/>
                <w:b/>
                <w:bCs/>
                <w:color w:val="404040" w:themeColor="text1" w:themeTint="BF"/>
                <w:sz w:val="20"/>
                <w:szCs w:val="20"/>
                <w:lang w:eastAsia="en-GB"/>
              </w:rPr>
              <w:t xml:space="preserve"> </w:t>
            </w:r>
          </w:p>
        </w:tc>
        <w:tc>
          <w:tcPr>
            <w:tcW w:w="960" w:type="pct"/>
            <w:tcBorders>
              <w:left w:val="nil"/>
              <w:bottom w:val="nil"/>
              <w:right w:val="nil"/>
            </w:tcBorders>
            <w:vAlign w:val="center"/>
          </w:tcPr>
          <w:p w14:paraId="7044A42D" w14:textId="47A628B3" w:rsidR="00002783" w:rsidRPr="00B82DA9" w:rsidRDefault="00D23B5B" w:rsidP="00002783">
            <w:pPr>
              <w:jc w:val="right"/>
              <w:rPr>
                <w:rFonts w:ascii="Georgia" w:hAnsi="Georgia" w:cs="Arial"/>
                <w:color w:val="404040" w:themeColor="text1" w:themeTint="BF"/>
                <w:sz w:val="20"/>
                <w:szCs w:val="20"/>
                <w:lang w:eastAsia="en-GB"/>
              </w:rPr>
            </w:pPr>
            <w:r w:rsidRPr="00B82DA9">
              <w:rPr>
                <w:rFonts w:ascii="Georgia" w:hAnsi="Georgia" w:cs="Arial"/>
                <w:color w:val="404040" w:themeColor="text1" w:themeTint="BF"/>
                <w:sz w:val="20"/>
                <w:szCs w:val="20"/>
                <w:lang w:eastAsia="en-GB"/>
              </w:rPr>
              <w:t>369,883,530</w:t>
            </w:r>
          </w:p>
        </w:tc>
        <w:tc>
          <w:tcPr>
            <w:tcW w:w="959" w:type="pct"/>
            <w:tcBorders>
              <w:left w:val="nil"/>
              <w:bottom w:val="nil"/>
              <w:right w:val="nil"/>
            </w:tcBorders>
            <w:shd w:val="clear" w:color="auto" w:fill="auto"/>
            <w:noWrap/>
            <w:vAlign w:val="center"/>
          </w:tcPr>
          <w:p w14:paraId="145B4105" w14:textId="0BFF1757" w:rsidR="00002783" w:rsidRPr="00384BCB" w:rsidRDefault="00002783" w:rsidP="00094B3F">
            <w:pPr>
              <w:jc w:val="right"/>
              <w:rPr>
                <w:rFonts w:ascii="Georgia" w:hAnsi="Georgia" w:cs="Arial"/>
                <w:color w:val="404040" w:themeColor="text1" w:themeTint="BF"/>
                <w:sz w:val="20"/>
                <w:szCs w:val="20"/>
                <w:lang w:eastAsia="en-GB"/>
              </w:rPr>
            </w:pPr>
            <w:r w:rsidRPr="005371C8">
              <w:rPr>
                <w:rFonts w:ascii="Georgia" w:hAnsi="Georgia" w:cs="Arial"/>
                <w:color w:val="404040" w:themeColor="text1" w:themeTint="BF"/>
                <w:sz w:val="20"/>
                <w:szCs w:val="20"/>
                <w:lang w:eastAsia="en-GB"/>
              </w:rPr>
              <w:t>369,88</w:t>
            </w:r>
            <w:r w:rsidR="00D23B5B">
              <w:rPr>
                <w:rFonts w:ascii="Georgia" w:hAnsi="Georgia" w:cs="Arial"/>
                <w:color w:val="404040" w:themeColor="text1" w:themeTint="BF"/>
                <w:sz w:val="20"/>
                <w:szCs w:val="20"/>
                <w:lang w:eastAsia="en-GB"/>
              </w:rPr>
              <w:t>3,530</w:t>
            </w:r>
          </w:p>
        </w:tc>
      </w:tr>
      <w:tr w:rsidR="00002783" w:rsidRPr="00BE36C5" w14:paraId="28DD1406" w14:textId="77777777" w:rsidTr="00837182">
        <w:trPr>
          <w:trHeight w:val="416"/>
        </w:trPr>
        <w:tc>
          <w:tcPr>
            <w:tcW w:w="3081" w:type="pct"/>
            <w:tcBorders>
              <w:top w:val="nil"/>
              <w:left w:val="nil"/>
              <w:bottom w:val="nil"/>
              <w:right w:val="nil"/>
            </w:tcBorders>
            <w:shd w:val="clear" w:color="auto" w:fill="auto"/>
            <w:vAlign w:val="center"/>
          </w:tcPr>
          <w:p w14:paraId="031E2E74" w14:textId="77777777" w:rsidR="00002783" w:rsidRPr="00384BCB" w:rsidRDefault="00002783" w:rsidP="00002783">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Share</w:t>
            </w:r>
            <w:r>
              <w:rPr>
                <w:rFonts w:ascii="Georgia" w:hAnsi="Georgia" w:cs="Arial"/>
                <w:color w:val="404040" w:themeColor="text1" w:themeTint="BF"/>
                <w:sz w:val="20"/>
                <w:szCs w:val="20"/>
                <w:lang w:eastAsia="en-GB"/>
              </w:rPr>
              <w:t xml:space="preserve">s </w:t>
            </w:r>
            <w:r w:rsidRPr="00E42A95">
              <w:rPr>
                <w:rFonts w:ascii="Georgia" w:hAnsi="Georgia" w:cs="Arial"/>
                <w:color w:val="404040" w:themeColor="text1" w:themeTint="BF"/>
                <w:sz w:val="20"/>
                <w:szCs w:val="20"/>
                <w:lang w:eastAsia="en-GB"/>
              </w:rPr>
              <w:t xml:space="preserve">issued as </w:t>
            </w:r>
            <w:r>
              <w:rPr>
                <w:rFonts w:ascii="Georgia" w:hAnsi="Georgia" w:cs="Arial"/>
                <w:color w:val="404040" w:themeColor="text1" w:themeTint="BF"/>
                <w:sz w:val="20"/>
                <w:szCs w:val="20"/>
                <w:lang w:eastAsia="en-GB"/>
              </w:rPr>
              <w:t>settlement of variable fee</w:t>
            </w:r>
          </w:p>
        </w:tc>
        <w:tc>
          <w:tcPr>
            <w:tcW w:w="960" w:type="pct"/>
            <w:tcBorders>
              <w:top w:val="nil"/>
              <w:left w:val="nil"/>
              <w:bottom w:val="nil"/>
              <w:right w:val="nil"/>
            </w:tcBorders>
            <w:vAlign w:val="center"/>
          </w:tcPr>
          <w:p w14:paraId="37E8C147" w14:textId="66A3CCD3" w:rsidR="00002783" w:rsidRPr="00B82DA9" w:rsidRDefault="00CF7BB2" w:rsidP="00002783">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616,092</w:t>
            </w:r>
          </w:p>
        </w:tc>
        <w:tc>
          <w:tcPr>
            <w:tcW w:w="959" w:type="pct"/>
            <w:tcBorders>
              <w:top w:val="nil"/>
              <w:left w:val="nil"/>
              <w:bottom w:val="nil"/>
              <w:right w:val="nil"/>
            </w:tcBorders>
            <w:shd w:val="clear" w:color="auto" w:fill="auto"/>
            <w:noWrap/>
            <w:vAlign w:val="center"/>
          </w:tcPr>
          <w:p w14:paraId="774B8FEB" w14:textId="7997E5B3" w:rsidR="00002783" w:rsidRPr="00384BCB" w:rsidRDefault="00002783" w:rsidP="00002783">
            <w:pPr>
              <w:jc w:val="right"/>
              <w:rPr>
                <w:rFonts w:ascii="Georgia" w:hAnsi="Georgia" w:cs="Arial"/>
                <w:color w:val="404040" w:themeColor="text1" w:themeTint="BF"/>
                <w:sz w:val="20"/>
                <w:szCs w:val="20"/>
                <w:lang w:eastAsia="en-GB"/>
              </w:rPr>
            </w:pPr>
            <w:r w:rsidRPr="005371C8">
              <w:rPr>
                <w:rFonts w:ascii="Georgia" w:hAnsi="Georgia" w:cs="Arial"/>
                <w:color w:val="404040" w:themeColor="text1" w:themeTint="BF"/>
                <w:sz w:val="20"/>
                <w:szCs w:val="20"/>
                <w:lang w:eastAsia="en-GB"/>
              </w:rPr>
              <w:t>-</w:t>
            </w:r>
          </w:p>
        </w:tc>
      </w:tr>
      <w:tr w:rsidR="00002783" w:rsidRPr="00BE36C5" w14:paraId="18609C0D" w14:textId="77777777" w:rsidTr="004970A8">
        <w:trPr>
          <w:trHeight w:val="539"/>
        </w:trPr>
        <w:tc>
          <w:tcPr>
            <w:tcW w:w="3081" w:type="pct"/>
            <w:tcBorders>
              <w:top w:val="nil"/>
              <w:left w:val="nil"/>
              <w:bottom w:val="nil"/>
              <w:right w:val="nil"/>
            </w:tcBorders>
            <w:shd w:val="clear" w:color="auto" w:fill="auto"/>
            <w:vAlign w:val="center"/>
          </w:tcPr>
          <w:p w14:paraId="4455E227" w14:textId="2CEE4C32" w:rsidR="00002783" w:rsidRPr="00384BCB" w:rsidRDefault="00002783" w:rsidP="00002783">
            <w:pP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Closing balance</w:t>
            </w:r>
            <w:r w:rsidR="00B62844">
              <w:rPr>
                <w:rFonts w:ascii="Georgia" w:hAnsi="Georgia" w:cs="Arial"/>
                <w:b/>
                <w:bCs/>
                <w:color w:val="404040" w:themeColor="text1" w:themeTint="BF"/>
                <w:sz w:val="20"/>
                <w:szCs w:val="20"/>
                <w:lang w:eastAsia="en-GB"/>
              </w:rPr>
              <w:t xml:space="preserve"> </w:t>
            </w:r>
          </w:p>
        </w:tc>
        <w:tc>
          <w:tcPr>
            <w:tcW w:w="960" w:type="pct"/>
            <w:tcBorders>
              <w:top w:val="single" w:sz="4" w:space="0" w:color="auto"/>
              <w:left w:val="nil"/>
              <w:bottom w:val="double" w:sz="6" w:space="0" w:color="auto"/>
              <w:right w:val="nil"/>
            </w:tcBorders>
            <w:vAlign w:val="center"/>
          </w:tcPr>
          <w:p w14:paraId="2DD1BFF2" w14:textId="2478DA66" w:rsidR="00002783" w:rsidRPr="00B82DA9" w:rsidRDefault="00465CBE" w:rsidP="00B82DA9">
            <w:pPr>
              <w:jc w:val="right"/>
              <w:rPr>
                <w:rFonts w:ascii="Georgia" w:hAnsi="Georgia"/>
                <w:b/>
                <w:color w:val="404040"/>
                <w:sz w:val="20"/>
              </w:rPr>
            </w:pPr>
            <w:r w:rsidRPr="00B82DA9">
              <w:rPr>
                <w:rFonts w:ascii="Georgia" w:hAnsi="Georgia"/>
                <w:b/>
                <w:color w:val="404040"/>
                <w:sz w:val="20"/>
              </w:rPr>
              <w:t>370,</w:t>
            </w:r>
            <w:r w:rsidR="00B82DA9" w:rsidRPr="00B82DA9">
              <w:rPr>
                <w:rFonts w:ascii="Georgia" w:hAnsi="Georgia"/>
                <w:b/>
                <w:color w:val="404040"/>
                <w:sz w:val="20"/>
              </w:rPr>
              <w:t>499,622</w:t>
            </w:r>
          </w:p>
        </w:tc>
        <w:tc>
          <w:tcPr>
            <w:tcW w:w="959" w:type="pct"/>
            <w:tcBorders>
              <w:top w:val="single" w:sz="4" w:space="0" w:color="auto"/>
              <w:left w:val="nil"/>
              <w:bottom w:val="double" w:sz="6" w:space="0" w:color="auto"/>
              <w:right w:val="nil"/>
            </w:tcBorders>
            <w:shd w:val="clear" w:color="auto" w:fill="auto"/>
            <w:noWrap/>
            <w:vAlign w:val="center"/>
          </w:tcPr>
          <w:p w14:paraId="62BD6F38" w14:textId="1E5D37A7" w:rsidR="00002783" w:rsidRPr="00384BCB" w:rsidRDefault="00002783" w:rsidP="00002783">
            <w:pPr>
              <w:jc w:val="right"/>
              <w:rPr>
                <w:rFonts w:ascii="Georgia" w:hAnsi="Georgia" w:cs="Arial"/>
                <w:b/>
                <w:bCs/>
                <w:color w:val="404040" w:themeColor="text1" w:themeTint="BF"/>
                <w:sz w:val="20"/>
                <w:szCs w:val="20"/>
                <w:lang w:eastAsia="en-GB"/>
              </w:rPr>
            </w:pPr>
            <w:r w:rsidRPr="005371C8">
              <w:rPr>
                <w:rFonts w:ascii="Georgia" w:hAnsi="Georgia"/>
                <w:b/>
                <w:color w:val="404040"/>
                <w:sz w:val="20"/>
              </w:rPr>
              <w:t>36</w:t>
            </w:r>
            <w:r w:rsidR="00D23B5B">
              <w:rPr>
                <w:rFonts w:ascii="Georgia" w:hAnsi="Georgia"/>
                <w:b/>
                <w:color w:val="404040"/>
                <w:sz w:val="20"/>
              </w:rPr>
              <w:t>9,883,530</w:t>
            </w:r>
          </w:p>
        </w:tc>
      </w:tr>
    </w:tbl>
    <w:p w14:paraId="4D4F56FE" w14:textId="77777777" w:rsidR="009B3F1B" w:rsidRDefault="009B3F1B" w:rsidP="00837182">
      <w:pPr>
        <w:pStyle w:val="Heading-subheadblue"/>
      </w:pPr>
    </w:p>
    <w:p w14:paraId="77C937EB" w14:textId="77777777" w:rsidR="009B3F1B" w:rsidRDefault="009B3F1B" w:rsidP="00837182">
      <w:pPr>
        <w:pStyle w:val="Heading-subheadblue"/>
      </w:pPr>
    </w:p>
    <w:p w14:paraId="7D7336EA" w14:textId="77777777" w:rsidR="007407D8" w:rsidRDefault="007407D8" w:rsidP="00837182">
      <w:pPr>
        <w:pStyle w:val="Heading-subheadblue"/>
      </w:pPr>
    </w:p>
    <w:p w14:paraId="480EBBA6" w14:textId="77777777" w:rsidR="007407D8" w:rsidRDefault="007407D8" w:rsidP="00837182">
      <w:pPr>
        <w:pStyle w:val="Heading-subheadblue"/>
      </w:pPr>
    </w:p>
    <w:p w14:paraId="7841A6E5" w14:textId="77777777" w:rsidR="007407D8" w:rsidRDefault="007407D8" w:rsidP="00837182">
      <w:pPr>
        <w:pStyle w:val="Heading-subheadblue"/>
      </w:pPr>
    </w:p>
    <w:p w14:paraId="09AC85FF" w14:textId="77777777" w:rsidR="007407D8" w:rsidRDefault="007407D8" w:rsidP="00837182">
      <w:pPr>
        <w:pStyle w:val="Heading-subheadblue"/>
      </w:pPr>
    </w:p>
    <w:p w14:paraId="3A9D4335" w14:textId="77777777" w:rsidR="00152529" w:rsidRDefault="00152529">
      <w:pPr>
        <w:rPr>
          <w:rFonts w:ascii="Georgia" w:hAnsi="Georgia" w:cs="Calibri"/>
          <w:b/>
          <w:color w:val="000000" w:themeColor="text1"/>
          <w:sz w:val="20"/>
        </w:rPr>
      </w:pPr>
      <w:r>
        <w:br w:type="page"/>
      </w:r>
    </w:p>
    <w:p w14:paraId="21440BD6" w14:textId="3E1FE16B" w:rsidR="007407D8" w:rsidRPr="00F95B7F" w:rsidRDefault="007407D8" w:rsidP="007407D8">
      <w:pPr>
        <w:pStyle w:val="BluefieldItalicheading10pt"/>
      </w:pPr>
      <w:r w:rsidRPr="00F95B7F">
        <w:rPr>
          <w:i w:val="0"/>
        </w:rPr>
        <w:lastRenderedPageBreak/>
        <w:t>1</w:t>
      </w:r>
      <w:r w:rsidR="006C2EC2">
        <w:rPr>
          <w:i w:val="0"/>
        </w:rPr>
        <w:t>3</w:t>
      </w:r>
      <w:r w:rsidRPr="00F95B7F">
        <w:rPr>
          <w:i w:val="0"/>
        </w:rPr>
        <w:t>.</w:t>
      </w:r>
      <w:r w:rsidRPr="00F95B7F">
        <w:rPr>
          <w:i w:val="0"/>
        </w:rPr>
        <w:tab/>
        <w:t xml:space="preserve"> Share capital (continued)</w:t>
      </w:r>
    </w:p>
    <w:tbl>
      <w:tblPr>
        <w:tblW w:w="5016" w:type="pct"/>
        <w:tblLayout w:type="fixed"/>
        <w:tblLook w:val="04A0" w:firstRow="1" w:lastRow="0" w:firstColumn="1" w:lastColumn="0" w:noHBand="0" w:noVBand="1"/>
      </w:tblPr>
      <w:tblGrid>
        <w:gridCol w:w="5929"/>
        <w:gridCol w:w="1660"/>
        <w:gridCol w:w="1801"/>
      </w:tblGrid>
      <w:tr w:rsidR="00152529" w:rsidRPr="00384BCB" w14:paraId="4C135BD4" w14:textId="77777777" w:rsidTr="0024470F">
        <w:trPr>
          <w:trHeight w:val="255"/>
        </w:trPr>
        <w:tc>
          <w:tcPr>
            <w:tcW w:w="3157" w:type="pct"/>
            <w:tcBorders>
              <w:top w:val="nil"/>
              <w:left w:val="nil"/>
              <w:right w:val="nil"/>
            </w:tcBorders>
            <w:shd w:val="clear" w:color="auto" w:fill="auto"/>
            <w:noWrap/>
            <w:vAlign w:val="bottom"/>
          </w:tcPr>
          <w:p w14:paraId="4A86E111" w14:textId="77777777" w:rsidR="00152529" w:rsidRPr="00384BCB" w:rsidRDefault="00152529">
            <w:pPr>
              <w:rPr>
                <w:rFonts w:ascii="Georgia" w:hAnsi="Georgia" w:cs="Arial"/>
                <w:b/>
                <w:bCs/>
                <w:i/>
                <w:iCs/>
                <w:color w:val="404040" w:themeColor="text1" w:themeTint="BF"/>
                <w:sz w:val="20"/>
                <w:szCs w:val="20"/>
                <w:lang w:eastAsia="en-GB"/>
              </w:rPr>
            </w:pPr>
            <w:r>
              <w:rPr>
                <w:rFonts w:ascii="Georgia" w:hAnsi="Georgia" w:cs="Arial"/>
                <w:b/>
                <w:bCs/>
                <w:iCs/>
                <w:color w:val="404040" w:themeColor="text1" w:themeTint="BF"/>
                <w:sz w:val="20"/>
                <w:szCs w:val="20"/>
                <w:lang w:eastAsia="en-GB"/>
              </w:rPr>
              <w:t>Shareholders’ Equity</w:t>
            </w:r>
          </w:p>
        </w:tc>
        <w:tc>
          <w:tcPr>
            <w:tcW w:w="884" w:type="pct"/>
            <w:tcBorders>
              <w:top w:val="nil"/>
              <w:left w:val="nil"/>
              <w:right w:val="nil"/>
            </w:tcBorders>
          </w:tcPr>
          <w:p w14:paraId="3375183A" w14:textId="77777777" w:rsidR="00152529" w:rsidRPr="00D345DB" w:rsidRDefault="00152529" w:rsidP="00756167">
            <w:pPr>
              <w:jc w:val="right"/>
              <w:rPr>
                <w:rFonts w:ascii="Georgia" w:hAnsi="Georgia" w:cs="Arial"/>
                <w:b/>
                <w:bCs/>
                <w:color w:val="404040" w:themeColor="text1" w:themeTint="BF"/>
                <w:sz w:val="20"/>
                <w:szCs w:val="20"/>
                <w:lang w:eastAsia="en-GB"/>
              </w:rPr>
            </w:pPr>
            <w:r w:rsidRPr="00D345DB">
              <w:rPr>
                <w:rFonts w:ascii="Georgia" w:hAnsi="Georgia" w:cs="Arial"/>
                <w:b/>
                <w:bCs/>
                <w:color w:val="404040" w:themeColor="text1" w:themeTint="BF"/>
                <w:sz w:val="20"/>
                <w:szCs w:val="20"/>
                <w:lang w:eastAsia="en-GB"/>
              </w:rPr>
              <w:t>Year ended</w:t>
            </w:r>
          </w:p>
          <w:p w14:paraId="2E2F34C0" w14:textId="0BB4403F" w:rsidR="00152529" w:rsidRPr="00D345DB" w:rsidRDefault="00152529" w:rsidP="00665AEF">
            <w:pPr>
              <w:jc w:val="right"/>
              <w:rPr>
                <w:rFonts w:ascii="Georgia" w:hAnsi="Georgia" w:cs="Arial"/>
                <w:b/>
                <w:bCs/>
                <w:color w:val="404040" w:themeColor="text1" w:themeTint="BF"/>
                <w:sz w:val="20"/>
                <w:szCs w:val="20"/>
                <w:lang w:eastAsia="en-GB"/>
              </w:rPr>
            </w:pPr>
            <w:r w:rsidRPr="00D345DB">
              <w:rPr>
                <w:rFonts w:ascii="Georgia" w:hAnsi="Georgia" w:cs="Arial"/>
                <w:b/>
                <w:bCs/>
                <w:color w:val="404040" w:themeColor="text1" w:themeTint="BF"/>
                <w:sz w:val="20"/>
                <w:szCs w:val="20"/>
                <w:lang w:eastAsia="en-GB"/>
              </w:rPr>
              <w:t xml:space="preserve"> 30 June </w:t>
            </w:r>
            <w:r w:rsidR="00904E51">
              <w:rPr>
                <w:rFonts w:ascii="Georgia" w:hAnsi="Georgia" w:cs="Arial"/>
                <w:b/>
                <w:bCs/>
                <w:color w:val="404040" w:themeColor="text1" w:themeTint="BF"/>
                <w:sz w:val="20"/>
                <w:szCs w:val="20"/>
                <w:lang w:eastAsia="en-GB"/>
              </w:rPr>
              <w:t>2020</w:t>
            </w:r>
          </w:p>
        </w:tc>
        <w:tc>
          <w:tcPr>
            <w:tcW w:w="959" w:type="pct"/>
            <w:tcBorders>
              <w:top w:val="nil"/>
              <w:left w:val="nil"/>
              <w:right w:val="nil"/>
            </w:tcBorders>
          </w:tcPr>
          <w:p w14:paraId="64076EC2" w14:textId="77777777" w:rsidR="00152529" w:rsidRDefault="00152529" w:rsidP="001244A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Year ended</w:t>
            </w:r>
          </w:p>
          <w:p w14:paraId="0C30ED7C" w14:textId="6F211252" w:rsidR="00152529" w:rsidRDefault="00152529" w:rsidP="00665AEF">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 30 June </w:t>
            </w:r>
            <w:r w:rsidR="00904E51">
              <w:rPr>
                <w:rFonts w:ascii="Georgia" w:hAnsi="Georgia" w:cs="Arial"/>
                <w:b/>
                <w:bCs/>
                <w:color w:val="404040" w:themeColor="text1" w:themeTint="BF"/>
                <w:sz w:val="20"/>
                <w:szCs w:val="20"/>
                <w:lang w:eastAsia="en-GB"/>
              </w:rPr>
              <w:t>2019</w:t>
            </w:r>
          </w:p>
        </w:tc>
      </w:tr>
      <w:tr w:rsidR="00152529" w:rsidRPr="00384BCB" w14:paraId="1463E70E" w14:textId="77777777" w:rsidTr="0024470F">
        <w:trPr>
          <w:trHeight w:val="255"/>
        </w:trPr>
        <w:tc>
          <w:tcPr>
            <w:tcW w:w="3157" w:type="pct"/>
            <w:tcBorders>
              <w:top w:val="nil"/>
              <w:left w:val="nil"/>
              <w:bottom w:val="single" w:sz="4" w:space="0" w:color="000000" w:themeColor="text1"/>
              <w:right w:val="nil"/>
            </w:tcBorders>
            <w:shd w:val="clear" w:color="auto" w:fill="auto"/>
            <w:noWrap/>
            <w:vAlign w:val="bottom"/>
          </w:tcPr>
          <w:p w14:paraId="1DB6AD2F" w14:textId="77777777" w:rsidR="00152529" w:rsidRPr="00384BCB" w:rsidRDefault="00152529" w:rsidP="00BE36C5">
            <w:pPr>
              <w:rPr>
                <w:rFonts w:ascii="Georgia" w:hAnsi="Georgia" w:cs="Arial"/>
                <w:color w:val="404040" w:themeColor="text1" w:themeTint="BF"/>
                <w:sz w:val="20"/>
                <w:szCs w:val="20"/>
                <w:lang w:eastAsia="en-GB"/>
              </w:rPr>
            </w:pPr>
          </w:p>
        </w:tc>
        <w:tc>
          <w:tcPr>
            <w:tcW w:w="884" w:type="pct"/>
            <w:tcBorders>
              <w:top w:val="nil"/>
              <w:left w:val="nil"/>
              <w:bottom w:val="single" w:sz="4" w:space="0" w:color="000000" w:themeColor="text1"/>
              <w:right w:val="nil"/>
            </w:tcBorders>
          </w:tcPr>
          <w:p w14:paraId="041E9D66" w14:textId="78AFDEA3" w:rsidR="00152529" w:rsidRPr="00D345DB" w:rsidRDefault="00152529" w:rsidP="00BE36C5">
            <w:pPr>
              <w:jc w:val="right"/>
              <w:rPr>
                <w:rFonts w:ascii="Georgia" w:hAnsi="Georgia" w:cs="Arial"/>
                <w:b/>
                <w:bCs/>
                <w:color w:val="404040" w:themeColor="text1" w:themeTint="BF"/>
                <w:sz w:val="20"/>
                <w:szCs w:val="20"/>
                <w:lang w:eastAsia="en-GB"/>
              </w:rPr>
            </w:pPr>
            <w:r w:rsidRPr="00D345DB">
              <w:rPr>
                <w:rFonts w:ascii="Georgia" w:hAnsi="Georgia" w:cs="Arial"/>
                <w:b/>
                <w:bCs/>
                <w:color w:val="404040" w:themeColor="text1" w:themeTint="BF"/>
                <w:sz w:val="20"/>
                <w:szCs w:val="20"/>
                <w:lang w:eastAsia="en-GB"/>
              </w:rPr>
              <w:t>£</w:t>
            </w:r>
            <w:r w:rsidR="0092617D">
              <w:rPr>
                <w:rFonts w:ascii="Georgia" w:hAnsi="Georgia" w:cs="Arial"/>
                <w:b/>
                <w:bCs/>
                <w:color w:val="404040" w:themeColor="text1" w:themeTint="BF"/>
                <w:sz w:val="20"/>
                <w:szCs w:val="20"/>
                <w:lang w:eastAsia="en-GB"/>
              </w:rPr>
              <w:t>’000</w:t>
            </w:r>
          </w:p>
        </w:tc>
        <w:tc>
          <w:tcPr>
            <w:tcW w:w="959" w:type="pct"/>
            <w:tcBorders>
              <w:top w:val="nil"/>
              <w:left w:val="nil"/>
              <w:bottom w:val="single" w:sz="4" w:space="0" w:color="000000" w:themeColor="text1"/>
              <w:right w:val="nil"/>
            </w:tcBorders>
          </w:tcPr>
          <w:p w14:paraId="258903CF" w14:textId="5509BE94" w:rsidR="00152529" w:rsidRPr="00E42A95" w:rsidRDefault="00152529" w:rsidP="00BE36C5">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w:t>
            </w:r>
            <w:r w:rsidR="0092617D">
              <w:rPr>
                <w:rFonts w:ascii="Georgia" w:hAnsi="Georgia" w:cs="Arial"/>
                <w:b/>
                <w:bCs/>
                <w:color w:val="404040" w:themeColor="text1" w:themeTint="BF"/>
                <w:sz w:val="20"/>
                <w:szCs w:val="20"/>
                <w:lang w:eastAsia="en-GB"/>
              </w:rPr>
              <w:t>’000</w:t>
            </w:r>
          </w:p>
        </w:tc>
      </w:tr>
      <w:tr w:rsidR="00152529" w:rsidRPr="00384BCB" w14:paraId="0685F111" w14:textId="77777777" w:rsidTr="0024470F">
        <w:trPr>
          <w:trHeight w:val="98"/>
        </w:trPr>
        <w:tc>
          <w:tcPr>
            <w:tcW w:w="3157" w:type="pct"/>
            <w:tcBorders>
              <w:top w:val="single" w:sz="4" w:space="0" w:color="000000" w:themeColor="text1"/>
              <w:left w:val="nil"/>
              <w:right w:val="nil"/>
            </w:tcBorders>
            <w:shd w:val="clear" w:color="auto" w:fill="auto"/>
            <w:noWrap/>
            <w:vAlign w:val="bottom"/>
          </w:tcPr>
          <w:p w14:paraId="57A3C92B" w14:textId="77777777" w:rsidR="00152529" w:rsidRPr="00384BCB" w:rsidRDefault="00152529" w:rsidP="00BE36C5">
            <w:pPr>
              <w:rPr>
                <w:rFonts w:ascii="Georgia" w:hAnsi="Georgia" w:cs="Arial"/>
                <w:b/>
                <w:bCs/>
                <w:color w:val="404040" w:themeColor="text1" w:themeTint="BF"/>
                <w:sz w:val="8"/>
                <w:szCs w:val="20"/>
                <w:lang w:eastAsia="en-GB"/>
              </w:rPr>
            </w:pPr>
          </w:p>
        </w:tc>
        <w:tc>
          <w:tcPr>
            <w:tcW w:w="884" w:type="pct"/>
            <w:tcBorders>
              <w:top w:val="single" w:sz="4" w:space="0" w:color="000000" w:themeColor="text1"/>
              <w:left w:val="nil"/>
              <w:right w:val="nil"/>
            </w:tcBorders>
          </w:tcPr>
          <w:p w14:paraId="41696298" w14:textId="77777777" w:rsidR="00152529" w:rsidRPr="00D345DB" w:rsidRDefault="00152529" w:rsidP="00BE36C5">
            <w:pPr>
              <w:jc w:val="right"/>
              <w:rPr>
                <w:rFonts w:ascii="Georgia" w:hAnsi="Georgia" w:cs="Arial"/>
                <w:color w:val="404040" w:themeColor="text1" w:themeTint="BF"/>
                <w:sz w:val="8"/>
                <w:szCs w:val="20"/>
                <w:lang w:eastAsia="en-GB"/>
              </w:rPr>
            </w:pPr>
          </w:p>
        </w:tc>
        <w:tc>
          <w:tcPr>
            <w:tcW w:w="959" w:type="pct"/>
            <w:tcBorders>
              <w:top w:val="single" w:sz="4" w:space="0" w:color="000000" w:themeColor="text1"/>
              <w:left w:val="nil"/>
              <w:right w:val="nil"/>
            </w:tcBorders>
          </w:tcPr>
          <w:p w14:paraId="02F8313F" w14:textId="77777777" w:rsidR="00152529" w:rsidRPr="00384BCB" w:rsidRDefault="00152529" w:rsidP="00BE36C5">
            <w:pPr>
              <w:jc w:val="right"/>
              <w:rPr>
                <w:rFonts w:ascii="Georgia" w:hAnsi="Georgia" w:cs="Arial"/>
                <w:color w:val="404040" w:themeColor="text1" w:themeTint="BF"/>
                <w:sz w:val="8"/>
                <w:szCs w:val="20"/>
                <w:lang w:eastAsia="en-GB"/>
              </w:rPr>
            </w:pPr>
          </w:p>
        </w:tc>
      </w:tr>
      <w:tr w:rsidR="000B411A" w:rsidRPr="00384BCB" w14:paraId="000E8466" w14:textId="77777777" w:rsidTr="005D0ACB">
        <w:trPr>
          <w:trHeight w:val="352"/>
        </w:trPr>
        <w:tc>
          <w:tcPr>
            <w:tcW w:w="3157" w:type="pct"/>
            <w:tcBorders>
              <w:left w:val="nil"/>
              <w:bottom w:val="nil"/>
              <w:right w:val="nil"/>
            </w:tcBorders>
            <w:shd w:val="clear" w:color="auto" w:fill="auto"/>
            <w:noWrap/>
            <w:vAlign w:val="center"/>
          </w:tcPr>
          <w:p w14:paraId="5B7DCEFA" w14:textId="77777777" w:rsidR="000B411A" w:rsidRPr="00384BCB" w:rsidRDefault="000B411A" w:rsidP="000B411A">
            <w:pP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Opening balance</w:t>
            </w:r>
          </w:p>
        </w:tc>
        <w:tc>
          <w:tcPr>
            <w:tcW w:w="884" w:type="pct"/>
            <w:tcBorders>
              <w:left w:val="nil"/>
              <w:bottom w:val="nil"/>
              <w:right w:val="nil"/>
            </w:tcBorders>
            <w:vAlign w:val="center"/>
          </w:tcPr>
          <w:p w14:paraId="047A2754" w14:textId="49671C93" w:rsidR="000B411A" w:rsidRPr="00DA3851" w:rsidRDefault="00DA3851" w:rsidP="000B411A">
            <w:pPr>
              <w:jc w:val="right"/>
              <w:rPr>
                <w:rFonts w:ascii="Georgia" w:hAnsi="Georgia" w:cs="Arial"/>
                <w:color w:val="404040" w:themeColor="text1" w:themeTint="BF"/>
                <w:sz w:val="20"/>
                <w:szCs w:val="20"/>
                <w:highlight w:val="yellow"/>
                <w:lang w:eastAsia="en-GB"/>
              </w:rPr>
            </w:pPr>
            <w:r w:rsidRPr="00DA3851">
              <w:rPr>
                <w:rFonts w:ascii="Georgia" w:hAnsi="Georgia"/>
                <w:color w:val="404040"/>
                <w:sz w:val="20"/>
              </w:rPr>
              <w:t>436,396</w:t>
            </w:r>
          </w:p>
        </w:tc>
        <w:tc>
          <w:tcPr>
            <w:tcW w:w="959" w:type="pct"/>
            <w:tcBorders>
              <w:left w:val="nil"/>
              <w:bottom w:val="nil"/>
              <w:right w:val="nil"/>
            </w:tcBorders>
            <w:vAlign w:val="center"/>
          </w:tcPr>
          <w:p w14:paraId="5D4375E4" w14:textId="6CF3FEC2" w:rsidR="000B411A" w:rsidRPr="00E42A95" w:rsidRDefault="00EF6C33" w:rsidP="000B411A">
            <w:pPr>
              <w:jc w:val="right"/>
              <w:rPr>
                <w:rFonts w:ascii="Georgia" w:hAnsi="Georgia" w:cs="Arial"/>
                <w:color w:val="404040" w:themeColor="text1" w:themeTint="BF"/>
                <w:sz w:val="20"/>
                <w:szCs w:val="20"/>
                <w:lang w:eastAsia="en-GB"/>
              </w:rPr>
            </w:pPr>
            <w:r>
              <w:rPr>
                <w:rFonts w:ascii="Georgia" w:hAnsi="Georgia" w:cs="Arial"/>
                <w:color w:val="333333"/>
                <w:sz w:val="20"/>
                <w:szCs w:val="20"/>
              </w:rPr>
              <w:t>418,996</w:t>
            </w:r>
          </w:p>
        </w:tc>
      </w:tr>
      <w:tr w:rsidR="00DA3851" w:rsidRPr="00384BCB" w14:paraId="2C46E6CF" w14:textId="77777777" w:rsidTr="005D0ACB">
        <w:trPr>
          <w:trHeight w:val="352"/>
        </w:trPr>
        <w:tc>
          <w:tcPr>
            <w:tcW w:w="3157" w:type="pct"/>
            <w:tcBorders>
              <w:top w:val="nil"/>
              <w:left w:val="nil"/>
              <w:bottom w:val="nil"/>
              <w:right w:val="nil"/>
            </w:tcBorders>
            <w:shd w:val="clear" w:color="auto" w:fill="auto"/>
            <w:vAlign w:val="center"/>
          </w:tcPr>
          <w:p w14:paraId="7D4DC4C1" w14:textId="08CBA7EE" w:rsidR="00DA3851" w:rsidRPr="000A21A3" w:rsidRDefault="00DA3851" w:rsidP="00DB4CAF">
            <w:pPr>
              <w:rPr>
                <w:rFonts w:ascii="Georgia" w:hAnsi="Georgia" w:cs="Arial"/>
                <w:color w:val="404040" w:themeColor="text1" w:themeTint="BF"/>
                <w:sz w:val="20"/>
                <w:szCs w:val="20"/>
                <w:lang w:eastAsia="en-GB"/>
              </w:rPr>
            </w:pPr>
            <w:r w:rsidRPr="000A21A3">
              <w:rPr>
                <w:rFonts w:ascii="Georgia" w:hAnsi="Georgia" w:cs="Arial"/>
                <w:color w:val="404040" w:themeColor="text1" w:themeTint="BF"/>
                <w:sz w:val="20"/>
                <w:szCs w:val="20"/>
                <w:lang w:eastAsia="en-GB"/>
              </w:rPr>
              <w:t>Ordinary Shares issued in settlement of variable fee</w:t>
            </w:r>
          </w:p>
        </w:tc>
        <w:tc>
          <w:tcPr>
            <w:tcW w:w="884" w:type="pct"/>
            <w:tcBorders>
              <w:top w:val="nil"/>
              <w:left w:val="nil"/>
              <w:bottom w:val="nil"/>
              <w:right w:val="nil"/>
            </w:tcBorders>
            <w:vAlign w:val="center"/>
          </w:tcPr>
          <w:p w14:paraId="2B822E7B" w14:textId="524EB8C6" w:rsidR="00DA3851" w:rsidRPr="00DA3851" w:rsidRDefault="00DA3851" w:rsidP="00DA3851">
            <w:pPr>
              <w:jc w:val="right"/>
              <w:rPr>
                <w:rFonts w:ascii="Georgia" w:hAnsi="Georgia"/>
                <w:color w:val="404040"/>
                <w:sz w:val="20"/>
              </w:rPr>
            </w:pPr>
            <w:r w:rsidRPr="00DA3851">
              <w:rPr>
                <w:rFonts w:ascii="Georgia" w:hAnsi="Georgia"/>
                <w:color w:val="404040"/>
                <w:sz w:val="20"/>
              </w:rPr>
              <w:t>699</w:t>
            </w:r>
          </w:p>
        </w:tc>
        <w:tc>
          <w:tcPr>
            <w:tcW w:w="959" w:type="pct"/>
            <w:tcBorders>
              <w:top w:val="nil"/>
              <w:left w:val="nil"/>
              <w:bottom w:val="nil"/>
              <w:right w:val="nil"/>
            </w:tcBorders>
            <w:vAlign w:val="center"/>
          </w:tcPr>
          <w:p w14:paraId="3C3DDCA8" w14:textId="3B38952B" w:rsidR="00DA3851" w:rsidRDefault="00DA3851" w:rsidP="00DA3851">
            <w:pPr>
              <w:jc w:val="right"/>
              <w:rPr>
                <w:rFonts w:ascii="Georgia" w:hAnsi="Georgia"/>
                <w:color w:val="404040"/>
                <w:sz w:val="20"/>
              </w:rPr>
            </w:pPr>
            <w:r>
              <w:rPr>
                <w:rFonts w:ascii="Georgia" w:hAnsi="Georgia"/>
                <w:color w:val="404040"/>
                <w:sz w:val="20"/>
              </w:rPr>
              <w:t>-</w:t>
            </w:r>
          </w:p>
        </w:tc>
      </w:tr>
      <w:tr w:rsidR="00DA3851" w:rsidRPr="00384BCB" w14:paraId="57F092BE" w14:textId="77777777" w:rsidTr="005D0ACB">
        <w:trPr>
          <w:trHeight w:val="352"/>
        </w:trPr>
        <w:tc>
          <w:tcPr>
            <w:tcW w:w="3157" w:type="pct"/>
            <w:tcBorders>
              <w:top w:val="nil"/>
              <w:left w:val="nil"/>
              <w:bottom w:val="nil"/>
              <w:right w:val="nil"/>
            </w:tcBorders>
            <w:shd w:val="clear" w:color="auto" w:fill="auto"/>
            <w:vAlign w:val="center"/>
          </w:tcPr>
          <w:p w14:paraId="4A49DA76" w14:textId="69F2A3A7" w:rsidR="00DA3851" w:rsidRPr="00E42A95" w:rsidRDefault="00DA3851" w:rsidP="00DA3851">
            <w:pPr>
              <w:rPr>
                <w:rFonts w:ascii="Georgia" w:hAnsi="Georgia" w:cs="Arial"/>
                <w:color w:val="404040" w:themeColor="text1" w:themeTint="BF"/>
                <w:sz w:val="20"/>
                <w:szCs w:val="20"/>
                <w:lang w:eastAsia="en-GB"/>
              </w:rPr>
            </w:pPr>
            <w:r w:rsidRPr="000A21A3">
              <w:rPr>
                <w:rFonts w:ascii="Georgia" w:hAnsi="Georgia" w:cs="Arial"/>
                <w:color w:val="404040" w:themeColor="text1" w:themeTint="BF"/>
                <w:sz w:val="20"/>
                <w:szCs w:val="20"/>
                <w:lang w:eastAsia="en-GB"/>
              </w:rPr>
              <w:t>Ordinary Shares to be issued in settlement of variable fee</w:t>
            </w:r>
          </w:p>
        </w:tc>
        <w:tc>
          <w:tcPr>
            <w:tcW w:w="884" w:type="pct"/>
            <w:tcBorders>
              <w:top w:val="nil"/>
              <w:left w:val="nil"/>
              <w:bottom w:val="nil"/>
              <w:right w:val="nil"/>
            </w:tcBorders>
            <w:vAlign w:val="center"/>
          </w:tcPr>
          <w:p w14:paraId="0E4EC7E6" w14:textId="61F8BBCA" w:rsidR="00DA3851" w:rsidRPr="00DA3851" w:rsidRDefault="00DA3851" w:rsidP="00DA3851">
            <w:pPr>
              <w:jc w:val="right"/>
              <w:rPr>
                <w:rFonts w:ascii="Georgia" w:hAnsi="Georgia"/>
                <w:color w:val="404040"/>
                <w:sz w:val="20"/>
              </w:rPr>
            </w:pPr>
            <w:r w:rsidRPr="00DA3851">
              <w:rPr>
                <w:rFonts w:ascii="Georgia" w:hAnsi="Georgia"/>
                <w:color w:val="404040"/>
                <w:sz w:val="20"/>
              </w:rPr>
              <w:t>(699)</w:t>
            </w:r>
          </w:p>
        </w:tc>
        <w:tc>
          <w:tcPr>
            <w:tcW w:w="959" w:type="pct"/>
            <w:tcBorders>
              <w:top w:val="nil"/>
              <w:left w:val="nil"/>
              <w:bottom w:val="nil"/>
              <w:right w:val="nil"/>
            </w:tcBorders>
            <w:vAlign w:val="center"/>
          </w:tcPr>
          <w:p w14:paraId="7F576CA9" w14:textId="541E5F1B" w:rsidR="00DA3851" w:rsidRDefault="00DA3851" w:rsidP="00DA3851">
            <w:pPr>
              <w:jc w:val="right"/>
              <w:rPr>
                <w:rFonts w:ascii="Georgia" w:hAnsi="Georgia"/>
                <w:color w:val="404040"/>
                <w:sz w:val="20"/>
              </w:rPr>
            </w:pPr>
            <w:r>
              <w:rPr>
                <w:rFonts w:ascii="Georgia" w:hAnsi="Georgia"/>
                <w:color w:val="404040"/>
                <w:sz w:val="20"/>
              </w:rPr>
              <w:t>699</w:t>
            </w:r>
          </w:p>
        </w:tc>
      </w:tr>
      <w:tr w:rsidR="00DA3851" w:rsidRPr="00384BCB" w14:paraId="2008F97D" w14:textId="77777777" w:rsidTr="005D0ACB">
        <w:trPr>
          <w:trHeight w:val="352"/>
        </w:trPr>
        <w:tc>
          <w:tcPr>
            <w:tcW w:w="3157" w:type="pct"/>
            <w:tcBorders>
              <w:top w:val="nil"/>
              <w:left w:val="nil"/>
              <w:bottom w:val="nil"/>
              <w:right w:val="nil"/>
            </w:tcBorders>
            <w:shd w:val="clear" w:color="auto" w:fill="auto"/>
            <w:vAlign w:val="center"/>
          </w:tcPr>
          <w:p w14:paraId="5A010A64" w14:textId="77777777" w:rsidR="00DA3851" w:rsidRPr="00384BCB" w:rsidRDefault="00DA3851" w:rsidP="00DA3851">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Dividends paid</w:t>
            </w:r>
          </w:p>
        </w:tc>
        <w:tc>
          <w:tcPr>
            <w:tcW w:w="884" w:type="pct"/>
            <w:tcBorders>
              <w:top w:val="nil"/>
              <w:left w:val="nil"/>
              <w:bottom w:val="nil"/>
              <w:right w:val="nil"/>
            </w:tcBorders>
            <w:vAlign w:val="center"/>
          </w:tcPr>
          <w:p w14:paraId="74F8910A" w14:textId="12ACB45F" w:rsidR="00DA3851" w:rsidRPr="00DA3851" w:rsidRDefault="00DA3851" w:rsidP="00DA3851">
            <w:pPr>
              <w:jc w:val="right"/>
              <w:rPr>
                <w:rFonts w:ascii="Georgia" w:hAnsi="Georgia"/>
                <w:color w:val="404040"/>
                <w:sz w:val="20"/>
              </w:rPr>
            </w:pPr>
            <w:r w:rsidRPr="00DA3851">
              <w:rPr>
                <w:rFonts w:ascii="Georgia" w:hAnsi="Georgia"/>
                <w:color w:val="404040"/>
                <w:sz w:val="20"/>
              </w:rPr>
              <w:t>(31,131)</w:t>
            </w:r>
          </w:p>
        </w:tc>
        <w:tc>
          <w:tcPr>
            <w:tcW w:w="959" w:type="pct"/>
            <w:tcBorders>
              <w:top w:val="nil"/>
              <w:left w:val="nil"/>
              <w:bottom w:val="nil"/>
              <w:right w:val="nil"/>
            </w:tcBorders>
            <w:vAlign w:val="center"/>
          </w:tcPr>
          <w:p w14:paraId="7EE1305A" w14:textId="24EC53DC" w:rsidR="00DA3851" w:rsidRPr="00E42A95" w:rsidRDefault="00EF6C33" w:rsidP="00DA3851">
            <w:pPr>
              <w:jc w:val="right"/>
              <w:rPr>
                <w:rFonts w:ascii="Georgia" w:hAnsi="Georgia" w:cs="Arial"/>
                <w:color w:val="404040" w:themeColor="text1" w:themeTint="BF"/>
                <w:sz w:val="20"/>
                <w:szCs w:val="20"/>
                <w:lang w:eastAsia="en-GB"/>
              </w:rPr>
            </w:pPr>
            <w:r>
              <w:rPr>
                <w:rFonts w:ascii="Georgia" w:hAnsi="Georgia"/>
                <w:color w:val="404040"/>
                <w:sz w:val="20"/>
              </w:rPr>
              <w:t>(28,224</w:t>
            </w:r>
            <w:r w:rsidR="00DA3851">
              <w:rPr>
                <w:rFonts w:ascii="Georgia" w:hAnsi="Georgia"/>
                <w:color w:val="404040"/>
                <w:sz w:val="20"/>
              </w:rPr>
              <w:t>)</w:t>
            </w:r>
          </w:p>
        </w:tc>
      </w:tr>
      <w:tr w:rsidR="00DA3851" w:rsidRPr="00384BCB" w14:paraId="5B87E6AA" w14:textId="77777777" w:rsidTr="005D0ACB">
        <w:trPr>
          <w:trHeight w:val="352"/>
        </w:trPr>
        <w:tc>
          <w:tcPr>
            <w:tcW w:w="3157" w:type="pct"/>
            <w:tcBorders>
              <w:top w:val="nil"/>
              <w:left w:val="nil"/>
              <w:bottom w:val="nil"/>
              <w:right w:val="nil"/>
            </w:tcBorders>
            <w:shd w:val="clear" w:color="auto" w:fill="auto"/>
            <w:vAlign w:val="center"/>
          </w:tcPr>
          <w:p w14:paraId="1357EF94" w14:textId="77777777" w:rsidR="00DA3851" w:rsidRPr="00384BCB" w:rsidRDefault="00DA3851" w:rsidP="00DA3851">
            <w:pPr>
              <w:rPr>
                <w:rFonts w:ascii="Georgia" w:hAnsi="Georgia" w:cs="Arial"/>
                <w:color w:val="404040" w:themeColor="text1" w:themeTint="BF"/>
                <w:sz w:val="20"/>
                <w:szCs w:val="20"/>
                <w:lang w:eastAsia="en-GB"/>
              </w:rPr>
            </w:pPr>
            <w:r w:rsidRPr="00E42A95">
              <w:rPr>
                <w:rFonts w:ascii="Georgia" w:hAnsi="Georgia" w:cs="Arial"/>
                <w:color w:val="404040" w:themeColor="text1" w:themeTint="BF"/>
                <w:sz w:val="20"/>
                <w:szCs w:val="20"/>
                <w:lang w:eastAsia="en-GB"/>
              </w:rPr>
              <w:t>Retained earnings</w:t>
            </w:r>
          </w:p>
        </w:tc>
        <w:tc>
          <w:tcPr>
            <w:tcW w:w="884" w:type="pct"/>
            <w:tcBorders>
              <w:top w:val="nil"/>
              <w:left w:val="nil"/>
              <w:bottom w:val="nil"/>
              <w:right w:val="nil"/>
            </w:tcBorders>
            <w:vAlign w:val="center"/>
          </w:tcPr>
          <w:p w14:paraId="2F8EB8F7" w14:textId="010E3C4B" w:rsidR="00DA3851" w:rsidRPr="00DA3851" w:rsidRDefault="00DA3851" w:rsidP="00AE1A23">
            <w:pPr>
              <w:jc w:val="right"/>
              <w:rPr>
                <w:rFonts w:ascii="Georgia" w:hAnsi="Georgia"/>
                <w:color w:val="404040"/>
                <w:sz w:val="20"/>
              </w:rPr>
            </w:pPr>
            <w:r w:rsidRPr="00DA3851">
              <w:rPr>
                <w:rFonts w:ascii="Georgia" w:hAnsi="Georgia"/>
                <w:color w:val="404040"/>
                <w:sz w:val="20"/>
              </w:rPr>
              <w:t>2</w:t>
            </w:r>
            <w:r w:rsidR="00816C20">
              <w:rPr>
                <w:rFonts w:ascii="Georgia" w:hAnsi="Georgia"/>
                <w:color w:val="404040"/>
                <w:sz w:val="20"/>
              </w:rPr>
              <w:t>8,</w:t>
            </w:r>
            <w:r w:rsidR="00AE1A23">
              <w:rPr>
                <w:rFonts w:ascii="Georgia" w:hAnsi="Georgia"/>
                <w:color w:val="404040"/>
                <w:sz w:val="20"/>
              </w:rPr>
              <w:t>240</w:t>
            </w:r>
          </w:p>
        </w:tc>
        <w:tc>
          <w:tcPr>
            <w:tcW w:w="959" w:type="pct"/>
            <w:tcBorders>
              <w:top w:val="nil"/>
              <w:left w:val="nil"/>
              <w:bottom w:val="nil"/>
              <w:right w:val="nil"/>
            </w:tcBorders>
            <w:vAlign w:val="center"/>
          </w:tcPr>
          <w:p w14:paraId="115A980D" w14:textId="6B67AC59" w:rsidR="00DA3851" w:rsidRPr="00E42A95" w:rsidRDefault="00DA3851" w:rsidP="00DA3851">
            <w:pPr>
              <w:jc w:val="right"/>
              <w:rPr>
                <w:rFonts w:ascii="Georgia" w:hAnsi="Georgia" w:cs="Arial"/>
                <w:color w:val="404040" w:themeColor="text1" w:themeTint="BF"/>
                <w:sz w:val="20"/>
                <w:szCs w:val="20"/>
                <w:lang w:eastAsia="en-GB"/>
              </w:rPr>
            </w:pPr>
            <w:r>
              <w:rPr>
                <w:rFonts w:ascii="Georgia" w:hAnsi="Georgia"/>
                <w:color w:val="404040"/>
                <w:sz w:val="20"/>
              </w:rPr>
              <w:t>44,925</w:t>
            </w:r>
          </w:p>
        </w:tc>
      </w:tr>
      <w:tr w:rsidR="00DA3851" w:rsidRPr="00384BCB" w14:paraId="19864C1C" w14:textId="77777777" w:rsidTr="005D0ACB">
        <w:trPr>
          <w:trHeight w:val="351"/>
        </w:trPr>
        <w:tc>
          <w:tcPr>
            <w:tcW w:w="3157" w:type="pct"/>
            <w:tcBorders>
              <w:top w:val="nil"/>
              <w:left w:val="nil"/>
              <w:bottom w:val="nil"/>
              <w:right w:val="nil"/>
            </w:tcBorders>
            <w:shd w:val="clear" w:color="auto" w:fill="auto"/>
            <w:vAlign w:val="center"/>
          </w:tcPr>
          <w:p w14:paraId="07A8ED97" w14:textId="77777777" w:rsidR="00DA3851" w:rsidRPr="00384BCB" w:rsidRDefault="00DA3851" w:rsidP="00DA3851">
            <w:pPr>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 xml:space="preserve">Closing balance </w:t>
            </w:r>
          </w:p>
        </w:tc>
        <w:tc>
          <w:tcPr>
            <w:tcW w:w="884" w:type="pct"/>
            <w:tcBorders>
              <w:top w:val="single" w:sz="4" w:space="0" w:color="auto"/>
              <w:left w:val="nil"/>
              <w:bottom w:val="double" w:sz="6" w:space="0" w:color="auto"/>
              <w:right w:val="nil"/>
            </w:tcBorders>
            <w:vAlign w:val="center"/>
          </w:tcPr>
          <w:p w14:paraId="76AF678F" w14:textId="4BB4895F" w:rsidR="00DA3851" w:rsidRPr="00DA3851" w:rsidRDefault="00C12AFA" w:rsidP="00AE1A23">
            <w:pPr>
              <w:jc w:val="right"/>
              <w:rPr>
                <w:rFonts w:ascii="Georgia" w:hAnsi="Georgia"/>
                <w:b/>
                <w:color w:val="404040"/>
                <w:sz w:val="20"/>
              </w:rPr>
            </w:pPr>
            <w:r>
              <w:rPr>
                <w:rFonts w:ascii="Georgia" w:hAnsi="Georgia"/>
                <w:b/>
                <w:color w:val="404040"/>
                <w:sz w:val="20"/>
              </w:rPr>
              <w:t>43</w:t>
            </w:r>
            <w:r w:rsidR="00AE1A23">
              <w:rPr>
                <w:rFonts w:ascii="Georgia" w:hAnsi="Georgia"/>
                <w:b/>
                <w:color w:val="404040"/>
                <w:sz w:val="20"/>
              </w:rPr>
              <w:t>3,</w:t>
            </w:r>
            <w:r>
              <w:rPr>
                <w:rFonts w:ascii="Georgia" w:hAnsi="Georgia"/>
                <w:b/>
                <w:color w:val="404040"/>
                <w:sz w:val="20"/>
              </w:rPr>
              <w:t>50</w:t>
            </w:r>
            <w:r w:rsidR="00AE1A23">
              <w:rPr>
                <w:rFonts w:ascii="Georgia" w:hAnsi="Georgia"/>
                <w:b/>
                <w:color w:val="404040"/>
                <w:sz w:val="20"/>
              </w:rPr>
              <w:t>5</w:t>
            </w:r>
          </w:p>
        </w:tc>
        <w:tc>
          <w:tcPr>
            <w:tcW w:w="959" w:type="pct"/>
            <w:tcBorders>
              <w:top w:val="single" w:sz="4" w:space="0" w:color="auto"/>
              <w:left w:val="nil"/>
              <w:bottom w:val="double" w:sz="6" w:space="0" w:color="auto"/>
              <w:right w:val="nil"/>
            </w:tcBorders>
            <w:vAlign w:val="center"/>
          </w:tcPr>
          <w:p w14:paraId="4224D182" w14:textId="3995C7C8" w:rsidR="00DA3851" w:rsidRPr="00E42A95" w:rsidRDefault="00DA3851" w:rsidP="00DA3851">
            <w:pPr>
              <w:jc w:val="right"/>
              <w:rPr>
                <w:rFonts w:ascii="Georgia" w:hAnsi="Georgia" w:cs="Arial"/>
                <w:b/>
                <w:bCs/>
                <w:color w:val="404040" w:themeColor="text1" w:themeTint="BF"/>
                <w:sz w:val="20"/>
                <w:szCs w:val="20"/>
                <w:lang w:eastAsia="en-GB"/>
              </w:rPr>
            </w:pPr>
            <w:r>
              <w:rPr>
                <w:rFonts w:ascii="Georgia" w:hAnsi="Georgia"/>
                <w:b/>
                <w:color w:val="404040"/>
                <w:sz w:val="20"/>
              </w:rPr>
              <w:t>436,396</w:t>
            </w:r>
          </w:p>
        </w:tc>
      </w:tr>
    </w:tbl>
    <w:p w14:paraId="50228684" w14:textId="3CE45982" w:rsidR="00A255DB" w:rsidRDefault="00A255DB" w:rsidP="00F11C08">
      <w:pPr>
        <w:pStyle w:val="BluefieldBody"/>
        <w:rPr>
          <w:lang w:eastAsia="en-GB"/>
        </w:rPr>
      </w:pPr>
    </w:p>
    <w:p w14:paraId="1F4A9A1C" w14:textId="28685662" w:rsidR="00F94D45" w:rsidRPr="00F94D45" w:rsidRDefault="00F94D45" w:rsidP="00F94D45">
      <w:pPr>
        <w:pStyle w:val="body"/>
        <w:spacing w:line="240" w:lineRule="auto"/>
        <w:rPr>
          <w:highlight w:val="yellow"/>
        </w:rPr>
      </w:pPr>
      <w:r w:rsidRPr="001F1437">
        <w:t xml:space="preserve">On </w:t>
      </w:r>
      <w:r>
        <w:t>23 December 2019</w:t>
      </w:r>
      <w:r w:rsidRPr="001F1437">
        <w:t xml:space="preserve">, the Company issued </w:t>
      </w:r>
      <w:r>
        <w:t>616,092</w:t>
      </w:r>
      <w:r w:rsidRPr="001F1437">
        <w:t xml:space="preserve"> new Ordinary Shares to the Investment Adviser in respect of their variable fee for the financial year ended 30 June 201</w:t>
      </w:r>
      <w:r>
        <w:t>9</w:t>
      </w:r>
      <w:r w:rsidRPr="001F1437">
        <w:t xml:space="preserve"> at a price of </w:t>
      </w:r>
      <w:r>
        <w:t>113.47</w:t>
      </w:r>
      <w:r w:rsidRPr="001F1437">
        <w:t xml:space="preserve"> </w:t>
      </w:r>
      <w:proofErr w:type="spellStart"/>
      <w:r>
        <w:t>pps</w:t>
      </w:r>
      <w:proofErr w:type="spellEnd"/>
      <w:r w:rsidR="00E51028">
        <w:t>.</w:t>
      </w:r>
    </w:p>
    <w:p w14:paraId="3540A035" w14:textId="77777777" w:rsidR="00C876BD" w:rsidRPr="006C2EC2" w:rsidRDefault="00C876BD" w:rsidP="00152529">
      <w:pPr>
        <w:pStyle w:val="body"/>
        <w:spacing w:line="240" w:lineRule="auto"/>
        <w:rPr>
          <w:highlight w:val="yellow"/>
        </w:rPr>
      </w:pPr>
    </w:p>
    <w:p w14:paraId="0AC1F207" w14:textId="77777777" w:rsidR="0056742A" w:rsidRPr="0013187B" w:rsidRDefault="000F51FA">
      <w:pPr>
        <w:pStyle w:val="BluefieldItalicheading10pt"/>
        <w:rPr>
          <w:i w:val="0"/>
        </w:rPr>
      </w:pPr>
      <w:r w:rsidRPr="0013187B">
        <w:rPr>
          <w:i w:val="0"/>
        </w:rPr>
        <w:t>Rights attaching to shares</w:t>
      </w:r>
    </w:p>
    <w:p w14:paraId="4D6EB6C2" w14:textId="4314A20D" w:rsidR="00E42A95" w:rsidRDefault="000F51FA" w:rsidP="00E42A95">
      <w:pPr>
        <w:pStyle w:val="BluefieldBody"/>
        <w:rPr>
          <w:lang w:eastAsia="en-GB"/>
        </w:rPr>
      </w:pPr>
      <w:r w:rsidRPr="008F7ADD">
        <w:rPr>
          <w:lang w:eastAsia="en-GB"/>
        </w:rPr>
        <w:t xml:space="preserve">The Company has a single class of Ordinary </w:t>
      </w:r>
      <w:r w:rsidR="00D40B3F" w:rsidRPr="008F7ADD">
        <w:rPr>
          <w:lang w:eastAsia="en-GB"/>
        </w:rPr>
        <w:t>Shares, which</w:t>
      </w:r>
      <w:r w:rsidRPr="008F7ADD">
        <w:rPr>
          <w:lang w:eastAsia="en-GB"/>
        </w:rPr>
        <w:t xml:space="preserve"> are entitled to dividends d</w:t>
      </w:r>
      <w:r w:rsidR="009D7A09">
        <w:rPr>
          <w:lang w:eastAsia="en-GB"/>
        </w:rPr>
        <w:t>eclared by the Company. At any general m</w:t>
      </w:r>
      <w:r w:rsidRPr="008F7ADD">
        <w:rPr>
          <w:lang w:eastAsia="en-GB"/>
        </w:rPr>
        <w:t>eeting of the Company</w:t>
      </w:r>
      <w:r w:rsidR="00D40B3F">
        <w:rPr>
          <w:lang w:eastAsia="en-GB"/>
        </w:rPr>
        <w:t>,</w:t>
      </w:r>
      <w:r w:rsidRPr="008F7ADD">
        <w:rPr>
          <w:lang w:eastAsia="en-GB"/>
        </w:rPr>
        <w:t xml:space="preserve"> each ordinary Shareholder is entitled to have one vote for each share held. The Ordinary Share</w:t>
      </w:r>
      <w:r w:rsidR="00F5420A">
        <w:rPr>
          <w:lang w:eastAsia="en-GB"/>
        </w:rPr>
        <w:t>holders</w:t>
      </w:r>
      <w:r w:rsidRPr="008F7ADD">
        <w:rPr>
          <w:lang w:eastAsia="en-GB"/>
        </w:rPr>
        <w:t xml:space="preserve"> also have the right to receive all income attributable to those shares and participate in distributions made and such income shall be divided </w:t>
      </w:r>
      <w:proofErr w:type="spellStart"/>
      <w:r w:rsidRPr="00B92CA7">
        <w:rPr>
          <w:i/>
          <w:lang w:eastAsia="en-GB"/>
        </w:rPr>
        <w:t>pari</w:t>
      </w:r>
      <w:proofErr w:type="spellEnd"/>
      <w:r w:rsidRPr="00B92CA7">
        <w:rPr>
          <w:i/>
          <w:lang w:eastAsia="en-GB"/>
        </w:rPr>
        <w:t xml:space="preserve"> </w:t>
      </w:r>
      <w:proofErr w:type="spellStart"/>
      <w:r w:rsidRPr="00B92CA7">
        <w:rPr>
          <w:i/>
          <w:lang w:eastAsia="en-GB"/>
        </w:rPr>
        <w:t>passu</w:t>
      </w:r>
      <w:proofErr w:type="spellEnd"/>
      <w:r w:rsidRPr="008F7ADD">
        <w:rPr>
          <w:lang w:eastAsia="en-GB"/>
        </w:rPr>
        <w:t xml:space="preserve"> among the holders of Ordinary Shares in proportion to the number of Ordinary Shares held by them.</w:t>
      </w:r>
    </w:p>
    <w:p w14:paraId="793EFA68" w14:textId="733EE186" w:rsidR="00680A7D" w:rsidRDefault="00680A7D" w:rsidP="000F51FA">
      <w:pPr>
        <w:pStyle w:val="body"/>
        <w:rPr>
          <w:b/>
        </w:rPr>
      </w:pPr>
    </w:p>
    <w:p w14:paraId="02BB0D37" w14:textId="505798C8" w:rsidR="000F51FA" w:rsidRPr="00384BCB" w:rsidRDefault="00E42A95" w:rsidP="000F51FA">
      <w:pPr>
        <w:pStyle w:val="Notehead1"/>
        <w:rPr>
          <w:lang w:eastAsia="en-GB"/>
        </w:rPr>
      </w:pPr>
      <w:r w:rsidRPr="00E42A95">
        <w:rPr>
          <w:lang w:eastAsia="en-GB"/>
        </w:rPr>
        <w:t>1</w:t>
      </w:r>
      <w:r w:rsidR="006C2EC2">
        <w:rPr>
          <w:lang w:eastAsia="en-GB"/>
        </w:rPr>
        <w:t>4</w:t>
      </w:r>
      <w:r w:rsidRPr="00E42A95">
        <w:rPr>
          <w:lang w:eastAsia="en-GB"/>
        </w:rPr>
        <w:t>. Dividends</w:t>
      </w:r>
    </w:p>
    <w:p w14:paraId="5CF6B82B" w14:textId="77777777" w:rsidR="00F44033" w:rsidRDefault="00F44033" w:rsidP="0018483D">
      <w:pPr>
        <w:jc w:val="both"/>
        <w:rPr>
          <w:rFonts w:ascii="Georgia" w:hAnsi="Georgia" w:cs="Calibri"/>
          <w:color w:val="404040" w:themeColor="text1" w:themeTint="BF"/>
          <w:sz w:val="20"/>
        </w:rPr>
      </w:pPr>
    </w:p>
    <w:p w14:paraId="22AF7290" w14:textId="562B47C8" w:rsidR="002836EA" w:rsidRDefault="002836EA" w:rsidP="002836EA">
      <w:pPr>
        <w:jc w:val="both"/>
        <w:rPr>
          <w:rFonts w:ascii="Georgia" w:hAnsi="Georgia" w:cs="Calibri"/>
          <w:color w:val="404040" w:themeColor="text1" w:themeTint="BF"/>
          <w:sz w:val="20"/>
        </w:rPr>
      </w:pPr>
      <w:r w:rsidRPr="00127868">
        <w:rPr>
          <w:rFonts w:ascii="Georgia" w:hAnsi="Georgia" w:cs="Calibri"/>
          <w:color w:val="404040" w:themeColor="text1" w:themeTint="BF"/>
          <w:sz w:val="20"/>
        </w:rPr>
        <w:t>O</w:t>
      </w:r>
      <w:r w:rsidRPr="00C06ECF">
        <w:rPr>
          <w:rFonts w:ascii="Georgia" w:hAnsi="Georgia" w:cs="Calibri"/>
          <w:color w:val="404040" w:themeColor="text1" w:themeTint="BF"/>
          <w:sz w:val="20"/>
        </w:rPr>
        <w:t xml:space="preserve">n 22 July 2019, the Board declared a third interim dividend of £7,027,787, in respect of </w:t>
      </w:r>
      <w:r w:rsidR="00741296">
        <w:rPr>
          <w:rFonts w:ascii="Georgia" w:hAnsi="Georgia" w:cs="Calibri"/>
          <w:color w:val="404040" w:themeColor="text1" w:themeTint="BF"/>
          <w:sz w:val="20"/>
        </w:rPr>
        <w:t xml:space="preserve">the </w:t>
      </w:r>
      <w:r w:rsidRPr="00C06ECF">
        <w:rPr>
          <w:rFonts w:ascii="Georgia" w:hAnsi="Georgia" w:cs="Calibri"/>
          <w:color w:val="404040" w:themeColor="text1" w:themeTint="BF"/>
          <w:sz w:val="20"/>
        </w:rPr>
        <w:t xml:space="preserve">year ended 30 June 2019, equating to 1.90pps (third interim dividend in respect of the year ended 30 June 2018: 1.80pps), which was paid on 23 August </w:t>
      </w:r>
      <w:r w:rsidR="005E56E1">
        <w:rPr>
          <w:rFonts w:ascii="Georgia" w:hAnsi="Georgia" w:cs="Calibri"/>
          <w:color w:val="404040" w:themeColor="text1" w:themeTint="BF"/>
          <w:sz w:val="20"/>
        </w:rPr>
        <w:t>2019 to S</w:t>
      </w:r>
      <w:r w:rsidRPr="00C06ECF">
        <w:rPr>
          <w:rFonts w:ascii="Georgia" w:hAnsi="Georgia" w:cs="Calibri"/>
          <w:color w:val="404040" w:themeColor="text1" w:themeTint="BF"/>
          <w:sz w:val="20"/>
        </w:rPr>
        <w:t>hareholders on the register on 2 August 2019.</w:t>
      </w:r>
    </w:p>
    <w:p w14:paraId="3FCACE90" w14:textId="77777777" w:rsidR="002836EA" w:rsidRPr="00D03473" w:rsidRDefault="002836EA" w:rsidP="002836EA">
      <w:pPr>
        <w:jc w:val="both"/>
        <w:rPr>
          <w:rFonts w:ascii="Georgia" w:hAnsi="Georgia" w:cs="Calibri"/>
          <w:color w:val="404040" w:themeColor="text1" w:themeTint="BF"/>
          <w:sz w:val="20"/>
          <w:highlight w:val="yellow"/>
        </w:rPr>
      </w:pPr>
    </w:p>
    <w:p w14:paraId="62633264" w14:textId="2E54C706" w:rsidR="002836EA" w:rsidRPr="00D03473" w:rsidRDefault="002836EA" w:rsidP="002836EA">
      <w:pPr>
        <w:pStyle w:val="BluefieldBody"/>
        <w:rPr>
          <w:rFonts w:cs="Calibri"/>
          <w:highlight w:val="yellow"/>
        </w:rPr>
      </w:pPr>
      <w:r w:rsidRPr="00127868">
        <w:rPr>
          <w:rFonts w:cs="Calibri"/>
        </w:rPr>
        <w:t>O</w:t>
      </w:r>
      <w:r>
        <w:rPr>
          <w:rFonts w:cs="Calibri"/>
        </w:rPr>
        <w:t>n 18 September 2019, the</w:t>
      </w:r>
      <w:r w:rsidRPr="0051181C">
        <w:rPr>
          <w:rFonts w:cs="Calibri"/>
        </w:rPr>
        <w:t xml:space="preserve"> Board declared a </w:t>
      </w:r>
      <w:r>
        <w:rPr>
          <w:rFonts w:cs="Calibri"/>
        </w:rPr>
        <w:t>fourth interim</w:t>
      </w:r>
      <w:r w:rsidRPr="0051181C">
        <w:rPr>
          <w:rFonts w:cs="Calibri"/>
        </w:rPr>
        <w:t xml:space="preserve"> dividend of £</w:t>
      </w:r>
      <w:r>
        <w:rPr>
          <w:rFonts w:cs="Calibri"/>
        </w:rPr>
        <w:t>7,323,694</w:t>
      </w:r>
      <w:r w:rsidRPr="0051181C">
        <w:rPr>
          <w:rFonts w:cs="Calibri"/>
        </w:rPr>
        <w:t xml:space="preserve">, in respect of </w:t>
      </w:r>
      <w:r>
        <w:rPr>
          <w:rFonts w:cs="Calibri"/>
        </w:rPr>
        <w:t xml:space="preserve">the </w:t>
      </w:r>
      <w:r w:rsidRPr="0051181C">
        <w:rPr>
          <w:rFonts w:cs="Calibri"/>
        </w:rPr>
        <w:t>year ende</w:t>
      </w:r>
      <w:r>
        <w:rPr>
          <w:rFonts w:cs="Calibri"/>
        </w:rPr>
        <w:t>d 30 June 2019, equating to 1.98</w:t>
      </w:r>
      <w:r w:rsidRPr="0051181C">
        <w:rPr>
          <w:rFonts w:cs="Calibri"/>
        </w:rPr>
        <w:t>pps (</w:t>
      </w:r>
      <w:r>
        <w:rPr>
          <w:rFonts w:cs="Calibri"/>
        </w:rPr>
        <w:t>fourth</w:t>
      </w:r>
      <w:r w:rsidRPr="0051181C">
        <w:rPr>
          <w:rFonts w:cs="Calibri"/>
        </w:rPr>
        <w:t xml:space="preserve"> interim dividend in respect of the year ended 30 June </w:t>
      </w:r>
      <w:r w:rsidRPr="003F4F7B">
        <w:rPr>
          <w:rFonts w:cs="Calibri"/>
        </w:rPr>
        <w:t xml:space="preserve">2018: 2.03pps), which </w:t>
      </w:r>
      <w:r>
        <w:rPr>
          <w:rFonts w:cs="Calibri"/>
        </w:rPr>
        <w:t>was</w:t>
      </w:r>
      <w:r w:rsidRPr="003F4F7B">
        <w:rPr>
          <w:rFonts w:cs="Calibri"/>
        </w:rPr>
        <w:t xml:space="preserve"> paid on </w:t>
      </w:r>
      <w:r>
        <w:rPr>
          <w:rFonts w:cs="Calibri"/>
        </w:rPr>
        <w:t>1 November</w:t>
      </w:r>
      <w:r w:rsidR="005E56E1">
        <w:rPr>
          <w:rFonts w:cs="Calibri"/>
        </w:rPr>
        <w:t xml:space="preserve"> 2019 to S</w:t>
      </w:r>
      <w:r w:rsidRPr="003F4F7B">
        <w:rPr>
          <w:rFonts w:cs="Calibri"/>
        </w:rPr>
        <w:t>hareholders on the register on 4 October 2019. In addition to the fourth interim dividend, an a</w:t>
      </w:r>
      <w:r>
        <w:rPr>
          <w:rFonts w:cs="Calibri"/>
        </w:rPr>
        <w:t>dditional dividend of £2,330,267</w:t>
      </w:r>
      <w:r w:rsidRPr="003F4F7B">
        <w:rPr>
          <w:rFonts w:cs="Calibri"/>
        </w:rPr>
        <w:t xml:space="preserve"> (0.63pps) was declared which </w:t>
      </w:r>
      <w:r>
        <w:rPr>
          <w:rFonts w:cs="Calibri"/>
        </w:rPr>
        <w:t>was</w:t>
      </w:r>
      <w:r w:rsidR="005E56E1">
        <w:rPr>
          <w:rFonts w:cs="Calibri"/>
        </w:rPr>
        <w:t xml:space="preserve"> paid on the same date to S</w:t>
      </w:r>
      <w:r w:rsidRPr="003F4F7B">
        <w:rPr>
          <w:rFonts w:cs="Calibri"/>
        </w:rPr>
        <w:t>hareholders on the register on 4</w:t>
      </w:r>
      <w:r>
        <w:rPr>
          <w:rFonts w:cs="Calibri"/>
        </w:rPr>
        <w:t xml:space="preserve"> October 2019</w:t>
      </w:r>
      <w:r w:rsidRPr="003F4F7B">
        <w:rPr>
          <w:rFonts w:cs="Calibri"/>
        </w:rPr>
        <w:t>.</w:t>
      </w:r>
    </w:p>
    <w:p w14:paraId="210B301F" w14:textId="77777777" w:rsidR="007F0145" w:rsidRPr="00193BDC" w:rsidRDefault="007F0145" w:rsidP="007F0145">
      <w:pPr>
        <w:pStyle w:val="BluefieldBody"/>
        <w:rPr>
          <w:rFonts w:cs="Calibri"/>
          <w:szCs w:val="24"/>
          <w:highlight w:val="yellow"/>
        </w:rPr>
      </w:pPr>
    </w:p>
    <w:p w14:paraId="4541C8BD" w14:textId="476FDE58" w:rsidR="007F0145" w:rsidRPr="002836EA" w:rsidRDefault="002836EA" w:rsidP="007F0145">
      <w:pPr>
        <w:pStyle w:val="BluefieldBody"/>
        <w:rPr>
          <w:rFonts w:cs="Calibri"/>
          <w:szCs w:val="24"/>
        </w:rPr>
      </w:pPr>
      <w:r w:rsidRPr="002836EA">
        <w:rPr>
          <w:rFonts w:cs="Calibri"/>
          <w:szCs w:val="24"/>
        </w:rPr>
        <w:t>On 23</w:t>
      </w:r>
      <w:r w:rsidR="007F0145" w:rsidRPr="002836EA">
        <w:rPr>
          <w:rFonts w:cs="Calibri"/>
          <w:szCs w:val="24"/>
        </w:rPr>
        <w:t xml:space="preserve"> January </w:t>
      </w:r>
      <w:r w:rsidR="00904E51" w:rsidRPr="002836EA">
        <w:rPr>
          <w:rFonts w:cs="Calibri"/>
          <w:szCs w:val="24"/>
        </w:rPr>
        <w:t>2020</w:t>
      </w:r>
      <w:r w:rsidR="007F0145" w:rsidRPr="002836EA">
        <w:rPr>
          <w:rFonts w:cs="Calibri"/>
          <w:szCs w:val="24"/>
        </w:rPr>
        <w:t>, the Board declared a first interim dividend of £7,</w:t>
      </w:r>
      <w:r w:rsidRPr="002836EA">
        <w:rPr>
          <w:rFonts w:cs="Calibri"/>
          <w:szCs w:val="24"/>
        </w:rPr>
        <w:t>224</w:t>
      </w:r>
      <w:r w:rsidR="007F0145" w:rsidRPr="002836EA">
        <w:rPr>
          <w:rFonts w:cs="Calibri"/>
          <w:szCs w:val="24"/>
        </w:rPr>
        <w:t>,</w:t>
      </w:r>
      <w:r w:rsidRPr="002836EA">
        <w:rPr>
          <w:rFonts w:cs="Calibri"/>
          <w:szCs w:val="24"/>
        </w:rPr>
        <w:t>743,</w:t>
      </w:r>
      <w:r w:rsidR="007F0145" w:rsidRPr="002836EA">
        <w:rPr>
          <w:rFonts w:cs="Calibri"/>
          <w:szCs w:val="24"/>
        </w:rPr>
        <w:t xml:space="preserve"> in respect of</w:t>
      </w:r>
      <w:r w:rsidR="00741296">
        <w:rPr>
          <w:rFonts w:cs="Calibri"/>
          <w:szCs w:val="24"/>
        </w:rPr>
        <w:t xml:space="preserve"> the</w:t>
      </w:r>
      <w:r w:rsidR="007F0145" w:rsidRPr="002836EA">
        <w:rPr>
          <w:rFonts w:cs="Calibri"/>
          <w:szCs w:val="24"/>
        </w:rPr>
        <w:t xml:space="preserve"> year ended 30 June </w:t>
      </w:r>
      <w:r w:rsidR="00904E51" w:rsidRPr="002836EA">
        <w:rPr>
          <w:rFonts w:cs="Calibri"/>
          <w:szCs w:val="24"/>
        </w:rPr>
        <w:t>2020</w:t>
      </w:r>
      <w:r w:rsidR="007F0145" w:rsidRPr="002836EA">
        <w:rPr>
          <w:rFonts w:cs="Calibri"/>
          <w:szCs w:val="24"/>
        </w:rPr>
        <w:t>, equating to 1.9</w:t>
      </w:r>
      <w:r w:rsidRPr="002836EA">
        <w:rPr>
          <w:rFonts w:cs="Calibri"/>
          <w:szCs w:val="24"/>
        </w:rPr>
        <w:t>5</w:t>
      </w:r>
      <w:r w:rsidR="007F0145" w:rsidRPr="002836EA">
        <w:rPr>
          <w:rFonts w:cs="Calibri"/>
          <w:szCs w:val="24"/>
        </w:rPr>
        <w:t xml:space="preserve">pps (first interim dividend in respect of the year ended 30 June </w:t>
      </w:r>
      <w:r w:rsidR="00904E51" w:rsidRPr="002836EA">
        <w:rPr>
          <w:rFonts w:cs="Calibri"/>
          <w:szCs w:val="24"/>
        </w:rPr>
        <w:t>2019</w:t>
      </w:r>
      <w:r w:rsidRPr="002836EA">
        <w:rPr>
          <w:rFonts w:cs="Calibri"/>
          <w:szCs w:val="24"/>
        </w:rPr>
        <w:t>: 1.90pps), which was paid on 28</w:t>
      </w:r>
      <w:r w:rsidR="007F0145" w:rsidRPr="002836EA">
        <w:rPr>
          <w:rFonts w:cs="Calibri"/>
          <w:szCs w:val="24"/>
        </w:rPr>
        <w:t xml:space="preserve"> February </w:t>
      </w:r>
      <w:r w:rsidR="00904E51" w:rsidRPr="002836EA">
        <w:rPr>
          <w:rFonts w:cs="Calibri"/>
          <w:szCs w:val="24"/>
        </w:rPr>
        <w:t>2020</w:t>
      </w:r>
      <w:r w:rsidR="005E56E1">
        <w:rPr>
          <w:rFonts w:cs="Calibri"/>
          <w:szCs w:val="24"/>
        </w:rPr>
        <w:t xml:space="preserve"> to S</w:t>
      </w:r>
      <w:r w:rsidR="007F0145" w:rsidRPr="002836EA">
        <w:rPr>
          <w:rFonts w:cs="Calibri"/>
          <w:szCs w:val="24"/>
        </w:rPr>
        <w:t xml:space="preserve">hareholders on the register on </w:t>
      </w:r>
      <w:r w:rsidRPr="002836EA">
        <w:rPr>
          <w:rFonts w:cs="Calibri"/>
          <w:szCs w:val="24"/>
        </w:rPr>
        <w:t>7</w:t>
      </w:r>
      <w:r w:rsidR="007F0145" w:rsidRPr="002836EA">
        <w:rPr>
          <w:rFonts w:cs="Calibri"/>
          <w:szCs w:val="24"/>
        </w:rPr>
        <w:t xml:space="preserve"> February </w:t>
      </w:r>
      <w:r w:rsidR="00904E51" w:rsidRPr="002836EA">
        <w:rPr>
          <w:rFonts w:cs="Calibri"/>
          <w:szCs w:val="24"/>
        </w:rPr>
        <w:t>2020</w:t>
      </w:r>
      <w:r w:rsidR="007F0145" w:rsidRPr="002836EA">
        <w:rPr>
          <w:rFonts w:cs="Calibri"/>
          <w:szCs w:val="24"/>
        </w:rPr>
        <w:t>.</w:t>
      </w:r>
    </w:p>
    <w:p w14:paraId="07BECC56" w14:textId="77777777" w:rsidR="007F0145" w:rsidRPr="002836EA" w:rsidRDefault="007F0145" w:rsidP="007F0145">
      <w:pPr>
        <w:pStyle w:val="Notehead1"/>
        <w:rPr>
          <w:lang w:eastAsia="en-GB"/>
        </w:rPr>
      </w:pPr>
    </w:p>
    <w:p w14:paraId="3DB1B245" w14:textId="7BDBBEE4" w:rsidR="007F0145" w:rsidRPr="00102A3D" w:rsidRDefault="007F0145" w:rsidP="007F0145">
      <w:pPr>
        <w:pStyle w:val="BluefieldBody"/>
        <w:rPr>
          <w:rFonts w:cs="Calibri"/>
          <w:szCs w:val="24"/>
        </w:rPr>
      </w:pPr>
      <w:r w:rsidRPr="002836EA">
        <w:rPr>
          <w:rFonts w:cs="Calibri"/>
          <w:szCs w:val="24"/>
        </w:rPr>
        <w:t xml:space="preserve">On </w:t>
      </w:r>
      <w:r w:rsidR="002836EA" w:rsidRPr="002836EA">
        <w:rPr>
          <w:rFonts w:cs="Calibri"/>
          <w:szCs w:val="24"/>
        </w:rPr>
        <w:t>30</w:t>
      </w:r>
      <w:r w:rsidRPr="002836EA">
        <w:rPr>
          <w:rFonts w:cs="Calibri"/>
          <w:szCs w:val="24"/>
        </w:rPr>
        <w:t xml:space="preserve"> April </w:t>
      </w:r>
      <w:r w:rsidR="00904E51" w:rsidRPr="002836EA">
        <w:rPr>
          <w:rFonts w:cs="Calibri"/>
          <w:szCs w:val="24"/>
        </w:rPr>
        <w:t>2020</w:t>
      </w:r>
      <w:r w:rsidRPr="002836EA">
        <w:rPr>
          <w:rFonts w:cs="Calibri"/>
          <w:szCs w:val="24"/>
        </w:rPr>
        <w:t>, the Board declared a second interim dividend of £</w:t>
      </w:r>
      <w:r w:rsidR="002836EA" w:rsidRPr="002836EA">
        <w:rPr>
          <w:rFonts w:cs="Calibri"/>
          <w:szCs w:val="24"/>
        </w:rPr>
        <w:t>7,224,743</w:t>
      </w:r>
      <w:r w:rsidRPr="002836EA">
        <w:rPr>
          <w:rFonts w:cs="Calibri"/>
          <w:szCs w:val="24"/>
        </w:rPr>
        <w:t>, in respect of</w:t>
      </w:r>
      <w:r w:rsidR="00741296">
        <w:rPr>
          <w:rFonts w:cs="Calibri"/>
          <w:szCs w:val="24"/>
        </w:rPr>
        <w:t xml:space="preserve"> the</w:t>
      </w:r>
      <w:r w:rsidRPr="002836EA">
        <w:rPr>
          <w:rFonts w:cs="Calibri"/>
          <w:szCs w:val="24"/>
        </w:rPr>
        <w:t xml:space="preserve"> year ended 30 June </w:t>
      </w:r>
      <w:r w:rsidR="00904E51" w:rsidRPr="002836EA">
        <w:rPr>
          <w:rFonts w:cs="Calibri"/>
          <w:szCs w:val="24"/>
        </w:rPr>
        <w:t>2020</w:t>
      </w:r>
      <w:r w:rsidR="002836EA" w:rsidRPr="002836EA">
        <w:rPr>
          <w:rFonts w:cs="Calibri"/>
          <w:szCs w:val="24"/>
        </w:rPr>
        <w:t>, equating to 1.95</w:t>
      </w:r>
      <w:r w:rsidRPr="002836EA">
        <w:rPr>
          <w:rFonts w:cs="Calibri"/>
          <w:szCs w:val="24"/>
        </w:rPr>
        <w:t xml:space="preserve">pps (second interim dividend in respect of the year ended 30 June </w:t>
      </w:r>
      <w:r w:rsidR="00904E51" w:rsidRPr="002836EA">
        <w:rPr>
          <w:rFonts w:cs="Calibri"/>
          <w:szCs w:val="24"/>
        </w:rPr>
        <w:t>2019</w:t>
      </w:r>
      <w:r w:rsidR="002836EA" w:rsidRPr="002836EA">
        <w:rPr>
          <w:rFonts w:cs="Calibri"/>
          <w:szCs w:val="24"/>
        </w:rPr>
        <w:t>: 1.9</w:t>
      </w:r>
      <w:r w:rsidRPr="002836EA">
        <w:rPr>
          <w:rFonts w:cs="Calibri"/>
          <w:szCs w:val="24"/>
        </w:rPr>
        <w:t xml:space="preserve">opps), which was paid on </w:t>
      </w:r>
      <w:r w:rsidR="002836EA" w:rsidRPr="002836EA">
        <w:rPr>
          <w:rFonts w:cs="Calibri"/>
          <w:szCs w:val="24"/>
        </w:rPr>
        <w:t>29</w:t>
      </w:r>
      <w:r w:rsidRPr="002836EA">
        <w:rPr>
          <w:rFonts w:cs="Calibri"/>
          <w:szCs w:val="24"/>
        </w:rPr>
        <w:t xml:space="preserve"> May </w:t>
      </w:r>
      <w:r w:rsidR="00904E51" w:rsidRPr="002836EA">
        <w:rPr>
          <w:rFonts w:cs="Calibri"/>
          <w:szCs w:val="24"/>
        </w:rPr>
        <w:t>2020</w:t>
      </w:r>
      <w:r w:rsidR="005E56E1">
        <w:rPr>
          <w:rFonts w:cs="Calibri"/>
          <w:szCs w:val="24"/>
        </w:rPr>
        <w:t xml:space="preserve"> to S</w:t>
      </w:r>
      <w:r w:rsidRPr="002836EA">
        <w:rPr>
          <w:rFonts w:cs="Calibri"/>
          <w:szCs w:val="24"/>
        </w:rPr>
        <w:t>hare</w:t>
      </w:r>
      <w:r w:rsidR="002836EA" w:rsidRPr="002836EA">
        <w:rPr>
          <w:rFonts w:cs="Calibri"/>
          <w:szCs w:val="24"/>
        </w:rPr>
        <w:t>holders on the register as at 11</w:t>
      </w:r>
      <w:r w:rsidRPr="002836EA">
        <w:rPr>
          <w:rFonts w:cs="Calibri"/>
          <w:szCs w:val="24"/>
        </w:rPr>
        <w:t xml:space="preserve"> May </w:t>
      </w:r>
      <w:r w:rsidR="00904E51" w:rsidRPr="002836EA">
        <w:rPr>
          <w:rFonts w:cs="Calibri"/>
          <w:szCs w:val="24"/>
        </w:rPr>
        <w:t>2020</w:t>
      </w:r>
      <w:r w:rsidRPr="002836EA">
        <w:rPr>
          <w:rFonts w:cs="Calibri"/>
          <w:szCs w:val="24"/>
        </w:rPr>
        <w:t>.</w:t>
      </w:r>
    </w:p>
    <w:p w14:paraId="41B2DB96" w14:textId="77777777" w:rsidR="003C0459" w:rsidRPr="00C06ECF" w:rsidRDefault="003C0459" w:rsidP="00F11C08">
      <w:pPr>
        <w:pStyle w:val="BluefieldBody"/>
        <w:rPr>
          <w:lang w:eastAsia="en-GB"/>
        </w:rPr>
      </w:pPr>
    </w:p>
    <w:p w14:paraId="7852AB61" w14:textId="77777777" w:rsidR="007D7B8C" w:rsidRPr="00C06ECF" w:rsidRDefault="007D7B8C" w:rsidP="0018483D">
      <w:pPr>
        <w:jc w:val="both"/>
        <w:rPr>
          <w:rFonts w:ascii="Georgia" w:hAnsi="Georgia" w:cs="Calibri"/>
          <w:color w:val="404040" w:themeColor="text1" w:themeTint="BF"/>
          <w:sz w:val="20"/>
        </w:rPr>
      </w:pPr>
    </w:p>
    <w:p w14:paraId="3A957049" w14:textId="41D13F99" w:rsidR="0018483D" w:rsidRDefault="0018483D" w:rsidP="0018483D">
      <w:pPr>
        <w:jc w:val="both"/>
        <w:rPr>
          <w:rFonts w:ascii="Georgia" w:hAnsi="Georgia" w:cs="Calibri"/>
          <w:color w:val="404040" w:themeColor="text1" w:themeTint="BF"/>
          <w:sz w:val="20"/>
          <w:highlight w:val="yellow"/>
        </w:rPr>
      </w:pPr>
    </w:p>
    <w:p w14:paraId="1381A39B" w14:textId="2614DA1F" w:rsidR="004240F2" w:rsidRDefault="004240F2" w:rsidP="0018483D">
      <w:pPr>
        <w:jc w:val="both"/>
        <w:rPr>
          <w:rFonts w:ascii="Georgia" w:hAnsi="Georgia" w:cs="Calibri"/>
          <w:color w:val="404040" w:themeColor="text1" w:themeTint="BF"/>
          <w:sz w:val="20"/>
          <w:highlight w:val="yellow"/>
        </w:rPr>
      </w:pPr>
    </w:p>
    <w:p w14:paraId="5C0F45F8" w14:textId="688A0E8C" w:rsidR="004240F2" w:rsidRDefault="004240F2" w:rsidP="0018483D">
      <w:pPr>
        <w:jc w:val="both"/>
        <w:rPr>
          <w:rFonts w:ascii="Georgia" w:hAnsi="Georgia" w:cs="Calibri"/>
          <w:color w:val="404040" w:themeColor="text1" w:themeTint="BF"/>
          <w:sz w:val="20"/>
          <w:highlight w:val="yellow"/>
        </w:rPr>
      </w:pPr>
    </w:p>
    <w:p w14:paraId="540242B6" w14:textId="106389CE" w:rsidR="008411DC" w:rsidRDefault="008411DC" w:rsidP="0018483D">
      <w:pPr>
        <w:jc w:val="both"/>
        <w:rPr>
          <w:rFonts w:ascii="Georgia" w:hAnsi="Georgia" w:cs="Calibri"/>
          <w:color w:val="404040" w:themeColor="text1" w:themeTint="BF"/>
          <w:sz w:val="20"/>
          <w:highlight w:val="yellow"/>
        </w:rPr>
      </w:pPr>
    </w:p>
    <w:p w14:paraId="55AA6326" w14:textId="4F895975" w:rsidR="008411DC" w:rsidRDefault="008411DC" w:rsidP="0018483D">
      <w:pPr>
        <w:jc w:val="both"/>
        <w:rPr>
          <w:rFonts w:ascii="Georgia" w:hAnsi="Georgia" w:cs="Calibri"/>
          <w:color w:val="404040" w:themeColor="text1" w:themeTint="BF"/>
          <w:sz w:val="20"/>
          <w:highlight w:val="yellow"/>
        </w:rPr>
      </w:pPr>
    </w:p>
    <w:p w14:paraId="6339AECD" w14:textId="5F2B83F0" w:rsidR="008411DC" w:rsidRDefault="008411DC" w:rsidP="0018483D">
      <w:pPr>
        <w:jc w:val="both"/>
        <w:rPr>
          <w:rFonts w:ascii="Georgia" w:hAnsi="Georgia" w:cs="Calibri"/>
          <w:color w:val="404040" w:themeColor="text1" w:themeTint="BF"/>
          <w:sz w:val="20"/>
          <w:highlight w:val="yellow"/>
        </w:rPr>
      </w:pPr>
    </w:p>
    <w:p w14:paraId="237187A6" w14:textId="77777777" w:rsidR="008411DC" w:rsidRDefault="008411DC" w:rsidP="0018483D">
      <w:pPr>
        <w:jc w:val="both"/>
        <w:rPr>
          <w:rFonts w:ascii="Georgia" w:hAnsi="Georgia" w:cs="Calibri"/>
          <w:color w:val="404040" w:themeColor="text1" w:themeTint="BF"/>
          <w:sz w:val="20"/>
          <w:highlight w:val="yellow"/>
        </w:rPr>
      </w:pPr>
    </w:p>
    <w:p w14:paraId="4E58033D" w14:textId="0DFDAD54" w:rsidR="004240F2" w:rsidRDefault="004240F2" w:rsidP="0018483D">
      <w:pPr>
        <w:jc w:val="both"/>
        <w:rPr>
          <w:rFonts w:ascii="Georgia" w:hAnsi="Georgia" w:cs="Calibri"/>
          <w:color w:val="404040" w:themeColor="text1" w:themeTint="BF"/>
          <w:sz w:val="20"/>
          <w:highlight w:val="yellow"/>
        </w:rPr>
      </w:pPr>
    </w:p>
    <w:p w14:paraId="57EF2F6E" w14:textId="77777777" w:rsidR="004240F2" w:rsidRDefault="004240F2" w:rsidP="0018483D">
      <w:pPr>
        <w:jc w:val="both"/>
        <w:rPr>
          <w:rFonts w:ascii="Georgia" w:hAnsi="Georgia" w:cs="Calibri"/>
          <w:color w:val="404040" w:themeColor="text1" w:themeTint="BF"/>
          <w:sz w:val="20"/>
          <w:highlight w:val="yellow"/>
        </w:rPr>
      </w:pPr>
    </w:p>
    <w:p w14:paraId="2A42577B" w14:textId="2A659C60" w:rsidR="009C148F" w:rsidRDefault="00A30AEC" w:rsidP="00EF6D72">
      <w:pPr>
        <w:pStyle w:val="Notehead1"/>
        <w:rPr>
          <w:lang w:eastAsia="en-GB"/>
        </w:rPr>
      </w:pPr>
      <w:r w:rsidRPr="00E42A95">
        <w:rPr>
          <w:lang w:eastAsia="en-GB"/>
        </w:rPr>
        <w:lastRenderedPageBreak/>
        <w:t>1</w:t>
      </w:r>
      <w:r>
        <w:rPr>
          <w:lang w:eastAsia="en-GB"/>
        </w:rPr>
        <w:t>4</w:t>
      </w:r>
      <w:r w:rsidRPr="00E42A95">
        <w:rPr>
          <w:lang w:eastAsia="en-GB"/>
        </w:rPr>
        <w:t>. Dividends</w:t>
      </w:r>
      <w:r>
        <w:rPr>
          <w:lang w:eastAsia="en-GB"/>
        </w:rPr>
        <w:t xml:space="preserve"> (Continued)</w:t>
      </w:r>
    </w:p>
    <w:p w14:paraId="172CD54F" w14:textId="77777777" w:rsidR="003C3A1E" w:rsidRDefault="003C3A1E" w:rsidP="00EF6D72">
      <w:pPr>
        <w:pStyle w:val="Notehead1"/>
        <w:rPr>
          <w:lang w:eastAsia="en-GB"/>
        </w:rPr>
      </w:pPr>
    </w:p>
    <w:p w14:paraId="504E4824" w14:textId="7BEB985E" w:rsidR="009C148F" w:rsidRPr="009C148F" w:rsidRDefault="009C148F" w:rsidP="009C148F">
      <w:pPr>
        <w:jc w:val="both"/>
        <w:rPr>
          <w:rFonts w:ascii="Georgia" w:hAnsi="Georgia" w:cs="Calibri"/>
          <w:color w:val="404040" w:themeColor="text1" w:themeTint="BF"/>
          <w:sz w:val="20"/>
        </w:rPr>
      </w:pPr>
      <w:r w:rsidRPr="00C51975">
        <w:rPr>
          <w:rFonts w:ascii="Georgia" w:hAnsi="Georgia" w:cs="Calibri"/>
          <w:color w:val="404040" w:themeColor="text1" w:themeTint="BF"/>
          <w:sz w:val="20"/>
          <w:szCs w:val="20"/>
        </w:rPr>
        <w:t>Post year end, on 24 July 2020, the Board declared a third interim dividend of £7,224,743, in respect of</w:t>
      </w:r>
      <w:r w:rsidR="00741296">
        <w:rPr>
          <w:rFonts w:ascii="Georgia" w:hAnsi="Georgia" w:cs="Calibri"/>
          <w:color w:val="404040" w:themeColor="text1" w:themeTint="BF"/>
          <w:sz w:val="20"/>
          <w:szCs w:val="20"/>
        </w:rPr>
        <w:t xml:space="preserve"> the</w:t>
      </w:r>
      <w:r w:rsidRPr="00C51975">
        <w:rPr>
          <w:rFonts w:ascii="Georgia" w:hAnsi="Georgia" w:cs="Calibri"/>
          <w:color w:val="404040" w:themeColor="text1" w:themeTint="BF"/>
          <w:sz w:val="20"/>
          <w:szCs w:val="20"/>
        </w:rPr>
        <w:t xml:space="preserve"> year ended 30 June 2020</w:t>
      </w:r>
      <w:r w:rsidRPr="00C51975">
        <w:rPr>
          <w:rFonts w:ascii="Georgia" w:hAnsi="Georgia" w:cs="Calibri"/>
          <w:color w:val="404040" w:themeColor="text1" w:themeTint="BF"/>
          <w:sz w:val="20"/>
        </w:rPr>
        <w:t xml:space="preserve">, equating to 1.95pps (third interim dividend in respect of the year ended 30 June </w:t>
      </w:r>
      <w:r>
        <w:rPr>
          <w:rFonts w:ascii="Georgia" w:hAnsi="Georgia" w:cs="Calibri"/>
          <w:color w:val="404040" w:themeColor="text1" w:themeTint="BF"/>
          <w:sz w:val="20"/>
        </w:rPr>
        <w:t xml:space="preserve"> </w:t>
      </w:r>
      <w:r w:rsidRPr="00C51975">
        <w:rPr>
          <w:rFonts w:ascii="Georgia" w:hAnsi="Georgia" w:cs="Calibri"/>
          <w:color w:val="404040" w:themeColor="text1" w:themeTint="BF"/>
          <w:sz w:val="20"/>
        </w:rPr>
        <w:t>2019: 1.90</w:t>
      </w:r>
      <w:r>
        <w:rPr>
          <w:rFonts w:ascii="Georgia" w:hAnsi="Georgia" w:cs="Calibri"/>
          <w:color w:val="404040" w:themeColor="text1" w:themeTint="BF"/>
          <w:sz w:val="20"/>
        </w:rPr>
        <w:t>pps</w:t>
      </w:r>
      <w:r w:rsidRPr="00C51975">
        <w:rPr>
          <w:rFonts w:ascii="Georgia" w:hAnsi="Georgia" w:cs="Calibri"/>
          <w:color w:val="404040" w:themeColor="text1" w:themeTint="BF"/>
          <w:sz w:val="20"/>
        </w:rPr>
        <w:t xml:space="preserve">), which was paid on 21 August </w:t>
      </w:r>
      <w:r w:rsidR="005E56E1">
        <w:rPr>
          <w:rFonts w:ascii="Georgia" w:hAnsi="Georgia" w:cs="Calibri"/>
          <w:color w:val="404040" w:themeColor="text1" w:themeTint="BF"/>
          <w:sz w:val="20"/>
        </w:rPr>
        <w:t>2020 to S</w:t>
      </w:r>
      <w:r w:rsidRPr="00C51975">
        <w:rPr>
          <w:rFonts w:ascii="Georgia" w:hAnsi="Georgia" w:cs="Calibri"/>
          <w:color w:val="404040" w:themeColor="text1" w:themeTint="BF"/>
          <w:sz w:val="20"/>
        </w:rPr>
        <w:t>hareholders on the register on 7 August 2020.</w:t>
      </w:r>
    </w:p>
    <w:p w14:paraId="5E7565EE" w14:textId="77777777" w:rsidR="00A30AEC" w:rsidRDefault="00A30AEC" w:rsidP="0018483D">
      <w:pPr>
        <w:jc w:val="both"/>
        <w:rPr>
          <w:rFonts w:ascii="Georgia" w:hAnsi="Georgia" w:cs="Calibri"/>
          <w:color w:val="404040" w:themeColor="text1" w:themeTint="BF"/>
          <w:sz w:val="20"/>
        </w:rPr>
      </w:pPr>
    </w:p>
    <w:p w14:paraId="3640AF2C" w14:textId="77777777" w:rsidR="0025653C" w:rsidRPr="007957AF" w:rsidRDefault="0025653C" w:rsidP="0025653C">
      <w:pPr>
        <w:jc w:val="both"/>
        <w:rPr>
          <w:rFonts w:ascii="Georgia" w:hAnsi="Georgia" w:cs="Calibri"/>
          <w:color w:val="404040" w:themeColor="text1" w:themeTint="BF"/>
          <w:sz w:val="20"/>
        </w:rPr>
      </w:pPr>
      <w:r w:rsidRPr="0025653C">
        <w:rPr>
          <w:rFonts w:ascii="Georgia" w:hAnsi="Georgia" w:cs="Calibri"/>
          <w:color w:val="404040" w:themeColor="text1" w:themeTint="BF"/>
          <w:sz w:val="20"/>
        </w:rPr>
        <w:t>Post year end, on 22 September 2020, the Board declared a fourth interim dividend of £7,595,242, in respect of the year ended 30 June 2020, equating to 2.05pps (fourth interim dividend in respect of the year ended 30 June 2019: 2.03pps), which will be paid on or around 28 October 2020 to Shareholders on the register on 2 October 2020.</w:t>
      </w:r>
      <w:r w:rsidRPr="007957AF">
        <w:rPr>
          <w:rFonts w:ascii="Georgia" w:hAnsi="Georgia" w:cs="Calibri"/>
          <w:color w:val="404040" w:themeColor="text1" w:themeTint="BF"/>
          <w:sz w:val="20"/>
        </w:rPr>
        <w:t xml:space="preserve"> </w:t>
      </w:r>
    </w:p>
    <w:p w14:paraId="39048D81" w14:textId="77777777" w:rsidR="00A30AEC" w:rsidRDefault="00A30AEC" w:rsidP="0018483D">
      <w:pPr>
        <w:jc w:val="both"/>
        <w:rPr>
          <w:rFonts w:ascii="Georgia" w:hAnsi="Georgia" w:cs="Calibri"/>
          <w:color w:val="404040" w:themeColor="text1" w:themeTint="BF"/>
          <w:sz w:val="20"/>
          <w:highlight w:val="yellow"/>
        </w:rPr>
      </w:pPr>
    </w:p>
    <w:p w14:paraId="407AFEBA" w14:textId="10E64166" w:rsidR="000F51FA" w:rsidRPr="00384BCB" w:rsidRDefault="00E42A95" w:rsidP="000F51FA">
      <w:pPr>
        <w:pStyle w:val="Notehead1"/>
        <w:rPr>
          <w:lang w:eastAsia="en-GB"/>
        </w:rPr>
      </w:pPr>
      <w:r w:rsidRPr="00E42A95">
        <w:rPr>
          <w:lang w:eastAsia="en-GB"/>
        </w:rPr>
        <w:t>1</w:t>
      </w:r>
      <w:r w:rsidR="006C2EC2">
        <w:rPr>
          <w:lang w:eastAsia="en-GB"/>
        </w:rPr>
        <w:t>5</w:t>
      </w:r>
      <w:r w:rsidR="009D7A09">
        <w:rPr>
          <w:lang w:eastAsia="en-GB"/>
        </w:rPr>
        <w:t>. Risk m</w:t>
      </w:r>
      <w:r w:rsidRPr="00E42A95">
        <w:rPr>
          <w:lang w:eastAsia="en-GB"/>
        </w:rPr>
        <w:t xml:space="preserve">anagement </w:t>
      </w:r>
      <w:r w:rsidR="009D7A09">
        <w:rPr>
          <w:lang w:eastAsia="en-GB"/>
        </w:rPr>
        <w:t>p</w:t>
      </w:r>
      <w:r w:rsidRPr="00E42A95">
        <w:rPr>
          <w:lang w:eastAsia="en-GB"/>
        </w:rPr>
        <w:t xml:space="preserve">olicies and </w:t>
      </w:r>
      <w:r w:rsidR="009D7A09">
        <w:rPr>
          <w:lang w:eastAsia="en-GB"/>
        </w:rPr>
        <w:t>p</w:t>
      </w:r>
      <w:r w:rsidRPr="00E42A95">
        <w:rPr>
          <w:lang w:eastAsia="en-GB"/>
        </w:rPr>
        <w:t>rocedures</w:t>
      </w:r>
    </w:p>
    <w:p w14:paraId="498AFDC3" w14:textId="77777777" w:rsidR="000F51FA" w:rsidRPr="00384BCB" w:rsidRDefault="000F51FA" w:rsidP="000F51FA">
      <w:pPr>
        <w:pStyle w:val="body"/>
      </w:pPr>
    </w:p>
    <w:p w14:paraId="7435F3A9" w14:textId="15FE0EB8" w:rsidR="00E42A95" w:rsidRPr="00F325EF" w:rsidRDefault="000F51FA" w:rsidP="00E42A95">
      <w:pPr>
        <w:pStyle w:val="BluefieldBody"/>
      </w:pPr>
      <w:r w:rsidRPr="00F325EF">
        <w:t xml:space="preserve">The </w:t>
      </w:r>
      <w:r w:rsidR="00F325EF">
        <w:t>Company</w:t>
      </w:r>
      <w:r w:rsidRPr="00F325EF">
        <w:t xml:space="preserve"> is exposed to a variety of financial risks, including market risk (including price risk, currency risk and interest rate risk)</w:t>
      </w:r>
      <w:r w:rsidR="00374EBB">
        <w:t xml:space="preserve">, credit risk, </w:t>
      </w:r>
      <w:r w:rsidRPr="00F325EF">
        <w:t>liquidity risk</w:t>
      </w:r>
      <w:r w:rsidR="00374EBB">
        <w:t xml:space="preserve"> and portfolio operational risk</w:t>
      </w:r>
      <w:r w:rsidRPr="00F325EF">
        <w:t xml:space="preserve">.  The Investment Adviser and the Administrator report to the Board on a quarterly basis and provide information to the </w:t>
      </w:r>
      <w:r w:rsidR="00F325EF">
        <w:t>Company</w:t>
      </w:r>
      <w:r w:rsidR="00E2078B">
        <w:t xml:space="preserve"> </w:t>
      </w:r>
      <w:r w:rsidRPr="00F325EF">
        <w:t xml:space="preserve">which allows it to monitor and manage financial risks relating to its operations. </w:t>
      </w:r>
    </w:p>
    <w:p w14:paraId="54D181B8" w14:textId="77777777" w:rsidR="007C264A" w:rsidRPr="00F325EF" w:rsidRDefault="007C264A" w:rsidP="00E42A95">
      <w:pPr>
        <w:pStyle w:val="BluefieldBody"/>
      </w:pPr>
    </w:p>
    <w:p w14:paraId="046A5C45" w14:textId="2DBB456D" w:rsidR="00E42A95" w:rsidRPr="00F325EF" w:rsidRDefault="000F51FA" w:rsidP="00E42A95">
      <w:pPr>
        <w:pStyle w:val="BluefieldBody"/>
      </w:pPr>
      <w:r w:rsidRPr="00F325EF">
        <w:t xml:space="preserve">The </w:t>
      </w:r>
      <w:r w:rsidR="00F325EF">
        <w:t>Company</w:t>
      </w:r>
      <w:r w:rsidRPr="00F325EF">
        <w:t xml:space="preserve">'s overall risk management programme focuses on the unpredictability of financial markets and </w:t>
      </w:r>
      <w:r w:rsidR="00555F5A" w:rsidRPr="00F325EF">
        <w:t xml:space="preserve">government energy policy and </w:t>
      </w:r>
      <w:r w:rsidRPr="00F325EF">
        <w:t xml:space="preserve">seeks to minimise potential adverse effects on the </w:t>
      </w:r>
      <w:r w:rsidR="00F325EF">
        <w:t>Company</w:t>
      </w:r>
      <w:r w:rsidRPr="00F325EF">
        <w:t>'s financial performance</w:t>
      </w:r>
      <w:r w:rsidR="00555F5A" w:rsidRPr="00F325EF">
        <w:t>, as referenced in the Principal Risks and Uncertainties section in the Strategic Report.</w:t>
      </w:r>
    </w:p>
    <w:p w14:paraId="7F62702B" w14:textId="77777777" w:rsidR="00ED0A33" w:rsidRPr="00F325EF" w:rsidRDefault="00ED0A33" w:rsidP="00E42A95">
      <w:pPr>
        <w:pStyle w:val="BluefieldBody"/>
      </w:pPr>
    </w:p>
    <w:p w14:paraId="7E762F28" w14:textId="22B93249" w:rsidR="00F95B7F" w:rsidRPr="00F325EF" w:rsidRDefault="007F0145" w:rsidP="00ED0A33">
      <w:pPr>
        <w:pStyle w:val="BluefieldBody"/>
      </w:pPr>
      <w:r>
        <w:t>The Board</w:t>
      </w:r>
      <w:r w:rsidR="000F51FA" w:rsidRPr="00F325EF">
        <w:t xml:space="preserve"> is ultimately responsible for the overall risk management approach within the </w:t>
      </w:r>
      <w:r w:rsidR="00F325EF">
        <w:t>Company</w:t>
      </w:r>
      <w:r>
        <w:t>. The Board</w:t>
      </w:r>
      <w:r w:rsidR="000F51FA" w:rsidRPr="00F325EF">
        <w:t xml:space="preserve"> has established procedures for mo</w:t>
      </w:r>
      <w:r w:rsidR="00594E0A">
        <w:t>nitoring and controlling risk. </w:t>
      </w:r>
      <w:r w:rsidR="000F51FA" w:rsidRPr="00F325EF">
        <w:t xml:space="preserve">The </w:t>
      </w:r>
      <w:r w:rsidR="00F325EF">
        <w:t>Company</w:t>
      </w:r>
      <w:r w:rsidR="000F51FA" w:rsidRPr="00F325EF">
        <w:t xml:space="preserve"> has investment guidelines that set out its overall business strategies, its tolerance for risk and its general risk management philosophy.</w:t>
      </w:r>
    </w:p>
    <w:p w14:paraId="16FC1662" w14:textId="77777777" w:rsidR="009B3F1B" w:rsidRPr="00F325EF" w:rsidRDefault="009B3F1B" w:rsidP="008C3745">
      <w:pPr>
        <w:pStyle w:val="BluefieldBody"/>
      </w:pPr>
    </w:p>
    <w:p w14:paraId="5FF36306" w14:textId="77777777" w:rsidR="007407D8" w:rsidRPr="00F325EF" w:rsidRDefault="000F51FA" w:rsidP="00E42A95">
      <w:pPr>
        <w:pStyle w:val="BluefieldBody"/>
      </w:pPr>
      <w:r w:rsidRPr="00F325EF">
        <w:t>In addition, the Investment Adviser monitors and measures the overall risk bearing capacity in relation to the aggregate risk exposure across all risk types and activities.  Further details regarding these policies are set out below:</w:t>
      </w:r>
    </w:p>
    <w:p w14:paraId="172ACA94" w14:textId="77777777" w:rsidR="007407D8" w:rsidRPr="00A316C7" w:rsidRDefault="007407D8" w:rsidP="001B56EC">
      <w:pPr>
        <w:pStyle w:val="BluefieldBody"/>
        <w:rPr>
          <w:highlight w:val="yellow"/>
        </w:rPr>
      </w:pPr>
    </w:p>
    <w:p w14:paraId="5FAA4ABC" w14:textId="77777777" w:rsidR="000F51FA" w:rsidRPr="00F325EF" w:rsidRDefault="000F51FA" w:rsidP="000F51FA">
      <w:pPr>
        <w:pStyle w:val="body"/>
        <w:rPr>
          <w:b/>
        </w:rPr>
      </w:pPr>
      <w:r w:rsidRPr="00F325EF">
        <w:rPr>
          <w:b/>
        </w:rPr>
        <w:t>Market price risk</w:t>
      </w:r>
    </w:p>
    <w:p w14:paraId="2301E644" w14:textId="37D50E3D" w:rsidR="00E42A95" w:rsidRPr="00F325EF" w:rsidRDefault="000F51FA" w:rsidP="00E42A95">
      <w:pPr>
        <w:pStyle w:val="BluefieldBody"/>
      </w:pPr>
      <w:r w:rsidRPr="00F325EF">
        <w:t xml:space="preserve">Market price risk is defined as the risk that the fair value of future </w:t>
      </w:r>
      <w:r w:rsidR="003C1F3B" w:rsidRPr="00F325EF">
        <w:t>cash flows</w:t>
      </w:r>
      <w:r w:rsidRPr="00F325EF">
        <w:t xml:space="preserve"> of a financial instrument held by the </w:t>
      </w:r>
      <w:r w:rsidR="00F325EF">
        <w:t>Company, in particular through the Company’s subsidiary, BSIFIL,</w:t>
      </w:r>
      <w:r w:rsidRPr="00F325EF">
        <w:t xml:space="preserve"> will fluctuate because of changes in market prices. </w:t>
      </w:r>
    </w:p>
    <w:p w14:paraId="1AEB7B9F" w14:textId="77777777" w:rsidR="007407D8" w:rsidRPr="00F325EF" w:rsidRDefault="007407D8" w:rsidP="00E42A95">
      <w:pPr>
        <w:pStyle w:val="BluefieldBody"/>
      </w:pPr>
    </w:p>
    <w:p w14:paraId="56F25016" w14:textId="15941354" w:rsidR="00E42A95" w:rsidRDefault="00385F70" w:rsidP="009D7A09">
      <w:pPr>
        <w:pStyle w:val="BluefieldBody"/>
        <w:rPr>
          <w:rFonts w:cs="ArialMT-Light"/>
          <w:lang w:eastAsia="en-GB"/>
        </w:rPr>
      </w:pPr>
      <w:r w:rsidRPr="00F325EF">
        <w:t>Market price risk will arise from</w:t>
      </w:r>
      <w:r w:rsidR="00B606B0" w:rsidRPr="00F325EF">
        <w:t xml:space="preserve"> c</w:t>
      </w:r>
      <w:r w:rsidR="008716A4">
        <w:t xml:space="preserve">hanges in </w:t>
      </w:r>
      <w:r w:rsidRPr="00F325EF">
        <w:t xml:space="preserve">electricity prices </w:t>
      </w:r>
      <w:r w:rsidR="008716A4">
        <w:t>whenev</w:t>
      </w:r>
      <w:r w:rsidR="00D2365F">
        <w:t>er PPAs expire and are renewed. T</w:t>
      </w:r>
      <w:r w:rsidR="008716A4">
        <w:t xml:space="preserve">he timing of these is staggered </w:t>
      </w:r>
      <w:r w:rsidR="00FB0686">
        <w:t>to minimise risk</w:t>
      </w:r>
      <w:r w:rsidRPr="00F325EF">
        <w:rPr>
          <w:rFonts w:cs="ArialMT-Light"/>
          <w:lang w:eastAsia="en-GB"/>
        </w:rPr>
        <w:t>.</w:t>
      </w:r>
    </w:p>
    <w:p w14:paraId="77DFF85A" w14:textId="77777777" w:rsidR="00FB0686" w:rsidRPr="00F325EF" w:rsidRDefault="00FB0686" w:rsidP="009D7A09">
      <w:pPr>
        <w:pStyle w:val="BluefieldBody"/>
      </w:pPr>
    </w:p>
    <w:p w14:paraId="08E64D99" w14:textId="77777777" w:rsidR="00AB079E" w:rsidRDefault="00AB079E" w:rsidP="00B71251">
      <w:pPr>
        <w:pStyle w:val="BluefieldBody"/>
        <w:rPr>
          <w:rFonts w:cs="ArialMT-Light"/>
          <w:lang w:eastAsia="en-GB"/>
        </w:rPr>
      </w:pPr>
    </w:p>
    <w:p w14:paraId="27B03B2F" w14:textId="77777777" w:rsidR="00A861C0" w:rsidRDefault="00A861C0" w:rsidP="00B71251">
      <w:pPr>
        <w:pStyle w:val="BluefieldBody"/>
        <w:rPr>
          <w:rFonts w:cs="ArialMT-Light"/>
          <w:lang w:eastAsia="en-GB"/>
        </w:rPr>
      </w:pPr>
    </w:p>
    <w:p w14:paraId="2EDB4E72" w14:textId="77777777" w:rsidR="00A861C0" w:rsidRDefault="00A861C0" w:rsidP="00B71251">
      <w:pPr>
        <w:pStyle w:val="BluefieldBody"/>
        <w:rPr>
          <w:rFonts w:cs="ArialMT-Light"/>
          <w:lang w:eastAsia="en-GB"/>
        </w:rPr>
      </w:pPr>
    </w:p>
    <w:p w14:paraId="364A51DD" w14:textId="77777777" w:rsidR="00AB079E" w:rsidRDefault="00AB079E" w:rsidP="00B71251">
      <w:pPr>
        <w:pStyle w:val="BluefieldBody"/>
        <w:rPr>
          <w:rFonts w:cs="ArialMT-Light"/>
          <w:lang w:eastAsia="en-GB"/>
        </w:rPr>
      </w:pPr>
    </w:p>
    <w:p w14:paraId="1CA84D68" w14:textId="64A1704F" w:rsidR="004B2EAE" w:rsidRDefault="004B2EAE" w:rsidP="00B71251">
      <w:pPr>
        <w:pStyle w:val="BluefieldBody"/>
        <w:rPr>
          <w:rFonts w:cs="ArialMT-Light"/>
          <w:lang w:eastAsia="en-GB"/>
        </w:rPr>
      </w:pPr>
    </w:p>
    <w:p w14:paraId="205E67A9" w14:textId="3F4D3D03" w:rsidR="00FA1B66" w:rsidRDefault="00FA1B66" w:rsidP="00B71251">
      <w:pPr>
        <w:pStyle w:val="BluefieldBody"/>
        <w:rPr>
          <w:rFonts w:cs="ArialMT-Light"/>
          <w:lang w:eastAsia="en-GB"/>
        </w:rPr>
      </w:pPr>
    </w:p>
    <w:p w14:paraId="112A6B84" w14:textId="15B95F03" w:rsidR="008411DC" w:rsidRDefault="008411DC" w:rsidP="00B71251">
      <w:pPr>
        <w:pStyle w:val="BluefieldBody"/>
        <w:rPr>
          <w:rFonts w:cs="ArialMT-Light"/>
          <w:lang w:eastAsia="en-GB"/>
        </w:rPr>
      </w:pPr>
    </w:p>
    <w:p w14:paraId="037EBED9" w14:textId="77777777" w:rsidR="008411DC" w:rsidRDefault="008411DC" w:rsidP="00B71251">
      <w:pPr>
        <w:pStyle w:val="BluefieldBody"/>
        <w:rPr>
          <w:rFonts w:cs="ArialMT-Light"/>
          <w:lang w:eastAsia="en-GB"/>
        </w:rPr>
      </w:pPr>
    </w:p>
    <w:p w14:paraId="41E5D26A" w14:textId="74FED96E" w:rsidR="00FA1B66" w:rsidRDefault="00FA1B66" w:rsidP="00B71251">
      <w:pPr>
        <w:pStyle w:val="BluefieldBody"/>
        <w:rPr>
          <w:rFonts w:cs="ArialMT-Light"/>
          <w:lang w:eastAsia="en-GB"/>
        </w:rPr>
      </w:pPr>
    </w:p>
    <w:p w14:paraId="6FE83836" w14:textId="3A7C5246" w:rsidR="00FA1B66" w:rsidRDefault="00FA1B66" w:rsidP="00B71251">
      <w:pPr>
        <w:pStyle w:val="BluefieldBody"/>
        <w:rPr>
          <w:rFonts w:cs="ArialMT-Light"/>
          <w:lang w:eastAsia="en-GB"/>
        </w:rPr>
      </w:pPr>
    </w:p>
    <w:p w14:paraId="4E6D155B" w14:textId="352106C7" w:rsidR="002836EA" w:rsidRDefault="002836EA" w:rsidP="00B71251">
      <w:pPr>
        <w:pStyle w:val="BluefieldBody"/>
        <w:rPr>
          <w:rFonts w:cs="ArialMT-Light"/>
          <w:lang w:eastAsia="en-GB"/>
        </w:rPr>
      </w:pPr>
    </w:p>
    <w:p w14:paraId="4F0DD3B0" w14:textId="611439C1" w:rsidR="002836EA" w:rsidRDefault="002836EA" w:rsidP="00B71251">
      <w:pPr>
        <w:pStyle w:val="BluefieldBody"/>
        <w:rPr>
          <w:rFonts w:cs="ArialMT-Light"/>
          <w:lang w:eastAsia="en-GB"/>
        </w:rPr>
      </w:pPr>
    </w:p>
    <w:p w14:paraId="5FF898B2" w14:textId="77777777" w:rsidR="002836EA" w:rsidRDefault="002836EA" w:rsidP="00B71251">
      <w:pPr>
        <w:pStyle w:val="BluefieldBody"/>
        <w:rPr>
          <w:rFonts w:cs="ArialMT-Light"/>
          <w:lang w:eastAsia="en-GB"/>
        </w:rPr>
      </w:pPr>
    </w:p>
    <w:p w14:paraId="05C51697" w14:textId="77777777" w:rsidR="00C2582C" w:rsidRDefault="00C2582C" w:rsidP="00B71251">
      <w:pPr>
        <w:pStyle w:val="BluefieldBody"/>
        <w:rPr>
          <w:rFonts w:cs="ArialMT-Light"/>
          <w:lang w:eastAsia="en-GB"/>
        </w:rPr>
      </w:pPr>
    </w:p>
    <w:p w14:paraId="43885E3B" w14:textId="78EC0544" w:rsidR="00FA1B66" w:rsidRDefault="00FA1B66" w:rsidP="00B71251">
      <w:pPr>
        <w:pStyle w:val="BluefieldBody"/>
        <w:rPr>
          <w:rFonts w:cs="ArialMT-Light"/>
          <w:lang w:eastAsia="en-GB"/>
        </w:rPr>
      </w:pPr>
    </w:p>
    <w:p w14:paraId="119301C2" w14:textId="77777777" w:rsidR="00FC0AF0" w:rsidRDefault="00FC0AF0" w:rsidP="00B71251">
      <w:pPr>
        <w:pStyle w:val="BluefieldBody"/>
        <w:rPr>
          <w:rFonts w:cs="ArialMT-Light"/>
          <w:lang w:eastAsia="en-GB"/>
        </w:rPr>
      </w:pPr>
    </w:p>
    <w:p w14:paraId="0337E184" w14:textId="075084BA" w:rsidR="00FA1B66" w:rsidRDefault="00FA1B66" w:rsidP="00B71251">
      <w:pPr>
        <w:pStyle w:val="BluefieldBody"/>
        <w:rPr>
          <w:rFonts w:cs="ArialMT-Light"/>
          <w:lang w:eastAsia="en-GB"/>
        </w:rPr>
      </w:pPr>
    </w:p>
    <w:p w14:paraId="37009462" w14:textId="17D49B99" w:rsidR="00FA1B66" w:rsidRDefault="00FA1B66" w:rsidP="00B71251">
      <w:pPr>
        <w:pStyle w:val="BluefieldBody"/>
        <w:rPr>
          <w:rFonts w:cs="ArialMT-Light"/>
          <w:lang w:eastAsia="en-GB"/>
        </w:rPr>
      </w:pPr>
    </w:p>
    <w:p w14:paraId="6FB935E0" w14:textId="77777777" w:rsidR="00AB079E" w:rsidRDefault="00AB079E" w:rsidP="00AB079E">
      <w:pPr>
        <w:pStyle w:val="Notehead1"/>
        <w:rPr>
          <w:lang w:eastAsia="en-GB"/>
        </w:rPr>
      </w:pPr>
      <w:r w:rsidRPr="00F325EF">
        <w:rPr>
          <w:lang w:eastAsia="en-GB"/>
        </w:rPr>
        <w:lastRenderedPageBreak/>
        <w:t>15. Risk management policies and procedures (continued)</w:t>
      </w:r>
    </w:p>
    <w:p w14:paraId="5C336E1D" w14:textId="77777777" w:rsidR="00AB079E" w:rsidRDefault="00AB079E" w:rsidP="00B71251">
      <w:pPr>
        <w:pStyle w:val="BluefieldBody"/>
        <w:rPr>
          <w:rFonts w:cs="ArialMT-Light"/>
          <w:lang w:eastAsia="en-GB"/>
        </w:rPr>
      </w:pPr>
    </w:p>
    <w:p w14:paraId="156CCBE7" w14:textId="77777777" w:rsidR="00356117" w:rsidRPr="00F325EF" w:rsidRDefault="00356117" w:rsidP="00356117">
      <w:pPr>
        <w:pStyle w:val="body"/>
        <w:rPr>
          <w:b/>
        </w:rPr>
      </w:pPr>
      <w:r w:rsidRPr="00F325EF">
        <w:rPr>
          <w:b/>
        </w:rPr>
        <w:t>Market price risk</w:t>
      </w:r>
      <w:r>
        <w:rPr>
          <w:b/>
        </w:rPr>
        <w:t xml:space="preserve"> (continued)</w:t>
      </w:r>
    </w:p>
    <w:p w14:paraId="79CF012B" w14:textId="77777777" w:rsidR="00356117" w:rsidRDefault="00356117" w:rsidP="00B71251">
      <w:pPr>
        <w:pStyle w:val="BluefieldBody"/>
        <w:rPr>
          <w:rFonts w:cs="ArialMT-Light"/>
          <w:lang w:eastAsia="en-GB"/>
        </w:rPr>
      </w:pPr>
    </w:p>
    <w:p w14:paraId="14605CD1" w14:textId="77777777" w:rsidR="00B71251" w:rsidRPr="00F325EF" w:rsidRDefault="00F325EF" w:rsidP="00B71251">
      <w:pPr>
        <w:pStyle w:val="BluefieldBody"/>
        <w:rPr>
          <w:rFonts w:cs="ArialMT-Light"/>
          <w:lang w:eastAsia="en-GB"/>
        </w:rPr>
      </w:pPr>
      <w:r>
        <w:rPr>
          <w:rFonts w:cs="ArialMT-Light"/>
          <w:lang w:eastAsia="en-GB"/>
        </w:rPr>
        <w:t>BSIFIL’s</w:t>
      </w:r>
      <w:r w:rsidR="00385F70" w:rsidRPr="00F325EF">
        <w:rPr>
          <w:rFonts w:cs="ArialMT-Light"/>
          <w:lang w:eastAsia="en-GB"/>
        </w:rPr>
        <w:t xml:space="preserve"> future SPV investments are subject to fluctuations in the price of </w:t>
      </w:r>
      <w:r w:rsidR="00B71251">
        <w:rPr>
          <w:rFonts w:cs="ArialMT-Light"/>
          <w:lang w:eastAsia="en-GB"/>
        </w:rPr>
        <w:t xml:space="preserve">secondary assets which </w:t>
      </w:r>
      <w:r w:rsidR="00385F70" w:rsidRPr="00F325EF">
        <w:rPr>
          <w:rFonts w:cs="ArialMT-Light"/>
          <w:lang w:eastAsia="en-GB"/>
        </w:rPr>
        <w:t xml:space="preserve">could have a material adverse effect on the </w:t>
      </w:r>
      <w:r>
        <w:rPr>
          <w:rFonts w:cs="ArialMT-Light"/>
          <w:lang w:eastAsia="en-GB"/>
        </w:rPr>
        <w:t>BSIFIL</w:t>
      </w:r>
      <w:r w:rsidR="00385F70" w:rsidRPr="00F325EF">
        <w:rPr>
          <w:rFonts w:cs="ArialMT-Light"/>
          <w:lang w:eastAsia="en-GB"/>
        </w:rPr>
        <w:t xml:space="preserve">’s </w:t>
      </w:r>
      <w:r w:rsidR="00B71251" w:rsidRPr="00F325EF">
        <w:rPr>
          <w:rFonts w:cs="ArialMT-Light"/>
          <w:lang w:eastAsia="en-GB"/>
        </w:rPr>
        <w:t>ability to source projects that meet its investment criteria and consequently its business, financial position, results of operations and business prospects.</w:t>
      </w:r>
    </w:p>
    <w:p w14:paraId="0B932A5D" w14:textId="77777777" w:rsidR="00F5420A" w:rsidRDefault="00F5420A" w:rsidP="00A46D0B">
      <w:pPr>
        <w:pStyle w:val="Notehead1"/>
        <w:rPr>
          <w:lang w:eastAsia="en-GB"/>
        </w:rPr>
      </w:pPr>
    </w:p>
    <w:p w14:paraId="5D2C987A" w14:textId="1634A5EC" w:rsidR="00E42A95" w:rsidRPr="00F325EF" w:rsidRDefault="00FF1E34" w:rsidP="00E42A95">
      <w:pPr>
        <w:pStyle w:val="BluefieldBody"/>
      </w:pPr>
      <w:r w:rsidRPr="00F325EF">
        <w:t xml:space="preserve">The </w:t>
      </w:r>
      <w:r w:rsidR="00F325EF">
        <w:t>Company</w:t>
      </w:r>
      <w:r w:rsidRPr="00F325EF">
        <w:t>'s overall market position is monitored by the Investment Adviser and is reviewed by the Board of Directors on an ongoing basis.</w:t>
      </w:r>
    </w:p>
    <w:p w14:paraId="12E263FA" w14:textId="77777777" w:rsidR="00152529" w:rsidRPr="00A316C7" w:rsidRDefault="00152529" w:rsidP="000F51FA">
      <w:pPr>
        <w:pStyle w:val="body"/>
        <w:rPr>
          <w:b/>
          <w:highlight w:val="yellow"/>
        </w:rPr>
      </w:pPr>
    </w:p>
    <w:p w14:paraId="122237A1" w14:textId="77777777" w:rsidR="000F51FA" w:rsidRPr="00F325EF" w:rsidRDefault="000F51FA" w:rsidP="000F51FA">
      <w:pPr>
        <w:pStyle w:val="body"/>
        <w:rPr>
          <w:b/>
        </w:rPr>
      </w:pPr>
      <w:r w:rsidRPr="00F325EF">
        <w:rPr>
          <w:b/>
        </w:rPr>
        <w:t>Currency risk</w:t>
      </w:r>
    </w:p>
    <w:p w14:paraId="45BCCBBE" w14:textId="59B6BEB6" w:rsidR="00E42A95" w:rsidRPr="00F325EF" w:rsidRDefault="000F51FA" w:rsidP="00E42A95">
      <w:pPr>
        <w:pStyle w:val="BluefieldBody"/>
      </w:pPr>
      <w:r w:rsidRPr="00F325EF">
        <w:t xml:space="preserve">The </w:t>
      </w:r>
      <w:r w:rsidR="00F325EF">
        <w:t>Company</w:t>
      </w:r>
      <w:r w:rsidRPr="00F325EF">
        <w:t xml:space="preserve"> does not have any direct currency risk exposure as all its investments and transactions are in Sterling. The </w:t>
      </w:r>
      <w:r w:rsidR="00F325EF">
        <w:t>Company</w:t>
      </w:r>
      <w:r w:rsidRPr="00F325EF">
        <w:t xml:space="preserve"> is however indirectly exposed to currency risk on future </w:t>
      </w:r>
      <w:r w:rsidR="008716A4">
        <w:t>equipment purchases</w:t>
      </w:r>
      <w:r w:rsidR="00DD3C86">
        <w:t>, made through BSIFIL</w:t>
      </w:r>
      <w:r w:rsidR="008716A4">
        <w:t>’s SPVs</w:t>
      </w:r>
      <w:r w:rsidR="00DD3C86">
        <w:t>,</w:t>
      </w:r>
      <w:r w:rsidRPr="00F325EF">
        <w:t xml:space="preserve"> </w:t>
      </w:r>
      <w:r w:rsidR="008716A4">
        <w:t>where equipment is imported.</w:t>
      </w:r>
    </w:p>
    <w:p w14:paraId="76E110F6" w14:textId="77777777" w:rsidR="007E641F" w:rsidRPr="00A316C7" w:rsidRDefault="007E641F" w:rsidP="000F51FA">
      <w:pPr>
        <w:pStyle w:val="body"/>
        <w:rPr>
          <w:b/>
          <w:highlight w:val="yellow"/>
        </w:rPr>
      </w:pPr>
    </w:p>
    <w:p w14:paraId="33549E83" w14:textId="77777777" w:rsidR="000F51FA" w:rsidRPr="00E008DF" w:rsidRDefault="000F51FA" w:rsidP="000F51FA">
      <w:pPr>
        <w:pStyle w:val="body"/>
        <w:rPr>
          <w:b/>
        </w:rPr>
      </w:pPr>
      <w:r w:rsidRPr="00E008DF">
        <w:rPr>
          <w:b/>
        </w:rPr>
        <w:t>Interest rate risk</w:t>
      </w:r>
    </w:p>
    <w:p w14:paraId="373AF33F" w14:textId="77777777" w:rsidR="00E008DF" w:rsidRPr="00E008DF" w:rsidRDefault="000F51FA" w:rsidP="00E42A95">
      <w:pPr>
        <w:pStyle w:val="BluefieldBody"/>
      </w:pPr>
      <w:r w:rsidRPr="00E008DF">
        <w:t xml:space="preserve">Interest rate risk is the risk that the </w:t>
      </w:r>
      <w:r w:rsidR="00E008DF" w:rsidRPr="00E008DF">
        <w:t xml:space="preserve">value of financial instruments and </w:t>
      </w:r>
      <w:r w:rsidRPr="00E008DF">
        <w:t>related income from the cash and cash equivalents will fluctuate due to changes in market interest rates.</w:t>
      </w:r>
      <w:r w:rsidR="00414AD5" w:rsidRPr="00E008DF">
        <w:t xml:space="preserve"> </w:t>
      </w:r>
    </w:p>
    <w:p w14:paraId="725A6DD1" w14:textId="77777777" w:rsidR="00E008DF" w:rsidRDefault="00E008DF" w:rsidP="00E42A95">
      <w:pPr>
        <w:pStyle w:val="BluefieldBody"/>
        <w:rPr>
          <w:highlight w:val="yellow"/>
        </w:rPr>
      </w:pPr>
    </w:p>
    <w:p w14:paraId="5051C5DB" w14:textId="606FEEC0" w:rsidR="00E42A95" w:rsidRPr="00374EBB" w:rsidRDefault="00414AD5" w:rsidP="00E42A95">
      <w:pPr>
        <w:pStyle w:val="BluefieldBody"/>
      </w:pPr>
      <w:r w:rsidRPr="00374EBB">
        <w:t>The Company is also exposed</w:t>
      </w:r>
      <w:r w:rsidR="00BA15F1" w:rsidRPr="00374EBB">
        <w:t xml:space="preserve">, through BSIFIL, </w:t>
      </w:r>
      <w:r w:rsidRPr="00374EBB">
        <w:t xml:space="preserve">to interest rate risk via </w:t>
      </w:r>
      <w:r w:rsidR="00BA15F1" w:rsidRPr="00374EBB">
        <w:t xml:space="preserve">BSIFIL’s </w:t>
      </w:r>
      <w:r w:rsidR="00374EBB">
        <w:t>index-linked</w:t>
      </w:r>
      <w:r w:rsidRPr="00374EBB">
        <w:t xml:space="preserve"> </w:t>
      </w:r>
      <w:r w:rsidR="00BA15F1" w:rsidRPr="00374EBB">
        <w:t>elemen</w:t>
      </w:r>
      <w:r w:rsidR="00356117">
        <w:t xml:space="preserve">t </w:t>
      </w:r>
      <w:r w:rsidR="00D2365F">
        <w:t>of its long-term debt facility (</w:t>
      </w:r>
      <w:r w:rsidR="00356117">
        <w:t>£6</w:t>
      </w:r>
      <w:r w:rsidR="00B743C4">
        <w:t>4</w:t>
      </w:r>
      <w:r w:rsidR="00356117">
        <w:t>.</w:t>
      </w:r>
      <w:r w:rsidR="00B743C4">
        <w:t>6</w:t>
      </w:r>
      <w:r w:rsidR="00356117">
        <w:t xml:space="preserve"> million at 70 bps plus RPI</w:t>
      </w:r>
      <w:r w:rsidR="00B743C4">
        <w:t xml:space="preserve"> as at 30 June </w:t>
      </w:r>
      <w:r w:rsidR="00904E51">
        <w:t>2020</w:t>
      </w:r>
      <w:r w:rsidR="00D2365F">
        <w:t>)</w:t>
      </w:r>
      <w:r w:rsidR="00356117">
        <w:t>.</w:t>
      </w:r>
    </w:p>
    <w:p w14:paraId="6C203A39" w14:textId="77777777" w:rsidR="00210A89" w:rsidRPr="00A316C7" w:rsidRDefault="00210A89" w:rsidP="00E42A95">
      <w:pPr>
        <w:pStyle w:val="BluefieldBody"/>
        <w:rPr>
          <w:highlight w:val="yellow"/>
        </w:rPr>
      </w:pPr>
    </w:p>
    <w:p w14:paraId="2B668A7B" w14:textId="0F628909" w:rsidR="00C821C8" w:rsidRPr="00BA15F1" w:rsidRDefault="00385F70" w:rsidP="00E42A95">
      <w:pPr>
        <w:pStyle w:val="BluefieldBody"/>
      </w:pPr>
      <w:r w:rsidRPr="00BA15F1">
        <w:t xml:space="preserve">The </w:t>
      </w:r>
      <w:r w:rsidR="00B365A1">
        <w:t>Company</w:t>
      </w:r>
      <w:r w:rsidRPr="00BA15F1">
        <w:t>'s interest bearing financial assets consist of cash and cash equivalents</w:t>
      </w:r>
      <w:r w:rsidR="00BA15F1" w:rsidRPr="00BA15F1">
        <w:t>.</w:t>
      </w:r>
      <w:r w:rsidRPr="00BA15F1">
        <w:t xml:space="preserve"> The interest rates on the short</w:t>
      </w:r>
      <w:r w:rsidR="00A379B0">
        <w:t xml:space="preserve"> </w:t>
      </w:r>
      <w:r w:rsidRPr="00BA15F1">
        <w:t xml:space="preserve">term bank deposits are fixed and do not fluctuate significantly with changes in market interest rates. </w:t>
      </w:r>
    </w:p>
    <w:p w14:paraId="17DB4835" w14:textId="77777777" w:rsidR="00C821C8" w:rsidRPr="00A316C7" w:rsidRDefault="00C821C8" w:rsidP="00E42A95">
      <w:pPr>
        <w:pStyle w:val="BluefieldBody"/>
        <w:rPr>
          <w:rFonts w:cs="Calibri"/>
          <w:highlight w:val="yellow"/>
        </w:rPr>
      </w:pPr>
    </w:p>
    <w:p w14:paraId="526DE395" w14:textId="77777777" w:rsidR="000F51FA" w:rsidRPr="00E008DF" w:rsidRDefault="000F51FA" w:rsidP="008C3745">
      <w:pPr>
        <w:pStyle w:val="BluefieldBody"/>
      </w:pPr>
      <w:r w:rsidRPr="00E008DF">
        <w:t xml:space="preserve">The following table shows the portfolio profile of the financial assets at </w:t>
      </w:r>
      <w:r w:rsidR="00BC3D6D" w:rsidRPr="00E008DF">
        <w:t>year end</w:t>
      </w:r>
      <w:r w:rsidRPr="00E008DF">
        <w:t>:</w:t>
      </w:r>
    </w:p>
    <w:p w14:paraId="5CC0AC29" w14:textId="77777777" w:rsidR="00BC3D6D" w:rsidRPr="00A316C7" w:rsidRDefault="00BC3D6D" w:rsidP="008C3745">
      <w:pPr>
        <w:pStyle w:val="BluefieldBody"/>
        <w:rPr>
          <w:highlight w:val="yellow"/>
        </w:rPr>
      </w:pPr>
    </w:p>
    <w:tbl>
      <w:tblPr>
        <w:tblW w:w="5000" w:type="pct"/>
        <w:tblLayout w:type="fixed"/>
        <w:tblLook w:val="04A0" w:firstRow="1" w:lastRow="0" w:firstColumn="1" w:lastColumn="0" w:noHBand="0" w:noVBand="1"/>
      </w:tblPr>
      <w:tblGrid>
        <w:gridCol w:w="4461"/>
        <w:gridCol w:w="1881"/>
        <w:gridCol w:w="3018"/>
      </w:tblGrid>
      <w:tr w:rsidR="00BC3D6D" w:rsidRPr="00313B0C" w14:paraId="3D4F932A" w14:textId="77777777" w:rsidTr="0024470F">
        <w:trPr>
          <w:trHeight w:val="848"/>
        </w:trPr>
        <w:tc>
          <w:tcPr>
            <w:tcW w:w="2383" w:type="pct"/>
            <w:tcBorders>
              <w:top w:val="nil"/>
              <w:left w:val="nil"/>
              <w:bottom w:val="single" w:sz="4" w:space="0" w:color="000000" w:themeColor="text1"/>
              <w:right w:val="nil"/>
            </w:tcBorders>
            <w:shd w:val="clear" w:color="auto" w:fill="auto"/>
            <w:noWrap/>
            <w:vAlign w:val="bottom"/>
          </w:tcPr>
          <w:p w14:paraId="66998359" w14:textId="77777777" w:rsidR="00BC3D6D" w:rsidRPr="00313B0C" w:rsidRDefault="00BC3D6D" w:rsidP="001D30A3">
            <w:pPr>
              <w:rPr>
                <w:rFonts w:ascii="Georgia" w:hAnsi="Georgia" w:cs="Arial"/>
                <w:color w:val="404040" w:themeColor="text1" w:themeTint="BF"/>
                <w:sz w:val="20"/>
                <w:szCs w:val="20"/>
                <w:lang w:eastAsia="en-GB"/>
              </w:rPr>
            </w:pPr>
          </w:p>
        </w:tc>
        <w:tc>
          <w:tcPr>
            <w:tcW w:w="1005" w:type="pct"/>
            <w:tcBorders>
              <w:top w:val="nil"/>
              <w:left w:val="nil"/>
              <w:bottom w:val="single" w:sz="4" w:space="0" w:color="000000" w:themeColor="text1"/>
              <w:right w:val="nil"/>
            </w:tcBorders>
            <w:shd w:val="clear" w:color="auto" w:fill="auto"/>
            <w:noWrap/>
            <w:vAlign w:val="bottom"/>
          </w:tcPr>
          <w:p w14:paraId="2A50E119" w14:textId="77777777" w:rsidR="00BC3D6D" w:rsidRPr="00313B0C" w:rsidRDefault="00BC3D6D" w:rsidP="001D30A3">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Interest rate</w:t>
            </w:r>
          </w:p>
        </w:tc>
        <w:tc>
          <w:tcPr>
            <w:tcW w:w="1612" w:type="pct"/>
            <w:tcBorders>
              <w:top w:val="nil"/>
              <w:left w:val="nil"/>
              <w:bottom w:val="single" w:sz="4" w:space="0" w:color="000000" w:themeColor="text1"/>
              <w:right w:val="nil"/>
            </w:tcBorders>
            <w:shd w:val="clear" w:color="auto" w:fill="auto"/>
            <w:vAlign w:val="bottom"/>
          </w:tcPr>
          <w:p w14:paraId="7BD847E8" w14:textId="77777777" w:rsidR="009D7A09" w:rsidRPr="00313B0C" w:rsidRDefault="00BC3D6D" w:rsidP="001D30A3">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 xml:space="preserve">Total as at </w:t>
            </w:r>
          </w:p>
          <w:p w14:paraId="334B8897" w14:textId="189E580A" w:rsidR="00BC3D6D" w:rsidRPr="00313B0C" w:rsidRDefault="00BC3D6D" w:rsidP="001D30A3">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p w14:paraId="73C3E5B0" w14:textId="70B63F86" w:rsidR="00BC3D6D" w:rsidRPr="00313B0C" w:rsidRDefault="00BC3D6D" w:rsidP="001D30A3">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w:t>
            </w:r>
            <w:r w:rsidR="00A931F6">
              <w:rPr>
                <w:rFonts w:ascii="Georgia" w:hAnsi="Georgia" w:cs="Arial"/>
                <w:b/>
                <w:bCs/>
                <w:color w:val="404040" w:themeColor="text1" w:themeTint="BF"/>
                <w:sz w:val="20"/>
                <w:szCs w:val="20"/>
                <w:lang w:eastAsia="en-GB"/>
              </w:rPr>
              <w:t>’000</w:t>
            </w:r>
          </w:p>
        </w:tc>
      </w:tr>
      <w:tr w:rsidR="00BC3D6D" w:rsidRPr="00313B0C" w14:paraId="01BEA076" w14:textId="77777777" w:rsidTr="0024470F">
        <w:trPr>
          <w:trHeight w:val="124"/>
        </w:trPr>
        <w:tc>
          <w:tcPr>
            <w:tcW w:w="2383" w:type="pct"/>
            <w:tcBorders>
              <w:top w:val="single" w:sz="4" w:space="0" w:color="000000" w:themeColor="text1"/>
              <w:left w:val="nil"/>
              <w:right w:val="nil"/>
            </w:tcBorders>
            <w:shd w:val="clear" w:color="auto" w:fill="auto"/>
            <w:noWrap/>
            <w:vAlign w:val="bottom"/>
          </w:tcPr>
          <w:p w14:paraId="30CD8069" w14:textId="77777777" w:rsidR="00BC3D6D" w:rsidRPr="00313B0C" w:rsidRDefault="00BC3D6D" w:rsidP="001D30A3">
            <w:pPr>
              <w:rPr>
                <w:rFonts w:ascii="Georgia" w:hAnsi="Georgia" w:cs="Arial"/>
                <w:b/>
                <w:bCs/>
                <w:color w:val="404040" w:themeColor="text1" w:themeTint="BF"/>
                <w:sz w:val="8"/>
                <w:szCs w:val="20"/>
                <w:lang w:eastAsia="en-GB"/>
              </w:rPr>
            </w:pPr>
          </w:p>
        </w:tc>
        <w:tc>
          <w:tcPr>
            <w:tcW w:w="1005" w:type="pct"/>
            <w:tcBorders>
              <w:top w:val="single" w:sz="4" w:space="0" w:color="000000" w:themeColor="text1"/>
              <w:left w:val="nil"/>
              <w:right w:val="nil"/>
            </w:tcBorders>
            <w:shd w:val="clear" w:color="auto" w:fill="auto"/>
            <w:noWrap/>
            <w:vAlign w:val="bottom"/>
          </w:tcPr>
          <w:p w14:paraId="56C400ED" w14:textId="77777777" w:rsidR="00BC3D6D" w:rsidRPr="00313B0C" w:rsidRDefault="00BC3D6D" w:rsidP="001D30A3">
            <w:pPr>
              <w:rPr>
                <w:rFonts w:ascii="Georgia" w:hAnsi="Georgia" w:cs="Arial"/>
                <w:b/>
                <w:bCs/>
                <w:color w:val="404040" w:themeColor="text1" w:themeTint="BF"/>
                <w:sz w:val="8"/>
                <w:szCs w:val="20"/>
                <w:lang w:eastAsia="en-GB"/>
              </w:rPr>
            </w:pPr>
          </w:p>
        </w:tc>
        <w:tc>
          <w:tcPr>
            <w:tcW w:w="1612" w:type="pct"/>
            <w:tcBorders>
              <w:top w:val="single" w:sz="4" w:space="0" w:color="000000" w:themeColor="text1"/>
              <w:left w:val="nil"/>
              <w:right w:val="nil"/>
            </w:tcBorders>
            <w:shd w:val="clear" w:color="auto" w:fill="auto"/>
            <w:noWrap/>
            <w:vAlign w:val="bottom"/>
          </w:tcPr>
          <w:p w14:paraId="38647A8F" w14:textId="77777777" w:rsidR="00BC3D6D" w:rsidRPr="00313B0C" w:rsidRDefault="00BC3D6D" w:rsidP="001D30A3">
            <w:pPr>
              <w:jc w:val="right"/>
              <w:rPr>
                <w:rFonts w:ascii="Georgia" w:hAnsi="Georgia" w:cs="Arial"/>
                <w:color w:val="404040" w:themeColor="text1" w:themeTint="BF"/>
                <w:sz w:val="8"/>
                <w:szCs w:val="20"/>
                <w:lang w:eastAsia="en-GB"/>
              </w:rPr>
            </w:pPr>
          </w:p>
        </w:tc>
      </w:tr>
      <w:tr w:rsidR="00BC3D6D" w:rsidRPr="00313B0C" w14:paraId="1C6D1EE4" w14:textId="77777777" w:rsidTr="0024470F">
        <w:trPr>
          <w:trHeight w:val="320"/>
        </w:trPr>
        <w:tc>
          <w:tcPr>
            <w:tcW w:w="2383" w:type="pct"/>
            <w:tcBorders>
              <w:left w:val="nil"/>
              <w:bottom w:val="nil"/>
              <w:right w:val="nil"/>
            </w:tcBorders>
            <w:shd w:val="clear" w:color="auto" w:fill="auto"/>
            <w:noWrap/>
            <w:vAlign w:val="bottom"/>
          </w:tcPr>
          <w:p w14:paraId="091E808C" w14:textId="77777777" w:rsidR="00BC3D6D" w:rsidRPr="00313B0C" w:rsidRDefault="00BC3D6D" w:rsidP="001D30A3">
            <w:pPr>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Floating rate</w:t>
            </w:r>
          </w:p>
        </w:tc>
        <w:tc>
          <w:tcPr>
            <w:tcW w:w="1005" w:type="pct"/>
            <w:tcBorders>
              <w:left w:val="nil"/>
              <w:bottom w:val="nil"/>
              <w:right w:val="nil"/>
            </w:tcBorders>
            <w:shd w:val="clear" w:color="auto" w:fill="auto"/>
            <w:noWrap/>
            <w:vAlign w:val="bottom"/>
          </w:tcPr>
          <w:p w14:paraId="72363EBE" w14:textId="77777777" w:rsidR="00BC3D6D" w:rsidRPr="00313B0C" w:rsidRDefault="00BC3D6D" w:rsidP="001D30A3">
            <w:pPr>
              <w:rPr>
                <w:rFonts w:ascii="Georgia" w:hAnsi="Georgia" w:cs="Arial"/>
                <w:b/>
                <w:bCs/>
                <w:color w:val="404040" w:themeColor="text1" w:themeTint="BF"/>
                <w:sz w:val="20"/>
                <w:szCs w:val="20"/>
                <w:lang w:eastAsia="en-GB"/>
              </w:rPr>
            </w:pPr>
          </w:p>
        </w:tc>
        <w:tc>
          <w:tcPr>
            <w:tcW w:w="1612" w:type="pct"/>
            <w:tcBorders>
              <w:left w:val="nil"/>
              <w:bottom w:val="nil"/>
              <w:right w:val="nil"/>
            </w:tcBorders>
            <w:shd w:val="clear" w:color="auto" w:fill="auto"/>
            <w:noWrap/>
            <w:vAlign w:val="bottom"/>
          </w:tcPr>
          <w:p w14:paraId="26120596" w14:textId="77777777" w:rsidR="00BC3D6D" w:rsidRPr="00313B0C" w:rsidRDefault="00BC3D6D" w:rsidP="001D30A3">
            <w:pPr>
              <w:jc w:val="right"/>
              <w:rPr>
                <w:rFonts w:ascii="Georgia" w:hAnsi="Georgia" w:cs="Arial"/>
                <w:color w:val="404040" w:themeColor="text1" w:themeTint="BF"/>
                <w:sz w:val="20"/>
                <w:szCs w:val="20"/>
                <w:lang w:eastAsia="en-GB"/>
              </w:rPr>
            </w:pPr>
          </w:p>
        </w:tc>
      </w:tr>
      <w:tr w:rsidR="007B5D00" w:rsidRPr="00313B0C" w14:paraId="528CA25C" w14:textId="77777777" w:rsidTr="0024470F">
        <w:trPr>
          <w:trHeight w:val="320"/>
        </w:trPr>
        <w:tc>
          <w:tcPr>
            <w:tcW w:w="2383" w:type="pct"/>
            <w:tcBorders>
              <w:top w:val="nil"/>
              <w:left w:val="nil"/>
              <w:bottom w:val="nil"/>
              <w:right w:val="nil"/>
            </w:tcBorders>
            <w:shd w:val="clear" w:color="auto" w:fill="auto"/>
            <w:noWrap/>
            <w:vAlign w:val="bottom"/>
          </w:tcPr>
          <w:p w14:paraId="2146CAAD" w14:textId="77777777" w:rsidR="007B5D00" w:rsidRPr="00313B0C" w:rsidRDefault="007B5D00" w:rsidP="001D30A3">
            <w:pPr>
              <w:rPr>
                <w:rFonts w:ascii="Georgia" w:hAnsi="Georgia" w:cs="Arial"/>
                <w:color w:val="404040" w:themeColor="text1" w:themeTint="BF"/>
                <w:sz w:val="20"/>
                <w:szCs w:val="20"/>
                <w:lang w:eastAsia="en-GB"/>
              </w:rPr>
            </w:pPr>
            <w:r w:rsidRPr="00313B0C">
              <w:rPr>
                <w:rFonts w:ascii="Georgia" w:hAnsi="Georgia" w:cs="Arial"/>
                <w:color w:val="404040" w:themeColor="text1" w:themeTint="BF"/>
                <w:sz w:val="20"/>
                <w:szCs w:val="20"/>
                <w:lang w:eastAsia="en-GB"/>
              </w:rPr>
              <w:t>RBSI</w:t>
            </w:r>
          </w:p>
        </w:tc>
        <w:tc>
          <w:tcPr>
            <w:tcW w:w="1005" w:type="pct"/>
            <w:tcBorders>
              <w:top w:val="nil"/>
              <w:left w:val="nil"/>
              <w:bottom w:val="nil"/>
              <w:right w:val="nil"/>
            </w:tcBorders>
            <w:shd w:val="clear" w:color="auto" w:fill="auto"/>
            <w:noWrap/>
            <w:vAlign w:val="bottom"/>
          </w:tcPr>
          <w:p w14:paraId="33DA0B04" w14:textId="4A03FA47" w:rsidR="007B5D00" w:rsidRPr="00313B0C" w:rsidRDefault="00B26565" w:rsidP="001D30A3">
            <w:pPr>
              <w:jc w:val="right"/>
              <w:rPr>
                <w:rFonts w:ascii="Georgia" w:hAnsi="Georgia" w:cs="Arial"/>
                <w:color w:val="404040" w:themeColor="text1" w:themeTint="BF"/>
                <w:sz w:val="20"/>
                <w:szCs w:val="20"/>
                <w:lang w:eastAsia="en-GB"/>
              </w:rPr>
            </w:pPr>
            <w:r>
              <w:rPr>
                <w:rFonts w:ascii="Georgia" w:hAnsi="Georgia"/>
                <w:color w:val="404040" w:themeColor="text1" w:themeTint="BF"/>
                <w:sz w:val="20"/>
              </w:rPr>
              <w:t>0.00</w:t>
            </w:r>
            <w:r w:rsidR="007B5D00" w:rsidRPr="00313B0C">
              <w:rPr>
                <w:rFonts w:ascii="Georgia" w:hAnsi="Georgia" w:cs="Arial"/>
                <w:color w:val="404040" w:themeColor="text1" w:themeTint="BF"/>
                <w:sz w:val="20"/>
                <w:szCs w:val="20"/>
                <w:lang w:eastAsia="en-GB"/>
              </w:rPr>
              <w:t>%</w:t>
            </w:r>
          </w:p>
        </w:tc>
        <w:tc>
          <w:tcPr>
            <w:tcW w:w="1612" w:type="pct"/>
            <w:tcBorders>
              <w:top w:val="nil"/>
              <w:left w:val="nil"/>
              <w:bottom w:val="nil"/>
              <w:right w:val="nil"/>
            </w:tcBorders>
            <w:shd w:val="clear" w:color="auto" w:fill="auto"/>
            <w:noWrap/>
            <w:vAlign w:val="bottom"/>
          </w:tcPr>
          <w:p w14:paraId="4EE56CD2" w14:textId="5FB6A648" w:rsidR="007B5D00" w:rsidRPr="00CE07F2" w:rsidRDefault="00CE07F2" w:rsidP="006B2292">
            <w:pPr>
              <w:jc w:val="right"/>
              <w:rPr>
                <w:rFonts w:ascii="Georgia" w:hAnsi="Georgia" w:cs="Arial"/>
                <w:color w:val="404040" w:themeColor="text1" w:themeTint="BF"/>
                <w:sz w:val="20"/>
                <w:szCs w:val="20"/>
                <w:lang w:eastAsia="en-GB"/>
              </w:rPr>
            </w:pPr>
            <w:r w:rsidRPr="00CE07F2">
              <w:rPr>
                <w:rFonts w:ascii="Georgia" w:hAnsi="Georgia" w:cs="Arial"/>
                <w:color w:val="404040" w:themeColor="text1" w:themeTint="BF"/>
                <w:sz w:val="20"/>
                <w:szCs w:val="20"/>
                <w:lang w:eastAsia="en-GB"/>
              </w:rPr>
              <w:t>443</w:t>
            </w:r>
          </w:p>
        </w:tc>
      </w:tr>
      <w:tr w:rsidR="007B5D00" w:rsidRPr="00313B0C" w14:paraId="4814A9CB" w14:textId="77777777" w:rsidTr="0024470F">
        <w:trPr>
          <w:trHeight w:val="320"/>
        </w:trPr>
        <w:tc>
          <w:tcPr>
            <w:tcW w:w="2383" w:type="pct"/>
            <w:tcBorders>
              <w:top w:val="nil"/>
              <w:left w:val="nil"/>
              <w:bottom w:val="nil"/>
              <w:right w:val="nil"/>
            </w:tcBorders>
            <w:shd w:val="clear" w:color="auto" w:fill="auto"/>
            <w:noWrap/>
            <w:vAlign w:val="bottom"/>
          </w:tcPr>
          <w:p w14:paraId="476AC056" w14:textId="77777777" w:rsidR="007B5D00" w:rsidRPr="00313B0C" w:rsidRDefault="007B5D00" w:rsidP="001D30A3">
            <w:pPr>
              <w:rPr>
                <w:rFonts w:ascii="Georgia" w:hAnsi="Georgia" w:cs="Arial"/>
                <w:color w:val="404040" w:themeColor="text1" w:themeTint="BF"/>
                <w:sz w:val="20"/>
                <w:szCs w:val="20"/>
                <w:lang w:eastAsia="en-GB"/>
              </w:rPr>
            </w:pPr>
          </w:p>
        </w:tc>
        <w:tc>
          <w:tcPr>
            <w:tcW w:w="1005" w:type="pct"/>
            <w:tcBorders>
              <w:top w:val="nil"/>
              <w:left w:val="nil"/>
              <w:bottom w:val="nil"/>
              <w:right w:val="nil"/>
            </w:tcBorders>
            <w:shd w:val="clear" w:color="auto" w:fill="auto"/>
            <w:noWrap/>
            <w:vAlign w:val="bottom"/>
          </w:tcPr>
          <w:p w14:paraId="65617330" w14:textId="77777777" w:rsidR="007B5D00" w:rsidRPr="00313B0C" w:rsidRDefault="007B5D00" w:rsidP="001D30A3">
            <w:pPr>
              <w:rPr>
                <w:rFonts w:ascii="Georgia" w:hAnsi="Georgia" w:cs="Arial"/>
                <w:color w:val="404040" w:themeColor="text1" w:themeTint="BF"/>
                <w:sz w:val="20"/>
                <w:szCs w:val="20"/>
                <w:lang w:eastAsia="en-GB"/>
              </w:rPr>
            </w:pPr>
          </w:p>
        </w:tc>
        <w:tc>
          <w:tcPr>
            <w:tcW w:w="1612" w:type="pct"/>
            <w:tcBorders>
              <w:top w:val="nil"/>
              <w:left w:val="nil"/>
              <w:bottom w:val="nil"/>
              <w:right w:val="nil"/>
            </w:tcBorders>
            <w:shd w:val="clear" w:color="auto" w:fill="auto"/>
            <w:noWrap/>
            <w:vAlign w:val="bottom"/>
          </w:tcPr>
          <w:p w14:paraId="668CF15F" w14:textId="77777777" w:rsidR="007B5D00" w:rsidRPr="00CE07F2" w:rsidRDefault="007B5D00" w:rsidP="001D30A3">
            <w:pPr>
              <w:jc w:val="right"/>
              <w:rPr>
                <w:rFonts w:ascii="Georgia" w:hAnsi="Georgia" w:cs="Arial"/>
                <w:color w:val="404040" w:themeColor="text1" w:themeTint="BF"/>
                <w:sz w:val="20"/>
                <w:szCs w:val="20"/>
                <w:lang w:eastAsia="en-GB"/>
              </w:rPr>
            </w:pPr>
          </w:p>
        </w:tc>
      </w:tr>
      <w:tr w:rsidR="007B5D00" w:rsidRPr="00313B0C" w14:paraId="092F3AE9" w14:textId="77777777" w:rsidTr="0024470F">
        <w:trPr>
          <w:trHeight w:val="320"/>
        </w:trPr>
        <w:tc>
          <w:tcPr>
            <w:tcW w:w="2383" w:type="pct"/>
            <w:tcBorders>
              <w:top w:val="nil"/>
              <w:left w:val="nil"/>
              <w:bottom w:val="nil"/>
              <w:right w:val="nil"/>
            </w:tcBorders>
            <w:shd w:val="clear" w:color="auto" w:fill="auto"/>
            <w:noWrap/>
            <w:vAlign w:val="bottom"/>
          </w:tcPr>
          <w:p w14:paraId="5BC2BA3E" w14:textId="77777777" w:rsidR="007B5D00" w:rsidRPr="00313B0C" w:rsidRDefault="007B5D00" w:rsidP="001D30A3">
            <w:pPr>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Fixed rate</w:t>
            </w:r>
          </w:p>
        </w:tc>
        <w:tc>
          <w:tcPr>
            <w:tcW w:w="1005" w:type="pct"/>
            <w:tcBorders>
              <w:top w:val="nil"/>
              <w:left w:val="nil"/>
              <w:bottom w:val="nil"/>
              <w:right w:val="nil"/>
            </w:tcBorders>
            <w:shd w:val="clear" w:color="auto" w:fill="auto"/>
            <w:noWrap/>
            <w:vAlign w:val="bottom"/>
          </w:tcPr>
          <w:p w14:paraId="586FD322" w14:textId="77777777" w:rsidR="007B5D00" w:rsidRPr="00313B0C" w:rsidRDefault="007B5D00" w:rsidP="001D30A3">
            <w:pPr>
              <w:rPr>
                <w:rFonts w:ascii="Georgia" w:hAnsi="Georgia" w:cs="Arial"/>
                <w:b/>
                <w:bCs/>
                <w:color w:val="404040" w:themeColor="text1" w:themeTint="BF"/>
                <w:sz w:val="20"/>
                <w:szCs w:val="20"/>
                <w:lang w:eastAsia="en-GB"/>
              </w:rPr>
            </w:pPr>
          </w:p>
        </w:tc>
        <w:tc>
          <w:tcPr>
            <w:tcW w:w="1612" w:type="pct"/>
            <w:tcBorders>
              <w:top w:val="nil"/>
              <w:left w:val="nil"/>
              <w:bottom w:val="nil"/>
              <w:right w:val="nil"/>
            </w:tcBorders>
            <w:shd w:val="clear" w:color="auto" w:fill="auto"/>
            <w:noWrap/>
            <w:vAlign w:val="bottom"/>
          </w:tcPr>
          <w:p w14:paraId="5503ADCB" w14:textId="77777777" w:rsidR="007B5D00" w:rsidRPr="00CE07F2" w:rsidRDefault="007B5D00" w:rsidP="001D30A3">
            <w:pPr>
              <w:jc w:val="right"/>
              <w:rPr>
                <w:rFonts w:ascii="Georgia" w:hAnsi="Georgia" w:cs="Arial"/>
                <w:color w:val="404040" w:themeColor="text1" w:themeTint="BF"/>
                <w:sz w:val="20"/>
                <w:szCs w:val="20"/>
                <w:lang w:eastAsia="en-GB"/>
              </w:rPr>
            </w:pPr>
          </w:p>
        </w:tc>
      </w:tr>
      <w:tr w:rsidR="007B5D00" w:rsidRPr="00313B0C" w14:paraId="0ACBC3A8" w14:textId="77777777" w:rsidTr="0024470F">
        <w:trPr>
          <w:trHeight w:val="320"/>
        </w:trPr>
        <w:tc>
          <w:tcPr>
            <w:tcW w:w="2383" w:type="pct"/>
            <w:tcBorders>
              <w:top w:val="nil"/>
              <w:left w:val="nil"/>
              <w:bottom w:val="nil"/>
              <w:right w:val="nil"/>
            </w:tcBorders>
            <w:shd w:val="clear" w:color="auto" w:fill="auto"/>
            <w:noWrap/>
            <w:vAlign w:val="bottom"/>
          </w:tcPr>
          <w:p w14:paraId="2DAAA28C" w14:textId="77777777" w:rsidR="007B5D00" w:rsidRPr="00313B0C" w:rsidRDefault="007B5D00" w:rsidP="009D7A09">
            <w:pPr>
              <w:rPr>
                <w:rFonts w:ascii="Georgia" w:hAnsi="Georgia" w:cs="Arial"/>
                <w:color w:val="404040" w:themeColor="text1" w:themeTint="BF"/>
                <w:sz w:val="20"/>
                <w:szCs w:val="20"/>
                <w:lang w:eastAsia="en-GB"/>
              </w:rPr>
            </w:pPr>
            <w:r w:rsidRPr="00313B0C">
              <w:rPr>
                <w:rFonts w:ascii="Georgia" w:hAnsi="Georgia" w:cs="Arial"/>
                <w:color w:val="404040" w:themeColor="text1" w:themeTint="BF"/>
                <w:sz w:val="20"/>
                <w:szCs w:val="20"/>
                <w:lang w:eastAsia="en-GB"/>
              </w:rPr>
              <w:t xml:space="preserve">Lloyds </w:t>
            </w:r>
          </w:p>
        </w:tc>
        <w:tc>
          <w:tcPr>
            <w:tcW w:w="1005" w:type="pct"/>
            <w:tcBorders>
              <w:top w:val="nil"/>
              <w:left w:val="nil"/>
              <w:bottom w:val="nil"/>
              <w:right w:val="nil"/>
            </w:tcBorders>
            <w:shd w:val="clear" w:color="auto" w:fill="auto"/>
            <w:noWrap/>
            <w:vAlign w:val="bottom"/>
          </w:tcPr>
          <w:p w14:paraId="062AAF3A" w14:textId="66765DA8" w:rsidR="007B5D00" w:rsidRPr="00313B0C" w:rsidRDefault="000F47AE" w:rsidP="007B5D00">
            <w:pPr>
              <w:jc w:val="right"/>
              <w:rPr>
                <w:rFonts w:ascii="Georgia" w:hAnsi="Georgia" w:cs="Arial"/>
                <w:color w:val="404040" w:themeColor="text1" w:themeTint="BF"/>
                <w:sz w:val="20"/>
                <w:szCs w:val="20"/>
                <w:lang w:eastAsia="en-GB"/>
              </w:rPr>
            </w:pPr>
            <w:r>
              <w:rPr>
                <w:rFonts w:ascii="Georgia" w:hAnsi="Georgia"/>
                <w:color w:val="404040" w:themeColor="text1" w:themeTint="BF"/>
                <w:sz w:val="20"/>
              </w:rPr>
              <w:t>0.25</w:t>
            </w:r>
            <w:r w:rsidR="007B5D00" w:rsidRPr="00313B0C">
              <w:rPr>
                <w:rFonts w:ascii="Georgia" w:hAnsi="Georgia" w:cs="Arial"/>
                <w:color w:val="404040" w:themeColor="text1" w:themeTint="BF"/>
                <w:sz w:val="20"/>
                <w:szCs w:val="20"/>
                <w:lang w:eastAsia="en-GB"/>
              </w:rPr>
              <w:t>%</w:t>
            </w:r>
          </w:p>
        </w:tc>
        <w:tc>
          <w:tcPr>
            <w:tcW w:w="1612" w:type="pct"/>
            <w:tcBorders>
              <w:top w:val="nil"/>
              <w:left w:val="nil"/>
              <w:bottom w:val="nil"/>
              <w:right w:val="nil"/>
            </w:tcBorders>
            <w:shd w:val="clear" w:color="auto" w:fill="auto"/>
            <w:noWrap/>
            <w:vAlign w:val="bottom"/>
          </w:tcPr>
          <w:p w14:paraId="2E90F9CC" w14:textId="3882744C" w:rsidR="007B5D00" w:rsidRPr="00CE07F2" w:rsidRDefault="00DF37E1" w:rsidP="00BC3D6D">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304</w:t>
            </w:r>
          </w:p>
        </w:tc>
      </w:tr>
      <w:tr w:rsidR="007B5D00" w:rsidRPr="00313B0C" w14:paraId="387FC8E2" w14:textId="77777777" w:rsidTr="003E4809">
        <w:trPr>
          <w:trHeight w:val="138"/>
        </w:trPr>
        <w:tc>
          <w:tcPr>
            <w:tcW w:w="2383" w:type="pct"/>
            <w:tcBorders>
              <w:top w:val="nil"/>
              <w:left w:val="nil"/>
              <w:bottom w:val="nil"/>
              <w:right w:val="nil"/>
            </w:tcBorders>
            <w:shd w:val="clear" w:color="auto" w:fill="auto"/>
            <w:noWrap/>
            <w:vAlign w:val="bottom"/>
          </w:tcPr>
          <w:p w14:paraId="461DAE84" w14:textId="77777777" w:rsidR="007B5D00" w:rsidRPr="00313B0C" w:rsidRDefault="007B5D00" w:rsidP="001D30A3">
            <w:pPr>
              <w:rPr>
                <w:rFonts w:ascii="Georgia" w:hAnsi="Georgia" w:cs="Arial"/>
                <w:color w:val="404040" w:themeColor="text1" w:themeTint="BF"/>
                <w:sz w:val="20"/>
                <w:szCs w:val="20"/>
                <w:lang w:eastAsia="en-GB"/>
              </w:rPr>
            </w:pPr>
          </w:p>
        </w:tc>
        <w:tc>
          <w:tcPr>
            <w:tcW w:w="1005" w:type="pct"/>
            <w:tcBorders>
              <w:top w:val="nil"/>
              <w:left w:val="nil"/>
              <w:bottom w:val="nil"/>
              <w:right w:val="nil"/>
            </w:tcBorders>
            <w:shd w:val="clear" w:color="auto" w:fill="auto"/>
            <w:noWrap/>
            <w:vAlign w:val="bottom"/>
          </w:tcPr>
          <w:p w14:paraId="7BBCD76A" w14:textId="77777777" w:rsidR="007B5D00" w:rsidRPr="00313B0C" w:rsidRDefault="007B5D00" w:rsidP="001D30A3">
            <w:pPr>
              <w:rPr>
                <w:rFonts w:ascii="Georgia" w:hAnsi="Georgia" w:cs="Arial"/>
                <w:color w:val="404040" w:themeColor="text1" w:themeTint="BF"/>
                <w:sz w:val="20"/>
                <w:szCs w:val="20"/>
                <w:lang w:eastAsia="en-GB"/>
              </w:rPr>
            </w:pPr>
          </w:p>
        </w:tc>
        <w:tc>
          <w:tcPr>
            <w:tcW w:w="1612" w:type="pct"/>
            <w:tcBorders>
              <w:top w:val="nil"/>
              <w:left w:val="nil"/>
              <w:bottom w:val="nil"/>
              <w:right w:val="nil"/>
            </w:tcBorders>
            <w:shd w:val="clear" w:color="auto" w:fill="auto"/>
            <w:noWrap/>
            <w:vAlign w:val="center"/>
          </w:tcPr>
          <w:p w14:paraId="16A0F911" w14:textId="77777777" w:rsidR="007B5D00" w:rsidRPr="00CE07F2" w:rsidRDefault="007B5D00" w:rsidP="001D30A3">
            <w:pPr>
              <w:jc w:val="right"/>
              <w:rPr>
                <w:rFonts w:ascii="Georgia" w:hAnsi="Georgia" w:cs="Arial"/>
                <w:color w:val="404040" w:themeColor="text1" w:themeTint="BF"/>
                <w:sz w:val="20"/>
                <w:szCs w:val="20"/>
                <w:lang w:eastAsia="en-GB"/>
              </w:rPr>
            </w:pPr>
          </w:p>
        </w:tc>
      </w:tr>
      <w:tr w:rsidR="007B5D00" w:rsidRPr="00313B0C" w14:paraId="304921AB" w14:textId="77777777" w:rsidTr="0024470F">
        <w:trPr>
          <w:trHeight w:val="539"/>
        </w:trPr>
        <w:tc>
          <w:tcPr>
            <w:tcW w:w="2383" w:type="pct"/>
            <w:tcBorders>
              <w:top w:val="nil"/>
              <w:left w:val="nil"/>
              <w:bottom w:val="nil"/>
              <w:right w:val="nil"/>
            </w:tcBorders>
            <w:shd w:val="clear" w:color="auto" w:fill="auto"/>
            <w:noWrap/>
            <w:vAlign w:val="center"/>
          </w:tcPr>
          <w:p w14:paraId="194A596D" w14:textId="77777777" w:rsidR="007B5D00" w:rsidRPr="00313B0C" w:rsidRDefault="007B5D00" w:rsidP="001D30A3">
            <w:pPr>
              <w:jc w:val="right"/>
              <w:rPr>
                <w:rFonts w:ascii="Georgia" w:hAnsi="Georgia" w:cs="Arial"/>
                <w:color w:val="404040" w:themeColor="text1" w:themeTint="BF"/>
                <w:sz w:val="20"/>
                <w:szCs w:val="20"/>
                <w:lang w:eastAsia="en-GB"/>
              </w:rPr>
            </w:pPr>
          </w:p>
        </w:tc>
        <w:tc>
          <w:tcPr>
            <w:tcW w:w="1005" w:type="pct"/>
            <w:tcBorders>
              <w:top w:val="nil"/>
              <w:left w:val="nil"/>
              <w:bottom w:val="nil"/>
              <w:right w:val="nil"/>
            </w:tcBorders>
            <w:shd w:val="clear" w:color="auto" w:fill="auto"/>
            <w:noWrap/>
            <w:vAlign w:val="center"/>
          </w:tcPr>
          <w:p w14:paraId="54555D79" w14:textId="77777777" w:rsidR="007B5D00" w:rsidRPr="00313B0C" w:rsidRDefault="007B5D00" w:rsidP="001D30A3">
            <w:pPr>
              <w:jc w:val="right"/>
              <w:rPr>
                <w:rFonts w:ascii="Georgia" w:hAnsi="Georgia" w:cs="Arial"/>
                <w:color w:val="404040" w:themeColor="text1" w:themeTint="BF"/>
                <w:sz w:val="20"/>
                <w:szCs w:val="20"/>
                <w:lang w:eastAsia="en-GB"/>
              </w:rPr>
            </w:pPr>
          </w:p>
        </w:tc>
        <w:tc>
          <w:tcPr>
            <w:tcW w:w="1612" w:type="pct"/>
            <w:tcBorders>
              <w:top w:val="single" w:sz="4" w:space="0" w:color="auto"/>
              <w:left w:val="nil"/>
              <w:bottom w:val="double" w:sz="6" w:space="0" w:color="auto"/>
              <w:right w:val="nil"/>
            </w:tcBorders>
            <w:shd w:val="clear" w:color="auto" w:fill="auto"/>
            <w:noWrap/>
            <w:vAlign w:val="center"/>
          </w:tcPr>
          <w:p w14:paraId="69EFD19B" w14:textId="61CE1B6F" w:rsidR="007B5D00" w:rsidRPr="00CE07F2" w:rsidRDefault="00DF37E1" w:rsidP="00313B0C">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747</w:t>
            </w:r>
            <w:r w:rsidR="007B5D00" w:rsidRPr="00CE07F2">
              <w:rPr>
                <w:rFonts w:ascii="Georgia" w:hAnsi="Georgia" w:cs="Arial"/>
                <w:b/>
                <w:bCs/>
                <w:color w:val="404040" w:themeColor="text1" w:themeTint="BF"/>
                <w:sz w:val="20"/>
                <w:szCs w:val="20"/>
                <w:lang w:eastAsia="en-GB"/>
              </w:rPr>
              <w:t xml:space="preserve">            </w:t>
            </w:r>
          </w:p>
        </w:tc>
      </w:tr>
    </w:tbl>
    <w:p w14:paraId="009D685A" w14:textId="77777777" w:rsidR="00A255DB" w:rsidRPr="00313B0C" w:rsidRDefault="00A255DB" w:rsidP="008C3745">
      <w:pPr>
        <w:pStyle w:val="BluefieldBody"/>
      </w:pPr>
    </w:p>
    <w:p w14:paraId="31B90642" w14:textId="77777777" w:rsidR="00152529" w:rsidRDefault="00152529" w:rsidP="008C3745">
      <w:pPr>
        <w:pStyle w:val="BluefieldBody"/>
        <w:rPr>
          <w:highlight w:val="yellow"/>
        </w:rPr>
      </w:pPr>
    </w:p>
    <w:p w14:paraId="3F97B218" w14:textId="77777777" w:rsidR="00313B0C" w:rsidRDefault="00313B0C" w:rsidP="008C3745">
      <w:pPr>
        <w:pStyle w:val="BluefieldBody"/>
        <w:rPr>
          <w:highlight w:val="yellow"/>
        </w:rPr>
      </w:pPr>
    </w:p>
    <w:p w14:paraId="2716B5A0" w14:textId="77777777" w:rsidR="00BA15F1" w:rsidRDefault="00BA15F1" w:rsidP="008C3745">
      <w:pPr>
        <w:pStyle w:val="BluefieldBody"/>
        <w:rPr>
          <w:highlight w:val="yellow"/>
        </w:rPr>
      </w:pPr>
    </w:p>
    <w:p w14:paraId="2D42762C" w14:textId="77777777" w:rsidR="00BA15F1" w:rsidRDefault="00BA15F1" w:rsidP="008C3745">
      <w:pPr>
        <w:pStyle w:val="BluefieldBody"/>
        <w:rPr>
          <w:highlight w:val="yellow"/>
        </w:rPr>
      </w:pPr>
    </w:p>
    <w:p w14:paraId="69BC2E8E" w14:textId="77777777" w:rsidR="00BA15F1" w:rsidRDefault="00BA15F1" w:rsidP="008C3745">
      <w:pPr>
        <w:pStyle w:val="BluefieldBody"/>
        <w:rPr>
          <w:highlight w:val="yellow"/>
        </w:rPr>
      </w:pPr>
    </w:p>
    <w:p w14:paraId="7352DCBE" w14:textId="77777777" w:rsidR="00BA15F1" w:rsidRDefault="00BA15F1" w:rsidP="008C3745">
      <w:pPr>
        <w:pStyle w:val="BluefieldBody"/>
        <w:rPr>
          <w:highlight w:val="yellow"/>
        </w:rPr>
      </w:pPr>
    </w:p>
    <w:p w14:paraId="4CEB5916" w14:textId="77777777" w:rsidR="00BA15F1" w:rsidRDefault="00BA15F1" w:rsidP="008C3745">
      <w:pPr>
        <w:pStyle w:val="BluefieldBody"/>
        <w:rPr>
          <w:highlight w:val="yellow"/>
        </w:rPr>
      </w:pPr>
    </w:p>
    <w:p w14:paraId="7BC588C4" w14:textId="77777777" w:rsidR="00BA15F1" w:rsidRDefault="00BA15F1" w:rsidP="008C3745">
      <w:pPr>
        <w:pStyle w:val="BluefieldBody"/>
        <w:rPr>
          <w:highlight w:val="yellow"/>
        </w:rPr>
      </w:pPr>
    </w:p>
    <w:p w14:paraId="4FD5816F" w14:textId="77777777" w:rsidR="00B71251" w:rsidRDefault="00B71251" w:rsidP="008C3745">
      <w:pPr>
        <w:pStyle w:val="BluefieldBody"/>
        <w:rPr>
          <w:highlight w:val="yellow"/>
        </w:rPr>
      </w:pPr>
    </w:p>
    <w:p w14:paraId="4CD3726A" w14:textId="77777777" w:rsidR="00B71251" w:rsidRDefault="00B71251" w:rsidP="008C3745">
      <w:pPr>
        <w:pStyle w:val="BluefieldBody"/>
        <w:rPr>
          <w:highlight w:val="yellow"/>
        </w:rPr>
      </w:pPr>
    </w:p>
    <w:p w14:paraId="33A0F601" w14:textId="77777777" w:rsidR="00B71251" w:rsidRDefault="00B71251" w:rsidP="008C3745">
      <w:pPr>
        <w:pStyle w:val="BluefieldBody"/>
        <w:rPr>
          <w:highlight w:val="yellow"/>
        </w:rPr>
      </w:pPr>
    </w:p>
    <w:p w14:paraId="2231E959" w14:textId="512102DA" w:rsidR="00152529" w:rsidRPr="00313B0C" w:rsidRDefault="00152529" w:rsidP="00152529">
      <w:pPr>
        <w:pStyle w:val="Notehead1"/>
        <w:rPr>
          <w:lang w:eastAsia="en-GB"/>
        </w:rPr>
      </w:pPr>
      <w:r w:rsidRPr="00313B0C">
        <w:rPr>
          <w:lang w:eastAsia="en-GB"/>
        </w:rPr>
        <w:lastRenderedPageBreak/>
        <w:t>1</w:t>
      </w:r>
      <w:r w:rsidR="006C2EC2" w:rsidRPr="00313B0C">
        <w:rPr>
          <w:lang w:eastAsia="en-GB"/>
        </w:rPr>
        <w:t>5</w:t>
      </w:r>
      <w:r w:rsidRPr="00313B0C">
        <w:rPr>
          <w:lang w:eastAsia="en-GB"/>
        </w:rPr>
        <w:t>. Risk management policies and procedures (continued)</w:t>
      </w:r>
    </w:p>
    <w:p w14:paraId="6FD1B25D" w14:textId="77777777" w:rsidR="00152529" w:rsidRPr="00313B0C" w:rsidRDefault="00152529" w:rsidP="008C3745">
      <w:pPr>
        <w:pStyle w:val="BluefieldBody"/>
      </w:pPr>
    </w:p>
    <w:p w14:paraId="5AB496BA" w14:textId="77777777" w:rsidR="00152529" w:rsidRPr="00313B0C" w:rsidRDefault="00152529" w:rsidP="00152529">
      <w:pPr>
        <w:pStyle w:val="body"/>
        <w:rPr>
          <w:b/>
        </w:rPr>
      </w:pPr>
      <w:r w:rsidRPr="00313B0C">
        <w:rPr>
          <w:b/>
        </w:rPr>
        <w:t>Interest rate risk (continued)</w:t>
      </w:r>
    </w:p>
    <w:tbl>
      <w:tblPr>
        <w:tblW w:w="5000" w:type="pct"/>
        <w:tblLayout w:type="fixed"/>
        <w:tblLook w:val="04A0" w:firstRow="1" w:lastRow="0" w:firstColumn="1" w:lastColumn="0" w:noHBand="0" w:noVBand="1"/>
      </w:tblPr>
      <w:tblGrid>
        <w:gridCol w:w="4461"/>
        <w:gridCol w:w="1881"/>
        <w:gridCol w:w="3018"/>
      </w:tblGrid>
      <w:tr w:rsidR="00152529" w:rsidRPr="00313B0C" w14:paraId="097786BB" w14:textId="77777777" w:rsidTr="0024470F">
        <w:trPr>
          <w:trHeight w:val="848"/>
        </w:trPr>
        <w:tc>
          <w:tcPr>
            <w:tcW w:w="2383" w:type="pct"/>
            <w:tcBorders>
              <w:top w:val="nil"/>
              <w:left w:val="nil"/>
              <w:bottom w:val="single" w:sz="4" w:space="0" w:color="000000" w:themeColor="text1"/>
              <w:right w:val="nil"/>
            </w:tcBorders>
            <w:shd w:val="clear" w:color="auto" w:fill="auto"/>
            <w:noWrap/>
            <w:vAlign w:val="bottom"/>
          </w:tcPr>
          <w:p w14:paraId="5D07463E" w14:textId="77777777" w:rsidR="00152529" w:rsidRPr="00313B0C" w:rsidRDefault="00152529" w:rsidP="001244AF">
            <w:pPr>
              <w:rPr>
                <w:rFonts w:ascii="Georgia" w:hAnsi="Georgia" w:cs="Arial"/>
                <w:color w:val="404040" w:themeColor="text1" w:themeTint="BF"/>
                <w:sz w:val="20"/>
                <w:szCs w:val="20"/>
                <w:lang w:eastAsia="en-GB"/>
              </w:rPr>
            </w:pPr>
          </w:p>
        </w:tc>
        <w:tc>
          <w:tcPr>
            <w:tcW w:w="1005" w:type="pct"/>
            <w:tcBorders>
              <w:top w:val="nil"/>
              <w:left w:val="nil"/>
              <w:bottom w:val="single" w:sz="4" w:space="0" w:color="000000" w:themeColor="text1"/>
              <w:right w:val="nil"/>
            </w:tcBorders>
            <w:shd w:val="clear" w:color="auto" w:fill="auto"/>
            <w:noWrap/>
            <w:vAlign w:val="bottom"/>
          </w:tcPr>
          <w:p w14:paraId="7B1EAF35" w14:textId="77777777" w:rsidR="00152529" w:rsidRPr="00313B0C" w:rsidRDefault="00152529" w:rsidP="001244AF">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Interest rate</w:t>
            </w:r>
          </w:p>
        </w:tc>
        <w:tc>
          <w:tcPr>
            <w:tcW w:w="1612" w:type="pct"/>
            <w:tcBorders>
              <w:top w:val="nil"/>
              <w:left w:val="nil"/>
              <w:bottom w:val="single" w:sz="4" w:space="0" w:color="000000" w:themeColor="text1"/>
              <w:right w:val="nil"/>
            </w:tcBorders>
            <w:shd w:val="clear" w:color="auto" w:fill="auto"/>
            <w:vAlign w:val="bottom"/>
          </w:tcPr>
          <w:p w14:paraId="633479AA" w14:textId="77777777" w:rsidR="00152529" w:rsidRPr="00313B0C" w:rsidRDefault="00152529" w:rsidP="001244AF">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 xml:space="preserve">Total as at </w:t>
            </w:r>
          </w:p>
          <w:p w14:paraId="6F2C60DF" w14:textId="40343650" w:rsidR="00152529" w:rsidRPr="00313B0C" w:rsidRDefault="00152529" w:rsidP="001244AF">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p w14:paraId="148D3D5B" w14:textId="4182D07A" w:rsidR="00152529" w:rsidRPr="00313B0C" w:rsidRDefault="00152529" w:rsidP="001244AF">
            <w:pPr>
              <w:jc w:val="right"/>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w:t>
            </w:r>
            <w:r w:rsidR="00A62F41">
              <w:rPr>
                <w:rFonts w:ascii="Georgia" w:hAnsi="Georgia" w:cs="Arial"/>
                <w:b/>
                <w:bCs/>
                <w:color w:val="404040" w:themeColor="text1" w:themeTint="BF"/>
                <w:sz w:val="20"/>
                <w:szCs w:val="20"/>
                <w:lang w:eastAsia="en-GB"/>
              </w:rPr>
              <w:t>’000</w:t>
            </w:r>
          </w:p>
        </w:tc>
      </w:tr>
      <w:tr w:rsidR="00152529" w:rsidRPr="00313B0C" w14:paraId="79244FF7" w14:textId="77777777" w:rsidTr="0024470F">
        <w:trPr>
          <w:trHeight w:val="124"/>
        </w:trPr>
        <w:tc>
          <w:tcPr>
            <w:tcW w:w="2383" w:type="pct"/>
            <w:tcBorders>
              <w:top w:val="single" w:sz="4" w:space="0" w:color="000000" w:themeColor="text1"/>
              <w:left w:val="nil"/>
              <w:right w:val="nil"/>
            </w:tcBorders>
            <w:shd w:val="clear" w:color="auto" w:fill="auto"/>
            <w:noWrap/>
            <w:vAlign w:val="bottom"/>
          </w:tcPr>
          <w:p w14:paraId="49787007" w14:textId="77777777" w:rsidR="00152529" w:rsidRPr="00313B0C" w:rsidRDefault="00152529" w:rsidP="001244AF">
            <w:pPr>
              <w:rPr>
                <w:rFonts w:ascii="Georgia" w:hAnsi="Georgia" w:cs="Arial"/>
                <w:b/>
                <w:bCs/>
                <w:color w:val="404040" w:themeColor="text1" w:themeTint="BF"/>
                <w:sz w:val="8"/>
                <w:szCs w:val="20"/>
                <w:lang w:eastAsia="en-GB"/>
              </w:rPr>
            </w:pPr>
          </w:p>
        </w:tc>
        <w:tc>
          <w:tcPr>
            <w:tcW w:w="1005" w:type="pct"/>
            <w:tcBorders>
              <w:top w:val="single" w:sz="4" w:space="0" w:color="000000" w:themeColor="text1"/>
              <w:left w:val="nil"/>
              <w:right w:val="nil"/>
            </w:tcBorders>
            <w:shd w:val="clear" w:color="auto" w:fill="auto"/>
            <w:noWrap/>
            <w:vAlign w:val="bottom"/>
          </w:tcPr>
          <w:p w14:paraId="2C6E89F2" w14:textId="77777777" w:rsidR="00152529" w:rsidRPr="00313B0C" w:rsidRDefault="00152529" w:rsidP="001244AF">
            <w:pPr>
              <w:rPr>
                <w:rFonts w:ascii="Georgia" w:hAnsi="Georgia" w:cs="Arial"/>
                <w:b/>
                <w:bCs/>
                <w:color w:val="404040" w:themeColor="text1" w:themeTint="BF"/>
                <w:sz w:val="8"/>
                <w:szCs w:val="20"/>
                <w:lang w:eastAsia="en-GB"/>
              </w:rPr>
            </w:pPr>
          </w:p>
        </w:tc>
        <w:tc>
          <w:tcPr>
            <w:tcW w:w="1612" w:type="pct"/>
            <w:tcBorders>
              <w:top w:val="single" w:sz="4" w:space="0" w:color="000000" w:themeColor="text1"/>
              <w:left w:val="nil"/>
              <w:right w:val="nil"/>
            </w:tcBorders>
            <w:shd w:val="clear" w:color="auto" w:fill="auto"/>
            <w:noWrap/>
            <w:vAlign w:val="bottom"/>
          </w:tcPr>
          <w:p w14:paraId="27AED4BE" w14:textId="77777777" w:rsidR="00152529" w:rsidRPr="00313B0C" w:rsidRDefault="00152529" w:rsidP="001244AF">
            <w:pPr>
              <w:jc w:val="right"/>
              <w:rPr>
                <w:rFonts w:ascii="Georgia" w:hAnsi="Georgia" w:cs="Arial"/>
                <w:color w:val="404040" w:themeColor="text1" w:themeTint="BF"/>
                <w:sz w:val="8"/>
                <w:szCs w:val="20"/>
                <w:lang w:eastAsia="en-GB"/>
              </w:rPr>
            </w:pPr>
          </w:p>
        </w:tc>
      </w:tr>
      <w:tr w:rsidR="00152529" w:rsidRPr="00313B0C" w14:paraId="22D19D6C" w14:textId="77777777" w:rsidTr="0024470F">
        <w:trPr>
          <w:trHeight w:val="320"/>
        </w:trPr>
        <w:tc>
          <w:tcPr>
            <w:tcW w:w="2383" w:type="pct"/>
            <w:tcBorders>
              <w:left w:val="nil"/>
              <w:bottom w:val="nil"/>
              <w:right w:val="nil"/>
            </w:tcBorders>
            <w:shd w:val="clear" w:color="auto" w:fill="auto"/>
            <w:noWrap/>
            <w:vAlign w:val="bottom"/>
          </w:tcPr>
          <w:p w14:paraId="011CB9DC" w14:textId="77777777" w:rsidR="00152529" w:rsidRPr="00313B0C" w:rsidRDefault="00152529" w:rsidP="001244AF">
            <w:pPr>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Floating rate</w:t>
            </w:r>
          </w:p>
        </w:tc>
        <w:tc>
          <w:tcPr>
            <w:tcW w:w="1005" w:type="pct"/>
            <w:tcBorders>
              <w:left w:val="nil"/>
              <w:bottom w:val="nil"/>
              <w:right w:val="nil"/>
            </w:tcBorders>
            <w:shd w:val="clear" w:color="auto" w:fill="auto"/>
            <w:noWrap/>
            <w:vAlign w:val="bottom"/>
          </w:tcPr>
          <w:p w14:paraId="4612DB9A" w14:textId="77777777" w:rsidR="00152529" w:rsidRPr="00313B0C" w:rsidRDefault="00152529" w:rsidP="001244AF">
            <w:pPr>
              <w:rPr>
                <w:rFonts w:ascii="Georgia" w:hAnsi="Georgia" w:cs="Arial"/>
                <w:b/>
                <w:bCs/>
                <w:color w:val="404040" w:themeColor="text1" w:themeTint="BF"/>
                <w:sz w:val="20"/>
                <w:szCs w:val="20"/>
                <w:lang w:eastAsia="en-GB"/>
              </w:rPr>
            </w:pPr>
          </w:p>
        </w:tc>
        <w:tc>
          <w:tcPr>
            <w:tcW w:w="1612" w:type="pct"/>
            <w:tcBorders>
              <w:left w:val="nil"/>
              <w:bottom w:val="nil"/>
              <w:right w:val="nil"/>
            </w:tcBorders>
            <w:shd w:val="clear" w:color="auto" w:fill="auto"/>
            <w:noWrap/>
            <w:vAlign w:val="bottom"/>
          </w:tcPr>
          <w:p w14:paraId="5C7F8301" w14:textId="77777777" w:rsidR="00152529" w:rsidRPr="00313B0C" w:rsidRDefault="00152529" w:rsidP="001244AF">
            <w:pPr>
              <w:jc w:val="right"/>
              <w:rPr>
                <w:rFonts w:ascii="Georgia" w:hAnsi="Georgia" w:cs="Arial"/>
                <w:color w:val="404040" w:themeColor="text1" w:themeTint="BF"/>
                <w:sz w:val="20"/>
                <w:szCs w:val="20"/>
                <w:lang w:eastAsia="en-GB"/>
              </w:rPr>
            </w:pPr>
          </w:p>
        </w:tc>
      </w:tr>
      <w:tr w:rsidR="00240E64" w:rsidRPr="00313B0C" w14:paraId="67EC7FDA" w14:textId="77777777" w:rsidTr="0024470F">
        <w:trPr>
          <w:trHeight w:val="320"/>
        </w:trPr>
        <w:tc>
          <w:tcPr>
            <w:tcW w:w="2383" w:type="pct"/>
            <w:tcBorders>
              <w:top w:val="nil"/>
              <w:left w:val="nil"/>
              <w:bottom w:val="nil"/>
              <w:right w:val="nil"/>
            </w:tcBorders>
            <w:shd w:val="clear" w:color="auto" w:fill="auto"/>
            <w:noWrap/>
            <w:vAlign w:val="bottom"/>
          </w:tcPr>
          <w:p w14:paraId="5E910CD4" w14:textId="77777777" w:rsidR="00240E64" w:rsidRPr="00313B0C" w:rsidRDefault="00240E64" w:rsidP="00240E64">
            <w:pPr>
              <w:rPr>
                <w:rFonts w:ascii="Georgia" w:hAnsi="Georgia" w:cs="Arial"/>
                <w:color w:val="404040" w:themeColor="text1" w:themeTint="BF"/>
                <w:sz w:val="20"/>
                <w:szCs w:val="20"/>
                <w:lang w:eastAsia="en-GB"/>
              </w:rPr>
            </w:pPr>
            <w:r w:rsidRPr="00313B0C">
              <w:rPr>
                <w:rFonts w:ascii="Georgia" w:hAnsi="Georgia" w:cs="Arial"/>
                <w:color w:val="404040" w:themeColor="text1" w:themeTint="BF"/>
                <w:sz w:val="20"/>
                <w:szCs w:val="20"/>
                <w:lang w:eastAsia="en-GB"/>
              </w:rPr>
              <w:t>RBSI</w:t>
            </w:r>
          </w:p>
        </w:tc>
        <w:tc>
          <w:tcPr>
            <w:tcW w:w="1005" w:type="pct"/>
            <w:tcBorders>
              <w:top w:val="nil"/>
              <w:left w:val="nil"/>
              <w:bottom w:val="nil"/>
              <w:right w:val="nil"/>
            </w:tcBorders>
            <w:shd w:val="clear" w:color="auto" w:fill="auto"/>
            <w:noWrap/>
            <w:vAlign w:val="bottom"/>
          </w:tcPr>
          <w:p w14:paraId="7DA5FDA0" w14:textId="77777777" w:rsidR="00240E64" w:rsidRPr="00313B0C" w:rsidRDefault="00240E64" w:rsidP="00240E64">
            <w:pPr>
              <w:jc w:val="right"/>
              <w:rPr>
                <w:rFonts w:ascii="Georgia" w:hAnsi="Georgia" w:cs="Arial"/>
                <w:color w:val="404040" w:themeColor="text1" w:themeTint="BF"/>
                <w:sz w:val="20"/>
                <w:szCs w:val="20"/>
                <w:lang w:eastAsia="en-GB"/>
              </w:rPr>
            </w:pPr>
            <w:r w:rsidRPr="00313B0C">
              <w:rPr>
                <w:rFonts w:ascii="Georgia" w:hAnsi="Georgia"/>
                <w:color w:val="404040" w:themeColor="text1" w:themeTint="BF"/>
                <w:sz w:val="20"/>
              </w:rPr>
              <w:t>0.00</w:t>
            </w:r>
            <w:r w:rsidRPr="00313B0C">
              <w:rPr>
                <w:rFonts w:ascii="Georgia" w:hAnsi="Georgia" w:cs="Arial"/>
                <w:color w:val="404040" w:themeColor="text1" w:themeTint="BF"/>
                <w:sz w:val="20"/>
                <w:szCs w:val="20"/>
                <w:lang w:eastAsia="en-GB"/>
              </w:rPr>
              <w:t>%</w:t>
            </w:r>
          </w:p>
        </w:tc>
        <w:tc>
          <w:tcPr>
            <w:tcW w:w="1612" w:type="pct"/>
            <w:tcBorders>
              <w:top w:val="nil"/>
              <w:left w:val="nil"/>
              <w:bottom w:val="nil"/>
              <w:right w:val="nil"/>
            </w:tcBorders>
            <w:shd w:val="clear" w:color="auto" w:fill="auto"/>
            <w:noWrap/>
            <w:vAlign w:val="bottom"/>
          </w:tcPr>
          <w:p w14:paraId="63FFD072" w14:textId="0D8D17DE" w:rsidR="00240E64" w:rsidRPr="00313B0C" w:rsidRDefault="00A62F41" w:rsidP="00240E64">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277</w:t>
            </w:r>
          </w:p>
        </w:tc>
      </w:tr>
      <w:tr w:rsidR="00240E64" w:rsidRPr="00313B0C" w14:paraId="6B555F5A" w14:textId="77777777" w:rsidTr="0024470F">
        <w:trPr>
          <w:trHeight w:val="320"/>
        </w:trPr>
        <w:tc>
          <w:tcPr>
            <w:tcW w:w="2383" w:type="pct"/>
            <w:tcBorders>
              <w:top w:val="nil"/>
              <w:left w:val="nil"/>
              <w:bottom w:val="nil"/>
              <w:right w:val="nil"/>
            </w:tcBorders>
            <w:shd w:val="clear" w:color="auto" w:fill="auto"/>
            <w:noWrap/>
            <w:vAlign w:val="bottom"/>
          </w:tcPr>
          <w:p w14:paraId="71680152" w14:textId="77777777" w:rsidR="00240E64" w:rsidRPr="00313B0C" w:rsidRDefault="00240E64" w:rsidP="00240E64">
            <w:pPr>
              <w:rPr>
                <w:rFonts w:ascii="Georgia" w:hAnsi="Georgia" w:cs="Arial"/>
                <w:color w:val="404040" w:themeColor="text1" w:themeTint="BF"/>
                <w:sz w:val="20"/>
                <w:szCs w:val="20"/>
                <w:lang w:eastAsia="en-GB"/>
              </w:rPr>
            </w:pPr>
          </w:p>
        </w:tc>
        <w:tc>
          <w:tcPr>
            <w:tcW w:w="1005" w:type="pct"/>
            <w:tcBorders>
              <w:top w:val="nil"/>
              <w:left w:val="nil"/>
              <w:bottom w:val="nil"/>
              <w:right w:val="nil"/>
            </w:tcBorders>
            <w:shd w:val="clear" w:color="auto" w:fill="auto"/>
            <w:noWrap/>
            <w:vAlign w:val="bottom"/>
          </w:tcPr>
          <w:p w14:paraId="3E07971B" w14:textId="77777777" w:rsidR="00240E64" w:rsidRPr="00313B0C" w:rsidRDefault="00240E64" w:rsidP="00240E64">
            <w:pPr>
              <w:rPr>
                <w:rFonts w:ascii="Georgia" w:hAnsi="Georgia" w:cs="Arial"/>
                <w:color w:val="404040" w:themeColor="text1" w:themeTint="BF"/>
                <w:sz w:val="20"/>
                <w:szCs w:val="20"/>
                <w:lang w:eastAsia="en-GB"/>
              </w:rPr>
            </w:pPr>
          </w:p>
        </w:tc>
        <w:tc>
          <w:tcPr>
            <w:tcW w:w="1612" w:type="pct"/>
            <w:tcBorders>
              <w:top w:val="nil"/>
              <w:left w:val="nil"/>
              <w:bottom w:val="nil"/>
              <w:right w:val="nil"/>
            </w:tcBorders>
            <w:shd w:val="clear" w:color="auto" w:fill="auto"/>
            <w:noWrap/>
            <w:vAlign w:val="bottom"/>
          </w:tcPr>
          <w:p w14:paraId="443CCB70" w14:textId="77777777" w:rsidR="00240E64" w:rsidRPr="00313B0C" w:rsidRDefault="00240E64" w:rsidP="00240E64">
            <w:pPr>
              <w:jc w:val="right"/>
              <w:rPr>
                <w:rFonts w:ascii="Georgia" w:hAnsi="Georgia" w:cs="Arial"/>
                <w:color w:val="404040" w:themeColor="text1" w:themeTint="BF"/>
                <w:sz w:val="20"/>
                <w:szCs w:val="20"/>
                <w:lang w:eastAsia="en-GB"/>
              </w:rPr>
            </w:pPr>
          </w:p>
        </w:tc>
      </w:tr>
      <w:tr w:rsidR="00240E64" w:rsidRPr="00313B0C" w14:paraId="65B4431A" w14:textId="77777777" w:rsidTr="0024470F">
        <w:trPr>
          <w:trHeight w:val="320"/>
        </w:trPr>
        <w:tc>
          <w:tcPr>
            <w:tcW w:w="2383" w:type="pct"/>
            <w:tcBorders>
              <w:top w:val="nil"/>
              <w:left w:val="nil"/>
              <w:bottom w:val="nil"/>
              <w:right w:val="nil"/>
            </w:tcBorders>
            <w:shd w:val="clear" w:color="auto" w:fill="auto"/>
            <w:noWrap/>
            <w:vAlign w:val="bottom"/>
          </w:tcPr>
          <w:p w14:paraId="4537ED77" w14:textId="77777777" w:rsidR="00240E64" w:rsidRPr="00313B0C" w:rsidRDefault="00240E64" w:rsidP="00240E64">
            <w:pPr>
              <w:rPr>
                <w:rFonts w:ascii="Georgia" w:hAnsi="Georgia" w:cs="Arial"/>
                <w:b/>
                <w:bCs/>
                <w:color w:val="404040" w:themeColor="text1" w:themeTint="BF"/>
                <w:sz w:val="20"/>
                <w:szCs w:val="20"/>
                <w:lang w:eastAsia="en-GB"/>
              </w:rPr>
            </w:pPr>
            <w:r w:rsidRPr="00313B0C">
              <w:rPr>
                <w:rFonts w:ascii="Georgia" w:hAnsi="Georgia" w:cs="Arial"/>
                <w:b/>
                <w:bCs/>
                <w:color w:val="404040" w:themeColor="text1" w:themeTint="BF"/>
                <w:sz w:val="20"/>
                <w:szCs w:val="20"/>
                <w:lang w:eastAsia="en-GB"/>
              </w:rPr>
              <w:t>Fixed rate</w:t>
            </w:r>
          </w:p>
        </w:tc>
        <w:tc>
          <w:tcPr>
            <w:tcW w:w="1005" w:type="pct"/>
            <w:tcBorders>
              <w:top w:val="nil"/>
              <w:left w:val="nil"/>
              <w:bottom w:val="nil"/>
              <w:right w:val="nil"/>
            </w:tcBorders>
            <w:shd w:val="clear" w:color="auto" w:fill="auto"/>
            <w:noWrap/>
            <w:vAlign w:val="bottom"/>
          </w:tcPr>
          <w:p w14:paraId="0D9DCC1E" w14:textId="77777777" w:rsidR="00240E64" w:rsidRPr="00313B0C" w:rsidRDefault="00240E64" w:rsidP="00240E64">
            <w:pPr>
              <w:rPr>
                <w:rFonts w:ascii="Georgia" w:hAnsi="Georgia" w:cs="Arial"/>
                <w:b/>
                <w:bCs/>
                <w:color w:val="404040" w:themeColor="text1" w:themeTint="BF"/>
                <w:sz w:val="20"/>
                <w:szCs w:val="20"/>
                <w:lang w:eastAsia="en-GB"/>
              </w:rPr>
            </w:pPr>
          </w:p>
        </w:tc>
        <w:tc>
          <w:tcPr>
            <w:tcW w:w="1612" w:type="pct"/>
            <w:tcBorders>
              <w:top w:val="nil"/>
              <w:left w:val="nil"/>
              <w:bottom w:val="nil"/>
              <w:right w:val="nil"/>
            </w:tcBorders>
            <w:shd w:val="clear" w:color="auto" w:fill="auto"/>
            <w:noWrap/>
            <w:vAlign w:val="bottom"/>
          </w:tcPr>
          <w:p w14:paraId="79AC6539" w14:textId="77777777" w:rsidR="00240E64" w:rsidRPr="00313B0C" w:rsidRDefault="00240E64" w:rsidP="00240E64">
            <w:pPr>
              <w:jc w:val="right"/>
              <w:rPr>
                <w:rFonts w:ascii="Georgia" w:hAnsi="Georgia" w:cs="Arial"/>
                <w:color w:val="404040" w:themeColor="text1" w:themeTint="BF"/>
                <w:sz w:val="20"/>
                <w:szCs w:val="20"/>
                <w:lang w:eastAsia="en-GB"/>
              </w:rPr>
            </w:pPr>
          </w:p>
        </w:tc>
      </w:tr>
      <w:tr w:rsidR="00240E64" w:rsidRPr="00313B0C" w14:paraId="5E212D3C" w14:textId="77777777" w:rsidTr="0024470F">
        <w:trPr>
          <w:trHeight w:val="320"/>
        </w:trPr>
        <w:tc>
          <w:tcPr>
            <w:tcW w:w="2383" w:type="pct"/>
            <w:tcBorders>
              <w:top w:val="nil"/>
              <w:left w:val="nil"/>
              <w:bottom w:val="nil"/>
              <w:right w:val="nil"/>
            </w:tcBorders>
            <w:shd w:val="clear" w:color="auto" w:fill="auto"/>
            <w:noWrap/>
            <w:vAlign w:val="bottom"/>
          </w:tcPr>
          <w:p w14:paraId="6F8E7619" w14:textId="77777777" w:rsidR="00240E64" w:rsidRPr="00313B0C" w:rsidRDefault="00240E64" w:rsidP="00240E64">
            <w:pPr>
              <w:rPr>
                <w:rFonts w:ascii="Georgia" w:hAnsi="Georgia" w:cs="Arial"/>
                <w:color w:val="404040" w:themeColor="text1" w:themeTint="BF"/>
                <w:sz w:val="20"/>
                <w:szCs w:val="20"/>
                <w:lang w:eastAsia="en-GB"/>
              </w:rPr>
            </w:pPr>
            <w:r w:rsidRPr="00313B0C">
              <w:rPr>
                <w:rFonts w:ascii="Georgia" w:hAnsi="Georgia" w:cs="Arial"/>
                <w:color w:val="404040" w:themeColor="text1" w:themeTint="BF"/>
                <w:sz w:val="20"/>
                <w:szCs w:val="20"/>
                <w:lang w:eastAsia="en-GB"/>
              </w:rPr>
              <w:t>Lloyds</w:t>
            </w:r>
          </w:p>
        </w:tc>
        <w:tc>
          <w:tcPr>
            <w:tcW w:w="1005" w:type="pct"/>
            <w:tcBorders>
              <w:top w:val="nil"/>
              <w:left w:val="nil"/>
              <w:bottom w:val="nil"/>
              <w:right w:val="nil"/>
            </w:tcBorders>
            <w:shd w:val="clear" w:color="auto" w:fill="auto"/>
            <w:noWrap/>
            <w:vAlign w:val="bottom"/>
          </w:tcPr>
          <w:p w14:paraId="475583CF" w14:textId="3B05137A" w:rsidR="00240E64" w:rsidRPr="00313B0C" w:rsidRDefault="00240E64" w:rsidP="00240E64">
            <w:pPr>
              <w:jc w:val="right"/>
              <w:rPr>
                <w:rFonts w:ascii="Georgia" w:hAnsi="Georgia" w:cs="Arial"/>
                <w:color w:val="404040" w:themeColor="text1" w:themeTint="BF"/>
                <w:sz w:val="20"/>
                <w:szCs w:val="20"/>
                <w:lang w:eastAsia="en-GB"/>
              </w:rPr>
            </w:pPr>
            <w:r w:rsidRPr="00313B0C">
              <w:rPr>
                <w:rFonts w:ascii="Georgia" w:hAnsi="Georgia"/>
                <w:color w:val="404040" w:themeColor="text1" w:themeTint="BF"/>
                <w:sz w:val="20"/>
              </w:rPr>
              <w:t>0.</w:t>
            </w:r>
            <w:r w:rsidR="002836EA">
              <w:rPr>
                <w:rFonts w:ascii="Georgia" w:hAnsi="Georgia"/>
                <w:color w:val="404040" w:themeColor="text1" w:themeTint="BF"/>
                <w:sz w:val="20"/>
              </w:rPr>
              <w:t>25</w:t>
            </w:r>
            <w:r w:rsidRPr="00313B0C">
              <w:rPr>
                <w:rFonts w:ascii="Georgia" w:hAnsi="Georgia" w:cs="Arial"/>
                <w:color w:val="404040" w:themeColor="text1" w:themeTint="BF"/>
                <w:sz w:val="20"/>
                <w:szCs w:val="20"/>
                <w:lang w:eastAsia="en-GB"/>
              </w:rPr>
              <w:t>%</w:t>
            </w:r>
          </w:p>
        </w:tc>
        <w:tc>
          <w:tcPr>
            <w:tcW w:w="1612" w:type="pct"/>
            <w:tcBorders>
              <w:top w:val="nil"/>
              <w:left w:val="nil"/>
              <w:bottom w:val="nil"/>
              <w:right w:val="nil"/>
            </w:tcBorders>
            <w:shd w:val="clear" w:color="auto" w:fill="auto"/>
            <w:noWrap/>
            <w:vAlign w:val="bottom"/>
          </w:tcPr>
          <w:p w14:paraId="36AE773D" w14:textId="57BDBE83" w:rsidR="00240E64" w:rsidRPr="00313B0C" w:rsidRDefault="00A62F41" w:rsidP="00240E64">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1</w:t>
            </w:r>
          </w:p>
        </w:tc>
      </w:tr>
      <w:tr w:rsidR="00240E64" w:rsidRPr="00313B0C" w14:paraId="66BEC2C3" w14:textId="77777777" w:rsidTr="00D25837">
        <w:trPr>
          <w:trHeight w:val="138"/>
        </w:trPr>
        <w:tc>
          <w:tcPr>
            <w:tcW w:w="2383" w:type="pct"/>
            <w:tcBorders>
              <w:top w:val="nil"/>
              <w:left w:val="nil"/>
              <w:bottom w:val="nil"/>
              <w:right w:val="nil"/>
            </w:tcBorders>
            <w:shd w:val="clear" w:color="auto" w:fill="auto"/>
            <w:noWrap/>
            <w:vAlign w:val="bottom"/>
          </w:tcPr>
          <w:p w14:paraId="39D13AFA" w14:textId="77777777" w:rsidR="00240E64" w:rsidRPr="00313B0C" w:rsidRDefault="00240E64" w:rsidP="00240E64">
            <w:pPr>
              <w:rPr>
                <w:rFonts w:ascii="Georgia" w:hAnsi="Georgia" w:cs="Arial"/>
                <w:color w:val="404040" w:themeColor="text1" w:themeTint="BF"/>
                <w:sz w:val="20"/>
                <w:szCs w:val="20"/>
                <w:lang w:eastAsia="en-GB"/>
              </w:rPr>
            </w:pPr>
          </w:p>
        </w:tc>
        <w:tc>
          <w:tcPr>
            <w:tcW w:w="1005" w:type="pct"/>
            <w:tcBorders>
              <w:top w:val="nil"/>
              <w:left w:val="nil"/>
              <w:bottom w:val="nil"/>
              <w:right w:val="nil"/>
            </w:tcBorders>
            <w:shd w:val="clear" w:color="auto" w:fill="auto"/>
            <w:noWrap/>
            <w:vAlign w:val="bottom"/>
          </w:tcPr>
          <w:p w14:paraId="2AD05D0B" w14:textId="77777777" w:rsidR="00240E64" w:rsidRPr="00313B0C" w:rsidRDefault="00240E64" w:rsidP="00240E64">
            <w:pPr>
              <w:rPr>
                <w:rFonts w:ascii="Georgia" w:hAnsi="Georgia" w:cs="Arial"/>
                <w:color w:val="404040" w:themeColor="text1" w:themeTint="BF"/>
                <w:sz w:val="20"/>
                <w:szCs w:val="20"/>
                <w:lang w:eastAsia="en-GB"/>
              </w:rPr>
            </w:pPr>
          </w:p>
        </w:tc>
        <w:tc>
          <w:tcPr>
            <w:tcW w:w="1612" w:type="pct"/>
            <w:tcBorders>
              <w:top w:val="nil"/>
              <w:left w:val="nil"/>
              <w:bottom w:val="nil"/>
              <w:right w:val="nil"/>
            </w:tcBorders>
            <w:shd w:val="clear" w:color="auto" w:fill="auto"/>
            <w:noWrap/>
            <w:vAlign w:val="center"/>
          </w:tcPr>
          <w:p w14:paraId="168E28C5" w14:textId="77777777" w:rsidR="00240E64" w:rsidRPr="00313B0C" w:rsidRDefault="00240E64" w:rsidP="00240E64">
            <w:pPr>
              <w:jc w:val="right"/>
              <w:rPr>
                <w:rFonts w:ascii="Georgia" w:hAnsi="Georgia" w:cs="Arial"/>
                <w:color w:val="404040" w:themeColor="text1" w:themeTint="BF"/>
                <w:sz w:val="20"/>
                <w:szCs w:val="20"/>
                <w:lang w:eastAsia="en-GB"/>
              </w:rPr>
            </w:pPr>
          </w:p>
        </w:tc>
      </w:tr>
      <w:tr w:rsidR="00240E64" w:rsidRPr="00313B0C" w14:paraId="090EAF3E" w14:textId="77777777" w:rsidTr="0024470F">
        <w:trPr>
          <w:trHeight w:val="539"/>
        </w:trPr>
        <w:tc>
          <w:tcPr>
            <w:tcW w:w="2383" w:type="pct"/>
            <w:tcBorders>
              <w:top w:val="nil"/>
              <w:left w:val="nil"/>
              <w:bottom w:val="nil"/>
              <w:right w:val="nil"/>
            </w:tcBorders>
            <w:shd w:val="clear" w:color="auto" w:fill="auto"/>
            <w:noWrap/>
            <w:vAlign w:val="center"/>
          </w:tcPr>
          <w:p w14:paraId="3F42B1B2" w14:textId="77777777" w:rsidR="00240E64" w:rsidRPr="00313B0C" w:rsidRDefault="00240E64" w:rsidP="00240E64">
            <w:pPr>
              <w:jc w:val="right"/>
              <w:rPr>
                <w:rFonts w:ascii="Georgia" w:hAnsi="Georgia" w:cs="Arial"/>
                <w:color w:val="404040" w:themeColor="text1" w:themeTint="BF"/>
                <w:sz w:val="20"/>
                <w:szCs w:val="20"/>
                <w:lang w:eastAsia="en-GB"/>
              </w:rPr>
            </w:pPr>
          </w:p>
        </w:tc>
        <w:tc>
          <w:tcPr>
            <w:tcW w:w="1005" w:type="pct"/>
            <w:tcBorders>
              <w:top w:val="nil"/>
              <w:left w:val="nil"/>
              <w:bottom w:val="nil"/>
              <w:right w:val="nil"/>
            </w:tcBorders>
            <w:shd w:val="clear" w:color="auto" w:fill="auto"/>
            <w:noWrap/>
            <w:vAlign w:val="center"/>
          </w:tcPr>
          <w:p w14:paraId="7CA7C0FE" w14:textId="77777777" w:rsidR="00240E64" w:rsidRPr="00313B0C" w:rsidRDefault="00240E64" w:rsidP="00240E64">
            <w:pPr>
              <w:jc w:val="right"/>
              <w:rPr>
                <w:rFonts w:ascii="Georgia" w:hAnsi="Georgia" w:cs="Arial"/>
                <w:color w:val="404040" w:themeColor="text1" w:themeTint="BF"/>
                <w:sz w:val="20"/>
                <w:szCs w:val="20"/>
                <w:lang w:eastAsia="en-GB"/>
              </w:rPr>
            </w:pPr>
          </w:p>
        </w:tc>
        <w:tc>
          <w:tcPr>
            <w:tcW w:w="1612" w:type="pct"/>
            <w:tcBorders>
              <w:top w:val="single" w:sz="4" w:space="0" w:color="auto"/>
              <w:left w:val="nil"/>
              <w:bottom w:val="double" w:sz="6" w:space="0" w:color="auto"/>
              <w:right w:val="nil"/>
            </w:tcBorders>
            <w:shd w:val="clear" w:color="auto" w:fill="auto"/>
            <w:noWrap/>
            <w:vAlign w:val="center"/>
          </w:tcPr>
          <w:p w14:paraId="4AA3CD7A" w14:textId="45132068" w:rsidR="00240E64" w:rsidRPr="00313B0C" w:rsidRDefault="00A62F41" w:rsidP="00240E64">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278</w:t>
            </w:r>
            <w:r w:rsidR="00240E64" w:rsidRPr="000440B9">
              <w:rPr>
                <w:rFonts w:ascii="Georgia" w:hAnsi="Georgia" w:cs="Arial"/>
                <w:b/>
                <w:bCs/>
                <w:color w:val="404040" w:themeColor="text1" w:themeTint="BF"/>
                <w:sz w:val="20"/>
                <w:szCs w:val="20"/>
                <w:lang w:eastAsia="en-GB"/>
              </w:rPr>
              <w:t xml:space="preserve">            </w:t>
            </w:r>
          </w:p>
        </w:tc>
      </w:tr>
    </w:tbl>
    <w:p w14:paraId="1365A2E9" w14:textId="77777777" w:rsidR="00EA261A" w:rsidRPr="00313B0C" w:rsidRDefault="00EA261A" w:rsidP="008C3745">
      <w:pPr>
        <w:pStyle w:val="BluefieldBody"/>
      </w:pPr>
    </w:p>
    <w:p w14:paraId="3D277FC3" w14:textId="57E48972" w:rsidR="000F51FA" w:rsidRPr="00141D5B" w:rsidRDefault="00141D5B" w:rsidP="008C3745">
      <w:pPr>
        <w:pStyle w:val="BluefieldBody"/>
      </w:pPr>
      <w:r w:rsidRPr="00141D5B">
        <w:t>The valuation of BSIFIL’s</w:t>
      </w:r>
      <w:r w:rsidR="000F51FA" w:rsidRPr="00141D5B">
        <w:t xml:space="preserve"> SPV investments is subject to </w:t>
      </w:r>
      <w:r w:rsidR="0092668D" w:rsidRPr="00141D5B">
        <w:t>variation in the discount rate</w:t>
      </w:r>
      <w:r w:rsidR="003E0DA6" w:rsidRPr="00141D5B">
        <w:t>,</w:t>
      </w:r>
      <w:r w:rsidR="0092668D" w:rsidRPr="00141D5B">
        <w:t xml:space="preserve"> which are themselves subject to changes in </w:t>
      </w:r>
      <w:r w:rsidR="000F51FA" w:rsidRPr="00141D5B">
        <w:t xml:space="preserve">interest rate risk due to the discount rates applied to the discounted </w:t>
      </w:r>
      <w:r w:rsidR="00A379B0">
        <w:t xml:space="preserve">cash </w:t>
      </w:r>
      <w:r w:rsidR="00857DD7" w:rsidRPr="00141D5B">
        <w:t>flow</w:t>
      </w:r>
      <w:r w:rsidR="000F51FA" w:rsidRPr="00141D5B">
        <w:t xml:space="preserve"> technique when valuing the investments. The Investment Adviser reviews the discount rates </w:t>
      </w:r>
      <w:r w:rsidR="00741296">
        <w:t>semi</w:t>
      </w:r>
      <w:r w:rsidR="000F51FA" w:rsidRPr="00141D5B">
        <w:t xml:space="preserve">-annually and takes into consideration market activity to ensure appropriate discount rates are recommended to the Board. </w:t>
      </w:r>
      <w:r w:rsidR="00836FB7">
        <w:t xml:space="preserve">The Group is exposed to interest rate risk on the Directors’ Valuation of £624.3m </w:t>
      </w:r>
      <w:r w:rsidR="002513C5" w:rsidRPr="004A5ADE">
        <w:t>(</w:t>
      </w:r>
      <w:r w:rsidR="00904E51">
        <w:t>2019</w:t>
      </w:r>
      <w:r w:rsidR="002513C5" w:rsidRPr="004A5ADE">
        <w:t xml:space="preserve">: </w:t>
      </w:r>
      <w:r w:rsidR="000F51FA" w:rsidRPr="004A5ADE">
        <w:t>£</w:t>
      </w:r>
      <w:r w:rsidR="00240E64">
        <w:t>622</w:t>
      </w:r>
      <w:r w:rsidR="00836FB7">
        <w:t>.1m</w:t>
      </w:r>
      <w:r w:rsidR="002513C5" w:rsidRPr="004A5ADE">
        <w:t>)</w:t>
      </w:r>
      <w:r w:rsidR="00836FB7">
        <w:t>.</w:t>
      </w:r>
    </w:p>
    <w:p w14:paraId="2F5D41BE" w14:textId="77777777" w:rsidR="007407D8" w:rsidRPr="00A316C7" w:rsidRDefault="007407D8" w:rsidP="008C3745">
      <w:pPr>
        <w:pStyle w:val="BluefieldBody"/>
        <w:rPr>
          <w:highlight w:val="yellow"/>
        </w:rPr>
      </w:pPr>
    </w:p>
    <w:p w14:paraId="27AFF110" w14:textId="77777777" w:rsidR="004E4B0B" w:rsidRPr="00DD3C86" w:rsidRDefault="004E4B0B" w:rsidP="0024470F">
      <w:pPr>
        <w:pStyle w:val="body"/>
        <w:tabs>
          <w:tab w:val="left" w:pos="914"/>
        </w:tabs>
      </w:pPr>
      <w:r w:rsidRPr="00DD3C86">
        <w:rPr>
          <w:b/>
        </w:rPr>
        <w:t>Credit</w:t>
      </w:r>
      <w:r w:rsidRPr="00DD3C86">
        <w:t xml:space="preserve"> </w:t>
      </w:r>
      <w:r w:rsidRPr="00DD3C86">
        <w:rPr>
          <w:b/>
        </w:rPr>
        <w:t>risk</w:t>
      </w:r>
    </w:p>
    <w:p w14:paraId="23BFC0E4" w14:textId="0BE69184" w:rsidR="00ED0A33" w:rsidRPr="00DD3C86" w:rsidRDefault="004E4B0B" w:rsidP="00ED0A33">
      <w:pPr>
        <w:pStyle w:val="BluefieldBody"/>
      </w:pPr>
      <w:r w:rsidRPr="00DD3C86">
        <w:t>Credit risk is the risk that a counterparty will be unable to pay amounts in full when due</w:t>
      </w:r>
      <w:r w:rsidRPr="00356117">
        <w:t xml:space="preserve">. </w:t>
      </w:r>
      <w:r w:rsidR="00DD3C86" w:rsidRPr="00356117">
        <w:t>BSIFIL</w:t>
      </w:r>
      <w:r w:rsidRPr="00356117">
        <w:t xml:space="preserve">’s SPVs have entered into turnkey EPC contracts with contractors for the design and construction of the solar plants. Payments advanced to the contractors in accordance with the terms of the EPC contracts are protected through performance bonds or titles to assets for amounts greater than any payment made. At the reporting date </w:t>
      </w:r>
      <w:r w:rsidR="00DD3C86" w:rsidRPr="00356117">
        <w:t>BSIFIL</w:t>
      </w:r>
      <w:r w:rsidRPr="00356117">
        <w:t xml:space="preserve">’s SPVs held performance bonds </w:t>
      </w:r>
      <w:r w:rsidRPr="008B50FD">
        <w:t>totalling</w:t>
      </w:r>
      <w:r w:rsidR="002513C5" w:rsidRPr="008B50FD">
        <w:t xml:space="preserve"> £</w:t>
      </w:r>
      <w:r w:rsidR="008B50FD">
        <w:t>4,286,334</w:t>
      </w:r>
      <w:r w:rsidR="00AD0AAF">
        <w:t xml:space="preserve"> </w:t>
      </w:r>
      <w:r w:rsidR="002513C5" w:rsidRPr="00356117">
        <w:t>(</w:t>
      </w:r>
      <w:r w:rsidR="00904E51">
        <w:t>2019</w:t>
      </w:r>
      <w:r w:rsidR="002513C5" w:rsidRPr="00356117">
        <w:t>:</w:t>
      </w:r>
      <w:r w:rsidRPr="00356117">
        <w:t xml:space="preserve"> £</w:t>
      </w:r>
      <w:r w:rsidR="00240E64">
        <w:t>10,446,168</w:t>
      </w:r>
      <w:r w:rsidR="002513C5" w:rsidRPr="00356117">
        <w:t>)</w:t>
      </w:r>
      <w:r w:rsidR="009D7A09" w:rsidRPr="00356117">
        <w:t xml:space="preserve"> with</w:t>
      </w:r>
      <w:r w:rsidR="00ED0A33" w:rsidRPr="00356117">
        <w:t xml:space="preserve"> banks that have </w:t>
      </w:r>
      <w:r w:rsidR="001726A4">
        <w:t xml:space="preserve">a </w:t>
      </w:r>
      <w:r w:rsidR="00ED0A33" w:rsidRPr="00356117">
        <w:t xml:space="preserve">credit rating </w:t>
      </w:r>
      <w:r w:rsidR="00D8630F" w:rsidRPr="00356117">
        <w:t>which is of investment grade.</w:t>
      </w:r>
    </w:p>
    <w:p w14:paraId="0E57A8A6" w14:textId="77777777" w:rsidR="00ED0A33" w:rsidRPr="00DD3C86" w:rsidRDefault="00ED0A33" w:rsidP="00ED0A33">
      <w:pPr>
        <w:pStyle w:val="BluefieldBody"/>
      </w:pPr>
    </w:p>
    <w:p w14:paraId="53ED9629" w14:textId="06AEAAAF" w:rsidR="00ED0A33" w:rsidRPr="00DD3C86" w:rsidRDefault="00ED0A33" w:rsidP="00ED0A33">
      <w:pPr>
        <w:pStyle w:val="BluefieldBody"/>
      </w:pPr>
      <w:r w:rsidRPr="00DD3C86">
        <w:t xml:space="preserve">The </w:t>
      </w:r>
      <w:r w:rsidR="00DD3C86">
        <w:t>Company</w:t>
      </w:r>
      <w:r w:rsidRPr="00DD3C86">
        <w:t xml:space="preserve">’s credit risk exposure is due to a portion of the </w:t>
      </w:r>
      <w:r w:rsidR="00DD3C86">
        <w:t>Company</w:t>
      </w:r>
      <w:r w:rsidRPr="00DD3C86">
        <w:t xml:space="preserve">'s assets being held as cash and cash equivalents and accrued interest. The </w:t>
      </w:r>
      <w:r w:rsidR="00DD3C86">
        <w:t>Company</w:t>
      </w:r>
      <w:r w:rsidRPr="00DD3C86">
        <w:t xml:space="preserve"> maintains its cash and cash equivalents and borrowings across two different banking groups to diversify credit risk</w:t>
      </w:r>
      <w:r w:rsidR="00DD3C86">
        <w:t>. The t</w:t>
      </w:r>
      <w:r w:rsidRPr="00DD3C86">
        <w:t xml:space="preserve">otal exposure to credit risk arises from default of the counterparty and the carrying amounts of financial assets best represent the maximum credit risk exposure at the period end date. As at 30 </w:t>
      </w:r>
      <w:r w:rsidRPr="009F1159">
        <w:t xml:space="preserve">June </w:t>
      </w:r>
      <w:r w:rsidR="00904E51" w:rsidRPr="009F1159">
        <w:t>2020</w:t>
      </w:r>
      <w:r w:rsidRPr="009F1159">
        <w:t xml:space="preserve">, the maximum credit risk exposure in relation to cash and cash equivalents </w:t>
      </w:r>
      <w:r w:rsidR="00741296">
        <w:t>held by</w:t>
      </w:r>
      <w:r w:rsidR="00741296" w:rsidRPr="009F1159">
        <w:t xml:space="preserve"> </w:t>
      </w:r>
      <w:r w:rsidR="00D2365F" w:rsidRPr="009F1159">
        <w:t xml:space="preserve">the Company </w:t>
      </w:r>
      <w:r w:rsidRPr="009F1159">
        <w:t>was £</w:t>
      </w:r>
      <w:r w:rsidR="009F1159" w:rsidRPr="009F1159">
        <w:t>746</w:t>
      </w:r>
      <w:r w:rsidR="009F1159">
        <w:t xml:space="preserve">,501 </w:t>
      </w:r>
      <w:r w:rsidRPr="0024675F">
        <w:t>(</w:t>
      </w:r>
      <w:r w:rsidR="00904E51">
        <w:t>2019</w:t>
      </w:r>
      <w:r w:rsidRPr="00DD3C86">
        <w:t>: £</w:t>
      </w:r>
      <w:r w:rsidR="00240E64">
        <w:t>277,876</w:t>
      </w:r>
      <w:r w:rsidRPr="00DD3C86">
        <w:t>).</w:t>
      </w:r>
      <w:r w:rsidR="00D2365F">
        <w:t xml:space="preserve"> If the cash and cash equivalents held by BSIFIL are included this increases to </w:t>
      </w:r>
      <w:r w:rsidR="00D2365F" w:rsidRPr="009F1159">
        <w:t>£</w:t>
      </w:r>
      <w:r w:rsidR="009F1159" w:rsidRPr="009F1159">
        <w:t>17</w:t>
      </w:r>
      <w:r w:rsidR="009F1159">
        <w:t>,664,313</w:t>
      </w:r>
      <w:r w:rsidR="00D2365F">
        <w:t xml:space="preserve"> (</w:t>
      </w:r>
      <w:r w:rsidR="00904E51">
        <w:t>2019</w:t>
      </w:r>
      <w:r w:rsidR="00D2365F">
        <w:t xml:space="preserve">: </w:t>
      </w:r>
      <w:r w:rsidR="00240E64">
        <w:t>£15,744,257</w:t>
      </w:r>
      <w:r w:rsidR="00D2365F">
        <w:t xml:space="preserve">). </w:t>
      </w:r>
      <w:r w:rsidR="0003546B" w:rsidRPr="001726A4">
        <w:t>All cas</w:t>
      </w:r>
      <w:r w:rsidR="00214E43" w:rsidRPr="001726A4">
        <w:t>h and cash equivalents held by t</w:t>
      </w:r>
      <w:r w:rsidR="0003546B" w:rsidRPr="001726A4">
        <w:t xml:space="preserve">he Company and BSIFIL is </w:t>
      </w:r>
      <w:r w:rsidR="001726A4" w:rsidRPr="001726A4">
        <w:t>with</w:t>
      </w:r>
      <w:r w:rsidR="0003546B" w:rsidRPr="001726A4">
        <w:t xml:space="preserve"> banks that have </w:t>
      </w:r>
      <w:r w:rsidR="001726A4" w:rsidRPr="001726A4">
        <w:t xml:space="preserve">a </w:t>
      </w:r>
      <w:r w:rsidR="0003546B" w:rsidRPr="001726A4">
        <w:t>credit rating which is of investment grade</w:t>
      </w:r>
      <w:r w:rsidR="0003546B">
        <w:t>.</w:t>
      </w:r>
    </w:p>
    <w:p w14:paraId="5CA68307" w14:textId="77777777" w:rsidR="00152529" w:rsidRPr="00A316C7" w:rsidRDefault="00152529" w:rsidP="00ED0A33">
      <w:pPr>
        <w:pStyle w:val="BluefieldBody"/>
        <w:rPr>
          <w:highlight w:val="yellow"/>
        </w:rPr>
      </w:pPr>
    </w:p>
    <w:p w14:paraId="7AFD7F1A" w14:textId="77777777" w:rsidR="00152529" w:rsidRPr="00A316C7" w:rsidRDefault="00152529">
      <w:pPr>
        <w:rPr>
          <w:rFonts w:ascii="Georgia" w:hAnsi="Georgia"/>
          <w:color w:val="404040" w:themeColor="text1" w:themeTint="BF"/>
          <w:sz w:val="20"/>
          <w:szCs w:val="20"/>
          <w:highlight w:val="yellow"/>
        </w:rPr>
      </w:pPr>
      <w:r w:rsidRPr="00A316C7">
        <w:rPr>
          <w:highlight w:val="yellow"/>
        </w:rPr>
        <w:br w:type="page"/>
      </w:r>
    </w:p>
    <w:p w14:paraId="6ADEDC61" w14:textId="4A7DDC2B" w:rsidR="00152529" w:rsidRPr="00DD3C86" w:rsidRDefault="00152529" w:rsidP="00152529">
      <w:pPr>
        <w:pStyle w:val="Notehead1"/>
        <w:rPr>
          <w:lang w:eastAsia="en-GB"/>
        </w:rPr>
      </w:pPr>
      <w:r w:rsidRPr="00DD3C86">
        <w:rPr>
          <w:lang w:eastAsia="en-GB"/>
        </w:rPr>
        <w:lastRenderedPageBreak/>
        <w:t>1</w:t>
      </w:r>
      <w:r w:rsidR="006C2EC2" w:rsidRPr="00DD3C86">
        <w:rPr>
          <w:lang w:eastAsia="en-GB"/>
        </w:rPr>
        <w:t>5</w:t>
      </w:r>
      <w:r w:rsidRPr="00DD3C86">
        <w:rPr>
          <w:lang w:eastAsia="en-GB"/>
        </w:rPr>
        <w:t>. Risk management policies and procedures (continued)</w:t>
      </w:r>
    </w:p>
    <w:p w14:paraId="02B9530D" w14:textId="77777777" w:rsidR="00152529" w:rsidRPr="00DD3C86" w:rsidRDefault="00152529" w:rsidP="00152529">
      <w:pPr>
        <w:pStyle w:val="BluefieldBody"/>
      </w:pPr>
    </w:p>
    <w:p w14:paraId="1AB3DD16" w14:textId="77777777" w:rsidR="00152529" w:rsidRPr="00B12A72" w:rsidRDefault="00152529" w:rsidP="00152529">
      <w:pPr>
        <w:pStyle w:val="body"/>
        <w:rPr>
          <w:b/>
        </w:rPr>
      </w:pPr>
      <w:r w:rsidRPr="00B12A72">
        <w:rPr>
          <w:b/>
        </w:rPr>
        <w:t>Credit risk (continued)</w:t>
      </w:r>
    </w:p>
    <w:p w14:paraId="013553CA" w14:textId="77777777" w:rsidR="008C3745" w:rsidRPr="00B12A72" w:rsidRDefault="008C3745" w:rsidP="008C3745">
      <w:pPr>
        <w:pStyle w:val="BluefieldBody"/>
      </w:pPr>
    </w:p>
    <w:tbl>
      <w:tblPr>
        <w:tblW w:w="5000" w:type="pct"/>
        <w:tblLook w:val="04A0" w:firstRow="1" w:lastRow="0" w:firstColumn="1" w:lastColumn="0" w:noHBand="0" w:noVBand="1"/>
      </w:tblPr>
      <w:tblGrid>
        <w:gridCol w:w="2396"/>
        <w:gridCol w:w="2739"/>
        <w:gridCol w:w="32"/>
        <w:gridCol w:w="1756"/>
        <w:gridCol w:w="2437"/>
      </w:tblGrid>
      <w:tr w:rsidR="007F0145" w:rsidRPr="00B12A72" w14:paraId="3C32DC1F" w14:textId="77777777" w:rsidTr="00240E64">
        <w:trPr>
          <w:trHeight w:val="634"/>
        </w:trPr>
        <w:tc>
          <w:tcPr>
            <w:tcW w:w="1280" w:type="pct"/>
            <w:shd w:val="clear" w:color="auto" w:fill="auto"/>
            <w:noWrap/>
            <w:vAlign w:val="bottom"/>
          </w:tcPr>
          <w:p w14:paraId="75DC18BD" w14:textId="77777777" w:rsidR="007F0145" w:rsidRPr="00B12A72" w:rsidRDefault="007F0145" w:rsidP="0018287C">
            <w:pPr>
              <w:rPr>
                <w:rFonts w:ascii="Georgia" w:hAnsi="Georgia" w:cs="Arial"/>
                <w:color w:val="404040" w:themeColor="text1" w:themeTint="BF"/>
                <w:sz w:val="20"/>
                <w:szCs w:val="20"/>
                <w:lang w:eastAsia="en-GB"/>
              </w:rPr>
            </w:pPr>
          </w:p>
        </w:tc>
        <w:tc>
          <w:tcPr>
            <w:tcW w:w="1463" w:type="pct"/>
            <w:shd w:val="clear" w:color="auto" w:fill="auto"/>
            <w:vAlign w:val="bottom"/>
          </w:tcPr>
          <w:p w14:paraId="17ADF8E2" w14:textId="77777777" w:rsidR="007F0145" w:rsidRPr="00B12A72" w:rsidRDefault="007F0145" w:rsidP="0018287C">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Cash</w:t>
            </w:r>
          </w:p>
        </w:tc>
        <w:tc>
          <w:tcPr>
            <w:tcW w:w="955" w:type="pct"/>
            <w:gridSpan w:val="2"/>
            <w:shd w:val="clear" w:color="auto" w:fill="auto"/>
            <w:vAlign w:val="bottom"/>
          </w:tcPr>
          <w:p w14:paraId="0831BC9D" w14:textId="77777777" w:rsidR="007F0145" w:rsidRPr="00B12A72" w:rsidRDefault="007F0145" w:rsidP="0018287C">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Fixed deposit</w:t>
            </w:r>
          </w:p>
        </w:tc>
        <w:tc>
          <w:tcPr>
            <w:tcW w:w="1302" w:type="pct"/>
            <w:shd w:val="clear" w:color="auto" w:fill="auto"/>
            <w:vAlign w:val="bottom"/>
          </w:tcPr>
          <w:p w14:paraId="424E064E" w14:textId="77777777" w:rsidR="007F0145" w:rsidRPr="00B12A72" w:rsidRDefault="007F0145" w:rsidP="0018287C">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 xml:space="preserve">Total as at </w:t>
            </w:r>
          </w:p>
          <w:p w14:paraId="4654BF11" w14:textId="7DC80ED5" w:rsidR="007F0145" w:rsidRPr="00B12A72" w:rsidRDefault="007F0145" w:rsidP="00665AEF">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r>
      <w:tr w:rsidR="007F0145" w:rsidRPr="00B12A72" w14:paraId="7721BAE9" w14:textId="77777777" w:rsidTr="00240E64">
        <w:trPr>
          <w:trHeight w:val="255"/>
        </w:trPr>
        <w:tc>
          <w:tcPr>
            <w:tcW w:w="1280" w:type="pct"/>
            <w:tcBorders>
              <w:bottom w:val="single" w:sz="4" w:space="0" w:color="000000" w:themeColor="text1"/>
            </w:tcBorders>
            <w:shd w:val="clear" w:color="auto" w:fill="auto"/>
            <w:noWrap/>
            <w:vAlign w:val="bottom"/>
          </w:tcPr>
          <w:p w14:paraId="06336F27" w14:textId="77777777" w:rsidR="007F0145" w:rsidRPr="00B12A72" w:rsidRDefault="007F0145" w:rsidP="0018287C">
            <w:pPr>
              <w:rPr>
                <w:rFonts w:ascii="Georgia" w:hAnsi="Georgia" w:cs="Arial"/>
                <w:color w:val="404040" w:themeColor="text1" w:themeTint="BF"/>
                <w:sz w:val="20"/>
                <w:szCs w:val="20"/>
                <w:lang w:eastAsia="en-GB"/>
              </w:rPr>
            </w:pPr>
          </w:p>
        </w:tc>
        <w:tc>
          <w:tcPr>
            <w:tcW w:w="1463" w:type="pct"/>
            <w:tcBorders>
              <w:bottom w:val="single" w:sz="4" w:space="0" w:color="000000" w:themeColor="text1"/>
            </w:tcBorders>
            <w:shd w:val="clear" w:color="auto" w:fill="auto"/>
            <w:vAlign w:val="bottom"/>
          </w:tcPr>
          <w:p w14:paraId="7E3BCF21" w14:textId="61C13A2F" w:rsidR="007F0145" w:rsidRPr="00B12A72" w:rsidRDefault="007F0145" w:rsidP="0018287C">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2077C4">
              <w:rPr>
                <w:rFonts w:ascii="Georgia" w:hAnsi="Georgia" w:cs="Arial"/>
                <w:b/>
                <w:bCs/>
                <w:color w:val="404040" w:themeColor="text1" w:themeTint="BF"/>
                <w:sz w:val="20"/>
                <w:szCs w:val="20"/>
                <w:lang w:eastAsia="en-GB"/>
              </w:rPr>
              <w:t>’000</w:t>
            </w:r>
          </w:p>
        </w:tc>
        <w:tc>
          <w:tcPr>
            <w:tcW w:w="955" w:type="pct"/>
            <w:gridSpan w:val="2"/>
            <w:tcBorders>
              <w:bottom w:val="single" w:sz="4" w:space="0" w:color="000000" w:themeColor="text1"/>
            </w:tcBorders>
            <w:shd w:val="clear" w:color="auto" w:fill="auto"/>
            <w:vAlign w:val="bottom"/>
          </w:tcPr>
          <w:p w14:paraId="57862C62" w14:textId="6B8DDE3A" w:rsidR="007F0145" w:rsidRPr="00B12A72" w:rsidRDefault="007F0145" w:rsidP="0018287C">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ED6C28">
              <w:rPr>
                <w:rFonts w:ascii="Georgia" w:hAnsi="Georgia" w:cs="Arial"/>
                <w:b/>
                <w:bCs/>
                <w:color w:val="404040" w:themeColor="text1" w:themeTint="BF"/>
                <w:sz w:val="20"/>
                <w:szCs w:val="20"/>
                <w:lang w:eastAsia="en-GB"/>
              </w:rPr>
              <w:t>’000</w:t>
            </w:r>
          </w:p>
        </w:tc>
        <w:tc>
          <w:tcPr>
            <w:tcW w:w="1302" w:type="pct"/>
            <w:tcBorders>
              <w:bottom w:val="single" w:sz="4" w:space="0" w:color="000000" w:themeColor="text1"/>
            </w:tcBorders>
            <w:shd w:val="clear" w:color="auto" w:fill="auto"/>
            <w:vAlign w:val="bottom"/>
          </w:tcPr>
          <w:p w14:paraId="269682B9" w14:textId="57D477A3" w:rsidR="007F0145" w:rsidRPr="00B12A72" w:rsidRDefault="007F0145" w:rsidP="0018287C">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ED6C28">
              <w:rPr>
                <w:rFonts w:ascii="Georgia" w:hAnsi="Georgia" w:cs="Arial"/>
                <w:b/>
                <w:bCs/>
                <w:color w:val="404040" w:themeColor="text1" w:themeTint="BF"/>
                <w:sz w:val="20"/>
                <w:szCs w:val="20"/>
                <w:lang w:eastAsia="en-GB"/>
              </w:rPr>
              <w:t>’000</w:t>
            </w:r>
          </w:p>
        </w:tc>
      </w:tr>
      <w:tr w:rsidR="007F0145" w:rsidRPr="00B12A72" w14:paraId="0258290B" w14:textId="77777777" w:rsidTr="00240E64">
        <w:trPr>
          <w:trHeight w:val="157"/>
        </w:trPr>
        <w:tc>
          <w:tcPr>
            <w:tcW w:w="1280" w:type="pct"/>
            <w:tcBorders>
              <w:top w:val="single" w:sz="4" w:space="0" w:color="000000" w:themeColor="text1"/>
            </w:tcBorders>
            <w:shd w:val="clear" w:color="auto" w:fill="auto"/>
            <w:noWrap/>
            <w:vAlign w:val="bottom"/>
          </w:tcPr>
          <w:p w14:paraId="640C7654" w14:textId="77777777" w:rsidR="007F0145" w:rsidRPr="00B12A72" w:rsidRDefault="007F0145" w:rsidP="0018287C">
            <w:pPr>
              <w:rPr>
                <w:rFonts w:ascii="Georgia" w:hAnsi="Georgia" w:cs="Arial"/>
                <w:color w:val="404040" w:themeColor="text1" w:themeTint="BF"/>
                <w:sz w:val="8"/>
                <w:szCs w:val="20"/>
                <w:lang w:eastAsia="en-GB"/>
              </w:rPr>
            </w:pPr>
          </w:p>
        </w:tc>
        <w:tc>
          <w:tcPr>
            <w:tcW w:w="1463" w:type="pct"/>
            <w:tcBorders>
              <w:top w:val="single" w:sz="4" w:space="0" w:color="000000" w:themeColor="text1"/>
            </w:tcBorders>
            <w:shd w:val="clear" w:color="auto" w:fill="auto"/>
            <w:noWrap/>
            <w:vAlign w:val="bottom"/>
          </w:tcPr>
          <w:p w14:paraId="4D244DC1" w14:textId="77777777" w:rsidR="007F0145" w:rsidRPr="00B12A72" w:rsidRDefault="007F0145" w:rsidP="0018287C">
            <w:pPr>
              <w:jc w:val="right"/>
              <w:rPr>
                <w:rFonts w:ascii="Georgia" w:hAnsi="Georgia" w:cs="Arial"/>
                <w:b/>
                <w:bCs/>
                <w:color w:val="404040" w:themeColor="text1" w:themeTint="BF"/>
                <w:sz w:val="8"/>
                <w:szCs w:val="20"/>
                <w:lang w:eastAsia="en-GB"/>
              </w:rPr>
            </w:pPr>
          </w:p>
        </w:tc>
        <w:tc>
          <w:tcPr>
            <w:tcW w:w="955" w:type="pct"/>
            <w:gridSpan w:val="2"/>
            <w:tcBorders>
              <w:top w:val="single" w:sz="4" w:space="0" w:color="000000" w:themeColor="text1"/>
            </w:tcBorders>
            <w:shd w:val="clear" w:color="auto" w:fill="auto"/>
            <w:noWrap/>
            <w:vAlign w:val="bottom"/>
          </w:tcPr>
          <w:p w14:paraId="04C7CBC5" w14:textId="77777777" w:rsidR="007F0145" w:rsidRPr="00B12A72" w:rsidRDefault="007F0145" w:rsidP="0018287C">
            <w:pPr>
              <w:jc w:val="right"/>
              <w:rPr>
                <w:rFonts w:ascii="Georgia" w:hAnsi="Georgia" w:cs="Arial"/>
                <w:b/>
                <w:bCs/>
                <w:color w:val="404040" w:themeColor="text1" w:themeTint="BF"/>
                <w:sz w:val="8"/>
                <w:szCs w:val="20"/>
                <w:lang w:eastAsia="en-GB"/>
              </w:rPr>
            </w:pPr>
          </w:p>
        </w:tc>
        <w:tc>
          <w:tcPr>
            <w:tcW w:w="1302" w:type="pct"/>
            <w:tcBorders>
              <w:top w:val="single" w:sz="4" w:space="0" w:color="000000" w:themeColor="text1"/>
            </w:tcBorders>
            <w:shd w:val="clear" w:color="auto" w:fill="auto"/>
            <w:noWrap/>
            <w:vAlign w:val="bottom"/>
          </w:tcPr>
          <w:p w14:paraId="73B859C1" w14:textId="77777777" w:rsidR="007F0145" w:rsidRPr="00B12A72" w:rsidRDefault="007F0145" w:rsidP="0018287C">
            <w:pPr>
              <w:jc w:val="right"/>
              <w:rPr>
                <w:rFonts w:ascii="Georgia" w:hAnsi="Georgia" w:cs="Arial"/>
                <w:b/>
                <w:bCs/>
                <w:color w:val="404040" w:themeColor="text1" w:themeTint="BF"/>
                <w:sz w:val="8"/>
                <w:szCs w:val="20"/>
                <w:lang w:eastAsia="en-GB"/>
              </w:rPr>
            </w:pPr>
          </w:p>
        </w:tc>
      </w:tr>
      <w:tr w:rsidR="007F0145" w:rsidRPr="007428E1" w14:paraId="4A9D4B8B" w14:textId="77777777" w:rsidTr="00240E64">
        <w:trPr>
          <w:trHeight w:val="496"/>
        </w:trPr>
        <w:tc>
          <w:tcPr>
            <w:tcW w:w="1280" w:type="pct"/>
            <w:shd w:val="clear" w:color="auto" w:fill="auto"/>
            <w:vAlign w:val="center"/>
          </w:tcPr>
          <w:p w14:paraId="0B2B3C14" w14:textId="77777777" w:rsidR="007F0145" w:rsidRPr="00B12A72" w:rsidRDefault="007F0145" w:rsidP="0018287C">
            <w:pPr>
              <w:rPr>
                <w:rFonts w:ascii="Georgia" w:hAnsi="Georgia"/>
                <w:color w:val="404040" w:themeColor="text1" w:themeTint="BF"/>
                <w:sz w:val="20"/>
              </w:rPr>
            </w:pPr>
            <w:r w:rsidRPr="00B12A72">
              <w:rPr>
                <w:rFonts w:ascii="Georgia" w:hAnsi="Georgia"/>
                <w:color w:val="404040" w:themeColor="text1" w:themeTint="BF"/>
                <w:sz w:val="20"/>
              </w:rPr>
              <w:t>RBSI</w:t>
            </w:r>
          </w:p>
        </w:tc>
        <w:tc>
          <w:tcPr>
            <w:tcW w:w="1463" w:type="pct"/>
            <w:shd w:val="clear" w:color="auto" w:fill="auto"/>
            <w:noWrap/>
            <w:vAlign w:val="center"/>
          </w:tcPr>
          <w:p w14:paraId="14AC7DC6" w14:textId="6EFF557A" w:rsidR="007F0145" w:rsidRPr="00FE45D0" w:rsidRDefault="00FE45D0" w:rsidP="00D97C5D">
            <w:pPr>
              <w:jc w:val="right"/>
              <w:rPr>
                <w:rFonts w:ascii="Georgia" w:hAnsi="Georgia" w:cs="Arial"/>
                <w:color w:val="404040" w:themeColor="text1" w:themeTint="BF"/>
                <w:sz w:val="20"/>
                <w:szCs w:val="20"/>
              </w:rPr>
            </w:pPr>
            <w:r w:rsidRPr="00FE45D0">
              <w:rPr>
                <w:rFonts w:ascii="Georgia" w:hAnsi="Georgia" w:cs="Arial"/>
                <w:color w:val="404040" w:themeColor="text1" w:themeTint="BF"/>
                <w:sz w:val="20"/>
                <w:szCs w:val="20"/>
              </w:rPr>
              <w:t>443</w:t>
            </w:r>
          </w:p>
        </w:tc>
        <w:tc>
          <w:tcPr>
            <w:tcW w:w="955" w:type="pct"/>
            <w:gridSpan w:val="2"/>
            <w:shd w:val="clear" w:color="auto" w:fill="auto"/>
            <w:noWrap/>
            <w:vAlign w:val="center"/>
          </w:tcPr>
          <w:p w14:paraId="3861C95F" w14:textId="4DC77937" w:rsidR="007F0145" w:rsidRPr="00FE45D0" w:rsidRDefault="007F0145" w:rsidP="00D97C5D">
            <w:pPr>
              <w:jc w:val="right"/>
              <w:rPr>
                <w:rFonts w:ascii="Georgia" w:hAnsi="Georgia" w:cs="Arial"/>
                <w:color w:val="404040" w:themeColor="text1" w:themeTint="BF"/>
                <w:sz w:val="20"/>
                <w:szCs w:val="20"/>
              </w:rPr>
            </w:pPr>
            <w:r w:rsidRPr="00FE45D0">
              <w:rPr>
                <w:rFonts w:ascii="Georgia" w:hAnsi="Georgia" w:cs="Arial"/>
                <w:color w:val="404040" w:themeColor="text1" w:themeTint="BF"/>
                <w:sz w:val="20"/>
                <w:szCs w:val="20"/>
              </w:rPr>
              <w:t>-</w:t>
            </w:r>
          </w:p>
        </w:tc>
        <w:tc>
          <w:tcPr>
            <w:tcW w:w="1302" w:type="pct"/>
            <w:shd w:val="clear" w:color="auto" w:fill="auto"/>
            <w:noWrap/>
            <w:vAlign w:val="center"/>
          </w:tcPr>
          <w:p w14:paraId="64F29DD1" w14:textId="08B427D4" w:rsidR="007F0145" w:rsidRPr="00FE45D0" w:rsidRDefault="00FE45D0" w:rsidP="00D97C5D">
            <w:pPr>
              <w:jc w:val="right"/>
              <w:rPr>
                <w:rFonts w:ascii="Georgia" w:hAnsi="Georgia" w:cs="Arial"/>
                <w:color w:val="404040" w:themeColor="text1" w:themeTint="BF"/>
                <w:sz w:val="20"/>
                <w:szCs w:val="20"/>
              </w:rPr>
            </w:pPr>
            <w:r w:rsidRPr="00FE45D0">
              <w:rPr>
                <w:rFonts w:ascii="Georgia" w:hAnsi="Georgia" w:cs="Arial"/>
                <w:color w:val="404040" w:themeColor="text1" w:themeTint="BF"/>
                <w:sz w:val="20"/>
                <w:szCs w:val="20"/>
              </w:rPr>
              <w:t>443</w:t>
            </w:r>
          </w:p>
        </w:tc>
      </w:tr>
      <w:tr w:rsidR="007F0145" w:rsidRPr="007428E1" w14:paraId="1A679FA5" w14:textId="77777777" w:rsidTr="00240E64">
        <w:trPr>
          <w:trHeight w:val="496"/>
        </w:trPr>
        <w:tc>
          <w:tcPr>
            <w:tcW w:w="1280" w:type="pct"/>
            <w:tcBorders>
              <w:bottom w:val="single" w:sz="4" w:space="0" w:color="000000" w:themeColor="text1"/>
            </w:tcBorders>
            <w:shd w:val="clear" w:color="auto" w:fill="auto"/>
            <w:vAlign w:val="center"/>
          </w:tcPr>
          <w:p w14:paraId="70A2ADF9" w14:textId="77777777" w:rsidR="007F0145" w:rsidRPr="00B12A72" w:rsidRDefault="007F0145" w:rsidP="007428E1">
            <w:pPr>
              <w:rPr>
                <w:rFonts w:ascii="Georgia" w:hAnsi="Georgia" w:cs="Arial"/>
                <w:color w:val="404040" w:themeColor="text1" w:themeTint="BF"/>
                <w:sz w:val="20"/>
                <w:szCs w:val="20"/>
                <w:lang w:eastAsia="en-GB"/>
              </w:rPr>
            </w:pPr>
            <w:r w:rsidRPr="00B12A72">
              <w:rPr>
                <w:rFonts w:ascii="Georgia" w:hAnsi="Georgia"/>
                <w:color w:val="404040" w:themeColor="text1" w:themeTint="BF"/>
                <w:sz w:val="20"/>
              </w:rPr>
              <w:t>Lloyds</w:t>
            </w:r>
          </w:p>
        </w:tc>
        <w:tc>
          <w:tcPr>
            <w:tcW w:w="1463" w:type="pct"/>
            <w:tcBorders>
              <w:bottom w:val="single" w:sz="4" w:space="0" w:color="000000" w:themeColor="text1"/>
            </w:tcBorders>
            <w:shd w:val="clear" w:color="auto" w:fill="auto"/>
            <w:noWrap/>
            <w:vAlign w:val="center"/>
          </w:tcPr>
          <w:p w14:paraId="2BF92517" w14:textId="13785649" w:rsidR="007F0145" w:rsidRPr="00FE45D0" w:rsidRDefault="007F0145" w:rsidP="007428E1">
            <w:pPr>
              <w:jc w:val="right"/>
              <w:rPr>
                <w:rFonts w:ascii="Georgia" w:hAnsi="Georgia"/>
                <w:color w:val="404040" w:themeColor="text1" w:themeTint="BF"/>
                <w:sz w:val="20"/>
              </w:rPr>
            </w:pPr>
            <w:r w:rsidRPr="00FE45D0">
              <w:rPr>
                <w:rFonts w:ascii="Georgia" w:hAnsi="Georgia"/>
                <w:color w:val="404040" w:themeColor="text1" w:themeTint="BF"/>
                <w:sz w:val="20"/>
              </w:rPr>
              <w:t>-</w:t>
            </w:r>
          </w:p>
        </w:tc>
        <w:tc>
          <w:tcPr>
            <w:tcW w:w="955" w:type="pct"/>
            <w:gridSpan w:val="2"/>
            <w:tcBorders>
              <w:bottom w:val="single" w:sz="4" w:space="0" w:color="000000" w:themeColor="text1"/>
            </w:tcBorders>
            <w:shd w:val="clear" w:color="auto" w:fill="auto"/>
            <w:noWrap/>
            <w:vAlign w:val="center"/>
          </w:tcPr>
          <w:p w14:paraId="1010B21C" w14:textId="7E51ED26" w:rsidR="007F0145" w:rsidRPr="00FE45D0" w:rsidRDefault="00594AA0" w:rsidP="007428E1">
            <w:pPr>
              <w:jc w:val="right"/>
              <w:rPr>
                <w:rFonts w:ascii="Georgia" w:hAnsi="Georgia"/>
                <w:color w:val="404040" w:themeColor="text1" w:themeTint="BF"/>
                <w:sz w:val="20"/>
              </w:rPr>
            </w:pPr>
            <w:r>
              <w:rPr>
                <w:rFonts w:ascii="Georgia" w:hAnsi="Georgia"/>
                <w:color w:val="404040" w:themeColor="text1" w:themeTint="BF"/>
                <w:sz w:val="20"/>
              </w:rPr>
              <w:t>304</w:t>
            </w:r>
          </w:p>
        </w:tc>
        <w:tc>
          <w:tcPr>
            <w:tcW w:w="1302" w:type="pct"/>
            <w:tcBorders>
              <w:bottom w:val="single" w:sz="4" w:space="0" w:color="000000" w:themeColor="text1"/>
            </w:tcBorders>
            <w:shd w:val="clear" w:color="auto" w:fill="auto"/>
            <w:noWrap/>
            <w:vAlign w:val="center"/>
          </w:tcPr>
          <w:p w14:paraId="303FCB51" w14:textId="04C850B9" w:rsidR="007F0145" w:rsidRPr="00FE45D0" w:rsidRDefault="00594AA0" w:rsidP="007428E1">
            <w:pPr>
              <w:jc w:val="right"/>
              <w:rPr>
                <w:rFonts w:ascii="Georgia" w:hAnsi="Georgia"/>
                <w:color w:val="404040" w:themeColor="text1" w:themeTint="BF"/>
                <w:sz w:val="20"/>
              </w:rPr>
            </w:pPr>
            <w:r>
              <w:rPr>
                <w:rFonts w:ascii="Georgia" w:hAnsi="Georgia"/>
                <w:color w:val="404040" w:themeColor="text1" w:themeTint="BF"/>
                <w:sz w:val="20"/>
              </w:rPr>
              <w:t>304</w:t>
            </w:r>
          </w:p>
        </w:tc>
      </w:tr>
      <w:tr w:rsidR="007F0145" w:rsidRPr="007428E1" w14:paraId="5F48EFE2" w14:textId="77777777" w:rsidTr="00240E64">
        <w:trPr>
          <w:trHeight w:val="373"/>
        </w:trPr>
        <w:tc>
          <w:tcPr>
            <w:tcW w:w="1280" w:type="pct"/>
            <w:tcBorders>
              <w:top w:val="single" w:sz="4" w:space="0" w:color="000000" w:themeColor="text1"/>
            </w:tcBorders>
            <w:shd w:val="clear" w:color="auto" w:fill="auto"/>
            <w:noWrap/>
            <w:vAlign w:val="center"/>
          </w:tcPr>
          <w:p w14:paraId="14643FC8" w14:textId="77777777" w:rsidR="007F0145" w:rsidRPr="00B12A72" w:rsidRDefault="007F0145" w:rsidP="0018287C">
            <w:pPr>
              <w:jc w:val="right"/>
              <w:rPr>
                <w:rFonts w:ascii="Georgia" w:hAnsi="Georgia" w:cs="Arial"/>
                <w:b/>
                <w:bCs/>
                <w:color w:val="404040" w:themeColor="text1" w:themeTint="BF"/>
                <w:sz w:val="20"/>
                <w:szCs w:val="20"/>
                <w:lang w:eastAsia="en-GB"/>
              </w:rPr>
            </w:pPr>
          </w:p>
        </w:tc>
        <w:tc>
          <w:tcPr>
            <w:tcW w:w="1463" w:type="pct"/>
            <w:tcBorders>
              <w:top w:val="single" w:sz="4" w:space="0" w:color="000000" w:themeColor="text1"/>
              <w:bottom w:val="double" w:sz="4" w:space="0" w:color="auto"/>
            </w:tcBorders>
            <w:shd w:val="clear" w:color="auto" w:fill="auto"/>
            <w:noWrap/>
            <w:vAlign w:val="center"/>
          </w:tcPr>
          <w:p w14:paraId="64EF9007" w14:textId="3E09295B" w:rsidR="007F0145" w:rsidRPr="00FE45D0" w:rsidRDefault="00FE45D0" w:rsidP="00D97C5D">
            <w:pPr>
              <w:jc w:val="right"/>
              <w:rPr>
                <w:rFonts w:ascii="Georgia" w:hAnsi="Georgia"/>
                <w:b/>
                <w:color w:val="404040" w:themeColor="text1" w:themeTint="BF"/>
                <w:sz w:val="20"/>
              </w:rPr>
            </w:pPr>
            <w:r w:rsidRPr="00FE45D0">
              <w:rPr>
                <w:rFonts w:ascii="Georgia" w:hAnsi="Georgia"/>
                <w:b/>
                <w:color w:val="404040" w:themeColor="text1" w:themeTint="BF"/>
                <w:sz w:val="20"/>
              </w:rPr>
              <w:t>443</w:t>
            </w:r>
          </w:p>
        </w:tc>
        <w:tc>
          <w:tcPr>
            <w:tcW w:w="955" w:type="pct"/>
            <w:gridSpan w:val="2"/>
            <w:tcBorders>
              <w:top w:val="single" w:sz="4" w:space="0" w:color="000000" w:themeColor="text1"/>
              <w:bottom w:val="double" w:sz="4" w:space="0" w:color="auto"/>
            </w:tcBorders>
            <w:shd w:val="clear" w:color="auto" w:fill="auto"/>
            <w:noWrap/>
            <w:vAlign w:val="center"/>
          </w:tcPr>
          <w:p w14:paraId="55755B78" w14:textId="622D8B7D" w:rsidR="007F0145" w:rsidRPr="00FE45D0" w:rsidRDefault="00594AA0" w:rsidP="00D97C5D">
            <w:pPr>
              <w:jc w:val="right"/>
              <w:rPr>
                <w:rFonts w:ascii="Georgia" w:hAnsi="Georgia"/>
                <w:b/>
                <w:color w:val="404040" w:themeColor="text1" w:themeTint="BF"/>
                <w:sz w:val="20"/>
              </w:rPr>
            </w:pPr>
            <w:r>
              <w:rPr>
                <w:rFonts w:ascii="Georgia" w:hAnsi="Georgia"/>
                <w:b/>
                <w:color w:val="404040" w:themeColor="text1" w:themeTint="BF"/>
                <w:sz w:val="20"/>
              </w:rPr>
              <w:t>304</w:t>
            </w:r>
          </w:p>
        </w:tc>
        <w:tc>
          <w:tcPr>
            <w:tcW w:w="1302" w:type="pct"/>
            <w:tcBorders>
              <w:top w:val="single" w:sz="4" w:space="0" w:color="000000" w:themeColor="text1"/>
              <w:bottom w:val="double" w:sz="4" w:space="0" w:color="auto"/>
            </w:tcBorders>
            <w:shd w:val="clear" w:color="auto" w:fill="auto"/>
            <w:noWrap/>
            <w:vAlign w:val="center"/>
          </w:tcPr>
          <w:p w14:paraId="2F4759B3" w14:textId="60A1687F" w:rsidR="007F0145" w:rsidRPr="00FE45D0" w:rsidRDefault="00594AA0" w:rsidP="00D97C5D">
            <w:pPr>
              <w:jc w:val="right"/>
              <w:rPr>
                <w:rFonts w:ascii="Georgia" w:hAnsi="Georgia"/>
                <w:b/>
                <w:color w:val="404040" w:themeColor="text1" w:themeTint="BF"/>
                <w:sz w:val="20"/>
              </w:rPr>
            </w:pPr>
            <w:r>
              <w:rPr>
                <w:rFonts w:ascii="Georgia" w:hAnsi="Georgia"/>
                <w:b/>
                <w:color w:val="404040" w:themeColor="text1" w:themeTint="BF"/>
                <w:sz w:val="20"/>
              </w:rPr>
              <w:t>747</w:t>
            </w:r>
          </w:p>
        </w:tc>
      </w:tr>
      <w:tr w:rsidR="007F0145" w:rsidRPr="00B12A72" w14:paraId="50CEB925" w14:textId="77777777" w:rsidTr="00240E64">
        <w:trPr>
          <w:trHeight w:val="765"/>
        </w:trPr>
        <w:tc>
          <w:tcPr>
            <w:tcW w:w="1280" w:type="pct"/>
            <w:shd w:val="clear" w:color="auto" w:fill="auto"/>
            <w:noWrap/>
            <w:vAlign w:val="bottom"/>
          </w:tcPr>
          <w:p w14:paraId="0C27925D" w14:textId="77777777" w:rsidR="007F0145" w:rsidRPr="00B12A72" w:rsidRDefault="007F0145" w:rsidP="00DF7545">
            <w:pPr>
              <w:rPr>
                <w:rFonts w:ascii="Georgia" w:hAnsi="Georgia" w:cs="Arial"/>
                <w:color w:val="404040" w:themeColor="text1" w:themeTint="BF"/>
                <w:sz w:val="20"/>
                <w:szCs w:val="20"/>
                <w:lang w:eastAsia="en-GB"/>
              </w:rPr>
            </w:pPr>
          </w:p>
        </w:tc>
        <w:tc>
          <w:tcPr>
            <w:tcW w:w="1480" w:type="pct"/>
            <w:gridSpan w:val="2"/>
            <w:tcBorders>
              <w:top w:val="double" w:sz="4" w:space="0" w:color="auto"/>
            </w:tcBorders>
            <w:shd w:val="clear" w:color="auto" w:fill="auto"/>
            <w:vAlign w:val="bottom"/>
          </w:tcPr>
          <w:p w14:paraId="6526A46B" w14:textId="77777777" w:rsidR="007F0145" w:rsidRPr="00B12A72" w:rsidRDefault="007F0145" w:rsidP="00DF7545">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Cash</w:t>
            </w:r>
          </w:p>
        </w:tc>
        <w:tc>
          <w:tcPr>
            <w:tcW w:w="938" w:type="pct"/>
            <w:tcBorders>
              <w:top w:val="double" w:sz="4" w:space="0" w:color="auto"/>
            </w:tcBorders>
            <w:shd w:val="clear" w:color="auto" w:fill="auto"/>
            <w:vAlign w:val="bottom"/>
          </w:tcPr>
          <w:p w14:paraId="167E8446" w14:textId="77777777" w:rsidR="007F0145" w:rsidRPr="00B12A72" w:rsidRDefault="007F0145" w:rsidP="00DF7545">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Fixed deposit</w:t>
            </w:r>
          </w:p>
        </w:tc>
        <w:tc>
          <w:tcPr>
            <w:tcW w:w="1302" w:type="pct"/>
            <w:tcBorders>
              <w:top w:val="double" w:sz="4" w:space="0" w:color="auto"/>
            </w:tcBorders>
            <w:shd w:val="clear" w:color="auto" w:fill="auto"/>
            <w:vAlign w:val="bottom"/>
          </w:tcPr>
          <w:p w14:paraId="7456FDFB" w14:textId="77777777" w:rsidR="007F0145" w:rsidRPr="00B12A72" w:rsidRDefault="007F0145" w:rsidP="001244AF">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 xml:space="preserve">Total as at </w:t>
            </w:r>
          </w:p>
          <w:p w14:paraId="485A71DB" w14:textId="1BEBBE61" w:rsidR="007F0145" w:rsidRPr="00B12A72" w:rsidRDefault="007F0145" w:rsidP="00665AEF">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tc>
      </w:tr>
      <w:tr w:rsidR="007F0145" w:rsidRPr="00B12A72" w14:paraId="69A36BC0" w14:textId="77777777" w:rsidTr="00240E64">
        <w:trPr>
          <w:trHeight w:val="255"/>
        </w:trPr>
        <w:tc>
          <w:tcPr>
            <w:tcW w:w="1280" w:type="pct"/>
            <w:tcBorders>
              <w:bottom w:val="single" w:sz="4" w:space="0" w:color="000000" w:themeColor="text1"/>
            </w:tcBorders>
            <w:shd w:val="clear" w:color="auto" w:fill="auto"/>
            <w:noWrap/>
            <w:vAlign w:val="bottom"/>
          </w:tcPr>
          <w:p w14:paraId="25A1B16F" w14:textId="77777777" w:rsidR="007F0145" w:rsidRPr="00B12A72" w:rsidRDefault="007F0145" w:rsidP="00DF7545">
            <w:pPr>
              <w:rPr>
                <w:rFonts w:ascii="Georgia" w:hAnsi="Georgia" w:cs="Arial"/>
                <w:color w:val="404040" w:themeColor="text1" w:themeTint="BF"/>
                <w:sz w:val="20"/>
                <w:szCs w:val="20"/>
                <w:lang w:eastAsia="en-GB"/>
              </w:rPr>
            </w:pPr>
          </w:p>
        </w:tc>
        <w:tc>
          <w:tcPr>
            <w:tcW w:w="1480" w:type="pct"/>
            <w:gridSpan w:val="2"/>
            <w:tcBorders>
              <w:bottom w:val="single" w:sz="4" w:space="0" w:color="000000" w:themeColor="text1"/>
            </w:tcBorders>
            <w:shd w:val="clear" w:color="auto" w:fill="auto"/>
            <w:vAlign w:val="bottom"/>
          </w:tcPr>
          <w:p w14:paraId="4720C5DE" w14:textId="180F52CF" w:rsidR="007F0145" w:rsidRPr="00B12A72" w:rsidRDefault="007F0145" w:rsidP="00DF7545">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2077C4">
              <w:rPr>
                <w:rFonts w:ascii="Georgia" w:hAnsi="Georgia" w:cs="Arial"/>
                <w:b/>
                <w:bCs/>
                <w:color w:val="404040" w:themeColor="text1" w:themeTint="BF"/>
                <w:sz w:val="20"/>
                <w:szCs w:val="20"/>
                <w:lang w:eastAsia="en-GB"/>
              </w:rPr>
              <w:t>’000</w:t>
            </w:r>
          </w:p>
        </w:tc>
        <w:tc>
          <w:tcPr>
            <w:tcW w:w="938" w:type="pct"/>
            <w:tcBorders>
              <w:bottom w:val="single" w:sz="4" w:space="0" w:color="000000" w:themeColor="text1"/>
            </w:tcBorders>
            <w:shd w:val="clear" w:color="auto" w:fill="auto"/>
            <w:vAlign w:val="bottom"/>
          </w:tcPr>
          <w:p w14:paraId="4F53A79F" w14:textId="388B0812" w:rsidR="007F0145" w:rsidRPr="00B12A72" w:rsidRDefault="007F0145" w:rsidP="00DF7545">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2077C4">
              <w:rPr>
                <w:rFonts w:ascii="Georgia" w:hAnsi="Georgia" w:cs="Arial"/>
                <w:b/>
                <w:bCs/>
                <w:color w:val="404040" w:themeColor="text1" w:themeTint="BF"/>
                <w:sz w:val="20"/>
                <w:szCs w:val="20"/>
                <w:lang w:eastAsia="en-GB"/>
              </w:rPr>
              <w:t>’000</w:t>
            </w:r>
          </w:p>
        </w:tc>
        <w:tc>
          <w:tcPr>
            <w:tcW w:w="1302" w:type="pct"/>
            <w:tcBorders>
              <w:bottom w:val="single" w:sz="4" w:space="0" w:color="000000" w:themeColor="text1"/>
            </w:tcBorders>
            <w:shd w:val="clear" w:color="auto" w:fill="auto"/>
            <w:vAlign w:val="bottom"/>
          </w:tcPr>
          <w:p w14:paraId="0B7A3081" w14:textId="4DCC8DE8" w:rsidR="007F0145" w:rsidRPr="00B12A72" w:rsidRDefault="007F0145" w:rsidP="00DF7545">
            <w:pPr>
              <w:jc w:val="right"/>
              <w:rPr>
                <w:rFonts w:ascii="Georgia" w:hAnsi="Georgia" w:cs="Arial"/>
                <w:b/>
                <w:bCs/>
                <w:color w:val="404040" w:themeColor="text1" w:themeTint="BF"/>
                <w:sz w:val="20"/>
                <w:szCs w:val="20"/>
                <w:lang w:eastAsia="en-GB"/>
              </w:rPr>
            </w:pPr>
            <w:r w:rsidRPr="00B12A72">
              <w:rPr>
                <w:rFonts w:ascii="Georgia" w:hAnsi="Georgia" w:cs="Arial"/>
                <w:b/>
                <w:bCs/>
                <w:color w:val="404040" w:themeColor="text1" w:themeTint="BF"/>
                <w:sz w:val="20"/>
                <w:szCs w:val="20"/>
                <w:lang w:eastAsia="en-GB"/>
              </w:rPr>
              <w:t>£</w:t>
            </w:r>
            <w:r w:rsidR="002077C4">
              <w:rPr>
                <w:rFonts w:ascii="Georgia" w:hAnsi="Georgia" w:cs="Arial"/>
                <w:b/>
                <w:bCs/>
                <w:color w:val="404040" w:themeColor="text1" w:themeTint="BF"/>
                <w:sz w:val="20"/>
                <w:szCs w:val="20"/>
                <w:lang w:eastAsia="en-GB"/>
              </w:rPr>
              <w:t>’000</w:t>
            </w:r>
          </w:p>
        </w:tc>
      </w:tr>
      <w:tr w:rsidR="007F0145" w:rsidRPr="00B12A72" w14:paraId="62255ECB" w14:textId="77777777" w:rsidTr="00240E64">
        <w:trPr>
          <w:trHeight w:val="201"/>
        </w:trPr>
        <w:tc>
          <w:tcPr>
            <w:tcW w:w="1280" w:type="pct"/>
            <w:tcBorders>
              <w:top w:val="single" w:sz="4" w:space="0" w:color="000000" w:themeColor="text1"/>
            </w:tcBorders>
            <w:shd w:val="clear" w:color="auto" w:fill="auto"/>
            <w:noWrap/>
            <w:vAlign w:val="bottom"/>
          </w:tcPr>
          <w:p w14:paraId="3D698901" w14:textId="77777777" w:rsidR="007F0145" w:rsidRPr="00B12A72" w:rsidRDefault="007F0145" w:rsidP="00DF7545">
            <w:pPr>
              <w:rPr>
                <w:rFonts w:ascii="Georgia" w:hAnsi="Georgia" w:cs="Arial"/>
                <w:color w:val="404040" w:themeColor="text1" w:themeTint="BF"/>
                <w:sz w:val="8"/>
                <w:szCs w:val="20"/>
                <w:lang w:eastAsia="en-GB"/>
              </w:rPr>
            </w:pPr>
          </w:p>
        </w:tc>
        <w:tc>
          <w:tcPr>
            <w:tcW w:w="1480" w:type="pct"/>
            <w:gridSpan w:val="2"/>
            <w:tcBorders>
              <w:top w:val="single" w:sz="4" w:space="0" w:color="000000" w:themeColor="text1"/>
            </w:tcBorders>
            <w:shd w:val="clear" w:color="auto" w:fill="auto"/>
            <w:noWrap/>
            <w:vAlign w:val="bottom"/>
          </w:tcPr>
          <w:p w14:paraId="14B9C68E" w14:textId="77777777" w:rsidR="007F0145" w:rsidRPr="00B12A72" w:rsidRDefault="007F0145" w:rsidP="00DF7545">
            <w:pPr>
              <w:jc w:val="right"/>
              <w:rPr>
                <w:rFonts w:ascii="Georgia" w:hAnsi="Georgia" w:cs="Arial"/>
                <w:b/>
                <w:bCs/>
                <w:color w:val="404040" w:themeColor="text1" w:themeTint="BF"/>
                <w:sz w:val="8"/>
                <w:szCs w:val="20"/>
                <w:lang w:eastAsia="en-GB"/>
              </w:rPr>
            </w:pPr>
          </w:p>
        </w:tc>
        <w:tc>
          <w:tcPr>
            <w:tcW w:w="938" w:type="pct"/>
            <w:tcBorders>
              <w:top w:val="single" w:sz="4" w:space="0" w:color="000000" w:themeColor="text1"/>
            </w:tcBorders>
            <w:shd w:val="clear" w:color="auto" w:fill="auto"/>
            <w:noWrap/>
            <w:vAlign w:val="bottom"/>
          </w:tcPr>
          <w:p w14:paraId="3602EB3C" w14:textId="77777777" w:rsidR="007F0145" w:rsidRPr="00B12A72" w:rsidRDefault="007F0145" w:rsidP="00DF7545">
            <w:pPr>
              <w:jc w:val="right"/>
              <w:rPr>
                <w:rFonts w:ascii="Georgia" w:hAnsi="Georgia" w:cs="Arial"/>
                <w:b/>
                <w:bCs/>
                <w:color w:val="404040" w:themeColor="text1" w:themeTint="BF"/>
                <w:sz w:val="8"/>
                <w:szCs w:val="20"/>
                <w:lang w:eastAsia="en-GB"/>
              </w:rPr>
            </w:pPr>
          </w:p>
        </w:tc>
        <w:tc>
          <w:tcPr>
            <w:tcW w:w="1302" w:type="pct"/>
            <w:tcBorders>
              <w:top w:val="single" w:sz="4" w:space="0" w:color="000000" w:themeColor="text1"/>
            </w:tcBorders>
            <w:shd w:val="clear" w:color="auto" w:fill="auto"/>
            <w:noWrap/>
            <w:vAlign w:val="bottom"/>
          </w:tcPr>
          <w:p w14:paraId="15185945" w14:textId="77777777" w:rsidR="007F0145" w:rsidRPr="00B12A72" w:rsidRDefault="007F0145" w:rsidP="00DF7545">
            <w:pPr>
              <w:jc w:val="right"/>
              <w:rPr>
                <w:rFonts w:ascii="Georgia" w:hAnsi="Georgia" w:cs="Arial"/>
                <w:b/>
                <w:bCs/>
                <w:color w:val="404040" w:themeColor="text1" w:themeTint="BF"/>
                <w:sz w:val="8"/>
                <w:szCs w:val="20"/>
                <w:lang w:eastAsia="en-GB"/>
              </w:rPr>
            </w:pPr>
          </w:p>
        </w:tc>
      </w:tr>
      <w:tr w:rsidR="00240E64" w:rsidRPr="00B12A72" w14:paraId="3781CB47" w14:textId="77777777" w:rsidTr="00240E64">
        <w:trPr>
          <w:trHeight w:val="496"/>
        </w:trPr>
        <w:tc>
          <w:tcPr>
            <w:tcW w:w="1280" w:type="pct"/>
            <w:shd w:val="clear" w:color="auto" w:fill="auto"/>
            <w:vAlign w:val="center"/>
          </w:tcPr>
          <w:p w14:paraId="4EB26A76" w14:textId="77777777" w:rsidR="00240E64" w:rsidRPr="00B12A72" w:rsidRDefault="00240E64" w:rsidP="00240E64">
            <w:pPr>
              <w:rPr>
                <w:rFonts w:ascii="Georgia" w:hAnsi="Georgia" w:cs="Arial"/>
                <w:color w:val="404040" w:themeColor="text1" w:themeTint="BF"/>
                <w:sz w:val="20"/>
                <w:szCs w:val="20"/>
                <w:lang w:eastAsia="en-GB"/>
              </w:rPr>
            </w:pPr>
            <w:r w:rsidRPr="00B12A72">
              <w:rPr>
                <w:rFonts w:ascii="Georgia" w:hAnsi="Georgia" w:cs="Arial"/>
                <w:color w:val="404040" w:themeColor="text1" w:themeTint="BF"/>
                <w:sz w:val="20"/>
                <w:szCs w:val="20"/>
                <w:lang w:eastAsia="en-GB"/>
              </w:rPr>
              <w:t>RBSI</w:t>
            </w:r>
          </w:p>
        </w:tc>
        <w:tc>
          <w:tcPr>
            <w:tcW w:w="1480" w:type="pct"/>
            <w:gridSpan w:val="2"/>
            <w:shd w:val="clear" w:color="auto" w:fill="auto"/>
            <w:noWrap/>
            <w:vAlign w:val="center"/>
          </w:tcPr>
          <w:p w14:paraId="2DAB0D1B" w14:textId="2AFF60FE" w:rsidR="00240E64" w:rsidRPr="00B12A72" w:rsidRDefault="002077C4" w:rsidP="00240E64">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rPr>
              <w:t>277</w:t>
            </w:r>
          </w:p>
        </w:tc>
        <w:tc>
          <w:tcPr>
            <w:tcW w:w="938" w:type="pct"/>
            <w:shd w:val="clear" w:color="auto" w:fill="auto"/>
            <w:noWrap/>
            <w:vAlign w:val="center"/>
          </w:tcPr>
          <w:p w14:paraId="16228F4A" w14:textId="187BC4B0" w:rsidR="00240E64" w:rsidRPr="00B12A72" w:rsidRDefault="00240E64" w:rsidP="00240E64">
            <w:pPr>
              <w:jc w:val="right"/>
              <w:rPr>
                <w:rFonts w:ascii="Georgia" w:hAnsi="Georgia" w:cs="Arial"/>
                <w:color w:val="404040" w:themeColor="text1" w:themeTint="BF"/>
                <w:sz w:val="20"/>
                <w:szCs w:val="20"/>
                <w:lang w:eastAsia="en-GB"/>
              </w:rPr>
            </w:pPr>
            <w:r w:rsidRPr="007428E1">
              <w:rPr>
                <w:rFonts w:ascii="Georgia" w:hAnsi="Georgia" w:cs="Arial"/>
                <w:color w:val="404040" w:themeColor="text1" w:themeTint="BF"/>
                <w:sz w:val="20"/>
                <w:szCs w:val="20"/>
              </w:rPr>
              <w:t>-</w:t>
            </w:r>
          </w:p>
        </w:tc>
        <w:tc>
          <w:tcPr>
            <w:tcW w:w="1302" w:type="pct"/>
            <w:shd w:val="clear" w:color="auto" w:fill="auto"/>
            <w:noWrap/>
            <w:vAlign w:val="center"/>
          </w:tcPr>
          <w:p w14:paraId="139ADFA0" w14:textId="68365635" w:rsidR="00240E64" w:rsidRPr="00B12A72" w:rsidRDefault="002077C4" w:rsidP="00240E64">
            <w:pPr>
              <w:tabs>
                <w:tab w:val="center" w:pos="4320"/>
                <w:tab w:val="right" w:pos="8640"/>
              </w:tabs>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rPr>
              <w:t>277</w:t>
            </w:r>
          </w:p>
        </w:tc>
      </w:tr>
      <w:tr w:rsidR="00240E64" w:rsidRPr="00B12A72" w14:paraId="590F8FFF" w14:textId="77777777" w:rsidTr="00240E64">
        <w:trPr>
          <w:trHeight w:val="496"/>
        </w:trPr>
        <w:tc>
          <w:tcPr>
            <w:tcW w:w="1280" w:type="pct"/>
            <w:tcBorders>
              <w:bottom w:val="single" w:sz="4" w:space="0" w:color="000000" w:themeColor="text1"/>
            </w:tcBorders>
            <w:shd w:val="clear" w:color="auto" w:fill="auto"/>
            <w:vAlign w:val="center"/>
          </w:tcPr>
          <w:p w14:paraId="50499366" w14:textId="77777777" w:rsidR="00240E64" w:rsidRPr="00B12A72" w:rsidRDefault="00240E64" w:rsidP="00240E64">
            <w:pPr>
              <w:rPr>
                <w:rFonts w:ascii="Georgia" w:hAnsi="Georgia" w:cs="Arial"/>
                <w:color w:val="404040" w:themeColor="text1" w:themeTint="BF"/>
                <w:sz w:val="20"/>
                <w:szCs w:val="20"/>
                <w:lang w:eastAsia="en-GB"/>
              </w:rPr>
            </w:pPr>
            <w:r w:rsidRPr="00B12A72">
              <w:rPr>
                <w:rFonts w:ascii="Georgia" w:hAnsi="Georgia" w:cs="Arial"/>
                <w:color w:val="404040" w:themeColor="text1" w:themeTint="BF"/>
                <w:sz w:val="20"/>
                <w:szCs w:val="20"/>
                <w:lang w:eastAsia="en-GB"/>
              </w:rPr>
              <w:t>Lloyds</w:t>
            </w:r>
          </w:p>
        </w:tc>
        <w:tc>
          <w:tcPr>
            <w:tcW w:w="1480" w:type="pct"/>
            <w:gridSpan w:val="2"/>
            <w:tcBorders>
              <w:bottom w:val="single" w:sz="4" w:space="0" w:color="000000" w:themeColor="text1"/>
            </w:tcBorders>
            <w:shd w:val="clear" w:color="auto" w:fill="auto"/>
            <w:noWrap/>
            <w:vAlign w:val="center"/>
          </w:tcPr>
          <w:p w14:paraId="31A88D6B" w14:textId="0FBF3E80" w:rsidR="00240E64" w:rsidRPr="00B12A72" w:rsidRDefault="00240E64" w:rsidP="00240E64">
            <w:pPr>
              <w:jc w:val="right"/>
              <w:rPr>
                <w:rFonts w:ascii="Georgia" w:hAnsi="Georgia" w:cs="Arial"/>
                <w:color w:val="404040" w:themeColor="text1" w:themeTint="BF"/>
                <w:sz w:val="20"/>
                <w:szCs w:val="20"/>
                <w:lang w:eastAsia="en-GB"/>
              </w:rPr>
            </w:pPr>
            <w:r>
              <w:rPr>
                <w:rFonts w:ascii="Georgia" w:hAnsi="Georgia"/>
                <w:color w:val="404040" w:themeColor="text1" w:themeTint="BF"/>
                <w:sz w:val="20"/>
              </w:rPr>
              <w:t>-</w:t>
            </w:r>
          </w:p>
        </w:tc>
        <w:tc>
          <w:tcPr>
            <w:tcW w:w="938" w:type="pct"/>
            <w:tcBorders>
              <w:bottom w:val="single" w:sz="4" w:space="0" w:color="000000" w:themeColor="text1"/>
            </w:tcBorders>
            <w:shd w:val="clear" w:color="auto" w:fill="auto"/>
            <w:noWrap/>
            <w:vAlign w:val="center"/>
          </w:tcPr>
          <w:p w14:paraId="2A4601C9" w14:textId="521C7AAB" w:rsidR="00240E64" w:rsidRPr="00B12A72" w:rsidRDefault="002077C4" w:rsidP="00240E64">
            <w:pPr>
              <w:jc w:val="right"/>
              <w:rPr>
                <w:rFonts w:ascii="Georgia" w:hAnsi="Georgia" w:cs="Arial"/>
                <w:color w:val="404040" w:themeColor="text1" w:themeTint="BF"/>
                <w:sz w:val="20"/>
                <w:szCs w:val="20"/>
                <w:lang w:eastAsia="en-GB"/>
              </w:rPr>
            </w:pPr>
            <w:r>
              <w:rPr>
                <w:rFonts w:ascii="Georgia" w:hAnsi="Georgia"/>
                <w:color w:val="404040" w:themeColor="text1" w:themeTint="BF"/>
                <w:sz w:val="20"/>
              </w:rPr>
              <w:t>1</w:t>
            </w:r>
          </w:p>
        </w:tc>
        <w:tc>
          <w:tcPr>
            <w:tcW w:w="1302" w:type="pct"/>
            <w:tcBorders>
              <w:bottom w:val="single" w:sz="4" w:space="0" w:color="000000" w:themeColor="text1"/>
            </w:tcBorders>
            <w:shd w:val="clear" w:color="auto" w:fill="auto"/>
            <w:noWrap/>
            <w:vAlign w:val="center"/>
          </w:tcPr>
          <w:p w14:paraId="78F48E9A" w14:textId="5BF1EEE9" w:rsidR="00240E64" w:rsidRPr="00B12A72" w:rsidRDefault="002077C4" w:rsidP="00240E64">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1</w:t>
            </w:r>
          </w:p>
        </w:tc>
      </w:tr>
      <w:tr w:rsidR="00240E64" w:rsidRPr="00B12A72" w14:paraId="0BDA15DE" w14:textId="77777777" w:rsidTr="00240E64">
        <w:trPr>
          <w:trHeight w:val="496"/>
        </w:trPr>
        <w:tc>
          <w:tcPr>
            <w:tcW w:w="1280" w:type="pct"/>
            <w:tcBorders>
              <w:top w:val="single" w:sz="4" w:space="0" w:color="000000" w:themeColor="text1"/>
            </w:tcBorders>
            <w:shd w:val="clear" w:color="auto" w:fill="auto"/>
            <w:noWrap/>
            <w:vAlign w:val="center"/>
          </w:tcPr>
          <w:p w14:paraId="451412C3" w14:textId="77777777" w:rsidR="00240E64" w:rsidRPr="00B12A72" w:rsidRDefault="00240E64" w:rsidP="00240E64">
            <w:pPr>
              <w:jc w:val="right"/>
              <w:rPr>
                <w:rFonts w:ascii="Georgia" w:hAnsi="Georgia" w:cs="Arial"/>
                <w:b/>
                <w:bCs/>
                <w:color w:val="404040" w:themeColor="text1" w:themeTint="BF"/>
                <w:sz w:val="20"/>
                <w:szCs w:val="20"/>
                <w:lang w:eastAsia="en-GB"/>
              </w:rPr>
            </w:pPr>
          </w:p>
        </w:tc>
        <w:tc>
          <w:tcPr>
            <w:tcW w:w="1480" w:type="pct"/>
            <w:gridSpan w:val="2"/>
            <w:tcBorders>
              <w:top w:val="single" w:sz="4" w:space="0" w:color="000000" w:themeColor="text1"/>
              <w:bottom w:val="double" w:sz="4" w:space="0" w:color="auto"/>
            </w:tcBorders>
            <w:shd w:val="clear" w:color="auto" w:fill="auto"/>
            <w:noWrap/>
            <w:vAlign w:val="center"/>
          </w:tcPr>
          <w:p w14:paraId="2E20969C" w14:textId="532D399E" w:rsidR="00240E64" w:rsidRPr="00B12A72" w:rsidRDefault="002077C4" w:rsidP="00240E64">
            <w:pPr>
              <w:jc w:val="right"/>
              <w:rPr>
                <w:rFonts w:ascii="Georgia" w:hAnsi="Georgia" w:cs="Arial"/>
                <w:b/>
                <w:bCs/>
                <w:color w:val="404040" w:themeColor="text1" w:themeTint="BF"/>
                <w:sz w:val="20"/>
                <w:szCs w:val="20"/>
                <w:lang w:eastAsia="en-GB"/>
              </w:rPr>
            </w:pPr>
            <w:r>
              <w:rPr>
                <w:rFonts w:ascii="Georgia" w:hAnsi="Georgia"/>
                <w:b/>
                <w:color w:val="404040" w:themeColor="text1" w:themeTint="BF"/>
                <w:sz w:val="20"/>
              </w:rPr>
              <w:t>277</w:t>
            </w:r>
          </w:p>
        </w:tc>
        <w:tc>
          <w:tcPr>
            <w:tcW w:w="938" w:type="pct"/>
            <w:tcBorders>
              <w:top w:val="single" w:sz="4" w:space="0" w:color="000000" w:themeColor="text1"/>
              <w:bottom w:val="double" w:sz="4" w:space="0" w:color="auto"/>
            </w:tcBorders>
            <w:shd w:val="clear" w:color="auto" w:fill="auto"/>
            <w:noWrap/>
            <w:vAlign w:val="center"/>
          </w:tcPr>
          <w:p w14:paraId="333EBB5C" w14:textId="786039C6" w:rsidR="00240E64" w:rsidRPr="00B12A72" w:rsidRDefault="002077C4" w:rsidP="00240E64">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1</w:t>
            </w:r>
          </w:p>
        </w:tc>
        <w:tc>
          <w:tcPr>
            <w:tcW w:w="1302" w:type="pct"/>
            <w:tcBorders>
              <w:top w:val="single" w:sz="4" w:space="0" w:color="000000" w:themeColor="text1"/>
              <w:bottom w:val="double" w:sz="4" w:space="0" w:color="auto"/>
            </w:tcBorders>
            <w:shd w:val="clear" w:color="auto" w:fill="auto"/>
            <w:noWrap/>
            <w:vAlign w:val="center"/>
          </w:tcPr>
          <w:p w14:paraId="777CDA92" w14:textId="244DF401" w:rsidR="00240E64" w:rsidRPr="00B12A72" w:rsidRDefault="002077C4" w:rsidP="00240E64">
            <w:pPr>
              <w:jc w:val="right"/>
              <w:rPr>
                <w:rFonts w:ascii="Georgia" w:hAnsi="Georgia" w:cs="Arial"/>
                <w:b/>
                <w:bCs/>
                <w:color w:val="404040" w:themeColor="text1" w:themeTint="BF"/>
                <w:sz w:val="20"/>
                <w:szCs w:val="20"/>
                <w:lang w:eastAsia="en-GB"/>
              </w:rPr>
            </w:pPr>
            <w:r>
              <w:rPr>
                <w:rFonts w:ascii="Georgia" w:hAnsi="Georgia"/>
                <w:b/>
                <w:color w:val="404040" w:themeColor="text1" w:themeTint="BF"/>
                <w:sz w:val="20"/>
              </w:rPr>
              <w:t>278</w:t>
            </w:r>
          </w:p>
        </w:tc>
      </w:tr>
    </w:tbl>
    <w:p w14:paraId="48859ED2" w14:textId="77777777" w:rsidR="000F51FA" w:rsidRPr="00B12A72" w:rsidRDefault="000F51FA" w:rsidP="000F51FA">
      <w:pPr>
        <w:pStyle w:val="body"/>
        <w:rPr>
          <w:rFonts w:ascii="Times New Roman" w:hAnsi="Times New Roman" w:cs="Times New Roman"/>
          <w:sz w:val="24"/>
          <w:highlight w:val="yellow"/>
          <w:lang w:eastAsia="en-GB"/>
        </w:rPr>
      </w:pPr>
    </w:p>
    <w:p w14:paraId="492AA878" w14:textId="77777777" w:rsidR="00E42A95" w:rsidRPr="00B12A72" w:rsidRDefault="000F51FA" w:rsidP="00E42A95">
      <w:pPr>
        <w:pStyle w:val="BluefieldBody"/>
        <w:rPr>
          <w:lang w:eastAsia="en-GB"/>
        </w:rPr>
      </w:pPr>
      <w:r w:rsidRPr="00B12A72">
        <w:rPr>
          <w:lang w:eastAsia="en-GB"/>
        </w:rPr>
        <w:t>The carrying amount of these assets approximates their fair value.</w:t>
      </w:r>
    </w:p>
    <w:p w14:paraId="048DD6B1" w14:textId="77777777" w:rsidR="007407D8" w:rsidRPr="00A316C7" w:rsidRDefault="007407D8" w:rsidP="00E42A95">
      <w:pPr>
        <w:pStyle w:val="BluefieldBody"/>
        <w:rPr>
          <w:highlight w:val="yellow"/>
          <w:lang w:eastAsia="en-GB"/>
        </w:rPr>
      </w:pPr>
    </w:p>
    <w:p w14:paraId="41C221DE" w14:textId="77777777" w:rsidR="00152529" w:rsidRPr="00A316C7" w:rsidRDefault="00152529">
      <w:pPr>
        <w:rPr>
          <w:rFonts w:ascii="Georgia" w:hAnsi="Georgia"/>
          <w:color w:val="404040" w:themeColor="text1" w:themeTint="BF"/>
          <w:sz w:val="20"/>
          <w:szCs w:val="20"/>
          <w:highlight w:val="yellow"/>
        </w:rPr>
      </w:pPr>
      <w:r w:rsidRPr="00A316C7">
        <w:rPr>
          <w:highlight w:val="yellow"/>
        </w:rPr>
        <w:br w:type="page"/>
      </w:r>
    </w:p>
    <w:p w14:paraId="6512081B" w14:textId="59610878" w:rsidR="00152529" w:rsidRPr="00DD3C86" w:rsidRDefault="00152529" w:rsidP="00152529">
      <w:pPr>
        <w:pStyle w:val="Notehead1"/>
      </w:pPr>
      <w:r w:rsidRPr="00DD3C86">
        <w:lastRenderedPageBreak/>
        <w:t>1</w:t>
      </w:r>
      <w:r w:rsidR="006C2EC2" w:rsidRPr="00DD3C86">
        <w:t>5</w:t>
      </w:r>
      <w:r w:rsidRPr="00DD3C86">
        <w:t>. Risk management policies and procedures (continued)</w:t>
      </w:r>
    </w:p>
    <w:p w14:paraId="7FCDF32F" w14:textId="77777777" w:rsidR="000B09F7" w:rsidRPr="00DD3C86" w:rsidRDefault="000B09F7" w:rsidP="004A3AB0">
      <w:pPr>
        <w:pStyle w:val="body"/>
        <w:rPr>
          <w:b/>
        </w:rPr>
      </w:pPr>
    </w:p>
    <w:p w14:paraId="1AF74A30" w14:textId="77777777" w:rsidR="000F51FA" w:rsidRPr="00DD3C86" w:rsidRDefault="000F51FA" w:rsidP="000F51FA">
      <w:pPr>
        <w:pStyle w:val="body"/>
        <w:rPr>
          <w:b/>
        </w:rPr>
      </w:pPr>
      <w:r w:rsidRPr="00DD3C86">
        <w:rPr>
          <w:b/>
        </w:rPr>
        <w:t>Liquidity risk</w:t>
      </w:r>
    </w:p>
    <w:p w14:paraId="1BE5CD82" w14:textId="6A3B5AC7" w:rsidR="004549C6" w:rsidRPr="00DD3C86" w:rsidRDefault="000F51FA" w:rsidP="00837182">
      <w:pPr>
        <w:pStyle w:val="BluefieldBody"/>
      </w:pPr>
      <w:r w:rsidRPr="00DD3C86">
        <w:t xml:space="preserve">Liquidity risk is the risk that the </w:t>
      </w:r>
      <w:r w:rsidR="00DD3C86" w:rsidRPr="00DD3C86">
        <w:t>Company</w:t>
      </w:r>
      <w:r w:rsidRPr="00DD3C86">
        <w:t xml:space="preserve"> will not be able to meet its liabilities as they fall due. The Investment Adviser and the Board continuously monitor forecasted and actual </w:t>
      </w:r>
      <w:r w:rsidR="00A379B0">
        <w:t xml:space="preserve">cash </w:t>
      </w:r>
      <w:r w:rsidR="00857DD7" w:rsidRPr="00DD3C86">
        <w:t>flow</w:t>
      </w:r>
      <w:r w:rsidRPr="00DD3C86">
        <w:t>s from operating, financing and investing activities.</w:t>
      </w:r>
    </w:p>
    <w:p w14:paraId="5A09C54C" w14:textId="77777777" w:rsidR="00F5295F" w:rsidRPr="00DD3C86" w:rsidRDefault="00F5295F" w:rsidP="00837182">
      <w:pPr>
        <w:pStyle w:val="BluefieldBody"/>
      </w:pPr>
    </w:p>
    <w:p w14:paraId="43E2E2FB" w14:textId="2AEF3C9F" w:rsidR="009B3F1B" w:rsidRDefault="00F5295F" w:rsidP="004A3AB0">
      <w:pPr>
        <w:pStyle w:val="BluefieldBody"/>
      </w:pPr>
      <w:r w:rsidRPr="00DD3C86">
        <w:t xml:space="preserve">As the </w:t>
      </w:r>
      <w:r w:rsidR="00A94A31">
        <w:t>Company</w:t>
      </w:r>
      <w:r w:rsidRPr="00DD3C86">
        <w:t>’s investments</w:t>
      </w:r>
      <w:r w:rsidR="00A94A31">
        <w:t>, through BSIFIL,</w:t>
      </w:r>
      <w:r w:rsidRPr="00DD3C86">
        <w:t xml:space="preserve"> are in the SPVs, which are private companies that are not publicly listed, the return from these investments is dependent on the income generated or the disposal of solar assets by the SPVs and will take time to realise.</w:t>
      </w:r>
    </w:p>
    <w:p w14:paraId="1205F237" w14:textId="77777777" w:rsidR="00A67EB4" w:rsidRDefault="00A67EB4" w:rsidP="004A3AB0">
      <w:pPr>
        <w:pStyle w:val="BluefieldBody"/>
      </w:pPr>
    </w:p>
    <w:p w14:paraId="0929E14E" w14:textId="16215CB4" w:rsidR="00A67EB4" w:rsidRPr="00DD3C86" w:rsidRDefault="00A67EB4" w:rsidP="004A3AB0">
      <w:pPr>
        <w:pStyle w:val="BluefieldBody"/>
      </w:pPr>
      <w:r w:rsidRPr="00965668">
        <w:t>The Company</w:t>
      </w:r>
      <w:r>
        <w:t>, through BSIFIL,</w:t>
      </w:r>
      <w:r w:rsidRPr="00965668">
        <w:t xml:space="preserve"> expects to comply</w:t>
      </w:r>
      <w:r>
        <w:t xml:space="preserve"> with the covenants of its long </w:t>
      </w:r>
      <w:r w:rsidRPr="00965668">
        <w:t>term loan and revolving credit facility.</w:t>
      </w:r>
    </w:p>
    <w:p w14:paraId="722A8003" w14:textId="77777777" w:rsidR="00ED0A33" w:rsidRPr="00DD3C86" w:rsidRDefault="00ED0A33" w:rsidP="00837182">
      <w:pPr>
        <w:pStyle w:val="body"/>
      </w:pPr>
    </w:p>
    <w:p w14:paraId="637DE235" w14:textId="69AB88D2" w:rsidR="00414721" w:rsidRPr="00DD3C86" w:rsidRDefault="000F51FA" w:rsidP="00E42A95">
      <w:pPr>
        <w:pStyle w:val="BluefieldBody"/>
      </w:pPr>
      <w:r w:rsidRPr="00DD3C86">
        <w:t xml:space="preserve">The following table details the </w:t>
      </w:r>
      <w:r w:rsidR="00A94A31">
        <w:t>Company</w:t>
      </w:r>
      <w:r w:rsidR="00B64E53">
        <w:t>’s expected</w:t>
      </w:r>
      <w:r w:rsidR="00A94A31">
        <w:t xml:space="preserve"> </w:t>
      </w:r>
      <w:r w:rsidRPr="00DD3C86">
        <w:t xml:space="preserve">maturity for its financials assets and liabilities. These are undiscounted contractual </w:t>
      </w:r>
      <w:r w:rsidR="00A379B0">
        <w:t xml:space="preserve">cash </w:t>
      </w:r>
      <w:r w:rsidR="00857DD7" w:rsidRPr="00DD3C86">
        <w:t>flow</w:t>
      </w:r>
      <w:r w:rsidRPr="00DD3C86">
        <w:t>s:</w:t>
      </w:r>
    </w:p>
    <w:tbl>
      <w:tblPr>
        <w:tblW w:w="4974" w:type="pct"/>
        <w:tblLayout w:type="fixed"/>
        <w:tblLook w:val="04A0" w:firstRow="1" w:lastRow="0" w:firstColumn="1" w:lastColumn="0" w:noHBand="0" w:noVBand="1"/>
      </w:tblPr>
      <w:tblGrid>
        <w:gridCol w:w="2840"/>
        <w:gridCol w:w="1702"/>
        <w:gridCol w:w="1525"/>
        <w:gridCol w:w="1505"/>
        <w:gridCol w:w="1739"/>
      </w:tblGrid>
      <w:tr w:rsidR="00853922" w:rsidRPr="00A94A31" w14:paraId="3839B3FC" w14:textId="77777777" w:rsidTr="00C620C3">
        <w:trPr>
          <w:trHeight w:val="765"/>
        </w:trPr>
        <w:tc>
          <w:tcPr>
            <w:tcW w:w="1525" w:type="pct"/>
            <w:tcBorders>
              <w:top w:val="nil"/>
              <w:left w:val="nil"/>
              <w:right w:val="nil"/>
            </w:tcBorders>
            <w:shd w:val="clear" w:color="auto" w:fill="auto"/>
            <w:noWrap/>
            <w:vAlign w:val="bottom"/>
          </w:tcPr>
          <w:p w14:paraId="6F5BF37A" w14:textId="77777777" w:rsidR="00414721" w:rsidRPr="00A94A31" w:rsidRDefault="00414721" w:rsidP="0018287C">
            <w:pPr>
              <w:rPr>
                <w:rFonts w:ascii="Georgia" w:hAnsi="Georgia" w:cs="Arial"/>
                <w:color w:val="404040" w:themeColor="text1" w:themeTint="BF"/>
                <w:sz w:val="20"/>
                <w:szCs w:val="20"/>
                <w:lang w:eastAsia="en-GB"/>
              </w:rPr>
            </w:pPr>
          </w:p>
        </w:tc>
        <w:tc>
          <w:tcPr>
            <w:tcW w:w="914" w:type="pct"/>
            <w:tcBorders>
              <w:top w:val="nil"/>
              <w:left w:val="nil"/>
              <w:right w:val="nil"/>
            </w:tcBorders>
            <w:shd w:val="clear" w:color="auto" w:fill="auto"/>
            <w:vAlign w:val="bottom"/>
          </w:tcPr>
          <w:p w14:paraId="35988290" w14:textId="77777777"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Less than one year</w:t>
            </w:r>
          </w:p>
        </w:tc>
        <w:tc>
          <w:tcPr>
            <w:tcW w:w="819" w:type="pct"/>
            <w:tcBorders>
              <w:top w:val="nil"/>
              <w:left w:val="nil"/>
              <w:right w:val="nil"/>
            </w:tcBorders>
            <w:shd w:val="clear" w:color="auto" w:fill="auto"/>
            <w:vAlign w:val="bottom"/>
          </w:tcPr>
          <w:p w14:paraId="36D58FE0" w14:textId="77777777"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Between one and five years</w:t>
            </w:r>
          </w:p>
        </w:tc>
        <w:tc>
          <w:tcPr>
            <w:tcW w:w="808" w:type="pct"/>
            <w:tcBorders>
              <w:top w:val="nil"/>
              <w:left w:val="nil"/>
              <w:right w:val="nil"/>
            </w:tcBorders>
            <w:shd w:val="clear" w:color="auto" w:fill="auto"/>
            <w:vAlign w:val="bottom"/>
          </w:tcPr>
          <w:p w14:paraId="39FD5BBE" w14:textId="77777777"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After five years</w:t>
            </w:r>
          </w:p>
        </w:tc>
        <w:tc>
          <w:tcPr>
            <w:tcW w:w="935" w:type="pct"/>
            <w:tcBorders>
              <w:top w:val="nil"/>
              <w:left w:val="nil"/>
              <w:right w:val="nil"/>
            </w:tcBorders>
            <w:shd w:val="clear" w:color="auto" w:fill="auto"/>
            <w:vAlign w:val="bottom"/>
          </w:tcPr>
          <w:p w14:paraId="47B559EB" w14:textId="77777777" w:rsidR="0018148F"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 xml:space="preserve">Total as at </w:t>
            </w:r>
          </w:p>
          <w:p w14:paraId="13477AAB" w14:textId="0ABFAE77" w:rsidR="00414721" w:rsidRPr="00A94A31" w:rsidRDefault="00414721" w:rsidP="00665AE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2020</w:t>
            </w:r>
          </w:p>
        </w:tc>
      </w:tr>
      <w:tr w:rsidR="00853922" w:rsidRPr="00A94A31" w14:paraId="440DA1D8" w14:textId="77777777" w:rsidTr="00C620C3">
        <w:trPr>
          <w:trHeight w:val="255"/>
        </w:trPr>
        <w:tc>
          <w:tcPr>
            <w:tcW w:w="1525" w:type="pct"/>
            <w:tcBorders>
              <w:top w:val="nil"/>
              <w:left w:val="nil"/>
              <w:bottom w:val="single" w:sz="4" w:space="0" w:color="000000" w:themeColor="text1"/>
              <w:right w:val="nil"/>
            </w:tcBorders>
            <w:shd w:val="clear" w:color="auto" w:fill="auto"/>
            <w:noWrap/>
            <w:vAlign w:val="bottom"/>
          </w:tcPr>
          <w:p w14:paraId="18BA976D" w14:textId="77777777" w:rsidR="00414721" w:rsidRPr="00A94A31" w:rsidRDefault="00414721" w:rsidP="0018287C">
            <w:pPr>
              <w:rPr>
                <w:rFonts w:ascii="Georgia" w:hAnsi="Georgia" w:cs="Arial"/>
                <w:b/>
                <w:bCs/>
                <w:color w:val="404040" w:themeColor="text1" w:themeTint="BF"/>
                <w:sz w:val="20"/>
                <w:szCs w:val="20"/>
                <w:lang w:eastAsia="en-GB"/>
              </w:rPr>
            </w:pPr>
          </w:p>
        </w:tc>
        <w:tc>
          <w:tcPr>
            <w:tcW w:w="914" w:type="pct"/>
            <w:tcBorders>
              <w:top w:val="nil"/>
              <w:left w:val="nil"/>
              <w:bottom w:val="single" w:sz="4" w:space="0" w:color="000000" w:themeColor="text1"/>
              <w:right w:val="nil"/>
            </w:tcBorders>
            <w:shd w:val="clear" w:color="auto" w:fill="auto"/>
            <w:noWrap/>
            <w:vAlign w:val="bottom"/>
          </w:tcPr>
          <w:p w14:paraId="494FF203" w14:textId="5AE86D97"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r w:rsidR="00FE1A7F">
              <w:rPr>
                <w:rFonts w:ascii="Georgia" w:hAnsi="Georgia" w:cs="Arial"/>
                <w:b/>
                <w:bCs/>
                <w:color w:val="404040" w:themeColor="text1" w:themeTint="BF"/>
                <w:sz w:val="20"/>
                <w:szCs w:val="20"/>
                <w:lang w:eastAsia="en-GB"/>
              </w:rPr>
              <w:t>’000</w:t>
            </w:r>
          </w:p>
        </w:tc>
        <w:tc>
          <w:tcPr>
            <w:tcW w:w="819" w:type="pct"/>
            <w:tcBorders>
              <w:top w:val="nil"/>
              <w:left w:val="nil"/>
              <w:bottom w:val="single" w:sz="4" w:space="0" w:color="000000" w:themeColor="text1"/>
              <w:right w:val="nil"/>
            </w:tcBorders>
            <w:shd w:val="clear" w:color="auto" w:fill="auto"/>
            <w:noWrap/>
            <w:vAlign w:val="bottom"/>
          </w:tcPr>
          <w:p w14:paraId="1B042686" w14:textId="03850899"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r w:rsidR="00FE1A7F">
              <w:rPr>
                <w:rFonts w:ascii="Georgia" w:hAnsi="Georgia" w:cs="Arial"/>
                <w:b/>
                <w:bCs/>
                <w:color w:val="404040" w:themeColor="text1" w:themeTint="BF"/>
                <w:sz w:val="20"/>
                <w:szCs w:val="20"/>
                <w:lang w:eastAsia="en-GB"/>
              </w:rPr>
              <w:t>’000</w:t>
            </w:r>
          </w:p>
        </w:tc>
        <w:tc>
          <w:tcPr>
            <w:tcW w:w="808" w:type="pct"/>
            <w:tcBorders>
              <w:top w:val="nil"/>
              <w:left w:val="nil"/>
              <w:bottom w:val="single" w:sz="4" w:space="0" w:color="000000" w:themeColor="text1"/>
              <w:right w:val="nil"/>
            </w:tcBorders>
            <w:shd w:val="clear" w:color="auto" w:fill="auto"/>
            <w:noWrap/>
            <w:vAlign w:val="bottom"/>
          </w:tcPr>
          <w:p w14:paraId="09469675" w14:textId="36A29891"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r w:rsidR="00FE1A7F">
              <w:rPr>
                <w:rFonts w:ascii="Georgia" w:hAnsi="Georgia" w:cs="Arial"/>
                <w:b/>
                <w:bCs/>
                <w:color w:val="404040" w:themeColor="text1" w:themeTint="BF"/>
                <w:sz w:val="20"/>
                <w:szCs w:val="20"/>
                <w:lang w:eastAsia="en-GB"/>
              </w:rPr>
              <w:t>’000</w:t>
            </w:r>
          </w:p>
        </w:tc>
        <w:tc>
          <w:tcPr>
            <w:tcW w:w="935" w:type="pct"/>
            <w:tcBorders>
              <w:top w:val="nil"/>
              <w:left w:val="nil"/>
              <w:bottom w:val="single" w:sz="4" w:space="0" w:color="000000" w:themeColor="text1"/>
              <w:right w:val="nil"/>
            </w:tcBorders>
            <w:shd w:val="clear" w:color="auto" w:fill="auto"/>
            <w:noWrap/>
            <w:vAlign w:val="bottom"/>
          </w:tcPr>
          <w:p w14:paraId="7406CDAF" w14:textId="07E07141"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r w:rsidR="00FE1A7F">
              <w:rPr>
                <w:rFonts w:ascii="Georgia" w:hAnsi="Georgia" w:cs="Arial"/>
                <w:b/>
                <w:bCs/>
                <w:color w:val="404040" w:themeColor="text1" w:themeTint="BF"/>
                <w:sz w:val="20"/>
                <w:szCs w:val="20"/>
                <w:lang w:eastAsia="en-GB"/>
              </w:rPr>
              <w:t>’000</w:t>
            </w:r>
          </w:p>
        </w:tc>
      </w:tr>
      <w:tr w:rsidR="00853922" w:rsidRPr="00A94A31" w14:paraId="07E2CDAF" w14:textId="77777777" w:rsidTr="00C620C3">
        <w:trPr>
          <w:trHeight w:val="77"/>
        </w:trPr>
        <w:tc>
          <w:tcPr>
            <w:tcW w:w="1525" w:type="pct"/>
            <w:tcBorders>
              <w:top w:val="single" w:sz="4" w:space="0" w:color="000000" w:themeColor="text1"/>
              <w:left w:val="nil"/>
              <w:right w:val="nil"/>
            </w:tcBorders>
            <w:shd w:val="clear" w:color="auto" w:fill="auto"/>
            <w:noWrap/>
            <w:vAlign w:val="center"/>
          </w:tcPr>
          <w:p w14:paraId="5A06AB44" w14:textId="77777777" w:rsidR="00414721" w:rsidRPr="00A94A31" w:rsidRDefault="00414721" w:rsidP="0018287C">
            <w:pPr>
              <w:jc w:val="right"/>
              <w:rPr>
                <w:rFonts w:ascii="Georgia" w:hAnsi="Georgia" w:cs="Arial"/>
                <w:b/>
                <w:bCs/>
                <w:color w:val="404040" w:themeColor="text1" w:themeTint="BF"/>
                <w:sz w:val="8"/>
                <w:szCs w:val="20"/>
                <w:lang w:eastAsia="en-GB"/>
              </w:rPr>
            </w:pPr>
          </w:p>
        </w:tc>
        <w:tc>
          <w:tcPr>
            <w:tcW w:w="914" w:type="pct"/>
            <w:tcBorders>
              <w:top w:val="single" w:sz="4" w:space="0" w:color="000000" w:themeColor="text1"/>
              <w:left w:val="nil"/>
              <w:right w:val="nil"/>
            </w:tcBorders>
            <w:shd w:val="clear" w:color="auto" w:fill="auto"/>
            <w:noWrap/>
            <w:vAlign w:val="center"/>
          </w:tcPr>
          <w:p w14:paraId="4CE53AB3" w14:textId="77777777" w:rsidR="00414721" w:rsidRPr="00A94A31" w:rsidRDefault="00414721" w:rsidP="0018287C">
            <w:pPr>
              <w:jc w:val="right"/>
              <w:rPr>
                <w:rFonts w:ascii="Georgia" w:hAnsi="Georgia" w:cs="Arial"/>
                <w:color w:val="404040" w:themeColor="text1" w:themeTint="BF"/>
                <w:sz w:val="8"/>
                <w:szCs w:val="20"/>
                <w:lang w:eastAsia="en-GB"/>
              </w:rPr>
            </w:pPr>
          </w:p>
        </w:tc>
        <w:tc>
          <w:tcPr>
            <w:tcW w:w="819" w:type="pct"/>
            <w:tcBorders>
              <w:top w:val="single" w:sz="4" w:space="0" w:color="000000" w:themeColor="text1"/>
              <w:left w:val="nil"/>
              <w:right w:val="nil"/>
            </w:tcBorders>
            <w:shd w:val="clear" w:color="auto" w:fill="auto"/>
            <w:noWrap/>
            <w:vAlign w:val="center"/>
          </w:tcPr>
          <w:p w14:paraId="1109CD8E" w14:textId="77777777" w:rsidR="00414721" w:rsidRPr="00A94A31" w:rsidRDefault="00414721" w:rsidP="0018287C">
            <w:pPr>
              <w:jc w:val="right"/>
              <w:rPr>
                <w:rFonts w:ascii="Georgia" w:hAnsi="Georgia" w:cs="Arial"/>
                <w:color w:val="404040" w:themeColor="text1" w:themeTint="BF"/>
                <w:sz w:val="8"/>
                <w:szCs w:val="20"/>
                <w:lang w:eastAsia="en-GB"/>
              </w:rPr>
            </w:pPr>
          </w:p>
        </w:tc>
        <w:tc>
          <w:tcPr>
            <w:tcW w:w="808" w:type="pct"/>
            <w:tcBorders>
              <w:top w:val="single" w:sz="4" w:space="0" w:color="000000" w:themeColor="text1"/>
              <w:left w:val="nil"/>
              <w:right w:val="nil"/>
            </w:tcBorders>
            <w:shd w:val="clear" w:color="auto" w:fill="auto"/>
            <w:noWrap/>
            <w:vAlign w:val="center"/>
          </w:tcPr>
          <w:p w14:paraId="401F82F9" w14:textId="77777777" w:rsidR="00414721" w:rsidRPr="00A94A31" w:rsidRDefault="00414721" w:rsidP="0018287C">
            <w:pPr>
              <w:spacing w:line="300" w:lineRule="auto"/>
              <w:jc w:val="right"/>
              <w:rPr>
                <w:rFonts w:ascii="Georgia" w:hAnsi="Georgia" w:cs="Arial"/>
                <w:color w:val="404040" w:themeColor="text1" w:themeTint="BF"/>
                <w:sz w:val="8"/>
                <w:szCs w:val="20"/>
                <w:lang w:eastAsia="en-GB"/>
              </w:rPr>
            </w:pPr>
          </w:p>
        </w:tc>
        <w:tc>
          <w:tcPr>
            <w:tcW w:w="935" w:type="pct"/>
            <w:tcBorders>
              <w:top w:val="single" w:sz="4" w:space="0" w:color="000000" w:themeColor="text1"/>
              <w:left w:val="nil"/>
              <w:right w:val="nil"/>
            </w:tcBorders>
            <w:shd w:val="clear" w:color="auto" w:fill="auto"/>
            <w:noWrap/>
            <w:vAlign w:val="center"/>
          </w:tcPr>
          <w:p w14:paraId="13F061C0" w14:textId="77777777" w:rsidR="00414721" w:rsidRPr="00A94A31" w:rsidRDefault="00414721" w:rsidP="0018287C">
            <w:pPr>
              <w:jc w:val="right"/>
              <w:rPr>
                <w:rFonts w:ascii="Georgia" w:hAnsi="Georgia" w:cs="Arial"/>
                <w:b/>
                <w:bCs/>
                <w:color w:val="404040" w:themeColor="text1" w:themeTint="BF"/>
                <w:sz w:val="8"/>
                <w:szCs w:val="20"/>
                <w:lang w:eastAsia="en-GB"/>
              </w:rPr>
            </w:pPr>
          </w:p>
        </w:tc>
      </w:tr>
      <w:tr w:rsidR="00853922" w:rsidRPr="00A94A31" w14:paraId="0586E442" w14:textId="77777777" w:rsidTr="00C620C3">
        <w:trPr>
          <w:trHeight w:val="448"/>
        </w:trPr>
        <w:tc>
          <w:tcPr>
            <w:tcW w:w="1525" w:type="pct"/>
            <w:tcBorders>
              <w:left w:val="nil"/>
              <w:bottom w:val="nil"/>
              <w:right w:val="nil"/>
            </w:tcBorders>
            <w:shd w:val="clear" w:color="auto" w:fill="auto"/>
            <w:noWrap/>
            <w:vAlign w:val="center"/>
          </w:tcPr>
          <w:p w14:paraId="22F95844" w14:textId="77777777" w:rsidR="00414721" w:rsidRPr="00A94A31" w:rsidRDefault="00414721"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Assets</w:t>
            </w:r>
          </w:p>
        </w:tc>
        <w:tc>
          <w:tcPr>
            <w:tcW w:w="914" w:type="pct"/>
            <w:tcBorders>
              <w:left w:val="nil"/>
              <w:bottom w:val="nil"/>
              <w:right w:val="nil"/>
            </w:tcBorders>
            <w:shd w:val="clear" w:color="auto" w:fill="auto"/>
            <w:noWrap/>
            <w:vAlign w:val="center"/>
          </w:tcPr>
          <w:p w14:paraId="52BBEA31" w14:textId="77777777" w:rsidR="00414721" w:rsidRPr="00A94A31" w:rsidRDefault="00414721" w:rsidP="0018287C">
            <w:pPr>
              <w:jc w:val="right"/>
              <w:rPr>
                <w:rFonts w:ascii="Georgia" w:hAnsi="Georgia" w:cs="Arial"/>
                <w:color w:val="404040" w:themeColor="text1" w:themeTint="BF"/>
                <w:sz w:val="20"/>
                <w:szCs w:val="20"/>
                <w:lang w:eastAsia="en-GB"/>
              </w:rPr>
            </w:pPr>
          </w:p>
        </w:tc>
        <w:tc>
          <w:tcPr>
            <w:tcW w:w="819" w:type="pct"/>
            <w:tcBorders>
              <w:left w:val="nil"/>
              <w:bottom w:val="nil"/>
              <w:right w:val="nil"/>
            </w:tcBorders>
            <w:shd w:val="clear" w:color="auto" w:fill="auto"/>
            <w:noWrap/>
            <w:vAlign w:val="center"/>
          </w:tcPr>
          <w:p w14:paraId="0E142A34" w14:textId="77777777" w:rsidR="00414721" w:rsidRPr="00A94A31" w:rsidRDefault="00414721" w:rsidP="0018287C">
            <w:pPr>
              <w:jc w:val="right"/>
              <w:rPr>
                <w:rFonts w:ascii="Georgia" w:hAnsi="Georgia" w:cs="Arial"/>
                <w:color w:val="404040" w:themeColor="text1" w:themeTint="BF"/>
                <w:sz w:val="20"/>
                <w:szCs w:val="20"/>
                <w:lang w:eastAsia="en-GB"/>
              </w:rPr>
            </w:pPr>
          </w:p>
        </w:tc>
        <w:tc>
          <w:tcPr>
            <w:tcW w:w="808" w:type="pct"/>
            <w:tcBorders>
              <w:left w:val="nil"/>
              <w:bottom w:val="nil"/>
              <w:right w:val="nil"/>
            </w:tcBorders>
            <w:shd w:val="clear" w:color="auto" w:fill="auto"/>
            <w:noWrap/>
            <w:vAlign w:val="center"/>
          </w:tcPr>
          <w:p w14:paraId="36A3BC8C" w14:textId="77777777" w:rsidR="00414721" w:rsidRPr="00A94A31" w:rsidRDefault="00414721" w:rsidP="0018287C">
            <w:pPr>
              <w:jc w:val="right"/>
              <w:rPr>
                <w:rFonts w:ascii="Georgia" w:hAnsi="Georgia" w:cs="Arial"/>
                <w:color w:val="404040" w:themeColor="text1" w:themeTint="BF"/>
                <w:sz w:val="20"/>
                <w:szCs w:val="20"/>
                <w:lang w:eastAsia="en-GB"/>
              </w:rPr>
            </w:pPr>
          </w:p>
        </w:tc>
        <w:tc>
          <w:tcPr>
            <w:tcW w:w="935" w:type="pct"/>
            <w:tcBorders>
              <w:left w:val="nil"/>
              <w:bottom w:val="nil"/>
              <w:right w:val="nil"/>
            </w:tcBorders>
            <w:shd w:val="clear" w:color="auto" w:fill="auto"/>
            <w:noWrap/>
            <w:vAlign w:val="center"/>
          </w:tcPr>
          <w:p w14:paraId="42850E6B" w14:textId="77777777" w:rsidR="00414721" w:rsidRPr="00A94A31" w:rsidRDefault="00414721" w:rsidP="0018287C">
            <w:pPr>
              <w:jc w:val="right"/>
              <w:rPr>
                <w:rFonts w:ascii="Georgia" w:hAnsi="Georgia" w:cs="Arial"/>
                <w:b/>
                <w:bCs/>
                <w:color w:val="404040" w:themeColor="text1" w:themeTint="BF"/>
                <w:sz w:val="20"/>
                <w:szCs w:val="20"/>
                <w:lang w:eastAsia="en-GB"/>
              </w:rPr>
            </w:pPr>
          </w:p>
        </w:tc>
      </w:tr>
      <w:tr w:rsidR="00C620C3" w:rsidRPr="00A94A31" w14:paraId="5D8247DA" w14:textId="77777777" w:rsidTr="00C620C3">
        <w:trPr>
          <w:trHeight w:val="448"/>
        </w:trPr>
        <w:tc>
          <w:tcPr>
            <w:tcW w:w="1525" w:type="pct"/>
            <w:tcBorders>
              <w:top w:val="nil"/>
              <w:left w:val="nil"/>
              <w:bottom w:val="nil"/>
              <w:right w:val="nil"/>
            </w:tcBorders>
            <w:shd w:val="clear" w:color="auto" w:fill="auto"/>
            <w:vAlign w:val="center"/>
          </w:tcPr>
          <w:p w14:paraId="22EF7319" w14:textId="0E853096" w:rsidR="007B5D00" w:rsidRPr="00A94A31" w:rsidRDefault="007B5D00" w:rsidP="0018287C">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Financial assets held at fair value through profit or loss</w:t>
            </w:r>
            <w:r w:rsidR="00A2527E">
              <w:rPr>
                <w:rFonts w:ascii="Georgia" w:hAnsi="Georgia" w:cs="Arial"/>
                <w:color w:val="404040" w:themeColor="text1" w:themeTint="BF"/>
                <w:sz w:val="20"/>
                <w:szCs w:val="20"/>
                <w:lang w:eastAsia="en-GB"/>
              </w:rPr>
              <w:t>*</w:t>
            </w:r>
          </w:p>
        </w:tc>
        <w:tc>
          <w:tcPr>
            <w:tcW w:w="914" w:type="pct"/>
            <w:tcBorders>
              <w:top w:val="nil"/>
              <w:left w:val="nil"/>
              <w:bottom w:val="nil"/>
              <w:right w:val="nil"/>
            </w:tcBorders>
            <w:shd w:val="clear" w:color="auto" w:fill="auto"/>
            <w:noWrap/>
            <w:vAlign w:val="center"/>
          </w:tcPr>
          <w:p w14:paraId="571F459F" w14:textId="6B4F94F6" w:rsidR="007B5D00" w:rsidRPr="00D80409" w:rsidRDefault="00B26565" w:rsidP="00C620C3">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819" w:type="pct"/>
            <w:tcBorders>
              <w:top w:val="nil"/>
              <w:left w:val="nil"/>
              <w:bottom w:val="nil"/>
              <w:right w:val="nil"/>
            </w:tcBorders>
            <w:shd w:val="clear" w:color="auto" w:fill="auto"/>
            <w:noWrap/>
            <w:vAlign w:val="center"/>
          </w:tcPr>
          <w:p w14:paraId="65BEBFCC" w14:textId="6712A10B" w:rsidR="007B5D00" w:rsidRPr="00D80409" w:rsidRDefault="00B26565" w:rsidP="00C620C3">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808" w:type="pct"/>
            <w:tcBorders>
              <w:top w:val="nil"/>
              <w:left w:val="nil"/>
              <w:bottom w:val="nil"/>
              <w:right w:val="nil"/>
            </w:tcBorders>
            <w:shd w:val="clear" w:color="auto" w:fill="auto"/>
            <w:noWrap/>
            <w:vAlign w:val="center"/>
          </w:tcPr>
          <w:p w14:paraId="61D0E98C" w14:textId="2E771BA5" w:rsidR="007B5D00" w:rsidRPr="00D80409" w:rsidRDefault="00D80409" w:rsidP="00C620C3">
            <w:pPr>
              <w:jc w:val="right"/>
              <w:rPr>
                <w:rFonts w:ascii="Georgia" w:hAnsi="Georgia"/>
                <w:color w:val="404040" w:themeColor="text1" w:themeTint="BF"/>
                <w:sz w:val="20"/>
              </w:rPr>
            </w:pPr>
            <w:r w:rsidRPr="00D80409">
              <w:rPr>
                <w:rFonts w:ascii="Georgia" w:hAnsi="Georgia"/>
                <w:color w:val="404040" w:themeColor="text1" w:themeTint="BF"/>
                <w:sz w:val="20"/>
              </w:rPr>
              <w:t>241,321</w:t>
            </w:r>
          </w:p>
        </w:tc>
        <w:tc>
          <w:tcPr>
            <w:tcW w:w="935" w:type="pct"/>
            <w:tcBorders>
              <w:top w:val="nil"/>
              <w:left w:val="nil"/>
              <w:bottom w:val="nil"/>
              <w:right w:val="nil"/>
            </w:tcBorders>
            <w:shd w:val="clear" w:color="auto" w:fill="auto"/>
            <w:noWrap/>
            <w:vAlign w:val="center"/>
          </w:tcPr>
          <w:p w14:paraId="269C840A" w14:textId="1FAD0C3F" w:rsidR="007B5D00" w:rsidRPr="00D80409" w:rsidRDefault="00D80409" w:rsidP="00C620C3">
            <w:pPr>
              <w:jc w:val="right"/>
              <w:rPr>
                <w:rFonts w:ascii="Georgia" w:hAnsi="Georgia"/>
                <w:b/>
                <w:color w:val="404040" w:themeColor="text1" w:themeTint="BF"/>
                <w:sz w:val="20"/>
              </w:rPr>
            </w:pPr>
            <w:r w:rsidRPr="00D80409">
              <w:rPr>
                <w:rFonts w:ascii="Georgia" w:hAnsi="Georgia"/>
                <w:b/>
                <w:color w:val="404040" w:themeColor="text1" w:themeTint="BF"/>
                <w:sz w:val="20"/>
              </w:rPr>
              <w:t>241,321</w:t>
            </w:r>
          </w:p>
        </w:tc>
      </w:tr>
      <w:tr w:rsidR="007B5D00" w:rsidRPr="00A94A31" w14:paraId="49479D7A" w14:textId="77777777" w:rsidTr="00C620C3">
        <w:trPr>
          <w:trHeight w:val="448"/>
        </w:trPr>
        <w:tc>
          <w:tcPr>
            <w:tcW w:w="1525" w:type="pct"/>
            <w:tcBorders>
              <w:top w:val="nil"/>
              <w:left w:val="nil"/>
              <w:bottom w:val="nil"/>
              <w:right w:val="nil"/>
            </w:tcBorders>
            <w:shd w:val="clear" w:color="auto" w:fill="auto"/>
            <w:vAlign w:val="center"/>
          </w:tcPr>
          <w:p w14:paraId="6A0B5653" w14:textId="19B2187E" w:rsidR="007B5D00" w:rsidRPr="00A94A31" w:rsidRDefault="007B5D00" w:rsidP="0018287C">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Trade and other receivables</w:t>
            </w:r>
            <w:r w:rsidR="00A2527E">
              <w:rPr>
                <w:rFonts w:ascii="Georgia" w:hAnsi="Georgia" w:cs="Arial"/>
                <w:color w:val="404040" w:themeColor="text1" w:themeTint="BF"/>
                <w:sz w:val="20"/>
                <w:szCs w:val="20"/>
                <w:lang w:eastAsia="en-GB"/>
              </w:rPr>
              <w:t>*</w:t>
            </w:r>
            <w:r w:rsidRPr="00A94A31">
              <w:rPr>
                <w:rFonts w:ascii="Georgia" w:hAnsi="Georgia" w:cs="Arial"/>
                <w:color w:val="404040" w:themeColor="text1" w:themeTint="BF"/>
                <w:sz w:val="20"/>
                <w:szCs w:val="20"/>
                <w:lang w:eastAsia="en-GB"/>
              </w:rPr>
              <w:t>*</w:t>
            </w:r>
          </w:p>
        </w:tc>
        <w:tc>
          <w:tcPr>
            <w:tcW w:w="914" w:type="pct"/>
            <w:tcBorders>
              <w:top w:val="nil"/>
              <w:left w:val="nil"/>
              <w:bottom w:val="nil"/>
              <w:right w:val="nil"/>
            </w:tcBorders>
            <w:shd w:val="clear" w:color="auto" w:fill="auto"/>
            <w:noWrap/>
            <w:vAlign w:val="center"/>
          </w:tcPr>
          <w:p w14:paraId="4FFBB014" w14:textId="4A14C6C5" w:rsidR="007B5D00" w:rsidRPr="00D80409" w:rsidRDefault="00D80409" w:rsidP="007B5D00">
            <w:pPr>
              <w:jc w:val="right"/>
              <w:rPr>
                <w:rFonts w:ascii="Georgia" w:hAnsi="Georgia"/>
                <w:color w:val="404040" w:themeColor="text1" w:themeTint="BF"/>
                <w:sz w:val="20"/>
              </w:rPr>
            </w:pPr>
            <w:r w:rsidRPr="00D80409">
              <w:rPr>
                <w:rFonts w:ascii="Georgia" w:hAnsi="Georgia"/>
                <w:color w:val="404040" w:themeColor="text1" w:themeTint="BF"/>
                <w:sz w:val="20"/>
              </w:rPr>
              <w:t>737</w:t>
            </w:r>
          </w:p>
        </w:tc>
        <w:tc>
          <w:tcPr>
            <w:tcW w:w="819" w:type="pct"/>
            <w:tcBorders>
              <w:top w:val="nil"/>
              <w:left w:val="nil"/>
              <w:bottom w:val="nil"/>
              <w:right w:val="nil"/>
            </w:tcBorders>
            <w:shd w:val="clear" w:color="auto" w:fill="auto"/>
            <w:noWrap/>
            <w:vAlign w:val="center"/>
          </w:tcPr>
          <w:p w14:paraId="059EC7C3" w14:textId="4266114F" w:rsidR="007B5D00" w:rsidRPr="00D80409" w:rsidRDefault="00B2656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808" w:type="pct"/>
            <w:tcBorders>
              <w:top w:val="nil"/>
              <w:left w:val="nil"/>
              <w:bottom w:val="nil"/>
              <w:right w:val="nil"/>
            </w:tcBorders>
            <w:shd w:val="clear" w:color="auto" w:fill="auto"/>
            <w:noWrap/>
            <w:vAlign w:val="center"/>
          </w:tcPr>
          <w:p w14:paraId="376224CF" w14:textId="60B2ECD2" w:rsidR="007B5D00" w:rsidRPr="00D80409" w:rsidRDefault="00B2656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935" w:type="pct"/>
            <w:tcBorders>
              <w:top w:val="nil"/>
              <w:left w:val="nil"/>
              <w:bottom w:val="nil"/>
              <w:right w:val="nil"/>
            </w:tcBorders>
            <w:shd w:val="clear" w:color="auto" w:fill="auto"/>
            <w:noWrap/>
            <w:vAlign w:val="center"/>
          </w:tcPr>
          <w:p w14:paraId="4B2AF00A" w14:textId="330D953B" w:rsidR="007B5D00" w:rsidRPr="00D80409" w:rsidRDefault="00D80409" w:rsidP="007B5D00">
            <w:pPr>
              <w:jc w:val="right"/>
              <w:rPr>
                <w:rFonts w:ascii="Georgia" w:hAnsi="Georgia"/>
                <w:b/>
                <w:color w:val="404040" w:themeColor="text1" w:themeTint="BF"/>
                <w:sz w:val="20"/>
              </w:rPr>
            </w:pPr>
            <w:r w:rsidRPr="00D80409">
              <w:rPr>
                <w:rFonts w:ascii="Georgia" w:hAnsi="Georgia"/>
                <w:b/>
                <w:color w:val="404040" w:themeColor="text1" w:themeTint="BF"/>
                <w:sz w:val="20"/>
              </w:rPr>
              <w:t>737</w:t>
            </w:r>
          </w:p>
        </w:tc>
      </w:tr>
      <w:tr w:rsidR="007B5D00" w:rsidRPr="00A94A31" w14:paraId="2A032E4E" w14:textId="77777777" w:rsidTr="00C620C3">
        <w:trPr>
          <w:trHeight w:val="448"/>
        </w:trPr>
        <w:tc>
          <w:tcPr>
            <w:tcW w:w="1525" w:type="pct"/>
            <w:tcBorders>
              <w:top w:val="nil"/>
              <w:left w:val="nil"/>
              <w:bottom w:val="nil"/>
              <w:right w:val="nil"/>
            </w:tcBorders>
            <w:shd w:val="clear" w:color="auto" w:fill="auto"/>
            <w:vAlign w:val="center"/>
          </w:tcPr>
          <w:p w14:paraId="5B713619" w14:textId="77777777" w:rsidR="007B5D00" w:rsidRPr="00A94A31" w:rsidRDefault="007B5D00" w:rsidP="0018287C">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Cash and cash equivalents</w:t>
            </w:r>
          </w:p>
        </w:tc>
        <w:tc>
          <w:tcPr>
            <w:tcW w:w="914" w:type="pct"/>
            <w:tcBorders>
              <w:top w:val="nil"/>
              <w:left w:val="nil"/>
              <w:bottom w:val="nil"/>
              <w:right w:val="nil"/>
            </w:tcBorders>
            <w:shd w:val="clear" w:color="auto" w:fill="auto"/>
            <w:noWrap/>
            <w:vAlign w:val="center"/>
          </w:tcPr>
          <w:p w14:paraId="213542B0" w14:textId="2A130AF5" w:rsidR="007B5D00" w:rsidRPr="00D80409" w:rsidRDefault="002A7A72" w:rsidP="007B5D00">
            <w:pPr>
              <w:jc w:val="right"/>
              <w:rPr>
                <w:rFonts w:ascii="Georgia" w:hAnsi="Georgia"/>
                <w:color w:val="404040" w:themeColor="text1" w:themeTint="BF"/>
                <w:sz w:val="20"/>
              </w:rPr>
            </w:pPr>
            <w:r>
              <w:rPr>
                <w:rFonts w:ascii="Georgia" w:hAnsi="Georgia"/>
                <w:color w:val="404040" w:themeColor="text1" w:themeTint="BF"/>
                <w:sz w:val="20"/>
              </w:rPr>
              <w:t>747</w:t>
            </w:r>
          </w:p>
        </w:tc>
        <w:tc>
          <w:tcPr>
            <w:tcW w:w="819" w:type="pct"/>
            <w:tcBorders>
              <w:top w:val="nil"/>
              <w:left w:val="nil"/>
              <w:bottom w:val="nil"/>
              <w:right w:val="nil"/>
            </w:tcBorders>
            <w:shd w:val="clear" w:color="auto" w:fill="auto"/>
            <w:noWrap/>
            <w:vAlign w:val="center"/>
          </w:tcPr>
          <w:p w14:paraId="134C191B" w14:textId="284D48A9" w:rsidR="007B5D00" w:rsidRPr="00D80409" w:rsidRDefault="00B2656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808" w:type="pct"/>
            <w:tcBorders>
              <w:top w:val="nil"/>
              <w:left w:val="nil"/>
              <w:bottom w:val="nil"/>
              <w:right w:val="nil"/>
            </w:tcBorders>
            <w:shd w:val="clear" w:color="auto" w:fill="auto"/>
            <w:noWrap/>
            <w:vAlign w:val="center"/>
          </w:tcPr>
          <w:p w14:paraId="696BD901" w14:textId="37E951A3" w:rsidR="007B5D00" w:rsidRPr="00D80409" w:rsidRDefault="00B2656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935" w:type="pct"/>
            <w:tcBorders>
              <w:top w:val="nil"/>
              <w:left w:val="nil"/>
              <w:bottom w:val="nil"/>
              <w:right w:val="nil"/>
            </w:tcBorders>
            <w:shd w:val="clear" w:color="auto" w:fill="auto"/>
            <w:noWrap/>
            <w:vAlign w:val="center"/>
          </w:tcPr>
          <w:p w14:paraId="6970DE0B" w14:textId="4CAA5BC8" w:rsidR="007B5D00" w:rsidRPr="00D80409" w:rsidRDefault="002A7A72" w:rsidP="007B5D00">
            <w:pPr>
              <w:jc w:val="right"/>
              <w:rPr>
                <w:rFonts w:ascii="Georgia" w:hAnsi="Georgia"/>
                <w:b/>
                <w:color w:val="404040" w:themeColor="text1" w:themeTint="BF"/>
                <w:sz w:val="20"/>
              </w:rPr>
            </w:pPr>
            <w:r>
              <w:rPr>
                <w:rFonts w:ascii="Georgia" w:hAnsi="Georgia"/>
                <w:b/>
                <w:color w:val="404040" w:themeColor="text1" w:themeTint="BF"/>
                <w:sz w:val="20"/>
              </w:rPr>
              <w:t>747</w:t>
            </w:r>
          </w:p>
        </w:tc>
      </w:tr>
      <w:tr w:rsidR="007B5D00" w:rsidRPr="00A94A31" w14:paraId="59366B99" w14:textId="77777777" w:rsidTr="00C620C3">
        <w:trPr>
          <w:trHeight w:val="169"/>
        </w:trPr>
        <w:tc>
          <w:tcPr>
            <w:tcW w:w="1525" w:type="pct"/>
            <w:tcBorders>
              <w:top w:val="nil"/>
              <w:left w:val="nil"/>
              <w:bottom w:val="nil"/>
              <w:right w:val="nil"/>
            </w:tcBorders>
            <w:shd w:val="clear" w:color="auto" w:fill="auto"/>
            <w:noWrap/>
            <w:vAlign w:val="center"/>
          </w:tcPr>
          <w:p w14:paraId="571425CD" w14:textId="77777777" w:rsidR="007B5D00" w:rsidRPr="00A94A31" w:rsidRDefault="007B5D00" w:rsidP="00EC5C64">
            <w:pPr>
              <w:rPr>
                <w:rFonts w:ascii="Georgia" w:hAnsi="Georgia" w:cs="Arial"/>
                <w:color w:val="404040" w:themeColor="text1" w:themeTint="BF"/>
                <w:sz w:val="20"/>
                <w:szCs w:val="20"/>
                <w:lang w:eastAsia="en-GB"/>
              </w:rPr>
            </w:pPr>
          </w:p>
        </w:tc>
        <w:tc>
          <w:tcPr>
            <w:tcW w:w="914" w:type="pct"/>
            <w:tcBorders>
              <w:top w:val="nil"/>
              <w:left w:val="nil"/>
              <w:bottom w:val="nil"/>
              <w:right w:val="nil"/>
            </w:tcBorders>
            <w:shd w:val="clear" w:color="auto" w:fill="auto"/>
            <w:noWrap/>
            <w:vAlign w:val="center"/>
          </w:tcPr>
          <w:p w14:paraId="3AFAFD8B" w14:textId="77777777" w:rsidR="007B5D00" w:rsidRPr="00D80409" w:rsidRDefault="007B5D00" w:rsidP="007B5D00">
            <w:pPr>
              <w:jc w:val="right"/>
              <w:rPr>
                <w:rFonts w:ascii="Georgia" w:hAnsi="Georgia" w:cs="Arial"/>
                <w:color w:val="404040" w:themeColor="text1" w:themeTint="BF"/>
                <w:sz w:val="20"/>
                <w:szCs w:val="20"/>
                <w:lang w:eastAsia="en-GB"/>
              </w:rPr>
            </w:pPr>
          </w:p>
        </w:tc>
        <w:tc>
          <w:tcPr>
            <w:tcW w:w="819" w:type="pct"/>
            <w:tcBorders>
              <w:top w:val="nil"/>
              <w:left w:val="nil"/>
              <w:bottom w:val="nil"/>
              <w:right w:val="nil"/>
            </w:tcBorders>
            <w:shd w:val="clear" w:color="auto" w:fill="auto"/>
            <w:noWrap/>
            <w:vAlign w:val="center"/>
          </w:tcPr>
          <w:p w14:paraId="49DD8FB1" w14:textId="77777777" w:rsidR="007B5D00" w:rsidRPr="00D80409" w:rsidRDefault="007B5D00" w:rsidP="007B5D00">
            <w:pPr>
              <w:jc w:val="right"/>
              <w:rPr>
                <w:rFonts w:ascii="Georgia" w:hAnsi="Georgia" w:cs="Arial"/>
                <w:color w:val="404040" w:themeColor="text1" w:themeTint="BF"/>
                <w:sz w:val="20"/>
                <w:szCs w:val="20"/>
                <w:lang w:eastAsia="en-GB"/>
              </w:rPr>
            </w:pPr>
          </w:p>
        </w:tc>
        <w:tc>
          <w:tcPr>
            <w:tcW w:w="808" w:type="pct"/>
            <w:tcBorders>
              <w:top w:val="nil"/>
              <w:left w:val="nil"/>
              <w:bottom w:val="nil"/>
              <w:right w:val="nil"/>
            </w:tcBorders>
            <w:shd w:val="clear" w:color="auto" w:fill="auto"/>
            <w:noWrap/>
            <w:vAlign w:val="center"/>
          </w:tcPr>
          <w:p w14:paraId="53DE5D1B" w14:textId="77777777" w:rsidR="007B5D00" w:rsidRPr="00D80409" w:rsidRDefault="007B5D00" w:rsidP="007B5D00">
            <w:pPr>
              <w:jc w:val="right"/>
              <w:rPr>
                <w:rFonts w:ascii="Georgia" w:hAnsi="Georgia" w:cs="Arial"/>
                <w:color w:val="404040" w:themeColor="text1" w:themeTint="BF"/>
                <w:sz w:val="20"/>
                <w:szCs w:val="20"/>
                <w:lang w:eastAsia="en-GB"/>
              </w:rPr>
            </w:pPr>
          </w:p>
        </w:tc>
        <w:tc>
          <w:tcPr>
            <w:tcW w:w="935" w:type="pct"/>
            <w:tcBorders>
              <w:top w:val="nil"/>
              <w:left w:val="nil"/>
              <w:bottom w:val="nil"/>
              <w:right w:val="nil"/>
            </w:tcBorders>
            <w:shd w:val="clear" w:color="auto" w:fill="auto"/>
            <w:noWrap/>
            <w:vAlign w:val="center"/>
          </w:tcPr>
          <w:p w14:paraId="14A6AC8D" w14:textId="77777777" w:rsidR="007B5D00" w:rsidRPr="00D80409" w:rsidRDefault="007B5D00" w:rsidP="007B5D00">
            <w:pPr>
              <w:jc w:val="right"/>
              <w:rPr>
                <w:rFonts w:ascii="Georgia" w:hAnsi="Georgia" w:cs="Arial"/>
                <w:b/>
                <w:bCs/>
                <w:color w:val="404040" w:themeColor="text1" w:themeTint="BF"/>
                <w:sz w:val="20"/>
                <w:szCs w:val="20"/>
                <w:lang w:eastAsia="en-GB"/>
              </w:rPr>
            </w:pPr>
          </w:p>
        </w:tc>
      </w:tr>
      <w:tr w:rsidR="007B5D00" w:rsidRPr="00A94A31" w14:paraId="2ECAD12D" w14:textId="77777777" w:rsidTr="00C620C3">
        <w:trPr>
          <w:trHeight w:val="448"/>
        </w:trPr>
        <w:tc>
          <w:tcPr>
            <w:tcW w:w="1525" w:type="pct"/>
            <w:tcBorders>
              <w:top w:val="nil"/>
              <w:left w:val="nil"/>
              <w:bottom w:val="nil"/>
              <w:right w:val="nil"/>
            </w:tcBorders>
            <w:shd w:val="clear" w:color="auto" w:fill="auto"/>
            <w:noWrap/>
            <w:vAlign w:val="center"/>
          </w:tcPr>
          <w:p w14:paraId="17CAA646" w14:textId="77777777" w:rsidR="007B5D00" w:rsidRPr="00A94A31" w:rsidRDefault="007B5D00" w:rsidP="0018287C">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Liabilities</w:t>
            </w:r>
          </w:p>
        </w:tc>
        <w:tc>
          <w:tcPr>
            <w:tcW w:w="914" w:type="pct"/>
            <w:tcBorders>
              <w:top w:val="nil"/>
              <w:left w:val="nil"/>
              <w:bottom w:val="nil"/>
              <w:right w:val="nil"/>
            </w:tcBorders>
            <w:shd w:val="clear" w:color="auto" w:fill="auto"/>
            <w:noWrap/>
            <w:vAlign w:val="center"/>
          </w:tcPr>
          <w:p w14:paraId="54598F2A" w14:textId="77777777" w:rsidR="007B5D00" w:rsidRPr="00D80409" w:rsidRDefault="007B5D00" w:rsidP="007B5D00">
            <w:pPr>
              <w:jc w:val="right"/>
              <w:rPr>
                <w:rFonts w:ascii="Georgia" w:hAnsi="Georgia" w:cs="Arial"/>
                <w:color w:val="404040" w:themeColor="text1" w:themeTint="BF"/>
                <w:sz w:val="20"/>
                <w:szCs w:val="20"/>
                <w:lang w:eastAsia="en-GB"/>
              </w:rPr>
            </w:pPr>
          </w:p>
        </w:tc>
        <w:tc>
          <w:tcPr>
            <w:tcW w:w="819" w:type="pct"/>
            <w:tcBorders>
              <w:top w:val="nil"/>
              <w:left w:val="nil"/>
              <w:bottom w:val="nil"/>
              <w:right w:val="nil"/>
            </w:tcBorders>
            <w:shd w:val="clear" w:color="auto" w:fill="auto"/>
            <w:noWrap/>
            <w:vAlign w:val="center"/>
          </w:tcPr>
          <w:p w14:paraId="0AD61FE5" w14:textId="77777777" w:rsidR="007B5D00" w:rsidRPr="00D80409" w:rsidRDefault="007B5D00" w:rsidP="007B5D00">
            <w:pPr>
              <w:jc w:val="right"/>
              <w:rPr>
                <w:rFonts w:ascii="Georgia" w:hAnsi="Georgia" w:cs="Arial"/>
                <w:color w:val="404040" w:themeColor="text1" w:themeTint="BF"/>
                <w:sz w:val="20"/>
                <w:szCs w:val="20"/>
                <w:lang w:eastAsia="en-GB"/>
              </w:rPr>
            </w:pPr>
          </w:p>
        </w:tc>
        <w:tc>
          <w:tcPr>
            <w:tcW w:w="808" w:type="pct"/>
            <w:tcBorders>
              <w:top w:val="nil"/>
              <w:left w:val="nil"/>
              <w:bottom w:val="nil"/>
              <w:right w:val="nil"/>
            </w:tcBorders>
            <w:shd w:val="clear" w:color="auto" w:fill="auto"/>
            <w:noWrap/>
            <w:vAlign w:val="center"/>
          </w:tcPr>
          <w:p w14:paraId="53923B4E" w14:textId="77777777" w:rsidR="007B5D00" w:rsidRPr="00D80409" w:rsidRDefault="007B5D00" w:rsidP="007B5D00">
            <w:pPr>
              <w:jc w:val="right"/>
              <w:rPr>
                <w:rFonts w:ascii="Georgia" w:hAnsi="Georgia" w:cs="Arial"/>
                <w:color w:val="404040" w:themeColor="text1" w:themeTint="BF"/>
                <w:sz w:val="20"/>
                <w:szCs w:val="20"/>
                <w:lang w:eastAsia="en-GB"/>
              </w:rPr>
            </w:pPr>
          </w:p>
        </w:tc>
        <w:tc>
          <w:tcPr>
            <w:tcW w:w="935" w:type="pct"/>
            <w:tcBorders>
              <w:top w:val="nil"/>
              <w:left w:val="nil"/>
              <w:bottom w:val="nil"/>
              <w:right w:val="nil"/>
            </w:tcBorders>
            <w:shd w:val="clear" w:color="auto" w:fill="auto"/>
            <w:noWrap/>
            <w:vAlign w:val="center"/>
          </w:tcPr>
          <w:p w14:paraId="2BF9F222" w14:textId="77777777" w:rsidR="007B5D00" w:rsidRPr="00D80409" w:rsidRDefault="007B5D00" w:rsidP="007B5D00">
            <w:pPr>
              <w:jc w:val="right"/>
              <w:rPr>
                <w:rFonts w:ascii="Georgia" w:hAnsi="Georgia" w:cs="Arial"/>
                <w:b/>
                <w:bCs/>
                <w:color w:val="404040" w:themeColor="text1" w:themeTint="BF"/>
                <w:sz w:val="20"/>
                <w:szCs w:val="20"/>
                <w:lang w:eastAsia="en-GB"/>
              </w:rPr>
            </w:pPr>
          </w:p>
        </w:tc>
      </w:tr>
      <w:tr w:rsidR="007B5D00" w:rsidRPr="00A94A31" w14:paraId="55150253" w14:textId="77777777" w:rsidTr="00C620C3">
        <w:trPr>
          <w:trHeight w:val="448"/>
        </w:trPr>
        <w:tc>
          <w:tcPr>
            <w:tcW w:w="1525" w:type="pct"/>
            <w:tcBorders>
              <w:top w:val="nil"/>
              <w:left w:val="nil"/>
              <w:bottom w:val="nil"/>
              <w:right w:val="nil"/>
            </w:tcBorders>
            <w:shd w:val="clear" w:color="auto" w:fill="auto"/>
            <w:vAlign w:val="center"/>
          </w:tcPr>
          <w:p w14:paraId="35C7887C" w14:textId="77777777" w:rsidR="007B5D00" w:rsidRPr="00A94A31" w:rsidRDefault="007B5D00" w:rsidP="0018287C">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Other payables and accrued expenses</w:t>
            </w:r>
          </w:p>
        </w:tc>
        <w:tc>
          <w:tcPr>
            <w:tcW w:w="914" w:type="pct"/>
            <w:tcBorders>
              <w:top w:val="nil"/>
              <w:left w:val="nil"/>
              <w:bottom w:val="nil"/>
              <w:right w:val="nil"/>
            </w:tcBorders>
            <w:shd w:val="clear" w:color="auto" w:fill="auto"/>
            <w:noWrap/>
            <w:vAlign w:val="center"/>
          </w:tcPr>
          <w:p w14:paraId="42CBCE6B" w14:textId="18C4E004" w:rsidR="007B5D00" w:rsidRPr="00D80409" w:rsidRDefault="00B26565" w:rsidP="007F0145">
            <w:pPr>
              <w:jc w:val="right"/>
              <w:rPr>
                <w:rFonts w:ascii="Georgia" w:hAnsi="Georgia"/>
                <w:color w:val="404040" w:themeColor="text1" w:themeTint="BF"/>
                <w:sz w:val="20"/>
              </w:rPr>
            </w:pPr>
            <w:r w:rsidRPr="00D80409">
              <w:rPr>
                <w:rFonts w:ascii="Georgia" w:hAnsi="Georgia"/>
                <w:color w:val="404040" w:themeColor="text1" w:themeTint="BF"/>
                <w:sz w:val="20"/>
              </w:rPr>
              <w:t>(</w:t>
            </w:r>
            <w:r w:rsidR="002A7A72">
              <w:rPr>
                <w:rFonts w:ascii="Georgia" w:hAnsi="Georgia"/>
                <w:color w:val="404040" w:themeColor="text1" w:themeTint="BF"/>
                <w:sz w:val="20"/>
              </w:rPr>
              <w:t>436</w:t>
            </w:r>
            <w:r w:rsidRPr="00D80409">
              <w:rPr>
                <w:rFonts w:ascii="Georgia" w:hAnsi="Georgia"/>
                <w:color w:val="404040" w:themeColor="text1" w:themeTint="BF"/>
                <w:sz w:val="20"/>
              </w:rPr>
              <w:t>)</w:t>
            </w:r>
          </w:p>
        </w:tc>
        <w:tc>
          <w:tcPr>
            <w:tcW w:w="819" w:type="pct"/>
            <w:tcBorders>
              <w:top w:val="nil"/>
              <w:left w:val="nil"/>
              <w:bottom w:val="nil"/>
              <w:right w:val="nil"/>
            </w:tcBorders>
            <w:shd w:val="clear" w:color="auto" w:fill="auto"/>
            <w:noWrap/>
            <w:vAlign w:val="center"/>
          </w:tcPr>
          <w:p w14:paraId="1FBAC2C1" w14:textId="2A77BC0A" w:rsidR="007B5D00" w:rsidRPr="00D80409" w:rsidRDefault="00B2656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808" w:type="pct"/>
            <w:tcBorders>
              <w:top w:val="nil"/>
              <w:left w:val="nil"/>
              <w:bottom w:val="nil"/>
              <w:right w:val="nil"/>
            </w:tcBorders>
            <w:shd w:val="clear" w:color="auto" w:fill="auto"/>
            <w:noWrap/>
            <w:vAlign w:val="center"/>
          </w:tcPr>
          <w:p w14:paraId="5ACE1E75" w14:textId="4E75A6F8" w:rsidR="007B5D00" w:rsidRPr="00D80409" w:rsidRDefault="00B2656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935" w:type="pct"/>
            <w:tcBorders>
              <w:top w:val="nil"/>
              <w:left w:val="nil"/>
              <w:bottom w:val="nil"/>
              <w:right w:val="nil"/>
            </w:tcBorders>
            <w:shd w:val="clear" w:color="auto" w:fill="auto"/>
            <w:noWrap/>
            <w:vAlign w:val="center"/>
          </w:tcPr>
          <w:p w14:paraId="30735F1F" w14:textId="2CEAF7F8" w:rsidR="007B5D00" w:rsidRPr="00D80409" w:rsidRDefault="00B26565" w:rsidP="00665AEF">
            <w:pPr>
              <w:jc w:val="right"/>
              <w:rPr>
                <w:rFonts w:ascii="Georgia" w:hAnsi="Georgia"/>
                <w:b/>
                <w:color w:val="404040" w:themeColor="text1" w:themeTint="BF"/>
                <w:sz w:val="20"/>
              </w:rPr>
            </w:pPr>
            <w:r w:rsidRPr="00D80409">
              <w:rPr>
                <w:rFonts w:ascii="Georgia" w:hAnsi="Georgia"/>
                <w:b/>
                <w:color w:val="404040" w:themeColor="text1" w:themeTint="BF"/>
                <w:sz w:val="20"/>
              </w:rPr>
              <w:t>(</w:t>
            </w:r>
            <w:r w:rsidR="002A7A72">
              <w:rPr>
                <w:rFonts w:ascii="Georgia" w:hAnsi="Georgia"/>
                <w:b/>
                <w:color w:val="404040" w:themeColor="text1" w:themeTint="BF"/>
                <w:sz w:val="20"/>
              </w:rPr>
              <w:t>436</w:t>
            </w:r>
            <w:r w:rsidRPr="00D80409">
              <w:rPr>
                <w:rFonts w:ascii="Georgia" w:hAnsi="Georgia"/>
                <w:b/>
                <w:color w:val="404040" w:themeColor="text1" w:themeTint="BF"/>
                <w:sz w:val="20"/>
              </w:rPr>
              <w:t>)</w:t>
            </w:r>
          </w:p>
        </w:tc>
      </w:tr>
      <w:tr w:rsidR="007B5D00" w:rsidRPr="00A94A31" w14:paraId="2548E113" w14:textId="77777777" w:rsidTr="00C620C3">
        <w:trPr>
          <w:trHeight w:val="539"/>
        </w:trPr>
        <w:tc>
          <w:tcPr>
            <w:tcW w:w="1525" w:type="pct"/>
            <w:tcBorders>
              <w:top w:val="nil"/>
              <w:left w:val="nil"/>
              <w:bottom w:val="nil"/>
              <w:right w:val="nil"/>
            </w:tcBorders>
            <w:shd w:val="clear" w:color="auto" w:fill="auto"/>
            <w:vAlign w:val="bottom"/>
          </w:tcPr>
          <w:p w14:paraId="687E664E" w14:textId="77777777" w:rsidR="007B5D00" w:rsidRPr="00A94A31" w:rsidRDefault="007B5D00" w:rsidP="0018287C">
            <w:pPr>
              <w:rPr>
                <w:rFonts w:ascii="Georgia" w:hAnsi="Georgia" w:cs="Arial"/>
                <w:color w:val="404040" w:themeColor="text1" w:themeTint="BF"/>
                <w:sz w:val="20"/>
                <w:szCs w:val="20"/>
                <w:lang w:eastAsia="en-GB"/>
              </w:rPr>
            </w:pPr>
          </w:p>
        </w:tc>
        <w:tc>
          <w:tcPr>
            <w:tcW w:w="914" w:type="pct"/>
            <w:tcBorders>
              <w:top w:val="single" w:sz="4" w:space="0" w:color="auto"/>
              <w:left w:val="nil"/>
              <w:bottom w:val="double" w:sz="6" w:space="0" w:color="auto"/>
              <w:right w:val="nil"/>
            </w:tcBorders>
            <w:shd w:val="clear" w:color="auto" w:fill="auto"/>
            <w:noWrap/>
            <w:vAlign w:val="center"/>
          </w:tcPr>
          <w:p w14:paraId="5427B82B" w14:textId="6DA4E5B3" w:rsidR="007B5D00" w:rsidRPr="00D80409" w:rsidRDefault="00D80409" w:rsidP="007B5D00">
            <w:pPr>
              <w:jc w:val="right"/>
              <w:rPr>
                <w:rFonts w:ascii="Georgia" w:hAnsi="Georgia"/>
                <w:color w:val="404040" w:themeColor="text1" w:themeTint="BF"/>
                <w:sz w:val="20"/>
              </w:rPr>
            </w:pPr>
            <w:r w:rsidRPr="00D80409">
              <w:rPr>
                <w:rFonts w:ascii="Georgia" w:hAnsi="Georgia"/>
                <w:color w:val="404040" w:themeColor="text1" w:themeTint="BF"/>
                <w:sz w:val="20"/>
              </w:rPr>
              <w:t>1,048</w:t>
            </w:r>
          </w:p>
        </w:tc>
        <w:tc>
          <w:tcPr>
            <w:tcW w:w="819" w:type="pct"/>
            <w:tcBorders>
              <w:top w:val="single" w:sz="4" w:space="0" w:color="auto"/>
              <w:left w:val="nil"/>
              <w:bottom w:val="double" w:sz="6" w:space="0" w:color="auto"/>
              <w:right w:val="nil"/>
            </w:tcBorders>
            <w:shd w:val="clear" w:color="auto" w:fill="auto"/>
            <w:noWrap/>
            <w:vAlign w:val="center"/>
          </w:tcPr>
          <w:p w14:paraId="12D130CD" w14:textId="676ADE23" w:rsidR="007B5D00" w:rsidRPr="00D80409" w:rsidRDefault="009136F5" w:rsidP="007B5D00">
            <w:pPr>
              <w:jc w:val="right"/>
              <w:rPr>
                <w:rFonts w:ascii="Georgia" w:hAnsi="Georgia"/>
                <w:color w:val="404040" w:themeColor="text1" w:themeTint="BF"/>
                <w:sz w:val="20"/>
              </w:rPr>
            </w:pPr>
            <w:r w:rsidRPr="00D80409">
              <w:rPr>
                <w:rFonts w:ascii="Georgia" w:hAnsi="Georgia"/>
                <w:color w:val="404040" w:themeColor="text1" w:themeTint="BF"/>
                <w:sz w:val="20"/>
              </w:rPr>
              <w:t>-</w:t>
            </w:r>
          </w:p>
        </w:tc>
        <w:tc>
          <w:tcPr>
            <w:tcW w:w="808" w:type="pct"/>
            <w:tcBorders>
              <w:top w:val="single" w:sz="4" w:space="0" w:color="auto"/>
              <w:left w:val="nil"/>
              <w:bottom w:val="double" w:sz="6" w:space="0" w:color="auto"/>
              <w:right w:val="nil"/>
            </w:tcBorders>
            <w:shd w:val="clear" w:color="auto" w:fill="auto"/>
            <w:noWrap/>
            <w:vAlign w:val="center"/>
          </w:tcPr>
          <w:p w14:paraId="7E49E084" w14:textId="4257BFC1" w:rsidR="007B5D00" w:rsidRPr="00D80409" w:rsidRDefault="00D80409" w:rsidP="00FE1A7F">
            <w:pPr>
              <w:jc w:val="right"/>
              <w:rPr>
                <w:rFonts w:ascii="Georgia" w:hAnsi="Georgia"/>
                <w:color w:val="404040" w:themeColor="text1" w:themeTint="BF"/>
                <w:sz w:val="20"/>
              </w:rPr>
            </w:pPr>
            <w:r w:rsidRPr="00D80409">
              <w:rPr>
                <w:rFonts w:ascii="Georgia" w:hAnsi="Georgia"/>
                <w:color w:val="404040" w:themeColor="text1" w:themeTint="BF"/>
                <w:sz w:val="20"/>
              </w:rPr>
              <w:t>241,321</w:t>
            </w:r>
          </w:p>
        </w:tc>
        <w:tc>
          <w:tcPr>
            <w:tcW w:w="935" w:type="pct"/>
            <w:tcBorders>
              <w:top w:val="single" w:sz="4" w:space="0" w:color="auto"/>
              <w:left w:val="nil"/>
              <w:bottom w:val="double" w:sz="6" w:space="0" w:color="auto"/>
              <w:right w:val="nil"/>
            </w:tcBorders>
            <w:shd w:val="clear" w:color="auto" w:fill="auto"/>
            <w:noWrap/>
            <w:vAlign w:val="center"/>
          </w:tcPr>
          <w:p w14:paraId="7337230F" w14:textId="00A444C7" w:rsidR="007B5D00" w:rsidRPr="00D80409" w:rsidRDefault="00816C20" w:rsidP="00FE1A7F">
            <w:pPr>
              <w:jc w:val="right"/>
              <w:rPr>
                <w:rFonts w:ascii="Georgia" w:hAnsi="Georgia"/>
                <w:b/>
                <w:color w:val="404040" w:themeColor="text1" w:themeTint="BF"/>
                <w:sz w:val="20"/>
              </w:rPr>
            </w:pPr>
            <w:r>
              <w:rPr>
                <w:rFonts w:ascii="Georgia" w:hAnsi="Georgia"/>
                <w:b/>
                <w:color w:val="404040" w:themeColor="text1" w:themeTint="BF"/>
                <w:sz w:val="20"/>
              </w:rPr>
              <w:t>242</w:t>
            </w:r>
            <w:r w:rsidR="00D80409" w:rsidRPr="00D80409">
              <w:rPr>
                <w:rFonts w:ascii="Georgia" w:hAnsi="Georgia"/>
                <w:b/>
                <w:color w:val="404040" w:themeColor="text1" w:themeTint="BF"/>
                <w:sz w:val="20"/>
              </w:rPr>
              <w:t>,369</w:t>
            </w:r>
          </w:p>
        </w:tc>
      </w:tr>
      <w:tr w:rsidR="007B5D00" w:rsidRPr="00A94A31" w14:paraId="28C48562" w14:textId="77777777" w:rsidTr="00C620C3">
        <w:trPr>
          <w:trHeight w:val="270"/>
        </w:trPr>
        <w:tc>
          <w:tcPr>
            <w:tcW w:w="1525" w:type="pct"/>
            <w:tcBorders>
              <w:top w:val="nil"/>
              <w:left w:val="nil"/>
              <w:bottom w:val="nil"/>
              <w:right w:val="nil"/>
            </w:tcBorders>
            <w:shd w:val="clear" w:color="auto" w:fill="auto"/>
            <w:noWrap/>
            <w:vAlign w:val="bottom"/>
          </w:tcPr>
          <w:p w14:paraId="77EF5BA8" w14:textId="77777777" w:rsidR="007B5D00" w:rsidRPr="00A94A31" w:rsidRDefault="007B5D00" w:rsidP="0018287C">
            <w:pPr>
              <w:rPr>
                <w:rFonts w:ascii="Georgia" w:hAnsi="Georgia" w:cs="Arial"/>
                <w:color w:val="404040" w:themeColor="text1" w:themeTint="BF"/>
                <w:sz w:val="20"/>
                <w:szCs w:val="20"/>
                <w:lang w:eastAsia="en-GB"/>
              </w:rPr>
            </w:pPr>
          </w:p>
        </w:tc>
        <w:tc>
          <w:tcPr>
            <w:tcW w:w="914" w:type="pct"/>
            <w:tcBorders>
              <w:top w:val="nil"/>
              <w:left w:val="nil"/>
              <w:right w:val="nil"/>
            </w:tcBorders>
            <w:shd w:val="clear" w:color="auto" w:fill="auto"/>
            <w:noWrap/>
            <w:vAlign w:val="bottom"/>
          </w:tcPr>
          <w:p w14:paraId="349C405B" w14:textId="77777777" w:rsidR="007B5D00" w:rsidRPr="00A94A31" w:rsidRDefault="007B5D00" w:rsidP="0018287C">
            <w:pPr>
              <w:rPr>
                <w:rFonts w:ascii="Georgia" w:hAnsi="Georgia" w:cs="Arial"/>
                <w:color w:val="404040" w:themeColor="text1" w:themeTint="BF"/>
                <w:sz w:val="20"/>
                <w:szCs w:val="20"/>
                <w:lang w:eastAsia="en-GB"/>
              </w:rPr>
            </w:pPr>
          </w:p>
        </w:tc>
        <w:tc>
          <w:tcPr>
            <w:tcW w:w="819" w:type="pct"/>
            <w:tcBorders>
              <w:top w:val="nil"/>
              <w:left w:val="nil"/>
              <w:right w:val="nil"/>
            </w:tcBorders>
            <w:shd w:val="clear" w:color="auto" w:fill="auto"/>
            <w:noWrap/>
            <w:vAlign w:val="bottom"/>
          </w:tcPr>
          <w:p w14:paraId="695DB481" w14:textId="77777777" w:rsidR="007B5D00" w:rsidRPr="00A94A31" w:rsidRDefault="007B5D00" w:rsidP="0018287C">
            <w:pPr>
              <w:rPr>
                <w:rFonts w:ascii="Georgia" w:hAnsi="Georgia" w:cs="Arial"/>
                <w:color w:val="404040" w:themeColor="text1" w:themeTint="BF"/>
                <w:sz w:val="20"/>
                <w:szCs w:val="20"/>
                <w:lang w:eastAsia="en-GB"/>
              </w:rPr>
            </w:pPr>
          </w:p>
        </w:tc>
        <w:tc>
          <w:tcPr>
            <w:tcW w:w="808" w:type="pct"/>
            <w:tcBorders>
              <w:top w:val="nil"/>
              <w:left w:val="nil"/>
              <w:right w:val="nil"/>
            </w:tcBorders>
            <w:shd w:val="clear" w:color="auto" w:fill="auto"/>
            <w:noWrap/>
            <w:vAlign w:val="bottom"/>
          </w:tcPr>
          <w:p w14:paraId="4AE2A3B6" w14:textId="77777777" w:rsidR="007B5D00" w:rsidRPr="00A94A31" w:rsidRDefault="007B5D00" w:rsidP="0018287C">
            <w:pPr>
              <w:rPr>
                <w:rFonts w:ascii="Georgia" w:hAnsi="Georgia" w:cs="Arial"/>
                <w:color w:val="404040" w:themeColor="text1" w:themeTint="BF"/>
                <w:sz w:val="20"/>
                <w:szCs w:val="20"/>
                <w:lang w:eastAsia="en-GB"/>
              </w:rPr>
            </w:pPr>
          </w:p>
        </w:tc>
        <w:tc>
          <w:tcPr>
            <w:tcW w:w="935" w:type="pct"/>
            <w:tcBorders>
              <w:top w:val="nil"/>
              <w:left w:val="nil"/>
              <w:right w:val="nil"/>
            </w:tcBorders>
            <w:shd w:val="clear" w:color="auto" w:fill="auto"/>
            <w:noWrap/>
            <w:vAlign w:val="bottom"/>
          </w:tcPr>
          <w:p w14:paraId="73AF57B4" w14:textId="77777777" w:rsidR="007B5D00" w:rsidRPr="00A94A31" w:rsidRDefault="007B5D00" w:rsidP="0018287C">
            <w:pPr>
              <w:rPr>
                <w:rFonts w:ascii="Georgia" w:hAnsi="Georgia" w:cs="Arial"/>
                <w:color w:val="404040" w:themeColor="text1" w:themeTint="BF"/>
                <w:sz w:val="20"/>
                <w:szCs w:val="20"/>
                <w:lang w:eastAsia="en-GB"/>
              </w:rPr>
            </w:pPr>
          </w:p>
        </w:tc>
      </w:tr>
    </w:tbl>
    <w:p w14:paraId="7A7D267B" w14:textId="77777777" w:rsidR="00414721" w:rsidRPr="00A94A31" w:rsidRDefault="00414721" w:rsidP="00E42A95">
      <w:pPr>
        <w:pStyle w:val="BluefieldBody"/>
        <w:rPr>
          <w:lang w:eastAsia="en-GB"/>
        </w:rPr>
      </w:pPr>
    </w:p>
    <w:p w14:paraId="563EAC30" w14:textId="77777777" w:rsidR="00C620C3" w:rsidRDefault="00C620C3" w:rsidP="009E6E3D">
      <w:pPr>
        <w:pStyle w:val="BluefieldBody"/>
        <w:rPr>
          <w:highlight w:val="yellow"/>
        </w:rPr>
      </w:pPr>
    </w:p>
    <w:p w14:paraId="59D31715" w14:textId="3B0D72C0" w:rsidR="00A2527E" w:rsidRDefault="00A2527E" w:rsidP="009E6E3D">
      <w:pPr>
        <w:pStyle w:val="BluefieldBody"/>
      </w:pPr>
      <w:r>
        <w:t xml:space="preserve">* </w:t>
      </w:r>
      <w:r w:rsidRPr="00A2527E">
        <w:t xml:space="preserve">the Company passes debt to BSIFIL under loan agreements; as at the </w:t>
      </w:r>
      <w:proofErr w:type="spellStart"/>
      <w:r w:rsidRPr="00A2527E">
        <w:t>year end</w:t>
      </w:r>
      <w:proofErr w:type="spellEnd"/>
      <w:r w:rsidRPr="00A2527E">
        <w:t xml:space="preserve"> there is an additional amount of non-contractual cash which is not reflected above</w:t>
      </w:r>
    </w:p>
    <w:p w14:paraId="73051258" w14:textId="49DDB770" w:rsidR="00C620C3" w:rsidRDefault="00B64E53" w:rsidP="009E6E3D">
      <w:pPr>
        <w:pStyle w:val="BluefieldBody"/>
        <w:rPr>
          <w:highlight w:val="yellow"/>
        </w:rPr>
      </w:pPr>
      <w:r>
        <w:t>*</w:t>
      </w:r>
      <w:r w:rsidR="00A2527E">
        <w:t>*</w:t>
      </w:r>
      <w:r w:rsidR="00C620C3" w:rsidRPr="00C620C3">
        <w:t>excluding prepayments</w:t>
      </w:r>
    </w:p>
    <w:p w14:paraId="249DAEA2" w14:textId="77777777" w:rsidR="00C620C3" w:rsidRDefault="00C620C3" w:rsidP="009E6E3D">
      <w:pPr>
        <w:pStyle w:val="BluefieldBody"/>
        <w:rPr>
          <w:highlight w:val="yellow"/>
        </w:rPr>
      </w:pPr>
    </w:p>
    <w:p w14:paraId="44A1F7E2" w14:textId="16887D80" w:rsidR="009972A5" w:rsidRDefault="009972A5" w:rsidP="009972A5">
      <w:pPr>
        <w:pStyle w:val="BluefieldBody"/>
      </w:pPr>
      <w:r w:rsidRPr="009972A5">
        <w:t xml:space="preserve">As part of the long term financing terms provided by Aviva </w:t>
      </w:r>
      <w:r>
        <w:t xml:space="preserve">Investors </w:t>
      </w:r>
      <w:r w:rsidRPr="009972A5">
        <w:t>to BSIFIL, the lender has a security package which includes a charge over the shares in BSIFIL and its wholly owned subsidiaries.</w:t>
      </w:r>
    </w:p>
    <w:p w14:paraId="50414FA6" w14:textId="77777777" w:rsidR="00C620C3" w:rsidRDefault="00C620C3" w:rsidP="009E6E3D">
      <w:pPr>
        <w:pStyle w:val="BluefieldBody"/>
        <w:rPr>
          <w:highlight w:val="yellow"/>
        </w:rPr>
      </w:pPr>
    </w:p>
    <w:p w14:paraId="3CA82FA7" w14:textId="77777777" w:rsidR="00C620C3" w:rsidRDefault="00C620C3" w:rsidP="009E6E3D">
      <w:pPr>
        <w:pStyle w:val="BluefieldBody"/>
        <w:rPr>
          <w:highlight w:val="yellow"/>
        </w:rPr>
      </w:pPr>
    </w:p>
    <w:p w14:paraId="2E3A3F0F" w14:textId="14AF82E7" w:rsidR="00152529" w:rsidRPr="00A316C7" w:rsidRDefault="00152529" w:rsidP="009E6E3D">
      <w:pPr>
        <w:pStyle w:val="BluefieldBody"/>
        <w:rPr>
          <w:highlight w:val="yellow"/>
        </w:rPr>
      </w:pPr>
      <w:r w:rsidRPr="00A316C7">
        <w:rPr>
          <w:highlight w:val="yellow"/>
        </w:rPr>
        <w:br w:type="page"/>
      </w:r>
    </w:p>
    <w:p w14:paraId="7AD8F0EE" w14:textId="55392CA1" w:rsidR="00ED0A33" w:rsidRPr="00A94A31" w:rsidRDefault="00ED0A33" w:rsidP="00ED0A33">
      <w:pPr>
        <w:pStyle w:val="Notehead1"/>
        <w:rPr>
          <w:lang w:eastAsia="en-GB"/>
        </w:rPr>
      </w:pPr>
      <w:r w:rsidRPr="00A94A31">
        <w:rPr>
          <w:lang w:eastAsia="en-GB"/>
        </w:rPr>
        <w:lastRenderedPageBreak/>
        <w:t>1</w:t>
      </w:r>
      <w:r w:rsidR="006C2EC2" w:rsidRPr="00A94A31">
        <w:rPr>
          <w:lang w:eastAsia="en-GB"/>
        </w:rPr>
        <w:t>5</w:t>
      </w:r>
      <w:r w:rsidRPr="00A94A31">
        <w:rPr>
          <w:lang w:eastAsia="en-GB"/>
        </w:rPr>
        <w:t>. Risk management policies and procedures (continued)</w:t>
      </w:r>
    </w:p>
    <w:p w14:paraId="6F9FD9E9" w14:textId="77777777" w:rsidR="000C5B8E" w:rsidRPr="00A94A31" w:rsidRDefault="000C5B8E" w:rsidP="000C5B8E">
      <w:pPr>
        <w:pStyle w:val="body"/>
        <w:rPr>
          <w:b/>
        </w:rPr>
      </w:pPr>
    </w:p>
    <w:p w14:paraId="6277BECC" w14:textId="77777777" w:rsidR="000C5B8E" w:rsidRPr="00A94A31" w:rsidRDefault="000C5B8E" w:rsidP="001B56EC">
      <w:pPr>
        <w:pStyle w:val="body"/>
        <w:rPr>
          <w:b/>
        </w:rPr>
      </w:pPr>
      <w:r w:rsidRPr="00A94A31">
        <w:rPr>
          <w:b/>
        </w:rPr>
        <w:t>Liquidity risk (continued)</w:t>
      </w:r>
    </w:p>
    <w:tbl>
      <w:tblPr>
        <w:tblW w:w="4986" w:type="pct"/>
        <w:tblLayout w:type="fixed"/>
        <w:tblLook w:val="04A0" w:firstRow="1" w:lastRow="0" w:firstColumn="1" w:lastColumn="0" w:noHBand="0" w:noVBand="1"/>
      </w:tblPr>
      <w:tblGrid>
        <w:gridCol w:w="2840"/>
        <w:gridCol w:w="1704"/>
        <w:gridCol w:w="1521"/>
        <w:gridCol w:w="1525"/>
        <w:gridCol w:w="1744"/>
      </w:tblGrid>
      <w:tr w:rsidR="00F90C6F" w:rsidRPr="00A94A31" w14:paraId="6FB02C6F" w14:textId="77777777" w:rsidTr="005824B7">
        <w:trPr>
          <w:trHeight w:val="765"/>
        </w:trPr>
        <w:tc>
          <w:tcPr>
            <w:tcW w:w="1521" w:type="pct"/>
            <w:tcBorders>
              <w:top w:val="nil"/>
              <w:left w:val="nil"/>
              <w:right w:val="nil"/>
            </w:tcBorders>
            <w:shd w:val="clear" w:color="auto" w:fill="auto"/>
            <w:noWrap/>
            <w:vAlign w:val="bottom"/>
          </w:tcPr>
          <w:p w14:paraId="26DF7B64" w14:textId="77777777" w:rsidR="00F90C6F" w:rsidRPr="00A94A31" w:rsidRDefault="00F90C6F" w:rsidP="001244AF">
            <w:pPr>
              <w:rPr>
                <w:rFonts w:ascii="Georgia" w:hAnsi="Georgia" w:cs="Arial"/>
                <w:color w:val="404040" w:themeColor="text1" w:themeTint="BF"/>
                <w:sz w:val="20"/>
                <w:szCs w:val="20"/>
                <w:lang w:eastAsia="en-GB"/>
              </w:rPr>
            </w:pPr>
          </w:p>
        </w:tc>
        <w:tc>
          <w:tcPr>
            <w:tcW w:w="913" w:type="pct"/>
            <w:tcBorders>
              <w:top w:val="nil"/>
              <w:left w:val="nil"/>
              <w:right w:val="nil"/>
            </w:tcBorders>
            <w:shd w:val="clear" w:color="auto" w:fill="auto"/>
            <w:vAlign w:val="bottom"/>
          </w:tcPr>
          <w:p w14:paraId="668D78A7"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Less than one year</w:t>
            </w:r>
          </w:p>
        </w:tc>
        <w:tc>
          <w:tcPr>
            <w:tcW w:w="815" w:type="pct"/>
            <w:tcBorders>
              <w:top w:val="nil"/>
              <w:left w:val="nil"/>
              <w:right w:val="nil"/>
            </w:tcBorders>
            <w:shd w:val="clear" w:color="auto" w:fill="auto"/>
            <w:vAlign w:val="bottom"/>
          </w:tcPr>
          <w:p w14:paraId="5C5A89E4"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Between one and five years</w:t>
            </w:r>
          </w:p>
        </w:tc>
        <w:tc>
          <w:tcPr>
            <w:tcW w:w="817" w:type="pct"/>
            <w:tcBorders>
              <w:top w:val="nil"/>
              <w:left w:val="nil"/>
              <w:right w:val="nil"/>
            </w:tcBorders>
            <w:shd w:val="clear" w:color="auto" w:fill="auto"/>
            <w:vAlign w:val="bottom"/>
          </w:tcPr>
          <w:p w14:paraId="1868C6E6"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After five years</w:t>
            </w:r>
          </w:p>
        </w:tc>
        <w:tc>
          <w:tcPr>
            <w:tcW w:w="934" w:type="pct"/>
            <w:tcBorders>
              <w:top w:val="nil"/>
              <w:left w:val="nil"/>
              <w:right w:val="nil"/>
            </w:tcBorders>
            <w:shd w:val="clear" w:color="auto" w:fill="auto"/>
            <w:vAlign w:val="bottom"/>
          </w:tcPr>
          <w:p w14:paraId="06A31B95"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 xml:space="preserve">Total as at </w:t>
            </w:r>
          </w:p>
          <w:p w14:paraId="3A65D52F" w14:textId="3A69E019" w:rsidR="00F90C6F" w:rsidRPr="00A94A31" w:rsidRDefault="00F90C6F" w:rsidP="00665AE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 xml:space="preserve">30 June </w:t>
            </w:r>
            <w:r w:rsidR="00904E51">
              <w:rPr>
                <w:rFonts w:ascii="Georgia" w:hAnsi="Georgia" w:cs="Arial"/>
                <w:b/>
                <w:bCs/>
                <w:color w:val="404040" w:themeColor="text1" w:themeTint="BF"/>
                <w:sz w:val="20"/>
                <w:szCs w:val="20"/>
                <w:lang w:eastAsia="en-GB"/>
              </w:rPr>
              <w:t>2019</w:t>
            </w:r>
          </w:p>
        </w:tc>
      </w:tr>
      <w:tr w:rsidR="00F90C6F" w:rsidRPr="00A94A31" w14:paraId="09AC2A0D" w14:textId="77777777" w:rsidTr="005824B7">
        <w:trPr>
          <w:trHeight w:val="255"/>
        </w:trPr>
        <w:tc>
          <w:tcPr>
            <w:tcW w:w="1521" w:type="pct"/>
            <w:tcBorders>
              <w:top w:val="nil"/>
              <w:left w:val="nil"/>
              <w:bottom w:val="single" w:sz="4" w:space="0" w:color="000000" w:themeColor="text1"/>
              <w:right w:val="nil"/>
            </w:tcBorders>
            <w:shd w:val="clear" w:color="auto" w:fill="auto"/>
            <w:noWrap/>
            <w:vAlign w:val="bottom"/>
          </w:tcPr>
          <w:p w14:paraId="54A59FA6" w14:textId="77777777" w:rsidR="00F90C6F" w:rsidRPr="00A94A31" w:rsidRDefault="00F90C6F" w:rsidP="001244AF">
            <w:pPr>
              <w:rPr>
                <w:rFonts w:ascii="Georgia" w:hAnsi="Georgia" w:cs="Arial"/>
                <w:b/>
                <w:bCs/>
                <w:color w:val="404040" w:themeColor="text1" w:themeTint="BF"/>
                <w:sz w:val="20"/>
                <w:szCs w:val="20"/>
                <w:lang w:eastAsia="en-GB"/>
              </w:rPr>
            </w:pPr>
          </w:p>
        </w:tc>
        <w:tc>
          <w:tcPr>
            <w:tcW w:w="913" w:type="pct"/>
            <w:tcBorders>
              <w:top w:val="nil"/>
              <w:left w:val="nil"/>
              <w:bottom w:val="single" w:sz="4" w:space="0" w:color="000000" w:themeColor="text1"/>
              <w:right w:val="nil"/>
            </w:tcBorders>
            <w:shd w:val="clear" w:color="auto" w:fill="auto"/>
            <w:noWrap/>
            <w:vAlign w:val="bottom"/>
          </w:tcPr>
          <w:p w14:paraId="70EA90EC"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p>
        </w:tc>
        <w:tc>
          <w:tcPr>
            <w:tcW w:w="815" w:type="pct"/>
            <w:tcBorders>
              <w:top w:val="nil"/>
              <w:left w:val="nil"/>
              <w:bottom w:val="single" w:sz="4" w:space="0" w:color="000000" w:themeColor="text1"/>
              <w:right w:val="nil"/>
            </w:tcBorders>
            <w:shd w:val="clear" w:color="auto" w:fill="auto"/>
            <w:noWrap/>
            <w:vAlign w:val="bottom"/>
          </w:tcPr>
          <w:p w14:paraId="71C6A3F8"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p>
        </w:tc>
        <w:tc>
          <w:tcPr>
            <w:tcW w:w="817" w:type="pct"/>
            <w:tcBorders>
              <w:top w:val="nil"/>
              <w:left w:val="nil"/>
              <w:bottom w:val="single" w:sz="4" w:space="0" w:color="000000" w:themeColor="text1"/>
              <w:right w:val="nil"/>
            </w:tcBorders>
            <w:shd w:val="clear" w:color="auto" w:fill="auto"/>
            <w:noWrap/>
            <w:vAlign w:val="bottom"/>
          </w:tcPr>
          <w:p w14:paraId="6C8D5335"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p>
        </w:tc>
        <w:tc>
          <w:tcPr>
            <w:tcW w:w="934" w:type="pct"/>
            <w:tcBorders>
              <w:top w:val="nil"/>
              <w:left w:val="nil"/>
              <w:bottom w:val="single" w:sz="4" w:space="0" w:color="000000" w:themeColor="text1"/>
              <w:right w:val="nil"/>
            </w:tcBorders>
            <w:shd w:val="clear" w:color="auto" w:fill="auto"/>
            <w:noWrap/>
            <w:vAlign w:val="bottom"/>
          </w:tcPr>
          <w:p w14:paraId="04BE0AAC"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w:t>
            </w:r>
          </w:p>
        </w:tc>
      </w:tr>
      <w:tr w:rsidR="00F90C6F" w:rsidRPr="00A94A31" w14:paraId="6667A02D" w14:textId="77777777" w:rsidTr="005824B7">
        <w:trPr>
          <w:trHeight w:val="77"/>
        </w:trPr>
        <w:tc>
          <w:tcPr>
            <w:tcW w:w="1521" w:type="pct"/>
            <w:tcBorders>
              <w:top w:val="single" w:sz="4" w:space="0" w:color="000000" w:themeColor="text1"/>
              <w:left w:val="nil"/>
              <w:right w:val="nil"/>
            </w:tcBorders>
            <w:shd w:val="clear" w:color="auto" w:fill="auto"/>
            <w:noWrap/>
            <w:vAlign w:val="center"/>
          </w:tcPr>
          <w:p w14:paraId="2CD5E5BA" w14:textId="77777777" w:rsidR="00F90C6F" w:rsidRPr="00A94A31" w:rsidRDefault="00F90C6F" w:rsidP="001244AF">
            <w:pPr>
              <w:jc w:val="right"/>
              <w:rPr>
                <w:rFonts w:ascii="Georgia" w:hAnsi="Georgia" w:cs="Arial"/>
                <w:b/>
                <w:bCs/>
                <w:color w:val="404040" w:themeColor="text1" w:themeTint="BF"/>
                <w:sz w:val="8"/>
                <w:szCs w:val="20"/>
                <w:lang w:eastAsia="en-GB"/>
              </w:rPr>
            </w:pPr>
          </w:p>
        </w:tc>
        <w:tc>
          <w:tcPr>
            <w:tcW w:w="913" w:type="pct"/>
            <w:tcBorders>
              <w:top w:val="single" w:sz="4" w:space="0" w:color="000000" w:themeColor="text1"/>
              <w:left w:val="nil"/>
              <w:right w:val="nil"/>
            </w:tcBorders>
            <w:shd w:val="clear" w:color="auto" w:fill="auto"/>
            <w:noWrap/>
            <w:vAlign w:val="center"/>
          </w:tcPr>
          <w:p w14:paraId="24DAE278" w14:textId="77777777" w:rsidR="00F90C6F" w:rsidRPr="00A94A31" w:rsidRDefault="00F90C6F" w:rsidP="001244AF">
            <w:pPr>
              <w:jc w:val="right"/>
              <w:rPr>
                <w:rFonts w:ascii="Georgia" w:hAnsi="Georgia" w:cs="Arial"/>
                <w:color w:val="404040" w:themeColor="text1" w:themeTint="BF"/>
                <w:sz w:val="8"/>
                <w:szCs w:val="20"/>
                <w:lang w:eastAsia="en-GB"/>
              </w:rPr>
            </w:pPr>
          </w:p>
        </w:tc>
        <w:tc>
          <w:tcPr>
            <w:tcW w:w="815" w:type="pct"/>
            <w:tcBorders>
              <w:top w:val="single" w:sz="4" w:space="0" w:color="000000" w:themeColor="text1"/>
              <w:left w:val="nil"/>
              <w:right w:val="nil"/>
            </w:tcBorders>
            <w:shd w:val="clear" w:color="auto" w:fill="auto"/>
            <w:noWrap/>
            <w:vAlign w:val="center"/>
          </w:tcPr>
          <w:p w14:paraId="7C2EDD86" w14:textId="77777777" w:rsidR="00F90C6F" w:rsidRPr="00A94A31" w:rsidRDefault="00F90C6F" w:rsidP="001244AF">
            <w:pPr>
              <w:jc w:val="right"/>
              <w:rPr>
                <w:rFonts w:ascii="Georgia" w:hAnsi="Georgia" w:cs="Arial"/>
                <w:color w:val="404040" w:themeColor="text1" w:themeTint="BF"/>
                <w:sz w:val="8"/>
                <w:szCs w:val="20"/>
                <w:lang w:eastAsia="en-GB"/>
              </w:rPr>
            </w:pPr>
          </w:p>
        </w:tc>
        <w:tc>
          <w:tcPr>
            <w:tcW w:w="817" w:type="pct"/>
            <w:tcBorders>
              <w:top w:val="single" w:sz="4" w:space="0" w:color="000000" w:themeColor="text1"/>
              <w:left w:val="nil"/>
              <w:right w:val="nil"/>
            </w:tcBorders>
            <w:shd w:val="clear" w:color="auto" w:fill="auto"/>
            <w:noWrap/>
            <w:vAlign w:val="center"/>
          </w:tcPr>
          <w:p w14:paraId="2CF545E8" w14:textId="77777777" w:rsidR="00F90C6F" w:rsidRPr="00A94A31" w:rsidRDefault="00F90C6F" w:rsidP="001244AF">
            <w:pPr>
              <w:spacing w:line="300" w:lineRule="auto"/>
              <w:jc w:val="right"/>
              <w:rPr>
                <w:rFonts w:ascii="Georgia" w:hAnsi="Georgia" w:cs="Arial"/>
                <w:color w:val="404040" w:themeColor="text1" w:themeTint="BF"/>
                <w:sz w:val="8"/>
                <w:szCs w:val="20"/>
                <w:lang w:eastAsia="en-GB"/>
              </w:rPr>
            </w:pPr>
          </w:p>
        </w:tc>
        <w:tc>
          <w:tcPr>
            <w:tcW w:w="934" w:type="pct"/>
            <w:tcBorders>
              <w:top w:val="single" w:sz="4" w:space="0" w:color="000000" w:themeColor="text1"/>
              <w:left w:val="nil"/>
              <w:right w:val="nil"/>
            </w:tcBorders>
            <w:shd w:val="clear" w:color="auto" w:fill="auto"/>
            <w:noWrap/>
            <w:vAlign w:val="center"/>
          </w:tcPr>
          <w:p w14:paraId="5887A23B" w14:textId="77777777" w:rsidR="00F90C6F" w:rsidRPr="00A94A31" w:rsidRDefault="00F90C6F" w:rsidP="001244AF">
            <w:pPr>
              <w:jc w:val="right"/>
              <w:rPr>
                <w:rFonts w:ascii="Georgia" w:hAnsi="Georgia" w:cs="Arial"/>
                <w:b/>
                <w:bCs/>
                <w:color w:val="404040" w:themeColor="text1" w:themeTint="BF"/>
                <w:sz w:val="8"/>
                <w:szCs w:val="20"/>
                <w:lang w:eastAsia="en-GB"/>
              </w:rPr>
            </w:pPr>
          </w:p>
        </w:tc>
      </w:tr>
      <w:tr w:rsidR="00F90C6F" w:rsidRPr="00A94A31" w14:paraId="1413ED2E" w14:textId="77777777" w:rsidTr="005824B7">
        <w:trPr>
          <w:trHeight w:val="448"/>
        </w:trPr>
        <w:tc>
          <w:tcPr>
            <w:tcW w:w="1521" w:type="pct"/>
            <w:tcBorders>
              <w:left w:val="nil"/>
              <w:bottom w:val="nil"/>
              <w:right w:val="nil"/>
            </w:tcBorders>
            <w:shd w:val="clear" w:color="auto" w:fill="auto"/>
            <w:noWrap/>
            <w:vAlign w:val="center"/>
          </w:tcPr>
          <w:p w14:paraId="3078CA05" w14:textId="77777777" w:rsidR="00F90C6F" w:rsidRPr="00A94A31" w:rsidRDefault="00F90C6F" w:rsidP="001244AF">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Assets</w:t>
            </w:r>
          </w:p>
        </w:tc>
        <w:tc>
          <w:tcPr>
            <w:tcW w:w="913" w:type="pct"/>
            <w:tcBorders>
              <w:left w:val="nil"/>
              <w:bottom w:val="nil"/>
              <w:right w:val="nil"/>
            </w:tcBorders>
            <w:shd w:val="clear" w:color="auto" w:fill="auto"/>
            <w:noWrap/>
            <w:vAlign w:val="center"/>
          </w:tcPr>
          <w:p w14:paraId="24EAFC55" w14:textId="77777777" w:rsidR="00F90C6F" w:rsidRPr="00A94A31" w:rsidRDefault="00F90C6F" w:rsidP="001244AF">
            <w:pPr>
              <w:jc w:val="right"/>
              <w:rPr>
                <w:rFonts w:ascii="Georgia" w:hAnsi="Georgia" w:cs="Arial"/>
                <w:color w:val="404040" w:themeColor="text1" w:themeTint="BF"/>
                <w:sz w:val="20"/>
                <w:szCs w:val="20"/>
                <w:lang w:eastAsia="en-GB"/>
              </w:rPr>
            </w:pPr>
          </w:p>
        </w:tc>
        <w:tc>
          <w:tcPr>
            <w:tcW w:w="815" w:type="pct"/>
            <w:tcBorders>
              <w:left w:val="nil"/>
              <w:bottom w:val="nil"/>
              <w:right w:val="nil"/>
            </w:tcBorders>
            <w:shd w:val="clear" w:color="auto" w:fill="auto"/>
            <w:noWrap/>
            <w:vAlign w:val="center"/>
          </w:tcPr>
          <w:p w14:paraId="65DF0C8A" w14:textId="77777777" w:rsidR="00F90C6F" w:rsidRPr="00A94A31" w:rsidRDefault="00F90C6F" w:rsidP="001244AF">
            <w:pPr>
              <w:jc w:val="right"/>
              <w:rPr>
                <w:rFonts w:ascii="Georgia" w:hAnsi="Georgia" w:cs="Arial"/>
                <w:color w:val="404040" w:themeColor="text1" w:themeTint="BF"/>
                <w:sz w:val="20"/>
                <w:szCs w:val="20"/>
                <w:lang w:eastAsia="en-GB"/>
              </w:rPr>
            </w:pPr>
          </w:p>
        </w:tc>
        <w:tc>
          <w:tcPr>
            <w:tcW w:w="817" w:type="pct"/>
            <w:tcBorders>
              <w:left w:val="nil"/>
              <w:bottom w:val="nil"/>
              <w:right w:val="nil"/>
            </w:tcBorders>
            <w:shd w:val="clear" w:color="auto" w:fill="auto"/>
            <w:noWrap/>
            <w:vAlign w:val="center"/>
          </w:tcPr>
          <w:p w14:paraId="38F0E4CC" w14:textId="77777777" w:rsidR="00F90C6F" w:rsidRPr="00A94A31" w:rsidRDefault="00F90C6F" w:rsidP="001244AF">
            <w:pPr>
              <w:jc w:val="right"/>
              <w:rPr>
                <w:rFonts w:ascii="Georgia" w:hAnsi="Georgia" w:cs="Arial"/>
                <w:color w:val="404040" w:themeColor="text1" w:themeTint="BF"/>
                <w:sz w:val="20"/>
                <w:szCs w:val="20"/>
                <w:lang w:eastAsia="en-GB"/>
              </w:rPr>
            </w:pPr>
          </w:p>
        </w:tc>
        <w:tc>
          <w:tcPr>
            <w:tcW w:w="934" w:type="pct"/>
            <w:tcBorders>
              <w:left w:val="nil"/>
              <w:bottom w:val="nil"/>
              <w:right w:val="nil"/>
            </w:tcBorders>
            <w:shd w:val="clear" w:color="auto" w:fill="auto"/>
            <w:noWrap/>
            <w:vAlign w:val="center"/>
          </w:tcPr>
          <w:p w14:paraId="0C8637B6" w14:textId="77777777" w:rsidR="00F90C6F" w:rsidRPr="00A94A31" w:rsidRDefault="00F90C6F" w:rsidP="001244AF">
            <w:pPr>
              <w:jc w:val="right"/>
              <w:rPr>
                <w:rFonts w:ascii="Georgia" w:hAnsi="Georgia" w:cs="Arial"/>
                <w:b/>
                <w:bCs/>
                <w:color w:val="404040" w:themeColor="text1" w:themeTint="BF"/>
                <w:sz w:val="20"/>
                <w:szCs w:val="20"/>
                <w:lang w:eastAsia="en-GB"/>
              </w:rPr>
            </w:pPr>
          </w:p>
        </w:tc>
      </w:tr>
      <w:tr w:rsidR="005824B7" w:rsidRPr="00A94A31" w14:paraId="72731BCC" w14:textId="77777777" w:rsidTr="005824B7">
        <w:trPr>
          <w:trHeight w:val="448"/>
        </w:trPr>
        <w:tc>
          <w:tcPr>
            <w:tcW w:w="1521" w:type="pct"/>
            <w:tcBorders>
              <w:top w:val="nil"/>
              <w:left w:val="nil"/>
              <w:bottom w:val="nil"/>
              <w:right w:val="nil"/>
            </w:tcBorders>
            <w:shd w:val="clear" w:color="auto" w:fill="auto"/>
            <w:vAlign w:val="center"/>
          </w:tcPr>
          <w:p w14:paraId="5B7EA9B1" w14:textId="787B452F" w:rsidR="005824B7" w:rsidRPr="00A94A31" w:rsidRDefault="005824B7" w:rsidP="005824B7">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 xml:space="preserve">Financial assets held at fair </w:t>
            </w:r>
            <w:r w:rsidRPr="00A94A31">
              <w:rPr>
                <w:rFonts w:ascii="Georgia" w:hAnsi="Georgia" w:cs="Arial"/>
                <w:color w:val="404040" w:themeColor="text1" w:themeTint="BF"/>
                <w:sz w:val="20"/>
                <w:szCs w:val="20"/>
                <w:lang w:eastAsia="en-GB"/>
              </w:rPr>
              <w:t>value through profit or loss</w:t>
            </w:r>
            <w:r>
              <w:rPr>
                <w:rFonts w:ascii="Georgia" w:hAnsi="Georgia" w:cs="Arial"/>
                <w:color w:val="404040" w:themeColor="text1" w:themeTint="BF"/>
                <w:sz w:val="20"/>
                <w:szCs w:val="20"/>
                <w:lang w:eastAsia="en-GB"/>
              </w:rPr>
              <w:t>*</w:t>
            </w:r>
          </w:p>
        </w:tc>
        <w:tc>
          <w:tcPr>
            <w:tcW w:w="913" w:type="pct"/>
            <w:tcBorders>
              <w:top w:val="nil"/>
              <w:left w:val="nil"/>
              <w:bottom w:val="nil"/>
              <w:right w:val="nil"/>
            </w:tcBorders>
            <w:shd w:val="clear" w:color="auto" w:fill="auto"/>
            <w:noWrap/>
            <w:vAlign w:val="center"/>
          </w:tcPr>
          <w:p w14:paraId="2540DD0B" w14:textId="5F27718D"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815" w:type="pct"/>
            <w:tcBorders>
              <w:top w:val="nil"/>
              <w:left w:val="nil"/>
              <w:bottom w:val="nil"/>
              <w:right w:val="nil"/>
            </w:tcBorders>
            <w:shd w:val="clear" w:color="auto" w:fill="auto"/>
            <w:noWrap/>
            <w:vAlign w:val="center"/>
          </w:tcPr>
          <w:p w14:paraId="446CBE7F" w14:textId="25645B9B"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817" w:type="pct"/>
            <w:tcBorders>
              <w:top w:val="nil"/>
              <w:left w:val="nil"/>
              <w:bottom w:val="nil"/>
              <w:right w:val="nil"/>
            </w:tcBorders>
            <w:shd w:val="clear" w:color="auto" w:fill="auto"/>
            <w:noWrap/>
            <w:vAlign w:val="center"/>
          </w:tcPr>
          <w:p w14:paraId="1AD4DD43" w14:textId="71C44261" w:rsidR="005824B7" w:rsidRPr="00A94A31" w:rsidRDefault="00FE1A7F" w:rsidP="005824B7">
            <w:pPr>
              <w:jc w:val="right"/>
              <w:rPr>
                <w:rFonts w:ascii="Georgia" w:hAnsi="Georgia"/>
                <w:color w:val="404040" w:themeColor="text1" w:themeTint="BF"/>
                <w:sz w:val="20"/>
              </w:rPr>
            </w:pPr>
            <w:r>
              <w:rPr>
                <w:rFonts w:ascii="Georgia" w:hAnsi="Georgia"/>
                <w:color w:val="404040" w:themeColor="text1" w:themeTint="BF"/>
                <w:sz w:val="20"/>
              </w:rPr>
              <w:t>268,104</w:t>
            </w:r>
          </w:p>
        </w:tc>
        <w:tc>
          <w:tcPr>
            <w:tcW w:w="934" w:type="pct"/>
            <w:tcBorders>
              <w:top w:val="nil"/>
              <w:left w:val="nil"/>
              <w:bottom w:val="nil"/>
              <w:right w:val="nil"/>
            </w:tcBorders>
            <w:shd w:val="clear" w:color="auto" w:fill="auto"/>
            <w:noWrap/>
            <w:vAlign w:val="center"/>
          </w:tcPr>
          <w:p w14:paraId="733925FC" w14:textId="3A05E989" w:rsidR="005824B7" w:rsidRPr="00A94A31" w:rsidRDefault="00FE1A7F" w:rsidP="005824B7">
            <w:pPr>
              <w:jc w:val="right"/>
              <w:rPr>
                <w:rFonts w:ascii="Georgia" w:hAnsi="Georgia"/>
                <w:b/>
                <w:color w:val="404040" w:themeColor="text1" w:themeTint="BF"/>
                <w:sz w:val="20"/>
              </w:rPr>
            </w:pPr>
            <w:r>
              <w:rPr>
                <w:rFonts w:ascii="Georgia" w:hAnsi="Georgia"/>
                <w:b/>
                <w:color w:val="404040" w:themeColor="text1" w:themeTint="BF"/>
                <w:sz w:val="20"/>
              </w:rPr>
              <w:t>268,104</w:t>
            </w:r>
          </w:p>
        </w:tc>
      </w:tr>
      <w:tr w:rsidR="005824B7" w:rsidRPr="00A94A31" w14:paraId="591E98BE" w14:textId="77777777" w:rsidTr="005824B7">
        <w:trPr>
          <w:trHeight w:val="448"/>
        </w:trPr>
        <w:tc>
          <w:tcPr>
            <w:tcW w:w="1521" w:type="pct"/>
            <w:tcBorders>
              <w:top w:val="nil"/>
              <w:left w:val="nil"/>
              <w:bottom w:val="nil"/>
              <w:right w:val="nil"/>
            </w:tcBorders>
            <w:shd w:val="clear" w:color="auto" w:fill="auto"/>
            <w:vAlign w:val="center"/>
          </w:tcPr>
          <w:p w14:paraId="44FE46A3" w14:textId="6639498C" w:rsidR="005824B7" w:rsidRPr="00A94A31" w:rsidRDefault="005824B7" w:rsidP="005824B7">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Trade and other receivables*</w:t>
            </w:r>
            <w:r>
              <w:rPr>
                <w:rFonts w:ascii="Georgia" w:hAnsi="Georgia" w:cs="Arial"/>
                <w:color w:val="404040" w:themeColor="text1" w:themeTint="BF"/>
                <w:sz w:val="20"/>
                <w:szCs w:val="20"/>
                <w:lang w:eastAsia="en-GB"/>
              </w:rPr>
              <w:t>*</w:t>
            </w:r>
          </w:p>
        </w:tc>
        <w:tc>
          <w:tcPr>
            <w:tcW w:w="913" w:type="pct"/>
            <w:tcBorders>
              <w:top w:val="nil"/>
              <w:left w:val="nil"/>
              <w:bottom w:val="nil"/>
              <w:right w:val="nil"/>
            </w:tcBorders>
            <w:shd w:val="clear" w:color="auto" w:fill="auto"/>
            <w:noWrap/>
            <w:vAlign w:val="center"/>
          </w:tcPr>
          <w:p w14:paraId="69E8B9D9" w14:textId="685C8D37" w:rsidR="005824B7" w:rsidRPr="00A94A31" w:rsidRDefault="00FE1A7F" w:rsidP="00FE1A7F">
            <w:pPr>
              <w:jc w:val="right"/>
              <w:rPr>
                <w:rFonts w:ascii="Georgia" w:hAnsi="Georgia"/>
                <w:color w:val="404040" w:themeColor="text1" w:themeTint="BF"/>
                <w:sz w:val="20"/>
              </w:rPr>
            </w:pPr>
            <w:r>
              <w:rPr>
                <w:rFonts w:ascii="Georgia" w:hAnsi="Georgia"/>
                <w:color w:val="404040" w:themeColor="text1" w:themeTint="BF"/>
                <w:sz w:val="20"/>
              </w:rPr>
              <w:t>748</w:t>
            </w:r>
          </w:p>
        </w:tc>
        <w:tc>
          <w:tcPr>
            <w:tcW w:w="815" w:type="pct"/>
            <w:tcBorders>
              <w:top w:val="nil"/>
              <w:left w:val="nil"/>
              <w:bottom w:val="nil"/>
              <w:right w:val="nil"/>
            </w:tcBorders>
            <w:shd w:val="clear" w:color="auto" w:fill="auto"/>
            <w:noWrap/>
            <w:vAlign w:val="center"/>
          </w:tcPr>
          <w:p w14:paraId="202EA37C" w14:textId="22E23902"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817" w:type="pct"/>
            <w:tcBorders>
              <w:top w:val="nil"/>
              <w:left w:val="nil"/>
              <w:bottom w:val="nil"/>
              <w:right w:val="nil"/>
            </w:tcBorders>
            <w:shd w:val="clear" w:color="auto" w:fill="auto"/>
            <w:noWrap/>
            <w:vAlign w:val="center"/>
          </w:tcPr>
          <w:p w14:paraId="384283DF" w14:textId="4CEB8D44"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934" w:type="pct"/>
            <w:tcBorders>
              <w:top w:val="nil"/>
              <w:left w:val="nil"/>
              <w:bottom w:val="nil"/>
              <w:right w:val="nil"/>
            </w:tcBorders>
            <w:shd w:val="clear" w:color="auto" w:fill="auto"/>
            <w:noWrap/>
            <w:vAlign w:val="center"/>
          </w:tcPr>
          <w:p w14:paraId="6AC9C1D9" w14:textId="77F034EB" w:rsidR="005824B7" w:rsidRPr="00A94A31" w:rsidRDefault="00FE1A7F" w:rsidP="005824B7">
            <w:pPr>
              <w:jc w:val="right"/>
              <w:rPr>
                <w:rFonts w:ascii="Georgia" w:hAnsi="Georgia"/>
                <w:b/>
                <w:color w:val="404040" w:themeColor="text1" w:themeTint="BF"/>
                <w:sz w:val="20"/>
              </w:rPr>
            </w:pPr>
            <w:r>
              <w:rPr>
                <w:rFonts w:ascii="Georgia" w:hAnsi="Georgia"/>
                <w:b/>
                <w:color w:val="404040" w:themeColor="text1" w:themeTint="BF"/>
                <w:sz w:val="20"/>
              </w:rPr>
              <w:t>748</w:t>
            </w:r>
          </w:p>
        </w:tc>
      </w:tr>
      <w:tr w:rsidR="005824B7" w:rsidRPr="00A94A31" w14:paraId="487E5AE1" w14:textId="77777777" w:rsidTr="005824B7">
        <w:trPr>
          <w:trHeight w:val="448"/>
        </w:trPr>
        <w:tc>
          <w:tcPr>
            <w:tcW w:w="1521" w:type="pct"/>
            <w:tcBorders>
              <w:top w:val="nil"/>
              <w:left w:val="nil"/>
              <w:bottom w:val="nil"/>
              <w:right w:val="nil"/>
            </w:tcBorders>
            <w:shd w:val="clear" w:color="auto" w:fill="auto"/>
            <w:vAlign w:val="center"/>
          </w:tcPr>
          <w:p w14:paraId="05D6950E" w14:textId="77777777" w:rsidR="005824B7" w:rsidRPr="00A94A31" w:rsidRDefault="005824B7" w:rsidP="005824B7">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Cash and cash equivalents</w:t>
            </w:r>
          </w:p>
        </w:tc>
        <w:tc>
          <w:tcPr>
            <w:tcW w:w="913" w:type="pct"/>
            <w:tcBorders>
              <w:top w:val="nil"/>
              <w:left w:val="nil"/>
              <w:bottom w:val="nil"/>
              <w:right w:val="nil"/>
            </w:tcBorders>
            <w:shd w:val="clear" w:color="auto" w:fill="auto"/>
            <w:noWrap/>
            <w:vAlign w:val="center"/>
          </w:tcPr>
          <w:p w14:paraId="1421005F" w14:textId="6198573A" w:rsidR="005824B7" w:rsidRPr="00A94A31" w:rsidRDefault="00FE1A7F" w:rsidP="005824B7">
            <w:pPr>
              <w:jc w:val="right"/>
              <w:rPr>
                <w:rFonts w:ascii="Georgia" w:hAnsi="Georgia"/>
                <w:color w:val="404040" w:themeColor="text1" w:themeTint="BF"/>
                <w:sz w:val="20"/>
              </w:rPr>
            </w:pPr>
            <w:r>
              <w:rPr>
                <w:rFonts w:ascii="Georgia" w:hAnsi="Georgia"/>
                <w:color w:val="404040" w:themeColor="text1" w:themeTint="BF"/>
                <w:sz w:val="20"/>
              </w:rPr>
              <w:t>278</w:t>
            </w:r>
          </w:p>
        </w:tc>
        <w:tc>
          <w:tcPr>
            <w:tcW w:w="815" w:type="pct"/>
            <w:tcBorders>
              <w:top w:val="nil"/>
              <w:left w:val="nil"/>
              <w:bottom w:val="nil"/>
              <w:right w:val="nil"/>
            </w:tcBorders>
            <w:shd w:val="clear" w:color="auto" w:fill="auto"/>
            <w:noWrap/>
            <w:vAlign w:val="center"/>
          </w:tcPr>
          <w:p w14:paraId="5117FE86" w14:textId="162632FC"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817" w:type="pct"/>
            <w:tcBorders>
              <w:top w:val="nil"/>
              <w:left w:val="nil"/>
              <w:bottom w:val="nil"/>
              <w:right w:val="nil"/>
            </w:tcBorders>
            <w:shd w:val="clear" w:color="auto" w:fill="auto"/>
            <w:noWrap/>
            <w:vAlign w:val="center"/>
          </w:tcPr>
          <w:p w14:paraId="208C357F" w14:textId="61E552F7"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934" w:type="pct"/>
            <w:tcBorders>
              <w:top w:val="nil"/>
              <w:left w:val="nil"/>
              <w:bottom w:val="nil"/>
              <w:right w:val="nil"/>
            </w:tcBorders>
            <w:shd w:val="clear" w:color="auto" w:fill="auto"/>
            <w:noWrap/>
            <w:vAlign w:val="center"/>
          </w:tcPr>
          <w:p w14:paraId="3DED024F" w14:textId="3AC6C936" w:rsidR="005824B7" w:rsidRPr="00A94A31" w:rsidRDefault="00FE1A7F" w:rsidP="005824B7">
            <w:pPr>
              <w:jc w:val="right"/>
              <w:rPr>
                <w:rFonts w:ascii="Georgia" w:hAnsi="Georgia"/>
                <w:b/>
                <w:color w:val="404040" w:themeColor="text1" w:themeTint="BF"/>
                <w:sz w:val="20"/>
              </w:rPr>
            </w:pPr>
            <w:r>
              <w:rPr>
                <w:rFonts w:ascii="Georgia" w:hAnsi="Georgia"/>
                <w:b/>
                <w:color w:val="404040" w:themeColor="text1" w:themeTint="BF"/>
                <w:sz w:val="20"/>
              </w:rPr>
              <w:t>278</w:t>
            </w:r>
          </w:p>
        </w:tc>
      </w:tr>
      <w:tr w:rsidR="005824B7" w:rsidRPr="00A94A31" w14:paraId="4C7CAF71" w14:textId="77777777" w:rsidTr="005824B7">
        <w:trPr>
          <w:trHeight w:val="169"/>
        </w:trPr>
        <w:tc>
          <w:tcPr>
            <w:tcW w:w="1521" w:type="pct"/>
            <w:tcBorders>
              <w:top w:val="nil"/>
              <w:left w:val="nil"/>
              <w:bottom w:val="nil"/>
              <w:right w:val="nil"/>
            </w:tcBorders>
            <w:shd w:val="clear" w:color="auto" w:fill="auto"/>
            <w:noWrap/>
            <w:vAlign w:val="center"/>
          </w:tcPr>
          <w:p w14:paraId="32713CD6" w14:textId="77777777" w:rsidR="005824B7" w:rsidRPr="00A94A31" w:rsidRDefault="005824B7" w:rsidP="005824B7">
            <w:pPr>
              <w:rPr>
                <w:rFonts w:ascii="Georgia" w:hAnsi="Georgia" w:cs="Arial"/>
                <w:color w:val="404040" w:themeColor="text1" w:themeTint="BF"/>
                <w:sz w:val="20"/>
                <w:szCs w:val="20"/>
                <w:lang w:eastAsia="en-GB"/>
              </w:rPr>
            </w:pPr>
          </w:p>
        </w:tc>
        <w:tc>
          <w:tcPr>
            <w:tcW w:w="913" w:type="pct"/>
            <w:tcBorders>
              <w:top w:val="nil"/>
              <w:left w:val="nil"/>
              <w:bottom w:val="nil"/>
              <w:right w:val="nil"/>
            </w:tcBorders>
            <w:shd w:val="clear" w:color="auto" w:fill="auto"/>
            <w:noWrap/>
            <w:vAlign w:val="center"/>
          </w:tcPr>
          <w:p w14:paraId="3D37A214" w14:textId="77777777" w:rsidR="005824B7" w:rsidRPr="00A94A31" w:rsidRDefault="005824B7" w:rsidP="005824B7">
            <w:pPr>
              <w:jc w:val="right"/>
              <w:rPr>
                <w:rFonts w:ascii="Georgia" w:hAnsi="Georgia" w:cs="Arial"/>
                <w:color w:val="404040" w:themeColor="text1" w:themeTint="BF"/>
                <w:sz w:val="20"/>
                <w:szCs w:val="20"/>
                <w:lang w:eastAsia="en-GB"/>
              </w:rPr>
            </w:pPr>
          </w:p>
        </w:tc>
        <w:tc>
          <w:tcPr>
            <w:tcW w:w="815" w:type="pct"/>
            <w:tcBorders>
              <w:top w:val="nil"/>
              <w:left w:val="nil"/>
              <w:bottom w:val="nil"/>
              <w:right w:val="nil"/>
            </w:tcBorders>
            <w:shd w:val="clear" w:color="auto" w:fill="auto"/>
            <w:noWrap/>
            <w:vAlign w:val="center"/>
          </w:tcPr>
          <w:p w14:paraId="1A51A5EB" w14:textId="77777777" w:rsidR="005824B7" w:rsidRPr="00A94A31" w:rsidRDefault="005824B7" w:rsidP="005824B7">
            <w:pPr>
              <w:jc w:val="right"/>
              <w:rPr>
                <w:rFonts w:ascii="Georgia" w:hAnsi="Georgia" w:cs="Arial"/>
                <w:color w:val="404040" w:themeColor="text1" w:themeTint="BF"/>
                <w:sz w:val="20"/>
                <w:szCs w:val="20"/>
                <w:lang w:eastAsia="en-GB"/>
              </w:rPr>
            </w:pPr>
          </w:p>
        </w:tc>
        <w:tc>
          <w:tcPr>
            <w:tcW w:w="817" w:type="pct"/>
            <w:tcBorders>
              <w:top w:val="nil"/>
              <w:left w:val="nil"/>
              <w:bottom w:val="nil"/>
              <w:right w:val="nil"/>
            </w:tcBorders>
            <w:shd w:val="clear" w:color="auto" w:fill="auto"/>
            <w:noWrap/>
            <w:vAlign w:val="center"/>
          </w:tcPr>
          <w:p w14:paraId="4956FB3E" w14:textId="77777777" w:rsidR="005824B7" w:rsidRPr="00A94A31" w:rsidRDefault="005824B7" w:rsidP="005824B7">
            <w:pPr>
              <w:jc w:val="right"/>
              <w:rPr>
                <w:rFonts w:ascii="Georgia" w:hAnsi="Georgia" w:cs="Arial"/>
                <w:color w:val="404040" w:themeColor="text1" w:themeTint="BF"/>
                <w:sz w:val="20"/>
                <w:szCs w:val="20"/>
                <w:lang w:eastAsia="en-GB"/>
              </w:rPr>
            </w:pPr>
          </w:p>
        </w:tc>
        <w:tc>
          <w:tcPr>
            <w:tcW w:w="934" w:type="pct"/>
            <w:tcBorders>
              <w:top w:val="nil"/>
              <w:left w:val="nil"/>
              <w:bottom w:val="nil"/>
              <w:right w:val="nil"/>
            </w:tcBorders>
            <w:shd w:val="clear" w:color="auto" w:fill="auto"/>
            <w:noWrap/>
            <w:vAlign w:val="center"/>
          </w:tcPr>
          <w:p w14:paraId="28F14F51" w14:textId="77777777" w:rsidR="005824B7" w:rsidRPr="00A94A31" w:rsidRDefault="005824B7" w:rsidP="005824B7">
            <w:pPr>
              <w:jc w:val="right"/>
              <w:rPr>
                <w:rFonts w:ascii="Georgia" w:hAnsi="Georgia" w:cs="Arial"/>
                <w:b/>
                <w:bCs/>
                <w:color w:val="404040" w:themeColor="text1" w:themeTint="BF"/>
                <w:sz w:val="20"/>
                <w:szCs w:val="20"/>
                <w:lang w:eastAsia="en-GB"/>
              </w:rPr>
            </w:pPr>
          </w:p>
        </w:tc>
      </w:tr>
      <w:tr w:rsidR="005824B7" w:rsidRPr="00A94A31" w14:paraId="6CA73D42" w14:textId="77777777" w:rsidTr="005824B7">
        <w:trPr>
          <w:trHeight w:val="448"/>
        </w:trPr>
        <w:tc>
          <w:tcPr>
            <w:tcW w:w="1521" w:type="pct"/>
            <w:tcBorders>
              <w:top w:val="nil"/>
              <w:left w:val="nil"/>
              <w:bottom w:val="nil"/>
              <w:right w:val="nil"/>
            </w:tcBorders>
            <w:shd w:val="clear" w:color="auto" w:fill="auto"/>
            <w:noWrap/>
            <w:vAlign w:val="center"/>
          </w:tcPr>
          <w:p w14:paraId="666353CC" w14:textId="77777777" w:rsidR="005824B7" w:rsidRPr="00A94A31" w:rsidRDefault="005824B7" w:rsidP="005824B7">
            <w:pPr>
              <w:jc w:val="right"/>
              <w:rPr>
                <w:rFonts w:ascii="Georgia" w:hAnsi="Georgia" w:cs="Arial"/>
                <w:b/>
                <w:bCs/>
                <w:color w:val="404040" w:themeColor="text1" w:themeTint="BF"/>
                <w:sz w:val="20"/>
                <w:szCs w:val="20"/>
                <w:lang w:eastAsia="en-GB"/>
              </w:rPr>
            </w:pPr>
            <w:r w:rsidRPr="00A94A31">
              <w:rPr>
                <w:rFonts w:ascii="Georgia" w:hAnsi="Georgia" w:cs="Arial"/>
                <w:b/>
                <w:bCs/>
                <w:color w:val="404040" w:themeColor="text1" w:themeTint="BF"/>
                <w:sz w:val="20"/>
                <w:szCs w:val="20"/>
                <w:lang w:eastAsia="en-GB"/>
              </w:rPr>
              <w:t>Liabilities</w:t>
            </w:r>
          </w:p>
        </w:tc>
        <w:tc>
          <w:tcPr>
            <w:tcW w:w="913" w:type="pct"/>
            <w:tcBorders>
              <w:top w:val="nil"/>
              <w:left w:val="nil"/>
              <w:bottom w:val="nil"/>
              <w:right w:val="nil"/>
            </w:tcBorders>
            <w:shd w:val="clear" w:color="auto" w:fill="auto"/>
            <w:noWrap/>
            <w:vAlign w:val="center"/>
          </w:tcPr>
          <w:p w14:paraId="0B929978" w14:textId="77777777" w:rsidR="005824B7" w:rsidRPr="00A94A31" w:rsidRDefault="005824B7" w:rsidP="005824B7">
            <w:pPr>
              <w:jc w:val="right"/>
              <w:rPr>
                <w:rFonts w:ascii="Georgia" w:hAnsi="Georgia" w:cs="Arial"/>
                <w:color w:val="404040" w:themeColor="text1" w:themeTint="BF"/>
                <w:sz w:val="20"/>
                <w:szCs w:val="20"/>
                <w:lang w:eastAsia="en-GB"/>
              </w:rPr>
            </w:pPr>
          </w:p>
        </w:tc>
        <w:tc>
          <w:tcPr>
            <w:tcW w:w="815" w:type="pct"/>
            <w:tcBorders>
              <w:top w:val="nil"/>
              <w:left w:val="nil"/>
              <w:bottom w:val="nil"/>
              <w:right w:val="nil"/>
            </w:tcBorders>
            <w:shd w:val="clear" w:color="auto" w:fill="auto"/>
            <w:noWrap/>
            <w:vAlign w:val="center"/>
          </w:tcPr>
          <w:p w14:paraId="12165AB3" w14:textId="77777777" w:rsidR="005824B7" w:rsidRPr="00A94A31" w:rsidRDefault="005824B7" w:rsidP="005824B7">
            <w:pPr>
              <w:jc w:val="right"/>
              <w:rPr>
                <w:rFonts w:ascii="Georgia" w:hAnsi="Georgia" w:cs="Arial"/>
                <w:color w:val="404040" w:themeColor="text1" w:themeTint="BF"/>
                <w:sz w:val="20"/>
                <w:szCs w:val="20"/>
                <w:lang w:eastAsia="en-GB"/>
              </w:rPr>
            </w:pPr>
          </w:p>
        </w:tc>
        <w:tc>
          <w:tcPr>
            <w:tcW w:w="817" w:type="pct"/>
            <w:tcBorders>
              <w:top w:val="nil"/>
              <w:left w:val="nil"/>
              <w:bottom w:val="nil"/>
              <w:right w:val="nil"/>
            </w:tcBorders>
            <w:shd w:val="clear" w:color="auto" w:fill="auto"/>
            <w:noWrap/>
            <w:vAlign w:val="center"/>
          </w:tcPr>
          <w:p w14:paraId="7EA25127" w14:textId="77777777" w:rsidR="005824B7" w:rsidRPr="00A94A31" w:rsidRDefault="005824B7" w:rsidP="005824B7">
            <w:pPr>
              <w:jc w:val="right"/>
              <w:rPr>
                <w:rFonts w:ascii="Georgia" w:hAnsi="Georgia" w:cs="Arial"/>
                <w:color w:val="404040" w:themeColor="text1" w:themeTint="BF"/>
                <w:sz w:val="20"/>
                <w:szCs w:val="20"/>
                <w:lang w:eastAsia="en-GB"/>
              </w:rPr>
            </w:pPr>
          </w:p>
        </w:tc>
        <w:tc>
          <w:tcPr>
            <w:tcW w:w="934" w:type="pct"/>
            <w:tcBorders>
              <w:top w:val="nil"/>
              <w:left w:val="nil"/>
              <w:bottom w:val="nil"/>
              <w:right w:val="nil"/>
            </w:tcBorders>
            <w:shd w:val="clear" w:color="auto" w:fill="auto"/>
            <w:noWrap/>
            <w:vAlign w:val="center"/>
          </w:tcPr>
          <w:p w14:paraId="341033FD" w14:textId="77777777" w:rsidR="005824B7" w:rsidRPr="00A94A31" w:rsidRDefault="005824B7" w:rsidP="005824B7">
            <w:pPr>
              <w:jc w:val="right"/>
              <w:rPr>
                <w:rFonts w:ascii="Georgia" w:hAnsi="Georgia" w:cs="Arial"/>
                <w:b/>
                <w:bCs/>
                <w:color w:val="404040" w:themeColor="text1" w:themeTint="BF"/>
                <w:sz w:val="20"/>
                <w:szCs w:val="20"/>
                <w:lang w:eastAsia="en-GB"/>
              </w:rPr>
            </w:pPr>
          </w:p>
        </w:tc>
      </w:tr>
      <w:tr w:rsidR="005824B7" w:rsidRPr="00A94A31" w14:paraId="0D52C7CE" w14:textId="77777777" w:rsidTr="005824B7">
        <w:trPr>
          <w:trHeight w:val="448"/>
        </w:trPr>
        <w:tc>
          <w:tcPr>
            <w:tcW w:w="1521" w:type="pct"/>
            <w:tcBorders>
              <w:top w:val="nil"/>
              <w:left w:val="nil"/>
              <w:bottom w:val="nil"/>
              <w:right w:val="nil"/>
            </w:tcBorders>
            <w:shd w:val="clear" w:color="auto" w:fill="auto"/>
            <w:vAlign w:val="center"/>
          </w:tcPr>
          <w:p w14:paraId="66E610B3" w14:textId="77777777" w:rsidR="005824B7" w:rsidRPr="00A94A31" w:rsidRDefault="005824B7" w:rsidP="005824B7">
            <w:pPr>
              <w:jc w:val="right"/>
              <w:rPr>
                <w:rFonts w:ascii="Georgia" w:hAnsi="Georgia" w:cs="Arial"/>
                <w:color w:val="404040" w:themeColor="text1" w:themeTint="BF"/>
                <w:sz w:val="20"/>
                <w:szCs w:val="20"/>
                <w:lang w:eastAsia="en-GB"/>
              </w:rPr>
            </w:pPr>
            <w:r w:rsidRPr="00A94A31">
              <w:rPr>
                <w:rFonts w:ascii="Georgia" w:hAnsi="Georgia" w:cs="Arial"/>
                <w:color w:val="404040" w:themeColor="text1" w:themeTint="BF"/>
                <w:sz w:val="20"/>
                <w:szCs w:val="20"/>
                <w:lang w:eastAsia="en-GB"/>
              </w:rPr>
              <w:t>Other payables and accrued expenses</w:t>
            </w:r>
          </w:p>
        </w:tc>
        <w:tc>
          <w:tcPr>
            <w:tcW w:w="913" w:type="pct"/>
            <w:tcBorders>
              <w:top w:val="nil"/>
              <w:left w:val="nil"/>
              <w:bottom w:val="nil"/>
              <w:right w:val="nil"/>
            </w:tcBorders>
            <w:shd w:val="clear" w:color="auto" w:fill="auto"/>
            <w:noWrap/>
            <w:vAlign w:val="center"/>
          </w:tcPr>
          <w:p w14:paraId="231B8975" w14:textId="4C0965FD"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r w:rsidR="00FE1A7F">
              <w:rPr>
                <w:rFonts w:ascii="Georgia" w:hAnsi="Georgia"/>
                <w:color w:val="404040" w:themeColor="text1" w:themeTint="BF"/>
                <w:sz w:val="20"/>
              </w:rPr>
              <w:t>386</w:t>
            </w:r>
            <w:r w:rsidRPr="009136F5">
              <w:rPr>
                <w:rFonts w:ascii="Georgia" w:hAnsi="Georgia"/>
                <w:color w:val="404040" w:themeColor="text1" w:themeTint="BF"/>
                <w:sz w:val="20"/>
              </w:rPr>
              <w:t>)</w:t>
            </w:r>
          </w:p>
        </w:tc>
        <w:tc>
          <w:tcPr>
            <w:tcW w:w="815" w:type="pct"/>
            <w:tcBorders>
              <w:top w:val="nil"/>
              <w:left w:val="nil"/>
              <w:bottom w:val="nil"/>
              <w:right w:val="nil"/>
            </w:tcBorders>
            <w:shd w:val="clear" w:color="auto" w:fill="auto"/>
            <w:noWrap/>
            <w:vAlign w:val="center"/>
          </w:tcPr>
          <w:p w14:paraId="72750C97" w14:textId="7D0F36BF"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817" w:type="pct"/>
            <w:tcBorders>
              <w:top w:val="nil"/>
              <w:left w:val="nil"/>
              <w:bottom w:val="nil"/>
              <w:right w:val="nil"/>
            </w:tcBorders>
            <w:shd w:val="clear" w:color="auto" w:fill="auto"/>
            <w:noWrap/>
            <w:vAlign w:val="center"/>
          </w:tcPr>
          <w:p w14:paraId="0F70FAD0" w14:textId="5E43C93D"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934" w:type="pct"/>
            <w:tcBorders>
              <w:top w:val="nil"/>
              <w:left w:val="nil"/>
              <w:bottom w:val="nil"/>
              <w:right w:val="nil"/>
            </w:tcBorders>
            <w:shd w:val="clear" w:color="auto" w:fill="auto"/>
            <w:noWrap/>
            <w:vAlign w:val="center"/>
          </w:tcPr>
          <w:p w14:paraId="7C52BE13" w14:textId="4E957745" w:rsidR="005824B7" w:rsidRPr="00A94A31" w:rsidRDefault="005824B7" w:rsidP="005824B7">
            <w:pPr>
              <w:jc w:val="right"/>
              <w:rPr>
                <w:rFonts w:ascii="Georgia" w:hAnsi="Georgia"/>
                <w:b/>
                <w:color w:val="404040" w:themeColor="text1" w:themeTint="BF"/>
                <w:sz w:val="20"/>
              </w:rPr>
            </w:pPr>
            <w:r w:rsidRPr="009136F5">
              <w:rPr>
                <w:rFonts w:ascii="Georgia" w:hAnsi="Georgia"/>
                <w:b/>
                <w:color w:val="404040" w:themeColor="text1" w:themeTint="BF"/>
                <w:sz w:val="20"/>
              </w:rPr>
              <w:t>(</w:t>
            </w:r>
            <w:r w:rsidR="00FE1A7F">
              <w:rPr>
                <w:rFonts w:ascii="Georgia" w:hAnsi="Georgia"/>
                <w:b/>
                <w:color w:val="404040" w:themeColor="text1" w:themeTint="BF"/>
                <w:sz w:val="20"/>
              </w:rPr>
              <w:t>386</w:t>
            </w:r>
            <w:r w:rsidRPr="009136F5">
              <w:rPr>
                <w:rFonts w:ascii="Georgia" w:hAnsi="Georgia"/>
                <w:b/>
                <w:color w:val="404040" w:themeColor="text1" w:themeTint="BF"/>
                <w:sz w:val="20"/>
              </w:rPr>
              <w:t>)</w:t>
            </w:r>
          </w:p>
        </w:tc>
      </w:tr>
      <w:tr w:rsidR="005824B7" w:rsidRPr="00A94A31" w14:paraId="47031328" w14:textId="77777777" w:rsidTr="005824B7">
        <w:trPr>
          <w:trHeight w:val="539"/>
        </w:trPr>
        <w:tc>
          <w:tcPr>
            <w:tcW w:w="1521" w:type="pct"/>
            <w:tcBorders>
              <w:top w:val="nil"/>
              <w:left w:val="nil"/>
              <w:bottom w:val="nil"/>
              <w:right w:val="nil"/>
            </w:tcBorders>
            <w:shd w:val="clear" w:color="auto" w:fill="auto"/>
            <w:vAlign w:val="bottom"/>
          </w:tcPr>
          <w:p w14:paraId="269D76A1" w14:textId="77777777" w:rsidR="005824B7" w:rsidRPr="00A94A31" w:rsidRDefault="005824B7" w:rsidP="005824B7">
            <w:pPr>
              <w:rPr>
                <w:rFonts w:ascii="Georgia" w:hAnsi="Georgia" w:cs="Arial"/>
                <w:color w:val="404040" w:themeColor="text1" w:themeTint="BF"/>
                <w:sz w:val="20"/>
                <w:szCs w:val="20"/>
                <w:lang w:eastAsia="en-GB"/>
              </w:rPr>
            </w:pPr>
          </w:p>
        </w:tc>
        <w:tc>
          <w:tcPr>
            <w:tcW w:w="913" w:type="pct"/>
            <w:tcBorders>
              <w:top w:val="single" w:sz="4" w:space="0" w:color="auto"/>
              <w:left w:val="nil"/>
              <w:bottom w:val="double" w:sz="6" w:space="0" w:color="auto"/>
              <w:right w:val="nil"/>
            </w:tcBorders>
            <w:shd w:val="clear" w:color="auto" w:fill="auto"/>
            <w:noWrap/>
            <w:vAlign w:val="center"/>
          </w:tcPr>
          <w:p w14:paraId="01DCD8DB" w14:textId="61B0AAC5" w:rsidR="005824B7" w:rsidRPr="00A94A31" w:rsidRDefault="00FE1A7F" w:rsidP="005824B7">
            <w:pPr>
              <w:jc w:val="right"/>
              <w:rPr>
                <w:rFonts w:ascii="Georgia" w:hAnsi="Georgia"/>
                <w:color w:val="404040" w:themeColor="text1" w:themeTint="BF"/>
                <w:sz w:val="20"/>
              </w:rPr>
            </w:pPr>
            <w:r>
              <w:rPr>
                <w:rFonts w:ascii="Georgia" w:hAnsi="Georgia"/>
                <w:color w:val="404040" w:themeColor="text1" w:themeTint="BF"/>
                <w:sz w:val="20"/>
              </w:rPr>
              <w:t>640</w:t>
            </w:r>
          </w:p>
        </w:tc>
        <w:tc>
          <w:tcPr>
            <w:tcW w:w="815" w:type="pct"/>
            <w:tcBorders>
              <w:top w:val="single" w:sz="4" w:space="0" w:color="auto"/>
              <w:left w:val="nil"/>
              <w:bottom w:val="double" w:sz="6" w:space="0" w:color="auto"/>
              <w:right w:val="nil"/>
            </w:tcBorders>
            <w:shd w:val="clear" w:color="auto" w:fill="auto"/>
            <w:noWrap/>
            <w:vAlign w:val="center"/>
          </w:tcPr>
          <w:p w14:paraId="1077FF49" w14:textId="47017F07" w:rsidR="005824B7" w:rsidRPr="00A94A31" w:rsidRDefault="005824B7" w:rsidP="005824B7">
            <w:pPr>
              <w:jc w:val="right"/>
              <w:rPr>
                <w:rFonts w:ascii="Georgia" w:hAnsi="Georgia"/>
                <w:color w:val="404040" w:themeColor="text1" w:themeTint="BF"/>
                <w:sz w:val="20"/>
              </w:rPr>
            </w:pPr>
            <w:r w:rsidRPr="009136F5">
              <w:rPr>
                <w:rFonts w:ascii="Georgia" w:hAnsi="Georgia"/>
                <w:color w:val="404040" w:themeColor="text1" w:themeTint="BF"/>
                <w:sz w:val="20"/>
              </w:rPr>
              <w:t>-</w:t>
            </w:r>
          </w:p>
        </w:tc>
        <w:tc>
          <w:tcPr>
            <w:tcW w:w="817" w:type="pct"/>
            <w:tcBorders>
              <w:top w:val="single" w:sz="4" w:space="0" w:color="auto"/>
              <w:left w:val="nil"/>
              <w:bottom w:val="double" w:sz="6" w:space="0" w:color="auto"/>
              <w:right w:val="nil"/>
            </w:tcBorders>
            <w:shd w:val="clear" w:color="auto" w:fill="auto"/>
            <w:noWrap/>
            <w:vAlign w:val="center"/>
          </w:tcPr>
          <w:p w14:paraId="66895010" w14:textId="36E0CCDC" w:rsidR="005824B7" w:rsidRPr="00A94A31" w:rsidRDefault="00FE1A7F" w:rsidP="005824B7">
            <w:pPr>
              <w:jc w:val="right"/>
              <w:rPr>
                <w:rFonts w:ascii="Georgia" w:hAnsi="Georgia"/>
                <w:color w:val="404040" w:themeColor="text1" w:themeTint="BF"/>
                <w:sz w:val="20"/>
              </w:rPr>
            </w:pPr>
            <w:r>
              <w:rPr>
                <w:rFonts w:ascii="Georgia" w:hAnsi="Georgia"/>
                <w:color w:val="404040" w:themeColor="text1" w:themeTint="BF"/>
                <w:sz w:val="20"/>
              </w:rPr>
              <w:t>268,104</w:t>
            </w:r>
          </w:p>
        </w:tc>
        <w:tc>
          <w:tcPr>
            <w:tcW w:w="934" w:type="pct"/>
            <w:tcBorders>
              <w:top w:val="single" w:sz="4" w:space="0" w:color="auto"/>
              <w:left w:val="nil"/>
              <w:bottom w:val="double" w:sz="6" w:space="0" w:color="auto"/>
              <w:right w:val="nil"/>
            </w:tcBorders>
            <w:shd w:val="clear" w:color="auto" w:fill="auto"/>
            <w:noWrap/>
            <w:vAlign w:val="center"/>
          </w:tcPr>
          <w:p w14:paraId="3CD15DAA" w14:textId="636F55A8" w:rsidR="005824B7" w:rsidRPr="00A94A31" w:rsidRDefault="005824B7" w:rsidP="00FE1A7F">
            <w:pPr>
              <w:jc w:val="right"/>
              <w:rPr>
                <w:rFonts w:ascii="Georgia" w:hAnsi="Georgia"/>
                <w:b/>
                <w:color w:val="404040" w:themeColor="text1" w:themeTint="BF"/>
                <w:sz w:val="20"/>
              </w:rPr>
            </w:pPr>
            <w:r>
              <w:rPr>
                <w:rFonts w:ascii="Georgia" w:hAnsi="Georgia"/>
                <w:b/>
                <w:color w:val="404040" w:themeColor="text1" w:themeTint="BF"/>
                <w:sz w:val="20"/>
              </w:rPr>
              <w:t>268,744</w:t>
            </w:r>
          </w:p>
        </w:tc>
      </w:tr>
    </w:tbl>
    <w:p w14:paraId="1E1843C3" w14:textId="77777777" w:rsidR="00C620C3" w:rsidRDefault="00C620C3" w:rsidP="00C620C3">
      <w:pPr>
        <w:pStyle w:val="BluefieldBody"/>
      </w:pPr>
    </w:p>
    <w:p w14:paraId="2FA41991" w14:textId="77777777" w:rsidR="00A2527E" w:rsidRDefault="00A2527E" w:rsidP="00A2527E">
      <w:pPr>
        <w:pStyle w:val="BluefieldBody"/>
      </w:pPr>
      <w:r>
        <w:t xml:space="preserve">* </w:t>
      </w:r>
      <w:r w:rsidRPr="00A2527E">
        <w:t xml:space="preserve">the Company passes debt to BSIFIL under loan agreements; as at the </w:t>
      </w:r>
      <w:proofErr w:type="spellStart"/>
      <w:r w:rsidRPr="00A2527E">
        <w:t>year end</w:t>
      </w:r>
      <w:proofErr w:type="spellEnd"/>
      <w:r w:rsidRPr="00A2527E">
        <w:t xml:space="preserve"> there is an additional amount of non-contractual cash which is not reflected above</w:t>
      </w:r>
    </w:p>
    <w:p w14:paraId="228C5749" w14:textId="25BAE356" w:rsidR="00C620C3" w:rsidRPr="00C620C3" w:rsidRDefault="00C620C3" w:rsidP="00C620C3">
      <w:pPr>
        <w:pStyle w:val="BluefieldBody"/>
      </w:pPr>
      <w:r w:rsidRPr="00C620C3">
        <w:t>*</w:t>
      </w:r>
      <w:r w:rsidR="00A2527E">
        <w:t>*</w:t>
      </w:r>
      <w:r w:rsidRPr="00C620C3">
        <w:t>excluding prepayments</w:t>
      </w:r>
    </w:p>
    <w:p w14:paraId="7CFD57A5" w14:textId="77777777" w:rsidR="00C620C3" w:rsidRDefault="00C620C3" w:rsidP="00C620C3">
      <w:pPr>
        <w:pStyle w:val="BluefieldBody"/>
        <w:rPr>
          <w:highlight w:val="yellow"/>
        </w:rPr>
      </w:pPr>
    </w:p>
    <w:p w14:paraId="1E2AE5D1" w14:textId="02F464E8" w:rsidR="00356117" w:rsidRDefault="00356117" w:rsidP="000F51FA">
      <w:pPr>
        <w:pStyle w:val="body"/>
        <w:rPr>
          <w:b/>
        </w:rPr>
      </w:pPr>
      <w:r>
        <w:rPr>
          <w:b/>
        </w:rPr>
        <w:t>Portfolio operational risk</w:t>
      </w:r>
    </w:p>
    <w:p w14:paraId="6EBF3E91" w14:textId="5C8E12FB" w:rsidR="00356117" w:rsidRDefault="00356117" w:rsidP="00356117">
      <w:pPr>
        <w:pStyle w:val="BluefieldBody"/>
      </w:pPr>
      <w:r w:rsidRPr="00356117">
        <w:t>Portfolio</w:t>
      </w:r>
      <w:r>
        <w:t xml:space="preserve"> operational </w:t>
      </w:r>
      <w:r w:rsidR="004D5086">
        <w:t xml:space="preserve">risk </w:t>
      </w:r>
      <w:r>
        <w:t>is</w:t>
      </w:r>
      <w:r w:rsidR="007A7862">
        <w:t xml:space="preserve"> </w:t>
      </w:r>
      <w:r>
        <w:t xml:space="preserve">defined as the risk that solar assets perform below expectation </w:t>
      </w:r>
      <w:r w:rsidR="004D5086">
        <w:t>after</w:t>
      </w:r>
      <w:r>
        <w:t xml:space="preserve"> acquisition and revenue received from the sale of electricity is reduced.  This risk is mitigated by BSL ensuring that operation and maintenance contractors are compliant with their contractual obligations including reaction times, maintenance plans and service levels.</w:t>
      </w:r>
    </w:p>
    <w:p w14:paraId="789722A5" w14:textId="77777777" w:rsidR="000A1D55" w:rsidRDefault="000A1D55" w:rsidP="00356117">
      <w:pPr>
        <w:pStyle w:val="BluefieldBody"/>
      </w:pPr>
    </w:p>
    <w:p w14:paraId="59190695" w14:textId="219C58EA" w:rsidR="000A1D55" w:rsidRPr="008B4E94" w:rsidRDefault="000A1D55" w:rsidP="00356117">
      <w:pPr>
        <w:pStyle w:val="BluefieldBody"/>
        <w:rPr>
          <w:b/>
        </w:rPr>
      </w:pPr>
      <w:r w:rsidRPr="008B4E94">
        <w:rPr>
          <w:b/>
        </w:rPr>
        <w:t>Concentration</w:t>
      </w:r>
      <w:r w:rsidR="00171761">
        <w:rPr>
          <w:b/>
        </w:rPr>
        <w:t>s of</w:t>
      </w:r>
      <w:r w:rsidRPr="008B4E94">
        <w:rPr>
          <w:b/>
        </w:rPr>
        <w:t xml:space="preserve"> risk</w:t>
      </w:r>
    </w:p>
    <w:p w14:paraId="6124062A" w14:textId="72C53503" w:rsidR="00356117" w:rsidRDefault="000A1D55" w:rsidP="008B4E94">
      <w:pPr>
        <w:pStyle w:val="BluefieldBody"/>
      </w:pPr>
      <w:r>
        <w:t>Concentration</w:t>
      </w:r>
      <w:r w:rsidR="00171761">
        <w:t>s of</w:t>
      </w:r>
      <w:r>
        <w:t xml:space="preserve"> risk </w:t>
      </w:r>
      <w:r w:rsidR="00171761">
        <w:t xml:space="preserve">arise from financial instruments that have similar characteristics and are affected similarly by changes in economic or other conditions. </w:t>
      </w:r>
      <w:r>
        <w:t xml:space="preserve"> The </w:t>
      </w:r>
      <w:r w:rsidR="00171761">
        <w:t>concentration</w:t>
      </w:r>
      <w:r w:rsidR="008870EF">
        <w:t>s</w:t>
      </w:r>
      <w:r>
        <w:t xml:space="preserve"> of the Company’s solar assets by geography, construction contractor</w:t>
      </w:r>
      <w:r w:rsidR="00171761">
        <w:t xml:space="preserve"> and revenue type </w:t>
      </w:r>
      <w:r w:rsidR="008870EF">
        <w:t>are</w:t>
      </w:r>
      <w:r>
        <w:t xml:space="preserve"> shown on pages </w:t>
      </w:r>
      <w:r w:rsidR="000E5943" w:rsidRPr="000E5943">
        <w:t>12</w:t>
      </w:r>
      <w:r w:rsidRPr="000E5943">
        <w:t xml:space="preserve"> to </w:t>
      </w:r>
      <w:r w:rsidR="000E5943" w:rsidRPr="000E5943">
        <w:t>15</w:t>
      </w:r>
      <w:r w:rsidRPr="000E5943">
        <w:t>.</w:t>
      </w:r>
      <w:r>
        <w:t xml:space="preserve">  </w:t>
      </w:r>
      <w:r w:rsidR="008B4E94">
        <w:t>This analysis forms an integral part of the financial statements.</w:t>
      </w:r>
    </w:p>
    <w:p w14:paraId="67E45E86" w14:textId="77777777" w:rsidR="008B4E94" w:rsidRPr="00356117" w:rsidRDefault="008B4E94" w:rsidP="008B4E94">
      <w:pPr>
        <w:pStyle w:val="BluefieldBody"/>
      </w:pPr>
    </w:p>
    <w:p w14:paraId="2725BE94" w14:textId="77777777" w:rsidR="000F51FA" w:rsidRPr="00A94A31" w:rsidRDefault="000F51FA" w:rsidP="000F51FA">
      <w:pPr>
        <w:pStyle w:val="body"/>
        <w:rPr>
          <w:b/>
        </w:rPr>
      </w:pPr>
      <w:r w:rsidRPr="00A94A31">
        <w:rPr>
          <w:b/>
        </w:rPr>
        <w:t>Capital management policies and procedures</w:t>
      </w:r>
    </w:p>
    <w:p w14:paraId="6E0CFADF" w14:textId="1199440A" w:rsidR="00E42A95" w:rsidRPr="00A94A31" w:rsidRDefault="000F51FA" w:rsidP="00E42A95">
      <w:pPr>
        <w:pStyle w:val="BluefieldBody"/>
      </w:pPr>
      <w:r w:rsidRPr="00A94A31">
        <w:t xml:space="preserve">The </w:t>
      </w:r>
      <w:r w:rsidR="00A94A31">
        <w:t>Company</w:t>
      </w:r>
      <w:r w:rsidRPr="00A94A31">
        <w:t xml:space="preserve">'s capital management objectives are to ensure that the </w:t>
      </w:r>
      <w:r w:rsidR="00A94A31">
        <w:t>Company</w:t>
      </w:r>
      <w:r w:rsidRPr="00A94A31">
        <w:t xml:space="preserve"> will be able to continue as a going concern while maximisin</w:t>
      </w:r>
      <w:r w:rsidR="005E56E1">
        <w:t>g the capital return to equity S</w:t>
      </w:r>
      <w:r w:rsidRPr="00A94A31">
        <w:t xml:space="preserve">hareholders. </w:t>
      </w:r>
    </w:p>
    <w:p w14:paraId="03012551" w14:textId="77777777" w:rsidR="00E42A95" w:rsidRPr="00A94A31" w:rsidRDefault="00E42A95" w:rsidP="00E42A95">
      <w:pPr>
        <w:pStyle w:val="BluefieldBody"/>
      </w:pPr>
    </w:p>
    <w:p w14:paraId="5E0141E8" w14:textId="5ADA782B" w:rsidR="00E42A95" w:rsidRPr="00A94A31" w:rsidRDefault="000F51FA" w:rsidP="00E42A95">
      <w:pPr>
        <w:pStyle w:val="BluefieldBody"/>
      </w:pPr>
      <w:r w:rsidRPr="00A94A31">
        <w:t xml:space="preserve">In accordance with the </w:t>
      </w:r>
      <w:r w:rsidR="00A94A31">
        <w:t>Company</w:t>
      </w:r>
      <w:r w:rsidRPr="00A94A31">
        <w:t xml:space="preserve">'s investment policy, the </w:t>
      </w:r>
      <w:r w:rsidR="00A94A31">
        <w:t>Company</w:t>
      </w:r>
      <w:r w:rsidRPr="00A94A31">
        <w:t>'s principal use of cash (including the proceeds of the IPO</w:t>
      </w:r>
      <w:r w:rsidR="00F63BA0" w:rsidRPr="00A94A31">
        <w:t>, placings</w:t>
      </w:r>
      <w:r w:rsidRPr="00A94A31">
        <w:t xml:space="preserve"> and the loan facility</w:t>
      </w:r>
      <w:r w:rsidR="00F63BA0" w:rsidRPr="00A94A31">
        <w:t>)</w:t>
      </w:r>
      <w:r w:rsidRPr="00A94A31">
        <w:t xml:space="preserve"> is to fund </w:t>
      </w:r>
      <w:r w:rsidR="00A94A31">
        <w:t>BSIFIL</w:t>
      </w:r>
      <w:r w:rsidRPr="00A94A31">
        <w:t xml:space="preserve">’s projects, as well as expenses related to the </w:t>
      </w:r>
      <w:r w:rsidR="005929B1">
        <w:t xml:space="preserve">share </w:t>
      </w:r>
      <w:r w:rsidRPr="00A94A31">
        <w:t>issue</w:t>
      </w:r>
      <w:r w:rsidR="005D5C0F" w:rsidRPr="00A94A31">
        <w:t xml:space="preserve"> </w:t>
      </w:r>
      <w:r w:rsidR="007F0145">
        <w:t>when they occur</w:t>
      </w:r>
      <w:r w:rsidRPr="00A94A31">
        <w:t>, ongoing operational expenses and payment of divide</w:t>
      </w:r>
      <w:r w:rsidR="005E56E1">
        <w:t>nds and other distributions to S</w:t>
      </w:r>
      <w:r w:rsidRPr="00A94A31">
        <w:t>hareholders in accordance with the Company's dividend policy.</w:t>
      </w:r>
    </w:p>
    <w:p w14:paraId="714A44EF" w14:textId="77777777" w:rsidR="00E42A95" w:rsidRPr="00A94A31" w:rsidRDefault="00E42A95" w:rsidP="00E42A95">
      <w:pPr>
        <w:pStyle w:val="BluefieldBody"/>
      </w:pPr>
    </w:p>
    <w:p w14:paraId="2FEA6F98" w14:textId="77777777" w:rsidR="00E42A95" w:rsidRDefault="00E42A95" w:rsidP="00E42A95">
      <w:pPr>
        <w:pStyle w:val="BluefieldBody"/>
      </w:pPr>
    </w:p>
    <w:p w14:paraId="344015D6" w14:textId="77777777" w:rsidR="00C620C3" w:rsidRDefault="00C620C3" w:rsidP="00E42A95">
      <w:pPr>
        <w:pStyle w:val="BluefieldBody"/>
      </w:pPr>
    </w:p>
    <w:p w14:paraId="19928E15" w14:textId="77777777" w:rsidR="00C620C3" w:rsidRDefault="00C620C3" w:rsidP="00E42A95">
      <w:pPr>
        <w:pStyle w:val="BluefieldBody"/>
      </w:pPr>
    </w:p>
    <w:p w14:paraId="26617F37" w14:textId="77777777" w:rsidR="00C620C3" w:rsidRDefault="00C620C3" w:rsidP="00E42A95">
      <w:pPr>
        <w:pStyle w:val="BluefieldBody"/>
      </w:pPr>
    </w:p>
    <w:p w14:paraId="055A34AE" w14:textId="77777777" w:rsidR="00C620C3" w:rsidRDefault="00C620C3" w:rsidP="00E42A95">
      <w:pPr>
        <w:pStyle w:val="BluefieldBody"/>
      </w:pPr>
    </w:p>
    <w:p w14:paraId="70A3A690" w14:textId="77777777" w:rsidR="00C620C3" w:rsidRPr="00A94A31" w:rsidRDefault="00C620C3" w:rsidP="00E42A95">
      <w:pPr>
        <w:pStyle w:val="BluefieldBody"/>
      </w:pPr>
    </w:p>
    <w:p w14:paraId="5192BE16" w14:textId="221F7739" w:rsidR="00C620C3" w:rsidRDefault="00C620C3" w:rsidP="00C620C3">
      <w:pPr>
        <w:pStyle w:val="Notehead1"/>
        <w:rPr>
          <w:lang w:eastAsia="en-GB"/>
        </w:rPr>
      </w:pPr>
    </w:p>
    <w:p w14:paraId="48959E6F" w14:textId="77777777" w:rsidR="00C620C3" w:rsidRPr="00A94A31" w:rsidRDefault="00C620C3" w:rsidP="00C620C3">
      <w:pPr>
        <w:pStyle w:val="Notehead1"/>
        <w:rPr>
          <w:lang w:eastAsia="en-GB"/>
        </w:rPr>
      </w:pPr>
      <w:r w:rsidRPr="00A94A31">
        <w:rPr>
          <w:lang w:eastAsia="en-GB"/>
        </w:rPr>
        <w:lastRenderedPageBreak/>
        <w:t>15. Risk management policies and procedures (continued)</w:t>
      </w:r>
    </w:p>
    <w:p w14:paraId="2EEBF486" w14:textId="77777777" w:rsidR="00C620C3" w:rsidRPr="00157574" w:rsidRDefault="00C620C3" w:rsidP="00C620C3">
      <w:pPr>
        <w:pStyle w:val="body"/>
        <w:rPr>
          <w:b/>
          <w:sz w:val="16"/>
          <w:szCs w:val="16"/>
        </w:rPr>
      </w:pPr>
    </w:p>
    <w:p w14:paraId="2D10773F" w14:textId="77777777" w:rsidR="00C620C3" w:rsidRPr="00A94A31" w:rsidRDefault="00C620C3" w:rsidP="00C620C3">
      <w:pPr>
        <w:pStyle w:val="body"/>
        <w:rPr>
          <w:b/>
        </w:rPr>
      </w:pPr>
      <w:r w:rsidRPr="00A94A31">
        <w:rPr>
          <w:b/>
        </w:rPr>
        <w:t>Liquidity risk (continued)</w:t>
      </w:r>
    </w:p>
    <w:p w14:paraId="2D1CD781" w14:textId="77777777" w:rsidR="00C620C3" w:rsidRPr="00157574" w:rsidRDefault="00C620C3" w:rsidP="000F51FA">
      <w:pPr>
        <w:pStyle w:val="body"/>
        <w:rPr>
          <w:sz w:val="16"/>
          <w:szCs w:val="16"/>
        </w:rPr>
      </w:pPr>
    </w:p>
    <w:p w14:paraId="64F0DB77" w14:textId="680114E3" w:rsidR="00157574" w:rsidRPr="00A94A31" w:rsidRDefault="00157574" w:rsidP="00157574">
      <w:pPr>
        <w:pStyle w:val="body"/>
        <w:rPr>
          <w:b/>
        </w:rPr>
      </w:pPr>
      <w:r w:rsidRPr="00A94A31">
        <w:rPr>
          <w:b/>
        </w:rPr>
        <w:t>Capital management policies and procedures</w:t>
      </w:r>
      <w:r>
        <w:rPr>
          <w:b/>
        </w:rPr>
        <w:t xml:space="preserve"> (continued)</w:t>
      </w:r>
    </w:p>
    <w:p w14:paraId="084C3B22" w14:textId="77777777" w:rsidR="00157574" w:rsidRPr="00157574" w:rsidRDefault="00157574" w:rsidP="000F51FA">
      <w:pPr>
        <w:pStyle w:val="body"/>
        <w:rPr>
          <w:sz w:val="16"/>
          <w:szCs w:val="16"/>
        </w:rPr>
      </w:pPr>
    </w:p>
    <w:p w14:paraId="2066B5C2" w14:textId="77777777" w:rsidR="00C620C3" w:rsidRPr="00A94A31" w:rsidRDefault="00C620C3" w:rsidP="00C620C3">
      <w:pPr>
        <w:pStyle w:val="BluefieldBody"/>
      </w:pPr>
      <w:r w:rsidRPr="00A94A31">
        <w:t>The Board, with the assistance of the Investment Adviser, monitors and reviews the broad structure of the Company's capital on an ongoing basis.</w:t>
      </w:r>
    </w:p>
    <w:p w14:paraId="1F579CFC" w14:textId="77777777" w:rsidR="00C620C3" w:rsidRPr="00A94A31" w:rsidRDefault="00C620C3" w:rsidP="00C620C3">
      <w:pPr>
        <w:pStyle w:val="BluefieldBody"/>
      </w:pPr>
    </w:p>
    <w:p w14:paraId="7F2E2A4A" w14:textId="77777777" w:rsidR="00C620C3" w:rsidRPr="00A94A31" w:rsidRDefault="00C620C3" w:rsidP="00C620C3">
      <w:pPr>
        <w:pStyle w:val="BluefieldBody"/>
      </w:pPr>
      <w:r w:rsidRPr="00A94A31">
        <w:t>The Company has no imposed capital requirements</w:t>
      </w:r>
      <w:r>
        <w:t>.</w:t>
      </w:r>
      <w:r w:rsidRPr="00A94A31">
        <w:t xml:space="preserve"> </w:t>
      </w:r>
    </w:p>
    <w:p w14:paraId="573287EE" w14:textId="77777777" w:rsidR="00C620C3" w:rsidRDefault="00C620C3" w:rsidP="000F51FA">
      <w:pPr>
        <w:pStyle w:val="body"/>
      </w:pPr>
    </w:p>
    <w:p w14:paraId="4FC7F7BB" w14:textId="77777777" w:rsidR="000F51FA" w:rsidRDefault="000F51FA" w:rsidP="000F51FA">
      <w:pPr>
        <w:pStyle w:val="body"/>
      </w:pPr>
      <w:r w:rsidRPr="00A94A31">
        <w:t>The capital structure of the Company consists of issued share capital and retained earnings.</w:t>
      </w:r>
    </w:p>
    <w:p w14:paraId="6BEDD106" w14:textId="77777777" w:rsidR="000B09F7" w:rsidRDefault="000B09F7" w:rsidP="000F51FA">
      <w:pPr>
        <w:pStyle w:val="Notehead1"/>
        <w:rPr>
          <w:lang w:eastAsia="en-GB"/>
        </w:rPr>
      </w:pPr>
    </w:p>
    <w:p w14:paraId="1D78B94F" w14:textId="66EFD29A" w:rsidR="000F51FA" w:rsidRPr="00384BCB" w:rsidRDefault="005D5C0F" w:rsidP="000F51FA">
      <w:pPr>
        <w:pStyle w:val="Notehead1"/>
        <w:rPr>
          <w:lang w:eastAsia="en-GB"/>
        </w:rPr>
      </w:pPr>
      <w:r>
        <w:rPr>
          <w:lang w:eastAsia="en-GB"/>
        </w:rPr>
        <w:t>1</w:t>
      </w:r>
      <w:r w:rsidR="006C2EC2">
        <w:rPr>
          <w:lang w:eastAsia="en-GB"/>
        </w:rPr>
        <w:t>6</w:t>
      </w:r>
      <w:r>
        <w:rPr>
          <w:lang w:eastAsia="en-GB"/>
        </w:rPr>
        <w:t>.  Related p</w:t>
      </w:r>
      <w:r w:rsidR="00E42A95" w:rsidRPr="00E42A95">
        <w:rPr>
          <w:lang w:eastAsia="en-GB"/>
        </w:rPr>
        <w:t xml:space="preserve">arty </w:t>
      </w:r>
      <w:r>
        <w:rPr>
          <w:lang w:eastAsia="en-GB"/>
        </w:rPr>
        <w:t>t</w:t>
      </w:r>
      <w:r w:rsidR="00E42A95" w:rsidRPr="00E42A95">
        <w:rPr>
          <w:lang w:eastAsia="en-GB"/>
        </w:rPr>
        <w:t xml:space="preserve">ransactions and </w:t>
      </w:r>
      <w:r w:rsidR="00EA5427">
        <w:rPr>
          <w:lang w:eastAsia="en-GB"/>
        </w:rPr>
        <w:t>D</w:t>
      </w:r>
      <w:r w:rsidR="00E42A95" w:rsidRPr="00E42A95">
        <w:rPr>
          <w:lang w:eastAsia="en-GB"/>
        </w:rPr>
        <w:t xml:space="preserve">irectors’ </w:t>
      </w:r>
      <w:r>
        <w:rPr>
          <w:lang w:eastAsia="en-GB"/>
        </w:rPr>
        <w:t>r</w:t>
      </w:r>
      <w:r w:rsidR="00E42A95" w:rsidRPr="00E42A95">
        <w:rPr>
          <w:lang w:eastAsia="en-GB"/>
        </w:rPr>
        <w:t>emuneration</w:t>
      </w:r>
    </w:p>
    <w:p w14:paraId="3B69D55B" w14:textId="77777777" w:rsidR="000F51FA" w:rsidRPr="007022BF" w:rsidRDefault="000F51FA" w:rsidP="000F51FA">
      <w:pPr>
        <w:pStyle w:val="Notehead1"/>
      </w:pPr>
    </w:p>
    <w:p w14:paraId="662ACCBD" w14:textId="77777777" w:rsidR="00E42A95" w:rsidRDefault="000F51FA" w:rsidP="00E42A95">
      <w:pPr>
        <w:pStyle w:val="BluefieldBody"/>
      </w:pPr>
      <w:r w:rsidRPr="00462871">
        <w:t>In the opinion of the Directors, the Company has no immediate or ultimate controlling party.</w:t>
      </w:r>
    </w:p>
    <w:p w14:paraId="0BAD82AA" w14:textId="13C8CDB5" w:rsidR="00B67D1E" w:rsidRDefault="00B67D1E" w:rsidP="00E42A95">
      <w:pPr>
        <w:pStyle w:val="BluefieldBody"/>
      </w:pPr>
    </w:p>
    <w:p w14:paraId="5B1ED89F" w14:textId="3AF1B14B" w:rsidR="00100533" w:rsidRDefault="00726A74" w:rsidP="00E42A95">
      <w:pPr>
        <w:pStyle w:val="BluefieldBody"/>
        <w:rPr>
          <w:rFonts w:cs="Calibri"/>
        </w:rPr>
      </w:pPr>
      <w:r w:rsidRPr="006B46F8">
        <w:rPr>
          <w:rFonts w:cs="Calibri"/>
        </w:rPr>
        <w:t>The Chairman is entitled to an annual remuneration of £60,000 (2019: £60,000). The other Directors are entitled to an annual remuneration of £37,500 (2019: £37,500).  Paul Le Page receives an additional annual fee of £7,500 (2019: £7,500) for acting as Chairman of the Audit Committee. The Board will review all Directors’ remuneration annually</w:t>
      </w:r>
    </w:p>
    <w:p w14:paraId="7558CC1D" w14:textId="77777777" w:rsidR="00726A74" w:rsidRDefault="00726A74" w:rsidP="00E42A95">
      <w:pPr>
        <w:pStyle w:val="BluefieldBody"/>
      </w:pPr>
    </w:p>
    <w:p w14:paraId="713BB055" w14:textId="73E33A4A" w:rsidR="00C907EC" w:rsidRDefault="00211749" w:rsidP="00E42A95">
      <w:pPr>
        <w:pStyle w:val="BluefieldBody"/>
        <w:rPr>
          <w:rFonts w:cs="Calibri"/>
        </w:rPr>
      </w:pPr>
      <w:r w:rsidRPr="00C0335F">
        <w:t xml:space="preserve">The total Directors’ fees expense for the </w:t>
      </w:r>
      <w:r w:rsidRPr="007E6E08">
        <w:t xml:space="preserve">period </w:t>
      </w:r>
      <w:r w:rsidRPr="0024675F">
        <w:t xml:space="preserve">amounted </w:t>
      </w:r>
      <w:r w:rsidRPr="008411DC">
        <w:t>to £</w:t>
      </w:r>
      <w:r w:rsidR="008411DC" w:rsidRPr="008411DC">
        <w:t>217</w:t>
      </w:r>
      <w:r w:rsidR="008411DC">
        <w:t>,500</w:t>
      </w:r>
      <w:r w:rsidRPr="0024675F">
        <w:t xml:space="preserve"> (</w:t>
      </w:r>
      <w:r w:rsidR="00904E51">
        <w:t>2019</w:t>
      </w:r>
      <w:r w:rsidRPr="0024675F">
        <w:t xml:space="preserve">: </w:t>
      </w:r>
      <w:r w:rsidR="008844EA" w:rsidRPr="006B00A3">
        <w:t>£</w:t>
      </w:r>
      <w:r w:rsidR="008844EA">
        <w:t>189,375</w:t>
      </w:r>
      <w:r w:rsidRPr="0024675F">
        <w:t>) of wh</w:t>
      </w:r>
      <w:r w:rsidRPr="008411DC">
        <w:t>ich £</w:t>
      </w:r>
      <w:r w:rsidR="00C052FF" w:rsidRPr="008411DC">
        <w:t>5</w:t>
      </w:r>
      <w:r w:rsidR="007F0145" w:rsidRPr="008411DC">
        <w:t>7,375</w:t>
      </w:r>
      <w:r>
        <w:t xml:space="preserve"> was outstanding at 30 June </w:t>
      </w:r>
      <w:r w:rsidR="00904E51">
        <w:t>2020</w:t>
      </w:r>
      <w:r>
        <w:t xml:space="preserve"> (</w:t>
      </w:r>
      <w:r w:rsidR="00904E51">
        <w:t>2019</w:t>
      </w:r>
      <w:r>
        <w:t xml:space="preserve">: </w:t>
      </w:r>
      <w:r w:rsidR="008844EA" w:rsidRPr="0024675F">
        <w:t>£</w:t>
      </w:r>
      <w:r w:rsidR="008844EA">
        <w:t>57,375</w:t>
      </w:r>
      <w:r>
        <w:t>)</w:t>
      </w:r>
      <w:r>
        <w:rPr>
          <w:rFonts w:cs="Calibri"/>
        </w:rPr>
        <w:t xml:space="preserve">. </w:t>
      </w:r>
    </w:p>
    <w:p w14:paraId="2D6D5EBA" w14:textId="7AB66227" w:rsidR="000B34B7" w:rsidRDefault="000B34B7" w:rsidP="00E42A95">
      <w:pPr>
        <w:pStyle w:val="BluefieldBody"/>
        <w:rPr>
          <w:rFonts w:cs="Calibri"/>
        </w:rPr>
      </w:pPr>
    </w:p>
    <w:p w14:paraId="19E8ABE3" w14:textId="77777777" w:rsidR="00C907EC" w:rsidRDefault="00C907EC" w:rsidP="00C907EC">
      <w:pPr>
        <w:pStyle w:val="BluefieldBody"/>
      </w:pPr>
    </w:p>
    <w:p w14:paraId="0E16D273" w14:textId="762953F4" w:rsidR="00E42A95" w:rsidRDefault="002513C5" w:rsidP="0024470F">
      <w:pPr>
        <w:pStyle w:val="BluefieldBody"/>
        <w:jc w:val="left"/>
      </w:pPr>
      <w:r>
        <w:t xml:space="preserve">At 30 June </w:t>
      </w:r>
      <w:r w:rsidR="00904E51">
        <w:t>2020</w:t>
      </w:r>
      <w:r w:rsidR="000F51FA">
        <w:t>, t</w:t>
      </w:r>
      <w:r w:rsidR="000F51FA" w:rsidRPr="00462871">
        <w:t xml:space="preserve">he number of Ordinary Shares </w:t>
      </w:r>
      <w:r w:rsidR="000F51FA">
        <w:t>held by</w:t>
      </w:r>
      <w:r w:rsidR="000F51FA" w:rsidRPr="00462871">
        <w:t xml:space="preserve"> each Director is as follows:</w:t>
      </w:r>
    </w:p>
    <w:p w14:paraId="1C9434FC" w14:textId="77777777" w:rsidR="00C907EC" w:rsidRDefault="00C907EC" w:rsidP="00E42A95">
      <w:pPr>
        <w:pStyle w:val="BluefieldBody"/>
      </w:pPr>
    </w:p>
    <w:tbl>
      <w:tblPr>
        <w:tblW w:w="5002" w:type="pct"/>
        <w:tblLayout w:type="fixed"/>
        <w:tblLook w:val="04A0" w:firstRow="1" w:lastRow="0" w:firstColumn="1" w:lastColumn="0" w:noHBand="0" w:noVBand="1"/>
      </w:tblPr>
      <w:tblGrid>
        <w:gridCol w:w="2833"/>
        <w:gridCol w:w="2161"/>
        <w:gridCol w:w="2154"/>
        <w:gridCol w:w="2216"/>
      </w:tblGrid>
      <w:tr w:rsidR="00C907EC" w:rsidRPr="00C70411" w14:paraId="79AA1468" w14:textId="77777777" w:rsidTr="008844EA">
        <w:trPr>
          <w:trHeight w:val="255"/>
        </w:trPr>
        <w:tc>
          <w:tcPr>
            <w:tcW w:w="1513" w:type="pct"/>
            <w:tcBorders>
              <w:top w:val="nil"/>
              <w:left w:val="nil"/>
              <w:bottom w:val="nil"/>
              <w:right w:val="nil"/>
            </w:tcBorders>
            <w:shd w:val="clear" w:color="auto" w:fill="auto"/>
            <w:noWrap/>
            <w:vAlign w:val="bottom"/>
          </w:tcPr>
          <w:p w14:paraId="7CC16BA7" w14:textId="77777777" w:rsidR="00C907EC" w:rsidRPr="00C70411" w:rsidRDefault="00C907EC" w:rsidP="009644B4">
            <w:pPr>
              <w:rPr>
                <w:rFonts w:ascii="Georgia" w:hAnsi="Georgia" w:cs="Arial"/>
                <w:color w:val="404040" w:themeColor="text1" w:themeTint="BF"/>
                <w:sz w:val="20"/>
                <w:szCs w:val="20"/>
                <w:lang w:eastAsia="en-GB"/>
              </w:rPr>
            </w:pPr>
          </w:p>
        </w:tc>
        <w:tc>
          <w:tcPr>
            <w:tcW w:w="1154" w:type="pct"/>
            <w:tcBorders>
              <w:top w:val="nil"/>
              <w:left w:val="nil"/>
              <w:bottom w:val="nil"/>
              <w:right w:val="nil"/>
            </w:tcBorders>
            <w:shd w:val="clear" w:color="auto" w:fill="auto"/>
            <w:noWrap/>
            <w:vAlign w:val="bottom"/>
          </w:tcPr>
          <w:p w14:paraId="234BEA25" w14:textId="77777777" w:rsidR="00C907EC" w:rsidRPr="00C70411" w:rsidRDefault="00C907EC" w:rsidP="009644B4">
            <w:pPr>
              <w:rPr>
                <w:rFonts w:ascii="Georgia" w:hAnsi="Georgia" w:cs="Arial"/>
                <w:color w:val="404040" w:themeColor="text1" w:themeTint="BF"/>
                <w:sz w:val="20"/>
                <w:szCs w:val="20"/>
                <w:lang w:eastAsia="en-GB"/>
              </w:rPr>
            </w:pPr>
          </w:p>
        </w:tc>
        <w:tc>
          <w:tcPr>
            <w:tcW w:w="1150" w:type="pct"/>
            <w:tcBorders>
              <w:top w:val="nil"/>
              <w:left w:val="nil"/>
              <w:bottom w:val="nil"/>
              <w:right w:val="nil"/>
            </w:tcBorders>
            <w:shd w:val="clear" w:color="auto" w:fill="auto"/>
            <w:noWrap/>
            <w:vAlign w:val="bottom"/>
          </w:tcPr>
          <w:p w14:paraId="32624650" w14:textId="0A288F2C" w:rsidR="00C907EC" w:rsidRPr="001D02E8" w:rsidRDefault="00904E51" w:rsidP="00C907EC">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2020</w:t>
            </w:r>
          </w:p>
          <w:p w14:paraId="7F303FBA" w14:textId="77777777" w:rsidR="00C907EC" w:rsidRPr="001D02E8" w:rsidRDefault="00C907EC" w:rsidP="00C907EC">
            <w:pPr>
              <w:jc w:val="right"/>
              <w:rPr>
                <w:rFonts w:ascii="Georgia" w:hAnsi="Georgia" w:cs="Arial"/>
                <w:b/>
                <w:bCs/>
                <w:color w:val="404040" w:themeColor="text1" w:themeTint="BF"/>
                <w:sz w:val="20"/>
                <w:szCs w:val="20"/>
                <w:lang w:eastAsia="en-GB"/>
              </w:rPr>
            </w:pPr>
            <w:r w:rsidRPr="001D02E8">
              <w:rPr>
                <w:rFonts w:ascii="Georgia" w:hAnsi="Georgia" w:cs="Arial"/>
                <w:b/>
                <w:bCs/>
                <w:color w:val="404040" w:themeColor="text1" w:themeTint="BF"/>
                <w:sz w:val="20"/>
                <w:szCs w:val="20"/>
                <w:lang w:eastAsia="en-GB"/>
              </w:rPr>
              <w:t>Number of</w:t>
            </w:r>
          </w:p>
          <w:p w14:paraId="7909CC83" w14:textId="77777777" w:rsidR="00C907EC" w:rsidRPr="001D02E8" w:rsidRDefault="00C907EC" w:rsidP="00C907EC">
            <w:pPr>
              <w:jc w:val="right"/>
              <w:rPr>
                <w:rFonts w:ascii="Georgia" w:hAnsi="Georgia" w:cs="Arial"/>
                <w:b/>
                <w:color w:val="404040" w:themeColor="text1" w:themeTint="BF"/>
                <w:sz w:val="20"/>
                <w:szCs w:val="20"/>
                <w:lang w:eastAsia="en-GB"/>
              </w:rPr>
            </w:pPr>
            <w:r w:rsidRPr="001D02E8">
              <w:rPr>
                <w:rFonts w:ascii="Georgia" w:hAnsi="Georgia" w:cs="Arial"/>
                <w:b/>
                <w:bCs/>
                <w:color w:val="404040" w:themeColor="text1" w:themeTint="BF"/>
                <w:sz w:val="20"/>
                <w:szCs w:val="20"/>
                <w:lang w:eastAsia="en-GB"/>
              </w:rPr>
              <w:t>Ordinary Shares</w:t>
            </w:r>
          </w:p>
        </w:tc>
        <w:tc>
          <w:tcPr>
            <w:tcW w:w="1183" w:type="pct"/>
            <w:tcBorders>
              <w:top w:val="nil"/>
              <w:left w:val="nil"/>
              <w:bottom w:val="nil"/>
              <w:right w:val="nil"/>
            </w:tcBorders>
            <w:shd w:val="clear" w:color="auto" w:fill="auto"/>
            <w:noWrap/>
            <w:vAlign w:val="bottom"/>
          </w:tcPr>
          <w:p w14:paraId="07F7A6DE" w14:textId="4883616E" w:rsidR="00C907EC" w:rsidRDefault="00904E51" w:rsidP="00C907EC">
            <w:pPr>
              <w:jc w:val="right"/>
              <w:rPr>
                <w:rFonts w:ascii="Georgia" w:hAnsi="Georgia" w:cs="Arial"/>
                <w:b/>
                <w:bCs/>
                <w:color w:val="404040" w:themeColor="text1" w:themeTint="BF"/>
                <w:sz w:val="20"/>
                <w:szCs w:val="20"/>
                <w:lang w:eastAsia="en-GB"/>
              </w:rPr>
            </w:pPr>
            <w:r>
              <w:rPr>
                <w:rFonts w:ascii="Georgia" w:hAnsi="Georgia" w:cs="Arial"/>
                <w:b/>
                <w:bCs/>
                <w:color w:val="404040" w:themeColor="text1" w:themeTint="BF"/>
                <w:sz w:val="20"/>
                <w:szCs w:val="20"/>
                <w:lang w:eastAsia="en-GB"/>
              </w:rPr>
              <w:t>2019</w:t>
            </w:r>
          </w:p>
          <w:p w14:paraId="42C94E11" w14:textId="77777777" w:rsidR="00C907EC" w:rsidRPr="00384BCB" w:rsidRDefault="00C907EC" w:rsidP="00C907EC">
            <w:pPr>
              <w:jc w:val="right"/>
              <w:rPr>
                <w:rFonts w:ascii="Georgia" w:hAnsi="Georgia" w:cs="Arial"/>
                <w:b/>
                <w:bCs/>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Number of</w:t>
            </w:r>
          </w:p>
          <w:p w14:paraId="3FC4BD97" w14:textId="77777777" w:rsidR="00C907EC" w:rsidRPr="00C70411" w:rsidRDefault="00C907EC" w:rsidP="00C907EC">
            <w:pPr>
              <w:jc w:val="right"/>
              <w:rPr>
                <w:rFonts w:ascii="Georgia" w:hAnsi="Georgia" w:cs="Arial"/>
                <w:b/>
                <w:color w:val="404040" w:themeColor="text1" w:themeTint="BF"/>
                <w:sz w:val="20"/>
                <w:szCs w:val="20"/>
                <w:lang w:eastAsia="en-GB"/>
              </w:rPr>
            </w:pPr>
            <w:r w:rsidRPr="00E42A95">
              <w:rPr>
                <w:rFonts w:ascii="Georgia" w:hAnsi="Georgia" w:cs="Arial"/>
                <w:b/>
                <w:bCs/>
                <w:color w:val="404040" w:themeColor="text1" w:themeTint="BF"/>
                <w:sz w:val="20"/>
                <w:szCs w:val="20"/>
                <w:lang w:eastAsia="en-GB"/>
              </w:rPr>
              <w:t>Ordinary Shares</w:t>
            </w:r>
          </w:p>
        </w:tc>
      </w:tr>
      <w:tr w:rsidR="008844EA" w:rsidRPr="00C70411" w14:paraId="3C2D0849" w14:textId="77777777" w:rsidTr="008844EA">
        <w:trPr>
          <w:trHeight w:val="255"/>
        </w:trPr>
        <w:tc>
          <w:tcPr>
            <w:tcW w:w="1513" w:type="pct"/>
            <w:tcBorders>
              <w:top w:val="nil"/>
              <w:left w:val="nil"/>
              <w:bottom w:val="nil"/>
              <w:right w:val="nil"/>
            </w:tcBorders>
            <w:shd w:val="clear" w:color="auto" w:fill="auto"/>
            <w:noWrap/>
            <w:vAlign w:val="bottom"/>
            <w:hideMark/>
          </w:tcPr>
          <w:p w14:paraId="0CDDCFB9" w14:textId="02340E13" w:rsidR="008844EA" w:rsidRPr="00C70411" w:rsidRDefault="008844EA" w:rsidP="008844EA">
            <w:pPr>
              <w:rPr>
                <w:rFonts w:ascii="Georgia" w:hAnsi="Georgia" w:cs="Arial"/>
                <w:color w:val="404040" w:themeColor="text1" w:themeTint="BF"/>
                <w:sz w:val="20"/>
                <w:szCs w:val="20"/>
                <w:lang w:eastAsia="en-GB"/>
              </w:rPr>
            </w:pPr>
            <w:r w:rsidRPr="00C70411">
              <w:rPr>
                <w:rFonts w:ascii="Georgia" w:hAnsi="Georgia" w:cs="Arial"/>
                <w:color w:val="404040" w:themeColor="text1" w:themeTint="BF"/>
                <w:sz w:val="20"/>
                <w:szCs w:val="20"/>
                <w:lang w:eastAsia="en-GB"/>
              </w:rPr>
              <w:t>John Rennocks</w:t>
            </w:r>
            <w:r>
              <w:rPr>
                <w:rFonts w:ascii="Georgia" w:hAnsi="Georgia" w:cs="Arial"/>
                <w:color w:val="404040" w:themeColor="text1" w:themeTint="BF"/>
                <w:sz w:val="20"/>
                <w:szCs w:val="20"/>
                <w:lang w:eastAsia="en-GB"/>
              </w:rPr>
              <w:t>*</w:t>
            </w:r>
          </w:p>
        </w:tc>
        <w:tc>
          <w:tcPr>
            <w:tcW w:w="1154" w:type="pct"/>
            <w:tcBorders>
              <w:top w:val="nil"/>
              <w:left w:val="nil"/>
              <w:bottom w:val="nil"/>
              <w:right w:val="nil"/>
            </w:tcBorders>
            <w:shd w:val="clear" w:color="auto" w:fill="auto"/>
            <w:noWrap/>
            <w:vAlign w:val="bottom"/>
            <w:hideMark/>
          </w:tcPr>
          <w:p w14:paraId="34769C16" w14:textId="77777777" w:rsidR="008844EA" w:rsidRPr="00C70411" w:rsidRDefault="008844EA" w:rsidP="008844EA">
            <w:pPr>
              <w:rPr>
                <w:rFonts w:ascii="Georgia" w:hAnsi="Georgia" w:cs="Arial"/>
                <w:color w:val="404040" w:themeColor="text1" w:themeTint="BF"/>
                <w:sz w:val="20"/>
                <w:szCs w:val="20"/>
                <w:lang w:eastAsia="en-GB"/>
              </w:rPr>
            </w:pPr>
          </w:p>
        </w:tc>
        <w:tc>
          <w:tcPr>
            <w:tcW w:w="1150" w:type="pct"/>
            <w:tcBorders>
              <w:top w:val="nil"/>
              <w:left w:val="nil"/>
              <w:bottom w:val="nil"/>
              <w:right w:val="nil"/>
            </w:tcBorders>
            <w:shd w:val="clear" w:color="auto" w:fill="auto"/>
            <w:noWrap/>
            <w:vAlign w:val="center"/>
          </w:tcPr>
          <w:p w14:paraId="454ED474" w14:textId="072950D2" w:rsidR="008844EA" w:rsidRPr="00A52B04" w:rsidRDefault="008844EA" w:rsidP="008844EA">
            <w:pPr>
              <w:jc w:val="right"/>
              <w:rPr>
                <w:rFonts w:ascii="Georgia" w:hAnsi="Georgia" w:cs="Arial"/>
                <w:color w:val="404040" w:themeColor="text1" w:themeTint="BF"/>
                <w:sz w:val="20"/>
                <w:szCs w:val="20"/>
                <w:lang w:eastAsia="en-GB"/>
              </w:rPr>
            </w:pPr>
            <w:r w:rsidRPr="00A52B04">
              <w:rPr>
                <w:rFonts w:ascii="Georgia" w:hAnsi="Georgia" w:cs="Arial"/>
                <w:color w:val="404040"/>
                <w:sz w:val="20"/>
                <w:szCs w:val="20"/>
              </w:rPr>
              <w:t xml:space="preserve">316,011 </w:t>
            </w:r>
          </w:p>
        </w:tc>
        <w:tc>
          <w:tcPr>
            <w:tcW w:w="1183" w:type="pct"/>
            <w:tcBorders>
              <w:top w:val="nil"/>
              <w:left w:val="nil"/>
              <w:bottom w:val="nil"/>
              <w:right w:val="nil"/>
            </w:tcBorders>
            <w:shd w:val="clear" w:color="auto" w:fill="auto"/>
            <w:noWrap/>
            <w:vAlign w:val="center"/>
            <w:hideMark/>
          </w:tcPr>
          <w:p w14:paraId="7C394585" w14:textId="542C5446" w:rsidR="008844EA" w:rsidRPr="00C70411" w:rsidRDefault="008844EA" w:rsidP="008844EA">
            <w:pPr>
              <w:jc w:val="right"/>
              <w:rPr>
                <w:rFonts w:ascii="Georgia" w:hAnsi="Georgia" w:cs="Arial"/>
                <w:color w:val="404040" w:themeColor="text1" w:themeTint="BF"/>
                <w:sz w:val="20"/>
                <w:szCs w:val="20"/>
                <w:lang w:eastAsia="en-GB"/>
              </w:rPr>
            </w:pPr>
            <w:r w:rsidRPr="001D02E8">
              <w:rPr>
                <w:rFonts w:ascii="Georgia" w:hAnsi="Georgia" w:cs="Arial"/>
                <w:color w:val="404040"/>
                <w:sz w:val="20"/>
                <w:szCs w:val="20"/>
              </w:rPr>
              <w:t xml:space="preserve">316,011 </w:t>
            </w:r>
          </w:p>
        </w:tc>
      </w:tr>
      <w:tr w:rsidR="008844EA" w:rsidRPr="00C70411" w14:paraId="0B0DC0E3" w14:textId="77777777" w:rsidTr="008844EA">
        <w:trPr>
          <w:trHeight w:val="255"/>
        </w:trPr>
        <w:tc>
          <w:tcPr>
            <w:tcW w:w="1513" w:type="pct"/>
            <w:tcBorders>
              <w:top w:val="nil"/>
              <w:left w:val="nil"/>
              <w:bottom w:val="nil"/>
              <w:right w:val="nil"/>
            </w:tcBorders>
            <w:shd w:val="clear" w:color="auto" w:fill="auto"/>
            <w:noWrap/>
            <w:vAlign w:val="bottom"/>
          </w:tcPr>
          <w:p w14:paraId="46912603" w14:textId="544F69A4" w:rsidR="008844EA" w:rsidRPr="00C70411" w:rsidRDefault="008844EA" w:rsidP="008844EA">
            <w:pPr>
              <w:rPr>
                <w:rFonts w:ascii="Georgia" w:hAnsi="Georgia" w:cs="Arial"/>
                <w:color w:val="404040" w:themeColor="text1" w:themeTint="BF"/>
                <w:sz w:val="20"/>
                <w:szCs w:val="20"/>
                <w:lang w:eastAsia="en-GB"/>
              </w:rPr>
            </w:pPr>
            <w:r w:rsidRPr="00C70411">
              <w:rPr>
                <w:rFonts w:ascii="Georgia" w:hAnsi="Georgia" w:cs="Arial"/>
                <w:color w:val="404040" w:themeColor="text1" w:themeTint="BF"/>
                <w:sz w:val="20"/>
                <w:szCs w:val="20"/>
                <w:lang w:eastAsia="en-GB"/>
              </w:rPr>
              <w:t>John Scott</w:t>
            </w:r>
            <w:r>
              <w:rPr>
                <w:rFonts w:ascii="Georgia" w:hAnsi="Georgia" w:cs="Arial"/>
                <w:color w:val="404040" w:themeColor="text1" w:themeTint="BF"/>
                <w:sz w:val="20"/>
                <w:szCs w:val="20"/>
                <w:lang w:eastAsia="en-GB"/>
              </w:rPr>
              <w:t>*</w:t>
            </w:r>
          </w:p>
        </w:tc>
        <w:tc>
          <w:tcPr>
            <w:tcW w:w="1154" w:type="pct"/>
            <w:tcBorders>
              <w:top w:val="nil"/>
              <w:left w:val="nil"/>
              <w:bottom w:val="nil"/>
              <w:right w:val="nil"/>
            </w:tcBorders>
            <w:shd w:val="clear" w:color="auto" w:fill="auto"/>
            <w:noWrap/>
            <w:vAlign w:val="bottom"/>
          </w:tcPr>
          <w:p w14:paraId="496C2C2A" w14:textId="77777777" w:rsidR="008844EA" w:rsidRPr="00C70411" w:rsidRDefault="008844EA" w:rsidP="008844EA">
            <w:pPr>
              <w:rPr>
                <w:rFonts w:ascii="Georgia" w:hAnsi="Georgia" w:cs="Arial"/>
                <w:color w:val="404040" w:themeColor="text1" w:themeTint="BF"/>
                <w:sz w:val="20"/>
                <w:szCs w:val="20"/>
                <w:lang w:eastAsia="en-GB"/>
              </w:rPr>
            </w:pPr>
          </w:p>
        </w:tc>
        <w:tc>
          <w:tcPr>
            <w:tcW w:w="1150" w:type="pct"/>
            <w:tcBorders>
              <w:top w:val="nil"/>
              <w:left w:val="nil"/>
              <w:bottom w:val="nil"/>
              <w:right w:val="nil"/>
            </w:tcBorders>
            <w:shd w:val="clear" w:color="auto" w:fill="auto"/>
            <w:noWrap/>
            <w:vAlign w:val="bottom"/>
          </w:tcPr>
          <w:p w14:paraId="55E71063" w14:textId="7A046DF2" w:rsidR="008844EA" w:rsidRPr="00A52B04" w:rsidRDefault="00A52B04" w:rsidP="008844EA">
            <w:pPr>
              <w:jc w:val="right"/>
              <w:rPr>
                <w:rFonts w:ascii="Georgia" w:hAnsi="Georgia" w:cs="Arial"/>
                <w:color w:val="404040" w:themeColor="text1" w:themeTint="BF"/>
                <w:sz w:val="20"/>
                <w:szCs w:val="20"/>
                <w:lang w:eastAsia="en-GB"/>
              </w:rPr>
            </w:pPr>
            <w:r w:rsidRPr="00A52B04">
              <w:rPr>
                <w:rFonts w:ascii="Georgia" w:hAnsi="Georgia" w:cs="Arial"/>
                <w:color w:val="404040" w:themeColor="text1" w:themeTint="BF"/>
                <w:sz w:val="20"/>
                <w:szCs w:val="20"/>
                <w:lang w:eastAsia="en-GB"/>
              </w:rPr>
              <w:t>512</w:t>
            </w:r>
            <w:r w:rsidR="008844EA" w:rsidRPr="00A52B04">
              <w:rPr>
                <w:rFonts w:ascii="Georgia" w:hAnsi="Georgia" w:cs="Arial"/>
                <w:color w:val="404040" w:themeColor="text1" w:themeTint="BF"/>
                <w:sz w:val="20"/>
                <w:szCs w:val="20"/>
                <w:lang w:eastAsia="en-GB"/>
              </w:rPr>
              <w:t>,436</w:t>
            </w:r>
          </w:p>
        </w:tc>
        <w:tc>
          <w:tcPr>
            <w:tcW w:w="1183" w:type="pct"/>
            <w:tcBorders>
              <w:top w:val="nil"/>
              <w:left w:val="nil"/>
              <w:bottom w:val="nil"/>
              <w:right w:val="nil"/>
            </w:tcBorders>
            <w:shd w:val="clear" w:color="auto" w:fill="auto"/>
            <w:noWrap/>
            <w:vAlign w:val="bottom"/>
          </w:tcPr>
          <w:p w14:paraId="1C6C8A99" w14:textId="67282DE8" w:rsidR="008844EA" w:rsidRDefault="008844EA" w:rsidP="008844EA">
            <w:pPr>
              <w:jc w:val="right"/>
              <w:rPr>
                <w:rFonts w:ascii="Georgia" w:hAnsi="Georgia" w:cs="Arial"/>
                <w:color w:val="404040" w:themeColor="text1" w:themeTint="BF"/>
                <w:sz w:val="20"/>
                <w:szCs w:val="20"/>
                <w:lang w:eastAsia="en-GB"/>
              </w:rPr>
            </w:pPr>
            <w:r w:rsidRPr="001D02E8">
              <w:rPr>
                <w:rFonts w:ascii="Georgia" w:hAnsi="Georgia" w:cs="Arial"/>
                <w:color w:val="404040" w:themeColor="text1" w:themeTint="BF"/>
                <w:sz w:val="20"/>
                <w:szCs w:val="20"/>
                <w:lang w:eastAsia="en-GB"/>
              </w:rPr>
              <w:t>452,436</w:t>
            </w:r>
          </w:p>
        </w:tc>
      </w:tr>
      <w:tr w:rsidR="008844EA" w:rsidRPr="00C70411" w14:paraId="23A3F566" w14:textId="050A323E" w:rsidTr="00BE6700">
        <w:trPr>
          <w:trHeight w:val="255"/>
        </w:trPr>
        <w:tc>
          <w:tcPr>
            <w:tcW w:w="2667" w:type="pct"/>
            <w:gridSpan w:val="2"/>
            <w:tcBorders>
              <w:top w:val="nil"/>
              <w:left w:val="nil"/>
              <w:bottom w:val="nil"/>
              <w:right w:val="nil"/>
            </w:tcBorders>
            <w:shd w:val="clear" w:color="auto" w:fill="auto"/>
            <w:noWrap/>
            <w:vAlign w:val="bottom"/>
            <w:hideMark/>
          </w:tcPr>
          <w:p w14:paraId="06AF5F34" w14:textId="77777777" w:rsidR="008844EA" w:rsidRPr="00C70411" w:rsidRDefault="008844EA" w:rsidP="008844EA">
            <w:pPr>
              <w:rPr>
                <w:rFonts w:ascii="Georgia" w:hAnsi="Georgia" w:cs="Arial"/>
                <w:color w:val="404040" w:themeColor="text1" w:themeTint="BF"/>
                <w:sz w:val="20"/>
                <w:szCs w:val="20"/>
                <w:lang w:eastAsia="en-GB"/>
              </w:rPr>
            </w:pPr>
            <w:r w:rsidRPr="00C70411">
              <w:rPr>
                <w:rFonts w:ascii="Georgia" w:hAnsi="Georgia" w:cs="Arial"/>
                <w:color w:val="404040" w:themeColor="text1" w:themeTint="BF"/>
                <w:sz w:val="20"/>
                <w:szCs w:val="20"/>
                <w:lang w:eastAsia="en-GB"/>
              </w:rPr>
              <w:t>Laurence McNairn</w:t>
            </w:r>
          </w:p>
        </w:tc>
        <w:tc>
          <w:tcPr>
            <w:tcW w:w="1150" w:type="pct"/>
            <w:tcBorders>
              <w:top w:val="nil"/>
              <w:left w:val="nil"/>
              <w:bottom w:val="nil"/>
              <w:right w:val="nil"/>
            </w:tcBorders>
            <w:shd w:val="clear" w:color="auto" w:fill="auto"/>
            <w:noWrap/>
            <w:vAlign w:val="bottom"/>
          </w:tcPr>
          <w:p w14:paraId="10E3FED2" w14:textId="359DEC1B" w:rsidR="008844EA" w:rsidRPr="00A52B04" w:rsidRDefault="008844EA" w:rsidP="008844EA">
            <w:pPr>
              <w:jc w:val="right"/>
              <w:rPr>
                <w:rFonts w:ascii="Georgia" w:hAnsi="Georgia" w:cs="Arial"/>
                <w:color w:val="404040" w:themeColor="text1" w:themeTint="BF"/>
                <w:sz w:val="20"/>
                <w:szCs w:val="20"/>
              </w:rPr>
            </w:pPr>
            <w:r w:rsidRPr="00A52B04">
              <w:rPr>
                <w:rFonts w:ascii="Georgia" w:hAnsi="Georgia" w:cs="Arial"/>
                <w:color w:val="404040" w:themeColor="text1" w:themeTint="BF"/>
                <w:sz w:val="20"/>
                <w:szCs w:val="20"/>
              </w:rPr>
              <w:t xml:space="preserve">441,764 </w:t>
            </w:r>
          </w:p>
        </w:tc>
        <w:tc>
          <w:tcPr>
            <w:tcW w:w="1183" w:type="pct"/>
            <w:tcBorders>
              <w:top w:val="nil"/>
              <w:left w:val="nil"/>
              <w:bottom w:val="nil"/>
              <w:right w:val="nil"/>
            </w:tcBorders>
            <w:shd w:val="clear" w:color="auto" w:fill="auto"/>
            <w:noWrap/>
            <w:vAlign w:val="bottom"/>
            <w:hideMark/>
          </w:tcPr>
          <w:p w14:paraId="15B38938" w14:textId="0C47482B" w:rsidR="008844EA" w:rsidRPr="00C70411" w:rsidRDefault="008844EA" w:rsidP="008844EA">
            <w:pPr>
              <w:jc w:val="right"/>
              <w:rPr>
                <w:rFonts w:ascii="Georgia" w:hAnsi="Georgia" w:cs="Arial"/>
                <w:color w:val="404040" w:themeColor="text1" w:themeTint="BF"/>
                <w:sz w:val="20"/>
                <w:szCs w:val="20"/>
                <w:lang w:eastAsia="en-GB"/>
              </w:rPr>
            </w:pPr>
            <w:r>
              <w:rPr>
                <w:rFonts w:ascii="Georgia" w:hAnsi="Georgia" w:cs="Arial"/>
                <w:color w:val="404040" w:themeColor="text1" w:themeTint="BF"/>
                <w:sz w:val="20"/>
                <w:szCs w:val="20"/>
              </w:rPr>
              <w:t>441,764</w:t>
            </w:r>
            <w:r w:rsidRPr="00C70411">
              <w:rPr>
                <w:rFonts w:ascii="Georgia" w:hAnsi="Georgia" w:cs="Arial"/>
                <w:color w:val="404040" w:themeColor="text1" w:themeTint="BF"/>
                <w:sz w:val="20"/>
                <w:szCs w:val="20"/>
              </w:rPr>
              <w:t xml:space="preserve"> </w:t>
            </w:r>
          </w:p>
        </w:tc>
      </w:tr>
      <w:tr w:rsidR="002836EA" w:rsidRPr="00C70411" w14:paraId="13A209EF" w14:textId="77777777" w:rsidTr="00BE6700">
        <w:trPr>
          <w:trHeight w:val="255"/>
        </w:trPr>
        <w:tc>
          <w:tcPr>
            <w:tcW w:w="2667" w:type="pct"/>
            <w:gridSpan w:val="2"/>
            <w:tcBorders>
              <w:top w:val="nil"/>
              <w:left w:val="nil"/>
              <w:bottom w:val="nil"/>
              <w:right w:val="nil"/>
            </w:tcBorders>
            <w:shd w:val="clear" w:color="auto" w:fill="auto"/>
            <w:noWrap/>
            <w:vAlign w:val="bottom"/>
          </w:tcPr>
          <w:p w14:paraId="56FB441A" w14:textId="01014401" w:rsidR="002836EA" w:rsidRPr="00C70411" w:rsidRDefault="002836EA" w:rsidP="002836EA">
            <w:pPr>
              <w:rPr>
                <w:rFonts w:ascii="Georgia" w:hAnsi="Georgia" w:cs="Arial"/>
                <w:color w:val="404040" w:themeColor="text1" w:themeTint="BF"/>
                <w:sz w:val="20"/>
                <w:szCs w:val="20"/>
                <w:lang w:eastAsia="en-GB"/>
              </w:rPr>
            </w:pPr>
            <w:r w:rsidRPr="00C70411">
              <w:rPr>
                <w:rFonts w:ascii="Georgia" w:hAnsi="Georgia" w:cs="Arial"/>
                <w:color w:val="404040" w:themeColor="text1" w:themeTint="BF"/>
                <w:sz w:val="20"/>
                <w:szCs w:val="20"/>
                <w:lang w:eastAsia="en-GB"/>
              </w:rPr>
              <w:t>Paul Le Page</w:t>
            </w:r>
          </w:p>
        </w:tc>
        <w:tc>
          <w:tcPr>
            <w:tcW w:w="1150" w:type="pct"/>
            <w:tcBorders>
              <w:top w:val="nil"/>
              <w:left w:val="nil"/>
              <w:bottom w:val="nil"/>
              <w:right w:val="nil"/>
            </w:tcBorders>
            <w:shd w:val="clear" w:color="auto" w:fill="auto"/>
            <w:noWrap/>
            <w:vAlign w:val="bottom"/>
          </w:tcPr>
          <w:p w14:paraId="00707FCD" w14:textId="289A957C" w:rsidR="002836EA" w:rsidRPr="00A52B04" w:rsidRDefault="002836EA" w:rsidP="002836EA">
            <w:pPr>
              <w:jc w:val="right"/>
              <w:rPr>
                <w:rFonts w:ascii="Georgia" w:hAnsi="Georgia" w:cs="Arial"/>
                <w:color w:val="404040" w:themeColor="text1" w:themeTint="BF"/>
                <w:sz w:val="20"/>
                <w:szCs w:val="20"/>
              </w:rPr>
            </w:pPr>
            <w:r w:rsidRPr="00A52B04">
              <w:rPr>
                <w:rFonts w:ascii="Georgia" w:hAnsi="Georgia" w:cs="Arial"/>
                <w:color w:val="404040" w:themeColor="text1" w:themeTint="BF"/>
                <w:sz w:val="20"/>
                <w:szCs w:val="20"/>
                <w:lang w:eastAsia="en-GB"/>
              </w:rPr>
              <w:t>70,000</w:t>
            </w:r>
          </w:p>
        </w:tc>
        <w:tc>
          <w:tcPr>
            <w:tcW w:w="1183" w:type="pct"/>
            <w:tcBorders>
              <w:top w:val="nil"/>
              <w:left w:val="nil"/>
              <w:bottom w:val="nil"/>
              <w:right w:val="nil"/>
            </w:tcBorders>
            <w:shd w:val="clear" w:color="auto" w:fill="auto"/>
            <w:noWrap/>
            <w:vAlign w:val="bottom"/>
          </w:tcPr>
          <w:p w14:paraId="76E39397" w14:textId="4D657596" w:rsidR="002836EA" w:rsidRDefault="002836EA" w:rsidP="002836EA">
            <w:pPr>
              <w:jc w:val="right"/>
              <w:rPr>
                <w:rFonts w:ascii="Georgia" w:hAnsi="Georgia" w:cs="Arial"/>
                <w:color w:val="404040" w:themeColor="text1" w:themeTint="BF"/>
                <w:sz w:val="20"/>
                <w:szCs w:val="20"/>
              </w:rPr>
            </w:pPr>
            <w:r w:rsidRPr="001D02E8">
              <w:rPr>
                <w:rFonts w:ascii="Georgia" w:hAnsi="Georgia" w:cs="Arial"/>
                <w:color w:val="404040" w:themeColor="text1" w:themeTint="BF"/>
                <w:sz w:val="20"/>
                <w:szCs w:val="20"/>
                <w:lang w:eastAsia="en-GB"/>
              </w:rPr>
              <w:t>70,000</w:t>
            </w:r>
          </w:p>
        </w:tc>
      </w:tr>
      <w:tr w:rsidR="002836EA" w:rsidRPr="00C70411" w14:paraId="3137D759" w14:textId="77777777" w:rsidTr="00BE6700">
        <w:trPr>
          <w:trHeight w:val="255"/>
        </w:trPr>
        <w:tc>
          <w:tcPr>
            <w:tcW w:w="2667" w:type="pct"/>
            <w:gridSpan w:val="2"/>
            <w:tcBorders>
              <w:top w:val="nil"/>
              <w:left w:val="nil"/>
              <w:bottom w:val="nil"/>
              <w:right w:val="nil"/>
            </w:tcBorders>
            <w:shd w:val="clear" w:color="auto" w:fill="auto"/>
            <w:noWrap/>
            <w:vAlign w:val="bottom"/>
          </w:tcPr>
          <w:p w14:paraId="7AE39FF6" w14:textId="1FC3AA12" w:rsidR="002836EA" w:rsidRPr="00C70411" w:rsidRDefault="002836EA" w:rsidP="002836EA">
            <w:pPr>
              <w:rPr>
                <w:rFonts w:ascii="Georgia" w:hAnsi="Georgia" w:cs="Arial"/>
                <w:color w:val="404040" w:themeColor="text1" w:themeTint="BF"/>
                <w:sz w:val="20"/>
                <w:szCs w:val="20"/>
                <w:lang w:eastAsia="en-GB"/>
              </w:rPr>
            </w:pPr>
            <w:r>
              <w:rPr>
                <w:rFonts w:ascii="Georgia" w:hAnsi="Georgia" w:cs="Arial"/>
                <w:color w:val="404040" w:themeColor="text1" w:themeTint="BF"/>
                <w:sz w:val="20"/>
                <w:szCs w:val="20"/>
                <w:lang w:eastAsia="en-GB"/>
              </w:rPr>
              <w:t>Meriel Lenfestey</w:t>
            </w:r>
          </w:p>
        </w:tc>
        <w:tc>
          <w:tcPr>
            <w:tcW w:w="1150" w:type="pct"/>
            <w:tcBorders>
              <w:top w:val="nil"/>
              <w:left w:val="nil"/>
              <w:bottom w:val="nil"/>
              <w:right w:val="nil"/>
            </w:tcBorders>
            <w:shd w:val="clear" w:color="auto" w:fill="auto"/>
            <w:noWrap/>
            <w:vAlign w:val="bottom"/>
          </w:tcPr>
          <w:p w14:paraId="097C9F39" w14:textId="325C7EB3" w:rsidR="002836EA" w:rsidRPr="00A52B04" w:rsidRDefault="002836EA" w:rsidP="002836EA">
            <w:pPr>
              <w:jc w:val="right"/>
              <w:rPr>
                <w:rFonts w:ascii="Georgia" w:hAnsi="Georgia" w:cs="Arial"/>
                <w:color w:val="404040" w:themeColor="text1" w:themeTint="BF"/>
                <w:sz w:val="20"/>
                <w:szCs w:val="20"/>
              </w:rPr>
            </w:pPr>
            <w:r w:rsidRPr="00A52B04">
              <w:rPr>
                <w:rFonts w:ascii="Georgia" w:hAnsi="Georgia" w:cs="Arial"/>
                <w:color w:val="404040" w:themeColor="text1" w:themeTint="BF"/>
                <w:sz w:val="20"/>
                <w:szCs w:val="20"/>
              </w:rPr>
              <w:t>-</w:t>
            </w:r>
          </w:p>
        </w:tc>
        <w:tc>
          <w:tcPr>
            <w:tcW w:w="1183" w:type="pct"/>
            <w:tcBorders>
              <w:top w:val="nil"/>
              <w:left w:val="nil"/>
              <w:bottom w:val="nil"/>
              <w:right w:val="nil"/>
            </w:tcBorders>
            <w:shd w:val="clear" w:color="auto" w:fill="auto"/>
            <w:noWrap/>
            <w:vAlign w:val="bottom"/>
          </w:tcPr>
          <w:p w14:paraId="0CF5151E" w14:textId="4E6FB024" w:rsidR="002836EA" w:rsidRDefault="002836EA" w:rsidP="002836EA">
            <w:pPr>
              <w:jc w:val="right"/>
              <w:rPr>
                <w:rFonts w:ascii="Georgia" w:hAnsi="Georgia" w:cs="Arial"/>
                <w:color w:val="404040" w:themeColor="text1" w:themeTint="BF"/>
                <w:sz w:val="20"/>
                <w:szCs w:val="20"/>
              </w:rPr>
            </w:pPr>
            <w:r w:rsidRPr="001D02E8">
              <w:rPr>
                <w:rFonts w:ascii="Georgia" w:hAnsi="Georgia" w:cs="Arial"/>
                <w:color w:val="404040" w:themeColor="text1" w:themeTint="BF"/>
                <w:sz w:val="20"/>
                <w:szCs w:val="20"/>
              </w:rPr>
              <w:t>-</w:t>
            </w:r>
          </w:p>
        </w:tc>
      </w:tr>
      <w:tr w:rsidR="002836EA" w:rsidRPr="00C211FC" w14:paraId="79EE3CFB" w14:textId="77777777" w:rsidTr="008844EA">
        <w:trPr>
          <w:trHeight w:val="270"/>
        </w:trPr>
        <w:tc>
          <w:tcPr>
            <w:tcW w:w="1513" w:type="pct"/>
            <w:tcBorders>
              <w:top w:val="nil"/>
              <w:left w:val="nil"/>
              <w:bottom w:val="nil"/>
              <w:right w:val="nil"/>
            </w:tcBorders>
            <w:shd w:val="clear" w:color="auto" w:fill="auto"/>
            <w:noWrap/>
            <w:vAlign w:val="bottom"/>
            <w:hideMark/>
          </w:tcPr>
          <w:p w14:paraId="0DEE6B6B" w14:textId="77777777" w:rsidR="002836EA" w:rsidRPr="00C70411" w:rsidRDefault="002836EA" w:rsidP="002836EA">
            <w:pPr>
              <w:rPr>
                <w:rFonts w:ascii="Georgia" w:hAnsi="Georgia" w:cs="Arial"/>
                <w:color w:val="404040" w:themeColor="text1" w:themeTint="BF"/>
                <w:sz w:val="20"/>
                <w:szCs w:val="20"/>
                <w:lang w:eastAsia="en-GB"/>
              </w:rPr>
            </w:pPr>
          </w:p>
        </w:tc>
        <w:tc>
          <w:tcPr>
            <w:tcW w:w="1154" w:type="pct"/>
            <w:tcBorders>
              <w:top w:val="nil"/>
              <w:left w:val="nil"/>
              <w:bottom w:val="nil"/>
              <w:right w:val="nil"/>
            </w:tcBorders>
            <w:shd w:val="clear" w:color="auto" w:fill="auto"/>
            <w:noWrap/>
            <w:vAlign w:val="bottom"/>
            <w:hideMark/>
          </w:tcPr>
          <w:p w14:paraId="0E9BA76A" w14:textId="77777777" w:rsidR="002836EA" w:rsidRPr="00C70411" w:rsidRDefault="002836EA" w:rsidP="002836EA">
            <w:pPr>
              <w:rPr>
                <w:rFonts w:ascii="Georgia" w:hAnsi="Georgia" w:cs="Arial"/>
                <w:color w:val="404040" w:themeColor="text1" w:themeTint="BF"/>
                <w:sz w:val="20"/>
                <w:szCs w:val="20"/>
                <w:lang w:eastAsia="en-GB"/>
              </w:rPr>
            </w:pPr>
          </w:p>
        </w:tc>
        <w:tc>
          <w:tcPr>
            <w:tcW w:w="1150" w:type="pct"/>
            <w:tcBorders>
              <w:top w:val="single" w:sz="4" w:space="0" w:color="auto"/>
              <w:left w:val="nil"/>
              <w:bottom w:val="double" w:sz="4" w:space="0" w:color="auto"/>
              <w:right w:val="nil"/>
            </w:tcBorders>
            <w:shd w:val="clear" w:color="auto" w:fill="auto"/>
            <w:noWrap/>
            <w:vAlign w:val="center"/>
          </w:tcPr>
          <w:p w14:paraId="04724230" w14:textId="30EE1EA6" w:rsidR="002836EA" w:rsidRPr="00A52B04" w:rsidRDefault="00A52B04" w:rsidP="002836EA">
            <w:pPr>
              <w:jc w:val="right"/>
              <w:rPr>
                <w:rFonts w:ascii="Georgia" w:hAnsi="Georgia" w:cs="Arial"/>
                <w:b/>
                <w:color w:val="404040" w:themeColor="text1" w:themeTint="BF"/>
                <w:sz w:val="20"/>
                <w:szCs w:val="20"/>
                <w:lang w:eastAsia="en-GB"/>
              </w:rPr>
            </w:pPr>
            <w:r w:rsidRPr="00A52B04">
              <w:rPr>
                <w:rFonts w:ascii="Georgia" w:hAnsi="Georgia" w:cs="Arial"/>
                <w:b/>
                <w:color w:val="404040" w:themeColor="text1" w:themeTint="BF"/>
                <w:sz w:val="20"/>
                <w:szCs w:val="20"/>
                <w:lang w:eastAsia="en-GB"/>
              </w:rPr>
              <w:t>1,34</w:t>
            </w:r>
            <w:r w:rsidR="002836EA" w:rsidRPr="00A52B04">
              <w:rPr>
                <w:rFonts w:ascii="Georgia" w:hAnsi="Georgia" w:cs="Arial"/>
                <w:b/>
                <w:color w:val="404040" w:themeColor="text1" w:themeTint="BF"/>
                <w:sz w:val="20"/>
                <w:szCs w:val="20"/>
                <w:lang w:eastAsia="en-GB"/>
              </w:rPr>
              <w:t>0,211</w:t>
            </w:r>
          </w:p>
        </w:tc>
        <w:tc>
          <w:tcPr>
            <w:tcW w:w="1183" w:type="pct"/>
            <w:tcBorders>
              <w:top w:val="single" w:sz="4" w:space="0" w:color="auto"/>
              <w:left w:val="nil"/>
              <w:bottom w:val="double" w:sz="4" w:space="0" w:color="auto"/>
              <w:right w:val="nil"/>
            </w:tcBorders>
            <w:shd w:val="clear" w:color="auto" w:fill="auto"/>
            <w:noWrap/>
            <w:vAlign w:val="center"/>
            <w:hideMark/>
          </w:tcPr>
          <w:p w14:paraId="2E61D327" w14:textId="4C533B5C" w:rsidR="002836EA" w:rsidRPr="006331FF" w:rsidRDefault="002836EA" w:rsidP="002836EA">
            <w:pPr>
              <w:jc w:val="right"/>
              <w:rPr>
                <w:rFonts w:ascii="Georgia" w:hAnsi="Georgia" w:cs="Arial"/>
                <w:b/>
                <w:bCs/>
                <w:color w:val="404040" w:themeColor="text1" w:themeTint="BF"/>
                <w:sz w:val="20"/>
                <w:szCs w:val="20"/>
                <w:lang w:eastAsia="en-GB"/>
              </w:rPr>
            </w:pPr>
            <w:r w:rsidRPr="001D02E8">
              <w:rPr>
                <w:rFonts w:ascii="Georgia" w:hAnsi="Georgia" w:cs="Arial"/>
                <w:b/>
                <w:color w:val="404040" w:themeColor="text1" w:themeTint="BF"/>
                <w:sz w:val="20"/>
                <w:szCs w:val="20"/>
                <w:lang w:eastAsia="en-GB"/>
              </w:rPr>
              <w:t>1,280,211</w:t>
            </w:r>
          </w:p>
        </w:tc>
      </w:tr>
    </w:tbl>
    <w:p w14:paraId="43A663C4" w14:textId="77777777" w:rsidR="00C907EC" w:rsidRDefault="00C907EC" w:rsidP="00E42A95">
      <w:pPr>
        <w:pStyle w:val="BluefieldBody"/>
      </w:pPr>
    </w:p>
    <w:p w14:paraId="37F26008" w14:textId="52260B3B" w:rsidR="001726A4" w:rsidRDefault="00A67EB4" w:rsidP="000F51FA">
      <w:pPr>
        <w:pStyle w:val="body"/>
      </w:pPr>
      <w:r>
        <w:tab/>
      </w:r>
      <w:r>
        <w:tab/>
        <w:t xml:space="preserve">*Including shares held by </w:t>
      </w:r>
      <w:r w:rsidR="006A0063">
        <w:t>PCAs</w:t>
      </w:r>
    </w:p>
    <w:p w14:paraId="614E3656" w14:textId="685AD969" w:rsidR="000F51FA" w:rsidRPr="007022BF" w:rsidRDefault="000F51FA" w:rsidP="000F51FA">
      <w:pPr>
        <w:pStyle w:val="body"/>
      </w:pPr>
      <w:r w:rsidRPr="007022BF">
        <w:t xml:space="preserve">                                                                                                                        </w:t>
      </w:r>
    </w:p>
    <w:p w14:paraId="13BFC183" w14:textId="77777777" w:rsidR="001B1447" w:rsidRDefault="001B1447" w:rsidP="00E42A95">
      <w:pPr>
        <w:pStyle w:val="BluefieldBody"/>
        <w:rPr>
          <w:b/>
          <w:lang w:eastAsia="en-GB"/>
        </w:rPr>
      </w:pPr>
    </w:p>
    <w:p w14:paraId="5559DAE0" w14:textId="77777777" w:rsidR="001B1447" w:rsidRDefault="001B1447" w:rsidP="00E42A95">
      <w:pPr>
        <w:pStyle w:val="BluefieldBody"/>
        <w:rPr>
          <w:b/>
          <w:lang w:eastAsia="en-GB"/>
        </w:rPr>
      </w:pPr>
    </w:p>
    <w:p w14:paraId="259C2DDD" w14:textId="61304207" w:rsidR="001B1447" w:rsidRDefault="001B1447" w:rsidP="00E42A95">
      <w:pPr>
        <w:pStyle w:val="BluefieldBody"/>
        <w:rPr>
          <w:b/>
          <w:lang w:eastAsia="en-GB"/>
        </w:rPr>
      </w:pPr>
    </w:p>
    <w:p w14:paraId="1361F178" w14:textId="4B0DE340" w:rsidR="002836EA" w:rsidRDefault="002836EA" w:rsidP="00E42A95">
      <w:pPr>
        <w:pStyle w:val="BluefieldBody"/>
        <w:rPr>
          <w:b/>
          <w:lang w:eastAsia="en-GB"/>
        </w:rPr>
      </w:pPr>
    </w:p>
    <w:p w14:paraId="6ED3F0DA" w14:textId="6048C375" w:rsidR="002836EA" w:rsidRDefault="002836EA" w:rsidP="00E42A95">
      <w:pPr>
        <w:pStyle w:val="BluefieldBody"/>
        <w:rPr>
          <w:b/>
          <w:lang w:eastAsia="en-GB"/>
        </w:rPr>
      </w:pPr>
    </w:p>
    <w:p w14:paraId="627F3D2A" w14:textId="39E57F79" w:rsidR="00726A74" w:rsidRDefault="00726A74" w:rsidP="00E42A95">
      <w:pPr>
        <w:pStyle w:val="BluefieldBody"/>
        <w:rPr>
          <w:b/>
          <w:lang w:eastAsia="en-GB"/>
        </w:rPr>
      </w:pPr>
    </w:p>
    <w:p w14:paraId="34580FBD" w14:textId="77777777" w:rsidR="00726A74" w:rsidRDefault="00726A74" w:rsidP="00E42A95">
      <w:pPr>
        <w:pStyle w:val="BluefieldBody"/>
        <w:rPr>
          <w:b/>
          <w:lang w:eastAsia="en-GB"/>
        </w:rPr>
      </w:pPr>
    </w:p>
    <w:p w14:paraId="2E3238DB" w14:textId="2AC35970" w:rsidR="002836EA" w:rsidRDefault="002836EA" w:rsidP="00E42A95">
      <w:pPr>
        <w:pStyle w:val="BluefieldBody"/>
        <w:rPr>
          <w:b/>
          <w:lang w:eastAsia="en-GB"/>
        </w:rPr>
      </w:pPr>
    </w:p>
    <w:p w14:paraId="234ADF8D" w14:textId="4140C592" w:rsidR="002836EA" w:rsidRDefault="002836EA" w:rsidP="00E42A95">
      <w:pPr>
        <w:pStyle w:val="BluefieldBody"/>
        <w:rPr>
          <w:b/>
          <w:lang w:eastAsia="en-GB"/>
        </w:rPr>
      </w:pPr>
    </w:p>
    <w:p w14:paraId="6CE84E6C" w14:textId="552963F9" w:rsidR="002836EA" w:rsidRDefault="002836EA" w:rsidP="00E42A95">
      <w:pPr>
        <w:pStyle w:val="BluefieldBody"/>
        <w:rPr>
          <w:b/>
          <w:lang w:eastAsia="en-GB"/>
        </w:rPr>
      </w:pPr>
    </w:p>
    <w:p w14:paraId="2FED3215" w14:textId="04F44E44" w:rsidR="002836EA" w:rsidRDefault="002836EA" w:rsidP="00E42A95">
      <w:pPr>
        <w:pStyle w:val="BluefieldBody"/>
        <w:rPr>
          <w:b/>
          <w:lang w:eastAsia="en-GB"/>
        </w:rPr>
      </w:pPr>
    </w:p>
    <w:p w14:paraId="2B6B366F" w14:textId="24DC0BB0" w:rsidR="002836EA" w:rsidRDefault="002836EA" w:rsidP="00E42A95">
      <w:pPr>
        <w:pStyle w:val="BluefieldBody"/>
        <w:rPr>
          <w:b/>
          <w:lang w:eastAsia="en-GB"/>
        </w:rPr>
      </w:pPr>
    </w:p>
    <w:p w14:paraId="28B9200D" w14:textId="76C911E1" w:rsidR="002836EA" w:rsidRDefault="002836EA" w:rsidP="00E42A95">
      <w:pPr>
        <w:pStyle w:val="BluefieldBody"/>
        <w:rPr>
          <w:b/>
          <w:lang w:eastAsia="en-GB"/>
        </w:rPr>
      </w:pPr>
    </w:p>
    <w:p w14:paraId="0AB38A92" w14:textId="78A9DBA1" w:rsidR="00894FC4" w:rsidRDefault="00894FC4" w:rsidP="00E42A95">
      <w:pPr>
        <w:pStyle w:val="BluefieldBody"/>
        <w:rPr>
          <w:b/>
          <w:lang w:eastAsia="en-GB"/>
        </w:rPr>
      </w:pPr>
    </w:p>
    <w:p w14:paraId="3FAFC30A" w14:textId="77777777" w:rsidR="00894FC4" w:rsidRDefault="00894FC4" w:rsidP="00E42A95">
      <w:pPr>
        <w:pStyle w:val="BluefieldBody"/>
        <w:rPr>
          <w:b/>
          <w:lang w:eastAsia="en-GB"/>
        </w:rPr>
      </w:pPr>
    </w:p>
    <w:p w14:paraId="1891B129" w14:textId="450D2DA0" w:rsidR="00A526D9" w:rsidRPr="00A526D9" w:rsidRDefault="00A526D9" w:rsidP="00E42A95">
      <w:pPr>
        <w:pStyle w:val="BluefieldBody"/>
        <w:rPr>
          <w:b/>
          <w:lang w:eastAsia="en-GB"/>
        </w:rPr>
      </w:pPr>
      <w:r w:rsidRPr="0018148F">
        <w:rPr>
          <w:b/>
          <w:lang w:eastAsia="en-GB"/>
        </w:rPr>
        <w:lastRenderedPageBreak/>
        <w:t>1</w:t>
      </w:r>
      <w:r>
        <w:rPr>
          <w:b/>
          <w:lang w:eastAsia="en-GB"/>
        </w:rPr>
        <w:t>6</w:t>
      </w:r>
      <w:r w:rsidRPr="0018148F">
        <w:rPr>
          <w:b/>
          <w:lang w:eastAsia="en-GB"/>
        </w:rPr>
        <w:t xml:space="preserve">.  Related party transactions and </w:t>
      </w:r>
      <w:r>
        <w:rPr>
          <w:b/>
          <w:lang w:eastAsia="en-GB"/>
        </w:rPr>
        <w:t>D</w:t>
      </w:r>
      <w:r w:rsidRPr="0018148F">
        <w:rPr>
          <w:b/>
          <w:lang w:eastAsia="en-GB"/>
        </w:rPr>
        <w:t>irectors’ remuneration (continued)</w:t>
      </w:r>
    </w:p>
    <w:p w14:paraId="238FF98F" w14:textId="77777777" w:rsidR="00A526D9" w:rsidRDefault="00A526D9" w:rsidP="00E42A95">
      <w:pPr>
        <w:pStyle w:val="BluefieldBody"/>
      </w:pPr>
    </w:p>
    <w:p w14:paraId="1BAB5171" w14:textId="67A8BB81" w:rsidR="001B1447" w:rsidRDefault="001B1447" w:rsidP="001B1447">
      <w:pPr>
        <w:pStyle w:val="BluefieldBody"/>
      </w:pPr>
      <w:r w:rsidRPr="00055BF8">
        <w:t xml:space="preserve">John Scott and John Rennocks are Directors of BSIFIL. </w:t>
      </w:r>
      <w:r>
        <w:t>They receive</w:t>
      </w:r>
      <w:r w:rsidRPr="00055BF8">
        <w:t xml:space="preserve"> an annual fee </w:t>
      </w:r>
      <w:r w:rsidRPr="00CC3112">
        <w:t>of £6,000</w:t>
      </w:r>
      <w:r>
        <w:t xml:space="preserve"> (</w:t>
      </w:r>
      <w:r w:rsidR="00904E51">
        <w:t>2019</w:t>
      </w:r>
      <w:r>
        <w:t xml:space="preserve">: </w:t>
      </w:r>
      <w:r w:rsidR="008844EA">
        <w:t>£6,0</w:t>
      </w:r>
      <w:r w:rsidRPr="00055BF8">
        <w:t>00</w:t>
      </w:r>
      <w:r>
        <w:t>)</w:t>
      </w:r>
      <w:r w:rsidRPr="00055BF8">
        <w:t xml:space="preserve"> each for their services to this company.</w:t>
      </w:r>
      <w:r>
        <w:t xml:space="preserve">  </w:t>
      </w:r>
      <w:r w:rsidR="00BB1D31">
        <w:t>Neil Wood</w:t>
      </w:r>
      <w:r w:rsidRPr="00462871">
        <w:t xml:space="preserve"> and James Armstrong</w:t>
      </w:r>
      <w:r>
        <w:t>,</w:t>
      </w:r>
      <w:r w:rsidRPr="00462871">
        <w:t xml:space="preserve"> who are partners of the Investment Adviser</w:t>
      </w:r>
      <w:r>
        <w:t>,</w:t>
      </w:r>
      <w:r w:rsidRPr="00462871">
        <w:t xml:space="preserve"> are also Directors of </w:t>
      </w:r>
      <w:r>
        <w:t>BSIFIL</w:t>
      </w:r>
      <w:r w:rsidRPr="00462871">
        <w:t xml:space="preserve">. </w:t>
      </w:r>
    </w:p>
    <w:p w14:paraId="11D60523" w14:textId="77777777" w:rsidR="001B1447" w:rsidRDefault="001B1447" w:rsidP="00E42A95">
      <w:pPr>
        <w:pStyle w:val="BluefieldBody"/>
      </w:pPr>
    </w:p>
    <w:p w14:paraId="42249FAD" w14:textId="0CA85749" w:rsidR="00E42A95" w:rsidRPr="00C0335F" w:rsidRDefault="000F51FA" w:rsidP="00E42A95">
      <w:pPr>
        <w:pStyle w:val="BluefieldBody"/>
      </w:pPr>
      <w:r w:rsidRPr="00462871">
        <w:t xml:space="preserve">The </w:t>
      </w:r>
      <w:r w:rsidR="001A64D8">
        <w:t>Company and BSIFIL</w:t>
      </w:r>
      <w:r w:rsidRPr="00462871">
        <w:t xml:space="preserve">’s investment advisory fees for the </w:t>
      </w:r>
      <w:r w:rsidR="001A64D8">
        <w:t>year</w:t>
      </w:r>
      <w:r w:rsidRPr="00462871">
        <w:t xml:space="preserve"> amounted to </w:t>
      </w:r>
      <w:r w:rsidR="002513C5" w:rsidRPr="00CC3112">
        <w:t>£</w:t>
      </w:r>
      <w:r w:rsidR="00CC3112" w:rsidRPr="00CC3112">
        <w:t>3</w:t>
      </w:r>
      <w:r w:rsidR="00CC3112">
        <w:t>,368,872</w:t>
      </w:r>
      <w:r w:rsidR="0025693C">
        <w:t xml:space="preserve"> </w:t>
      </w:r>
      <w:r w:rsidR="002513C5">
        <w:t>(</w:t>
      </w:r>
      <w:r w:rsidR="00904E51">
        <w:t>2019</w:t>
      </w:r>
      <w:r w:rsidR="002513C5">
        <w:t xml:space="preserve">: </w:t>
      </w:r>
      <w:r w:rsidR="008844EA">
        <w:t>£3,214,023</w:t>
      </w:r>
      <w:r w:rsidR="002513C5">
        <w:t>)</w:t>
      </w:r>
      <w:r w:rsidRPr="00462871">
        <w:t xml:space="preserve"> of </w:t>
      </w:r>
      <w:r w:rsidRPr="00CF3AD1">
        <w:t xml:space="preserve">which </w:t>
      </w:r>
      <w:r w:rsidR="00BB09B8" w:rsidRPr="00CF3AD1">
        <w:t>£</w:t>
      </w:r>
      <w:r w:rsidR="00CC3112" w:rsidRPr="00CF3AD1">
        <w:t>255,331</w:t>
      </w:r>
      <w:r w:rsidR="00BB09B8" w:rsidRPr="00CF3AD1">
        <w:t xml:space="preserve"> </w:t>
      </w:r>
      <w:r w:rsidR="002513C5" w:rsidRPr="00CF3AD1">
        <w:t>(</w:t>
      </w:r>
      <w:r w:rsidR="00904E51" w:rsidRPr="00CF3AD1">
        <w:t>2019</w:t>
      </w:r>
      <w:r w:rsidR="002513C5" w:rsidRPr="00CF3AD1">
        <w:t xml:space="preserve">: </w:t>
      </w:r>
      <w:r w:rsidRPr="00CF3AD1">
        <w:t>£</w:t>
      </w:r>
      <w:r w:rsidR="008844EA" w:rsidRPr="00CF3AD1">
        <w:t>256,236</w:t>
      </w:r>
      <w:r w:rsidR="002513C5" w:rsidRPr="00CF3AD1">
        <w:t>)</w:t>
      </w:r>
      <w:r w:rsidRPr="00CF3AD1">
        <w:t xml:space="preserve"> was outstanding at the </w:t>
      </w:r>
      <w:r w:rsidR="005D5C0F" w:rsidRPr="00CF3AD1">
        <w:t>year</w:t>
      </w:r>
      <w:r w:rsidRPr="00CF3AD1">
        <w:t xml:space="preserve"> end.</w:t>
      </w:r>
      <w:r w:rsidR="00A97C96" w:rsidRPr="00CF3AD1">
        <w:t xml:space="preserve"> </w:t>
      </w:r>
      <w:r w:rsidR="00BB1D31" w:rsidRPr="00CF3AD1">
        <w:t>Included within the investment advisory fee expense</w:t>
      </w:r>
      <w:r w:rsidR="00BB1D31" w:rsidRPr="00A35AC4">
        <w:t xml:space="preserve"> </w:t>
      </w:r>
      <w:r w:rsidR="00BB1D31">
        <w:t>for 20</w:t>
      </w:r>
      <w:r w:rsidR="00896439">
        <w:t>19</w:t>
      </w:r>
      <w:r w:rsidR="00BB1D31" w:rsidRPr="00A35AC4">
        <w:t xml:space="preserve"> is £</w:t>
      </w:r>
      <w:r w:rsidR="00BB1D31">
        <w:t>699,080</w:t>
      </w:r>
      <w:r w:rsidR="00BB1D31" w:rsidRPr="00A35AC4">
        <w:t xml:space="preserve"> earned in respect of performance fees for the year ended 30 June 201</w:t>
      </w:r>
      <w:r w:rsidR="00BB1D31">
        <w:t>9</w:t>
      </w:r>
      <w:r w:rsidR="00BB1D31" w:rsidRPr="00A35AC4">
        <w:t>. The Investment Adviser received the variable element of their 201</w:t>
      </w:r>
      <w:r w:rsidR="00BB1D31">
        <w:t>9</w:t>
      </w:r>
      <w:r w:rsidR="00BB1D31" w:rsidRPr="00A35AC4">
        <w:t xml:space="preserve"> fees through the issue of </w:t>
      </w:r>
      <w:r w:rsidR="00E51028">
        <w:t>616,092</w:t>
      </w:r>
      <w:r w:rsidR="00BB1D31" w:rsidRPr="00A35AC4">
        <w:t xml:space="preserve"> Ordinary Shares on </w:t>
      </w:r>
      <w:r w:rsidR="00BB1D31">
        <w:t>23</w:t>
      </w:r>
      <w:r w:rsidR="00BB1D31" w:rsidRPr="00A35AC4">
        <w:t xml:space="preserve"> </w:t>
      </w:r>
      <w:r w:rsidR="00BB1D31">
        <w:t>December 2019</w:t>
      </w:r>
      <w:r w:rsidR="00BB1D31" w:rsidRPr="00A35AC4">
        <w:t xml:space="preserve"> (see Note </w:t>
      </w:r>
      <w:r w:rsidR="00BB1D31" w:rsidRPr="00C02FDD">
        <w:t>13</w:t>
      </w:r>
      <w:r w:rsidR="00BB1D31" w:rsidRPr="00A35AC4">
        <w:t>).</w:t>
      </w:r>
      <w:r w:rsidR="00BB1D31">
        <w:t xml:space="preserve">  </w:t>
      </w:r>
    </w:p>
    <w:p w14:paraId="6DAA69FB" w14:textId="77777777" w:rsidR="004114C9" w:rsidRDefault="004114C9" w:rsidP="00E42A95">
      <w:pPr>
        <w:pStyle w:val="BluefieldBody"/>
      </w:pPr>
    </w:p>
    <w:p w14:paraId="18B49690" w14:textId="08F249B6" w:rsidR="003843EF" w:rsidRPr="00012AF2" w:rsidRDefault="003843EF" w:rsidP="003843EF">
      <w:pPr>
        <w:pStyle w:val="BluefieldBody"/>
      </w:pPr>
      <w:r>
        <w:t>Fees paid</w:t>
      </w:r>
      <w:r w:rsidR="00104018">
        <w:t xml:space="preserve"> during the period by SPVs</w:t>
      </w:r>
      <w:r>
        <w:t xml:space="preserve"> to BSL, a company which has the same ownership as that of the Investment Adviser </w:t>
      </w:r>
      <w:r w:rsidRPr="00012AF2">
        <w:t xml:space="preserve">totalled </w:t>
      </w:r>
      <w:r w:rsidR="00C6230A" w:rsidRPr="00012AF2">
        <w:t>£</w:t>
      </w:r>
      <w:r w:rsidR="00845A39" w:rsidRPr="00012AF2">
        <w:t>2,</w:t>
      </w:r>
      <w:r w:rsidR="00012AF2" w:rsidRPr="00012AF2">
        <w:t>358,016</w:t>
      </w:r>
      <w:r w:rsidRPr="00012AF2">
        <w:t xml:space="preserve"> (</w:t>
      </w:r>
      <w:r w:rsidR="00904E51" w:rsidRPr="00012AF2">
        <w:t>2019</w:t>
      </w:r>
      <w:r w:rsidRPr="00012AF2">
        <w:t>: £</w:t>
      </w:r>
      <w:r w:rsidR="008844EA" w:rsidRPr="00012AF2">
        <w:t>2,159,495</w:t>
      </w:r>
      <w:r w:rsidRPr="00012AF2">
        <w:t xml:space="preserve">). BSL provides </w:t>
      </w:r>
      <w:r w:rsidR="004B2EAE" w:rsidRPr="00012AF2">
        <w:t xml:space="preserve">asset management and other </w:t>
      </w:r>
      <w:r w:rsidRPr="00012AF2">
        <w:t>services relating to the operation of daily management activities of the solar project companies.</w:t>
      </w:r>
    </w:p>
    <w:p w14:paraId="30A880D9" w14:textId="77777777" w:rsidR="004B2EAE" w:rsidRPr="00012AF2" w:rsidRDefault="004B2EAE" w:rsidP="003843EF">
      <w:pPr>
        <w:pStyle w:val="BluefieldBody"/>
      </w:pPr>
    </w:p>
    <w:p w14:paraId="4785D5DC" w14:textId="1EF144B1" w:rsidR="004B2EAE" w:rsidRDefault="00104018" w:rsidP="004B2EAE">
      <w:pPr>
        <w:pStyle w:val="BluefieldBody"/>
      </w:pPr>
      <w:r w:rsidRPr="00012AF2">
        <w:t>Fees paid during the period by SPVs to BOL</w:t>
      </w:r>
      <w:r w:rsidR="004B2EAE" w:rsidRPr="00012AF2">
        <w:t>, a company which has the same ownership as that of the Investment Adviser totalled £</w:t>
      </w:r>
      <w:r w:rsidR="00012AF2" w:rsidRPr="00012AF2">
        <w:t>3,159,791</w:t>
      </w:r>
      <w:r w:rsidR="004B2EAE" w:rsidRPr="00012AF2">
        <w:t xml:space="preserve"> (</w:t>
      </w:r>
      <w:r w:rsidR="00904E51" w:rsidRPr="00012AF2">
        <w:t>2019</w:t>
      </w:r>
      <w:r w:rsidR="004B2EAE">
        <w:t>: £</w:t>
      </w:r>
      <w:r w:rsidR="008844EA">
        <w:t>1,486,408</w:t>
      </w:r>
      <w:r w:rsidR="004B2EAE">
        <w:t>). BOL provides O&amp;M and other services relating to the operation of daily management activities of the solar project companies.</w:t>
      </w:r>
    </w:p>
    <w:p w14:paraId="62BD91A3" w14:textId="77777777" w:rsidR="003843EF" w:rsidRDefault="003843EF" w:rsidP="00E42A95">
      <w:pPr>
        <w:pStyle w:val="BluefieldBody"/>
      </w:pPr>
    </w:p>
    <w:p w14:paraId="3DB0A4DD" w14:textId="42960421" w:rsidR="00CE4EAA" w:rsidRDefault="00CE4EAA" w:rsidP="00E42A95">
      <w:pPr>
        <w:pStyle w:val="BluefieldBody"/>
      </w:pPr>
      <w:r>
        <w:t xml:space="preserve">The </w:t>
      </w:r>
      <w:r w:rsidR="001A64D8">
        <w:t>C</w:t>
      </w:r>
      <w:r w:rsidR="001A64D8" w:rsidRPr="00CF3AD1">
        <w:t>ompany</w:t>
      </w:r>
      <w:r w:rsidRPr="00CF3AD1">
        <w:t xml:space="preserve">’s monitoring fee income </w:t>
      </w:r>
      <w:r w:rsidR="00450E17" w:rsidRPr="00CF3AD1">
        <w:t xml:space="preserve">received from BSIFIL </w:t>
      </w:r>
      <w:r w:rsidRPr="00CF3AD1">
        <w:t xml:space="preserve">amounted to </w:t>
      </w:r>
      <w:r w:rsidR="00BB09B8" w:rsidRPr="00CF3AD1">
        <w:t>£</w:t>
      </w:r>
      <w:r w:rsidR="00287AB2" w:rsidRPr="00CF3AD1">
        <w:t>725,000</w:t>
      </w:r>
      <w:r w:rsidR="00BB09B8" w:rsidRPr="00CF3AD1">
        <w:t xml:space="preserve"> </w:t>
      </w:r>
      <w:r w:rsidRPr="00CF3AD1">
        <w:t>(</w:t>
      </w:r>
      <w:r w:rsidR="00904E51" w:rsidRPr="00CF3AD1">
        <w:t>2019</w:t>
      </w:r>
      <w:r w:rsidRPr="00CF3AD1">
        <w:t>: £</w:t>
      </w:r>
      <w:r w:rsidR="008844EA" w:rsidRPr="00CF3AD1">
        <w:t>725,000</w:t>
      </w:r>
      <w:r w:rsidRPr="00CF3AD1">
        <w:t xml:space="preserve">) of which </w:t>
      </w:r>
      <w:r w:rsidR="00BB09B8" w:rsidRPr="00CF3AD1">
        <w:t>£</w:t>
      </w:r>
      <w:r w:rsidR="00ED2B9C" w:rsidRPr="00CF3AD1">
        <w:t>725,000</w:t>
      </w:r>
      <w:r w:rsidR="00BB09B8" w:rsidRPr="00CF3AD1">
        <w:t xml:space="preserve"> </w:t>
      </w:r>
      <w:r w:rsidRPr="00CF3AD1">
        <w:t>was outstanding</w:t>
      </w:r>
      <w:r>
        <w:t xml:space="preserve"> at the </w:t>
      </w:r>
      <w:proofErr w:type="spellStart"/>
      <w:r>
        <w:t>year end</w:t>
      </w:r>
      <w:proofErr w:type="spellEnd"/>
      <w:r>
        <w:t xml:space="preserve"> (</w:t>
      </w:r>
      <w:r w:rsidR="00904E51">
        <w:t>2019</w:t>
      </w:r>
      <w:r>
        <w:t>: £</w:t>
      </w:r>
      <w:r w:rsidR="008844EA">
        <w:t>725,000</w:t>
      </w:r>
      <w:r>
        <w:t>).</w:t>
      </w:r>
      <w:r w:rsidR="00977A5F">
        <w:t xml:space="preserve">  </w:t>
      </w:r>
    </w:p>
    <w:p w14:paraId="3CB194AB" w14:textId="77777777" w:rsidR="004114C9" w:rsidRDefault="004114C9">
      <w:pPr>
        <w:rPr>
          <w:rFonts w:ascii="Georgia" w:hAnsi="Georgia" w:cs="Calibri"/>
          <w:b/>
          <w:sz w:val="20"/>
        </w:rPr>
      </w:pPr>
    </w:p>
    <w:p w14:paraId="5CD055DA" w14:textId="2A475B5C" w:rsidR="005A3CAC" w:rsidRPr="00384BCB" w:rsidRDefault="008620DF" w:rsidP="005A3CAC">
      <w:pPr>
        <w:pStyle w:val="Notehead1"/>
      </w:pPr>
      <w:r>
        <w:t>1</w:t>
      </w:r>
      <w:r w:rsidR="00AB079E">
        <w:t>7</w:t>
      </w:r>
      <w:r w:rsidR="005A3CAC" w:rsidRPr="00E42A95">
        <w:t>.  Subsequent events</w:t>
      </w:r>
    </w:p>
    <w:p w14:paraId="3F7A6A88" w14:textId="77777777" w:rsidR="005A3CAC" w:rsidRDefault="005A3CAC" w:rsidP="005A3CAC">
      <w:pPr>
        <w:pStyle w:val="BluefieldBody"/>
      </w:pPr>
    </w:p>
    <w:p w14:paraId="5B8620F0" w14:textId="77777777" w:rsidR="00D442E2" w:rsidRDefault="00D442E2" w:rsidP="00D442E2">
      <w:pPr>
        <w:pStyle w:val="BluefieldBody"/>
        <w:rPr>
          <w:rFonts w:cs="Calibri"/>
          <w:b/>
        </w:rPr>
      </w:pPr>
      <w:r>
        <w:rPr>
          <w:rFonts w:cs="Calibri"/>
          <w:b/>
        </w:rPr>
        <w:t>The following events happened after the end of the Company’s reporting period on 30</w:t>
      </w:r>
      <w:r w:rsidRPr="006D1CDE">
        <w:rPr>
          <w:rFonts w:cs="Calibri"/>
          <w:b/>
          <w:vertAlign w:val="superscript"/>
        </w:rPr>
        <w:t>th</w:t>
      </w:r>
      <w:r>
        <w:rPr>
          <w:rFonts w:cs="Calibri"/>
          <w:b/>
        </w:rPr>
        <w:t xml:space="preserve"> June </w:t>
      </w:r>
    </w:p>
    <w:p w14:paraId="43AA7479" w14:textId="77777777" w:rsidR="00D442E2" w:rsidRDefault="00D442E2" w:rsidP="00D442E2">
      <w:pPr>
        <w:jc w:val="both"/>
        <w:rPr>
          <w:rFonts w:ascii="Georgia" w:hAnsi="Georgia"/>
          <w:color w:val="404040" w:themeColor="text1" w:themeTint="BF"/>
          <w:sz w:val="20"/>
          <w:szCs w:val="20"/>
        </w:rPr>
      </w:pPr>
    </w:p>
    <w:p w14:paraId="7D432543" w14:textId="6B03D87A" w:rsidR="00D442E2" w:rsidRDefault="0001661C" w:rsidP="00D442E2">
      <w:pPr>
        <w:jc w:val="both"/>
        <w:rPr>
          <w:rFonts w:ascii="Georgia" w:hAnsi="Georgia"/>
          <w:color w:val="404040" w:themeColor="text1" w:themeTint="BF"/>
          <w:sz w:val="20"/>
          <w:szCs w:val="20"/>
        </w:rPr>
      </w:pPr>
      <w:r>
        <w:rPr>
          <w:rFonts w:ascii="Georgia" w:hAnsi="Georgia"/>
          <w:color w:val="404040" w:themeColor="text1" w:themeTint="BF"/>
          <w:sz w:val="20"/>
          <w:szCs w:val="20"/>
        </w:rPr>
        <w:t xml:space="preserve">On 6 </w:t>
      </w:r>
      <w:r w:rsidR="00012AF2">
        <w:rPr>
          <w:rFonts w:ascii="Georgia" w:hAnsi="Georgia"/>
          <w:color w:val="404040" w:themeColor="text1" w:themeTint="BF"/>
          <w:sz w:val="20"/>
          <w:szCs w:val="20"/>
        </w:rPr>
        <w:t>July</w:t>
      </w:r>
      <w:r>
        <w:rPr>
          <w:rFonts w:ascii="Georgia" w:hAnsi="Georgia"/>
          <w:color w:val="404040" w:themeColor="text1" w:themeTint="BF"/>
          <w:sz w:val="20"/>
          <w:szCs w:val="20"/>
        </w:rPr>
        <w:t xml:space="preserve"> 2020</w:t>
      </w:r>
      <w:r w:rsidR="00012AF2">
        <w:rPr>
          <w:rFonts w:ascii="Georgia" w:hAnsi="Georgia"/>
          <w:color w:val="404040" w:themeColor="text1" w:themeTint="BF"/>
          <w:sz w:val="20"/>
          <w:szCs w:val="20"/>
        </w:rPr>
        <w:t xml:space="preserve">, </w:t>
      </w:r>
      <w:r w:rsidR="00D442E2" w:rsidRPr="00717933">
        <w:rPr>
          <w:rFonts w:ascii="Georgia" w:hAnsi="Georgia"/>
          <w:color w:val="404040" w:themeColor="text1" w:themeTint="BF"/>
          <w:sz w:val="20"/>
          <w:szCs w:val="20"/>
        </w:rPr>
        <w:t>Shareholders approved revisions to the Company’s investment objectives and policies at an EGM. The Company will no longer exclusively invest in UK based assets, with its minority exposure to non-UK assets limited to a maximum of 10% of the Company’s GAV. The Company will also no longer exclusively invest in solar infrastructure assets but will now have the ability to invest a minority of its capital into wind and hydroelectric energy storage assets; such a minority exposure will be limited to a maximum of 25% of the Company’s GAV. In addition to the above, the Company can invest up to 5% of its GAV into UK solar development opportunities that are pre-construction and may be without the requisite planning approvals at the time of investment. However, in addition to the specific investment limitations set out above, the aggregate exposure to other renewable energy assets (including non-subsidised assets) and energy storage technologies, UK solar development opportunities and/or non UK assets will be limited to a maximum of 30% of the Company’s GAV calculated at the time of investment.</w:t>
      </w:r>
    </w:p>
    <w:p w14:paraId="13F97D58" w14:textId="77777777" w:rsidR="00D442E2" w:rsidRDefault="00D442E2" w:rsidP="00D442E2">
      <w:pPr>
        <w:jc w:val="both"/>
        <w:rPr>
          <w:rFonts w:ascii="Georgia" w:hAnsi="Georgia"/>
          <w:color w:val="404040" w:themeColor="text1" w:themeTint="BF"/>
          <w:sz w:val="20"/>
          <w:szCs w:val="20"/>
        </w:rPr>
      </w:pPr>
    </w:p>
    <w:p w14:paraId="654A5223" w14:textId="45CFB737" w:rsidR="00D442E2" w:rsidRDefault="0001661C" w:rsidP="00D442E2">
      <w:pPr>
        <w:jc w:val="both"/>
        <w:rPr>
          <w:rFonts w:ascii="Georgia" w:hAnsi="Georgia"/>
          <w:color w:val="404040" w:themeColor="text1" w:themeTint="BF"/>
          <w:sz w:val="20"/>
          <w:szCs w:val="20"/>
        </w:rPr>
      </w:pPr>
      <w:r>
        <w:rPr>
          <w:rFonts w:ascii="Georgia" w:hAnsi="Georgia"/>
          <w:color w:val="404040" w:themeColor="text1" w:themeTint="BF"/>
          <w:sz w:val="20"/>
          <w:szCs w:val="20"/>
        </w:rPr>
        <w:t>At</w:t>
      </w:r>
      <w:r w:rsidR="00D442E2" w:rsidRPr="00717933">
        <w:rPr>
          <w:rFonts w:ascii="Georgia" w:hAnsi="Georgia"/>
          <w:color w:val="404040" w:themeColor="text1" w:themeTint="BF"/>
          <w:sz w:val="20"/>
          <w:szCs w:val="20"/>
        </w:rPr>
        <w:t xml:space="preserve"> the 6 July</w:t>
      </w:r>
      <w:r>
        <w:rPr>
          <w:rFonts w:ascii="Georgia" w:hAnsi="Georgia"/>
          <w:color w:val="404040" w:themeColor="text1" w:themeTint="BF"/>
          <w:sz w:val="20"/>
          <w:szCs w:val="20"/>
        </w:rPr>
        <w:t xml:space="preserve"> 2020</w:t>
      </w:r>
      <w:r w:rsidR="00D442E2" w:rsidRPr="00717933">
        <w:rPr>
          <w:rFonts w:ascii="Georgia" w:hAnsi="Georgia"/>
          <w:color w:val="404040" w:themeColor="text1" w:themeTint="BF"/>
          <w:sz w:val="20"/>
          <w:szCs w:val="20"/>
        </w:rPr>
        <w:t xml:space="preserve"> EGM</w:t>
      </w:r>
      <w:r w:rsidR="00D442E2">
        <w:rPr>
          <w:rFonts w:ascii="Georgia" w:hAnsi="Georgia"/>
          <w:color w:val="404040" w:themeColor="text1" w:themeTint="BF"/>
          <w:sz w:val="20"/>
          <w:szCs w:val="20"/>
        </w:rPr>
        <w:t>,</w:t>
      </w:r>
      <w:r w:rsidR="00D442E2" w:rsidRPr="00717933">
        <w:rPr>
          <w:rFonts w:ascii="Georgia" w:hAnsi="Georgia"/>
          <w:color w:val="404040" w:themeColor="text1" w:themeTint="BF"/>
          <w:sz w:val="20"/>
          <w:szCs w:val="20"/>
        </w:rPr>
        <w:t xml:space="preserve"> Shareholders approved the adoption of a progressive dividend distribution strategy to replace the index linked strategy previously adopted by the Company.  Shareholders also approved revisions to the Investment Adviser’s base fee</w:t>
      </w:r>
      <w:r w:rsidR="00012AF2">
        <w:rPr>
          <w:rFonts w:ascii="Georgia" w:hAnsi="Georgia"/>
          <w:color w:val="404040" w:themeColor="text1" w:themeTint="BF"/>
          <w:sz w:val="20"/>
          <w:szCs w:val="20"/>
        </w:rPr>
        <w:t xml:space="preserve"> and removal of the Adviser’s variable</w:t>
      </w:r>
      <w:r w:rsidR="00D442E2" w:rsidRPr="00717933">
        <w:rPr>
          <w:rFonts w:ascii="Georgia" w:hAnsi="Georgia"/>
          <w:color w:val="404040" w:themeColor="text1" w:themeTint="BF"/>
          <w:sz w:val="20"/>
          <w:szCs w:val="20"/>
        </w:rPr>
        <w:t xml:space="preserve"> which will apply from 1 July 2020 onwards. The base fee is payable quarterly in arrears in cash, at a rate equivalent to 0.8% per annum of the NAV up to and including £750,000,000, 0.75% per annum of the NAV above £750,000,000 and up to and including £1,000,000,000 and 0.65% per annum of the NAV above £1,000,000,000.  The base fee will be calculated on the NAV reported in the most recent quarterly NAV calculation as at the date of payment.</w:t>
      </w:r>
    </w:p>
    <w:p w14:paraId="6F3DF941" w14:textId="77777777" w:rsidR="00D442E2" w:rsidRDefault="00D442E2" w:rsidP="00D442E2">
      <w:pPr>
        <w:jc w:val="both"/>
        <w:rPr>
          <w:rFonts w:ascii="Georgia" w:hAnsi="Georgia"/>
          <w:color w:val="404040" w:themeColor="text1" w:themeTint="BF"/>
          <w:sz w:val="20"/>
          <w:szCs w:val="20"/>
        </w:rPr>
      </w:pPr>
    </w:p>
    <w:p w14:paraId="37902C13" w14:textId="26110391" w:rsidR="00D442E2" w:rsidRPr="00717933" w:rsidRDefault="00D442E2" w:rsidP="00D442E2">
      <w:pPr>
        <w:jc w:val="both"/>
        <w:rPr>
          <w:rFonts w:ascii="Georgia" w:hAnsi="Georgia" w:cs="Calibri"/>
          <w:color w:val="404040" w:themeColor="text1" w:themeTint="BF"/>
          <w:sz w:val="20"/>
        </w:rPr>
      </w:pPr>
      <w:r w:rsidRPr="00C51975">
        <w:rPr>
          <w:rFonts w:ascii="Georgia" w:hAnsi="Georgia" w:cs="Calibri"/>
          <w:color w:val="404040" w:themeColor="text1" w:themeTint="BF"/>
          <w:sz w:val="20"/>
          <w:szCs w:val="20"/>
        </w:rPr>
        <w:t>Post year end, on 24 July 2020, the Board declared a third interim dividend of £7,224,743, in respect of year ended 30 June 2020</w:t>
      </w:r>
      <w:r w:rsidRPr="00C51975">
        <w:rPr>
          <w:rFonts w:ascii="Georgia" w:hAnsi="Georgia" w:cs="Calibri"/>
          <w:color w:val="404040" w:themeColor="text1" w:themeTint="BF"/>
          <w:sz w:val="20"/>
        </w:rPr>
        <w:t xml:space="preserve">, equating to 1.95pps (third interim dividend in respect of the year ended 30 June </w:t>
      </w:r>
      <w:r>
        <w:rPr>
          <w:rFonts w:ascii="Georgia" w:hAnsi="Georgia" w:cs="Calibri"/>
          <w:color w:val="404040" w:themeColor="text1" w:themeTint="BF"/>
          <w:sz w:val="20"/>
        </w:rPr>
        <w:t xml:space="preserve"> </w:t>
      </w:r>
      <w:r w:rsidRPr="00C51975">
        <w:rPr>
          <w:rFonts w:ascii="Georgia" w:hAnsi="Georgia" w:cs="Calibri"/>
          <w:color w:val="404040" w:themeColor="text1" w:themeTint="BF"/>
          <w:sz w:val="20"/>
        </w:rPr>
        <w:t>2019: 1.90</w:t>
      </w:r>
      <w:r>
        <w:rPr>
          <w:rFonts w:ascii="Georgia" w:hAnsi="Georgia" w:cs="Calibri"/>
          <w:color w:val="404040" w:themeColor="text1" w:themeTint="BF"/>
          <w:sz w:val="20"/>
        </w:rPr>
        <w:t>pps</w:t>
      </w:r>
      <w:r w:rsidRPr="00C51975">
        <w:rPr>
          <w:rFonts w:ascii="Georgia" w:hAnsi="Georgia" w:cs="Calibri"/>
          <w:color w:val="404040" w:themeColor="text1" w:themeTint="BF"/>
          <w:sz w:val="20"/>
        </w:rPr>
        <w:t>), which</w:t>
      </w:r>
      <w:r w:rsidR="001206D7">
        <w:rPr>
          <w:rFonts w:ascii="Georgia" w:hAnsi="Georgia" w:cs="Calibri"/>
          <w:color w:val="404040" w:themeColor="text1" w:themeTint="BF"/>
          <w:sz w:val="20"/>
        </w:rPr>
        <w:t xml:space="preserve"> was paid on 21 August 2020 to S</w:t>
      </w:r>
      <w:r w:rsidRPr="00C51975">
        <w:rPr>
          <w:rFonts w:ascii="Georgia" w:hAnsi="Georgia" w:cs="Calibri"/>
          <w:color w:val="404040" w:themeColor="text1" w:themeTint="BF"/>
          <w:sz w:val="20"/>
        </w:rPr>
        <w:t>hareholders on the register on 7 August 2020.</w:t>
      </w:r>
    </w:p>
    <w:p w14:paraId="30F79950" w14:textId="77777777" w:rsidR="00D442E2" w:rsidRDefault="00D442E2" w:rsidP="00D442E2">
      <w:pPr>
        <w:jc w:val="both"/>
        <w:rPr>
          <w:rFonts w:ascii="Georgia" w:hAnsi="Georgia"/>
          <w:color w:val="404040" w:themeColor="text1" w:themeTint="BF"/>
          <w:sz w:val="20"/>
          <w:szCs w:val="20"/>
        </w:rPr>
      </w:pPr>
    </w:p>
    <w:p w14:paraId="612A6835" w14:textId="437325C6" w:rsidR="00D442E2" w:rsidRDefault="00D442E2" w:rsidP="0001661C">
      <w:pPr>
        <w:pStyle w:val="bo"/>
        <w:spacing w:before="0" w:beforeAutospacing="0" w:after="0" w:afterAutospacing="0" w:line="235" w:lineRule="atLeast"/>
        <w:jc w:val="both"/>
        <w:rPr>
          <w:rFonts w:ascii="Georgia" w:hAnsi="Georgia" w:cs="Calibri"/>
          <w:color w:val="404040" w:themeColor="text1" w:themeTint="BF"/>
          <w:sz w:val="20"/>
          <w:highlight w:val="yellow"/>
        </w:rPr>
      </w:pPr>
      <w:r w:rsidRPr="00CB0D1A">
        <w:rPr>
          <w:rFonts w:ascii="Georgia" w:hAnsi="Georgia"/>
          <w:color w:val="404040" w:themeColor="text1" w:themeTint="BF"/>
          <w:sz w:val="20"/>
          <w:szCs w:val="20"/>
          <w:lang w:eastAsia="en-US"/>
        </w:rPr>
        <w:t xml:space="preserve">On 20 August 2020, the Company completed the acquisition of </w:t>
      </w:r>
      <w:r>
        <w:rPr>
          <w:rFonts w:ascii="Georgia" w:hAnsi="Georgia"/>
          <w:color w:val="404040" w:themeColor="text1" w:themeTint="BF"/>
          <w:sz w:val="20"/>
          <w:szCs w:val="20"/>
          <w:lang w:eastAsia="en-US"/>
        </w:rPr>
        <w:t xml:space="preserve">a UK-based portfolio of 15 operational solar PV plants </w:t>
      </w:r>
      <w:r w:rsidRPr="00CB0D1A">
        <w:rPr>
          <w:rFonts w:ascii="Georgia" w:hAnsi="Georgia"/>
          <w:color w:val="404040" w:themeColor="text1" w:themeTint="BF"/>
          <w:sz w:val="20"/>
          <w:szCs w:val="20"/>
          <w:lang w:eastAsia="en-US"/>
        </w:rPr>
        <w:t>for an initial cash consideration of £106.6 million including working capital. The final consideration may be increased by up to £2.1 million, contingent on securing asset life extensions. The Company will receive the economic benefit of all cash flows from the portfolio from 1 January 2020.</w:t>
      </w:r>
      <w:r>
        <w:rPr>
          <w:rFonts w:ascii="Georgia" w:hAnsi="Georgia"/>
          <w:color w:val="404040" w:themeColor="text1" w:themeTint="BF"/>
          <w:sz w:val="20"/>
          <w:szCs w:val="20"/>
          <w:lang w:eastAsia="en-US"/>
        </w:rPr>
        <w:t xml:space="preserve"> </w:t>
      </w:r>
      <w:r w:rsidRPr="00CB0D1A">
        <w:rPr>
          <w:rFonts w:ascii="Georgia" w:hAnsi="Georgia"/>
          <w:color w:val="404040" w:themeColor="text1" w:themeTint="BF"/>
          <w:sz w:val="20"/>
          <w:szCs w:val="20"/>
        </w:rPr>
        <w:t xml:space="preserve">The </w:t>
      </w:r>
      <w:r w:rsidR="006E536E">
        <w:rPr>
          <w:rFonts w:ascii="Georgia" w:hAnsi="Georgia"/>
          <w:color w:val="404040" w:themeColor="text1" w:themeTint="BF"/>
          <w:sz w:val="20"/>
          <w:szCs w:val="20"/>
        </w:rPr>
        <w:t>Group</w:t>
      </w:r>
      <w:r w:rsidRPr="00CB0D1A">
        <w:rPr>
          <w:rFonts w:ascii="Georgia" w:hAnsi="Georgia"/>
          <w:color w:val="404040" w:themeColor="text1" w:themeTint="BF"/>
          <w:sz w:val="20"/>
          <w:szCs w:val="20"/>
        </w:rPr>
        <w:t xml:space="preserve"> has also agreed a new £110.0 million, three-year term loan facility with </w:t>
      </w:r>
      <w:r>
        <w:rPr>
          <w:rFonts w:ascii="Georgia" w:hAnsi="Georgia"/>
          <w:color w:val="404040" w:themeColor="text1" w:themeTint="BF"/>
          <w:sz w:val="20"/>
          <w:szCs w:val="20"/>
        </w:rPr>
        <w:t>National Westminster Bank plc.</w:t>
      </w:r>
    </w:p>
    <w:p w14:paraId="0D096B67" w14:textId="77777777" w:rsidR="00D442E2" w:rsidRPr="00CB0D1A" w:rsidRDefault="00D442E2" w:rsidP="00D442E2">
      <w:pPr>
        <w:pStyle w:val="Notehead1"/>
      </w:pPr>
      <w:r>
        <w:lastRenderedPageBreak/>
        <w:t>17</w:t>
      </w:r>
      <w:r w:rsidRPr="00E42A95">
        <w:t>.  Subsequent events</w:t>
      </w:r>
      <w:r>
        <w:t xml:space="preserve"> (continued)</w:t>
      </w:r>
    </w:p>
    <w:p w14:paraId="48765471" w14:textId="195A612B" w:rsidR="00D442E2" w:rsidRDefault="00D442E2" w:rsidP="00D442E2">
      <w:pPr>
        <w:jc w:val="both"/>
        <w:rPr>
          <w:rFonts w:ascii="Georgia" w:hAnsi="Georgia" w:cs="Calibri"/>
          <w:color w:val="404040" w:themeColor="text1" w:themeTint="BF"/>
          <w:sz w:val="20"/>
          <w:highlight w:val="yellow"/>
        </w:rPr>
      </w:pPr>
    </w:p>
    <w:p w14:paraId="7FFECB9E" w14:textId="610EF68A" w:rsidR="0001661C" w:rsidRPr="007957AF" w:rsidRDefault="0001661C" w:rsidP="0001661C">
      <w:pPr>
        <w:jc w:val="both"/>
        <w:rPr>
          <w:rFonts w:ascii="Georgia" w:hAnsi="Georgia" w:cs="Calibri"/>
          <w:color w:val="404040" w:themeColor="text1" w:themeTint="BF"/>
          <w:sz w:val="20"/>
        </w:rPr>
      </w:pPr>
      <w:r w:rsidRPr="0025653C">
        <w:rPr>
          <w:rFonts w:ascii="Georgia" w:hAnsi="Georgia" w:cs="Calibri"/>
          <w:color w:val="404040" w:themeColor="text1" w:themeTint="BF"/>
          <w:sz w:val="20"/>
        </w:rPr>
        <w:t xml:space="preserve">Post year end, on </w:t>
      </w:r>
      <w:r w:rsidR="0025653C" w:rsidRPr="0025653C">
        <w:rPr>
          <w:rFonts w:ascii="Georgia" w:hAnsi="Georgia" w:cs="Calibri"/>
          <w:color w:val="404040" w:themeColor="text1" w:themeTint="BF"/>
          <w:sz w:val="20"/>
        </w:rPr>
        <w:t>22</w:t>
      </w:r>
      <w:r w:rsidRPr="0025653C">
        <w:rPr>
          <w:rFonts w:ascii="Georgia" w:hAnsi="Georgia" w:cs="Calibri"/>
          <w:color w:val="404040" w:themeColor="text1" w:themeTint="BF"/>
          <w:sz w:val="20"/>
        </w:rPr>
        <w:t xml:space="preserve"> September 2020, the Board declared a fourth interim dividend of £7,595,242, in respect of the year ended 30 June 2020, equating to 2.05pps (fourth interim dividend in respect of the year ended 30 June 2019: 2.03pps), which will be paid on </w:t>
      </w:r>
      <w:r w:rsidR="0025653C" w:rsidRPr="0025653C">
        <w:rPr>
          <w:rFonts w:ascii="Georgia" w:hAnsi="Georgia" w:cs="Calibri"/>
          <w:color w:val="404040" w:themeColor="text1" w:themeTint="BF"/>
          <w:sz w:val="20"/>
        </w:rPr>
        <w:t>or around 28</w:t>
      </w:r>
      <w:r w:rsidRPr="0025653C">
        <w:rPr>
          <w:rFonts w:ascii="Georgia" w:hAnsi="Georgia" w:cs="Calibri"/>
          <w:color w:val="404040" w:themeColor="text1" w:themeTint="BF"/>
          <w:sz w:val="20"/>
        </w:rPr>
        <w:t xml:space="preserve"> </w:t>
      </w:r>
      <w:r w:rsidR="0025653C" w:rsidRPr="0025653C">
        <w:rPr>
          <w:rFonts w:ascii="Georgia" w:hAnsi="Georgia" w:cs="Calibri"/>
          <w:color w:val="404040" w:themeColor="text1" w:themeTint="BF"/>
          <w:sz w:val="20"/>
        </w:rPr>
        <w:t xml:space="preserve">October </w:t>
      </w:r>
      <w:r w:rsidRPr="0025653C">
        <w:rPr>
          <w:rFonts w:ascii="Georgia" w:hAnsi="Georgia" w:cs="Calibri"/>
          <w:color w:val="404040" w:themeColor="text1" w:themeTint="BF"/>
          <w:sz w:val="20"/>
        </w:rPr>
        <w:t>2020</w:t>
      </w:r>
      <w:r w:rsidR="001206D7" w:rsidRPr="0025653C">
        <w:rPr>
          <w:rFonts w:ascii="Georgia" w:hAnsi="Georgia" w:cs="Calibri"/>
          <w:color w:val="404040" w:themeColor="text1" w:themeTint="BF"/>
          <w:sz w:val="20"/>
        </w:rPr>
        <w:t xml:space="preserve"> to S</w:t>
      </w:r>
      <w:r w:rsidRPr="0025653C">
        <w:rPr>
          <w:rFonts w:ascii="Georgia" w:hAnsi="Georgia" w:cs="Calibri"/>
          <w:color w:val="404040" w:themeColor="text1" w:themeTint="BF"/>
          <w:sz w:val="20"/>
        </w:rPr>
        <w:t xml:space="preserve">hareholders on the register on </w:t>
      </w:r>
      <w:r w:rsidR="0025653C" w:rsidRPr="0025653C">
        <w:rPr>
          <w:rFonts w:ascii="Georgia" w:hAnsi="Georgia" w:cs="Calibri"/>
          <w:color w:val="404040" w:themeColor="text1" w:themeTint="BF"/>
          <w:sz w:val="20"/>
        </w:rPr>
        <w:t>2</w:t>
      </w:r>
      <w:r w:rsidRPr="0025653C">
        <w:rPr>
          <w:rFonts w:ascii="Georgia" w:hAnsi="Georgia" w:cs="Calibri"/>
          <w:color w:val="404040" w:themeColor="text1" w:themeTint="BF"/>
          <w:sz w:val="20"/>
        </w:rPr>
        <w:t xml:space="preserve"> October 2020.</w:t>
      </w:r>
      <w:r w:rsidRPr="007957AF">
        <w:rPr>
          <w:rFonts w:ascii="Georgia" w:hAnsi="Georgia" w:cs="Calibri"/>
          <w:color w:val="404040" w:themeColor="text1" w:themeTint="BF"/>
          <w:sz w:val="20"/>
        </w:rPr>
        <w:t xml:space="preserve"> </w:t>
      </w:r>
    </w:p>
    <w:p w14:paraId="70E5AFF4" w14:textId="1D10C5C6" w:rsidR="00CB0D1A" w:rsidRDefault="00CB0D1A" w:rsidP="00AC69D1">
      <w:pPr>
        <w:jc w:val="both"/>
        <w:rPr>
          <w:rFonts w:ascii="Georgia" w:hAnsi="Georgia"/>
          <w:color w:val="404040" w:themeColor="text1" w:themeTint="BF"/>
          <w:sz w:val="20"/>
          <w:szCs w:val="20"/>
        </w:rPr>
      </w:pPr>
    </w:p>
    <w:p w14:paraId="277FFF18" w14:textId="1F2E4F10" w:rsidR="00CB0D1A" w:rsidRDefault="00CB0D1A" w:rsidP="00AC69D1">
      <w:pPr>
        <w:jc w:val="both"/>
        <w:rPr>
          <w:rFonts w:ascii="Georgia" w:hAnsi="Georgia"/>
          <w:color w:val="404040" w:themeColor="text1" w:themeTint="BF"/>
          <w:sz w:val="20"/>
          <w:szCs w:val="20"/>
        </w:rPr>
      </w:pPr>
    </w:p>
    <w:p w14:paraId="4E9BE9A9" w14:textId="7DCD9264" w:rsidR="00CB0D1A" w:rsidRDefault="00CB0D1A" w:rsidP="00AC69D1">
      <w:pPr>
        <w:jc w:val="both"/>
        <w:rPr>
          <w:rFonts w:ascii="Georgia" w:hAnsi="Georgia"/>
          <w:color w:val="404040" w:themeColor="text1" w:themeTint="BF"/>
          <w:sz w:val="20"/>
          <w:szCs w:val="20"/>
        </w:rPr>
      </w:pPr>
    </w:p>
    <w:p w14:paraId="5276082E" w14:textId="0B2764AA" w:rsidR="00CB0D1A" w:rsidRDefault="00CB0D1A" w:rsidP="00AC69D1">
      <w:pPr>
        <w:jc w:val="both"/>
        <w:rPr>
          <w:rFonts w:ascii="Georgia" w:hAnsi="Georgia"/>
          <w:color w:val="404040" w:themeColor="text1" w:themeTint="BF"/>
          <w:sz w:val="20"/>
          <w:szCs w:val="20"/>
        </w:rPr>
      </w:pPr>
    </w:p>
    <w:p w14:paraId="014D9026" w14:textId="76C8B96D" w:rsidR="00CB0D1A" w:rsidRDefault="00CB0D1A" w:rsidP="00AC69D1">
      <w:pPr>
        <w:jc w:val="both"/>
        <w:rPr>
          <w:rFonts w:ascii="Georgia" w:hAnsi="Georgia"/>
          <w:color w:val="404040" w:themeColor="text1" w:themeTint="BF"/>
          <w:sz w:val="20"/>
          <w:szCs w:val="20"/>
        </w:rPr>
      </w:pPr>
    </w:p>
    <w:p w14:paraId="0D7E77D9" w14:textId="016BB277" w:rsidR="00CB0D1A" w:rsidRDefault="00CB0D1A" w:rsidP="00AC69D1">
      <w:pPr>
        <w:jc w:val="both"/>
        <w:rPr>
          <w:rFonts w:ascii="Georgia" w:hAnsi="Georgia"/>
          <w:color w:val="404040" w:themeColor="text1" w:themeTint="BF"/>
          <w:sz w:val="20"/>
          <w:szCs w:val="20"/>
        </w:rPr>
      </w:pPr>
    </w:p>
    <w:p w14:paraId="3AA46EC9" w14:textId="77777777" w:rsidR="00CB0D1A" w:rsidRDefault="00CB0D1A" w:rsidP="00AC69D1">
      <w:pPr>
        <w:jc w:val="both"/>
        <w:rPr>
          <w:rFonts w:ascii="Georgia" w:hAnsi="Georgia"/>
          <w:color w:val="404040" w:themeColor="text1" w:themeTint="BF"/>
          <w:sz w:val="20"/>
          <w:szCs w:val="20"/>
        </w:rPr>
      </w:pPr>
    </w:p>
    <w:p w14:paraId="250BBE47" w14:textId="60BF6A66" w:rsidR="00CB0D1A" w:rsidRPr="00AC69D1" w:rsidRDefault="00CB0D1A" w:rsidP="00CB0D1A">
      <w:pPr>
        <w:pStyle w:val="bo"/>
        <w:spacing w:before="0" w:beforeAutospacing="0" w:after="0" w:afterAutospacing="0" w:line="235" w:lineRule="atLeast"/>
        <w:jc w:val="both"/>
        <w:rPr>
          <w:rFonts w:ascii="Georgia" w:hAnsi="Georgia"/>
          <w:color w:val="404040" w:themeColor="text1" w:themeTint="BF"/>
          <w:sz w:val="20"/>
          <w:szCs w:val="20"/>
          <w:lang w:eastAsia="en-US"/>
        </w:rPr>
        <w:sectPr w:rsidR="00CB0D1A" w:rsidRPr="00AC69D1" w:rsidSect="00122DAE">
          <w:headerReference w:type="default" r:id="rId46"/>
          <w:headerReference w:type="first" r:id="rId47"/>
          <w:pgSz w:w="12240" w:h="15840" w:code="1"/>
          <w:pgMar w:top="1276" w:right="1440" w:bottom="567" w:left="1440" w:header="720" w:footer="187" w:gutter="0"/>
          <w:cols w:space="720"/>
          <w:titlePg/>
          <w:docGrid w:linePitch="326"/>
        </w:sectPr>
      </w:pPr>
    </w:p>
    <w:p w14:paraId="2A8F5EFF" w14:textId="3B27DF85" w:rsidR="00F7744E" w:rsidRDefault="00F7744E" w:rsidP="004522DF">
      <w:pPr>
        <w:jc w:val="both"/>
        <w:rPr>
          <w:rFonts w:ascii="Georgia" w:hAnsi="Georgia" w:cs="Calibri"/>
          <w:b/>
          <w:color w:val="404040" w:themeColor="text1" w:themeTint="BF"/>
          <w:sz w:val="20"/>
        </w:rPr>
      </w:pPr>
      <w:r>
        <w:rPr>
          <w:rFonts w:ascii="Georgia" w:hAnsi="Georgia" w:cs="Calibri"/>
          <w:b/>
          <w:color w:val="404040" w:themeColor="text1" w:themeTint="BF"/>
          <w:sz w:val="20"/>
        </w:rPr>
        <w:lastRenderedPageBreak/>
        <w:t xml:space="preserve">Administrator </w:t>
      </w:r>
      <w:r w:rsidR="00F64421">
        <w:rPr>
          <w:rFonts w:ascii="Georgia" w:hAnsi="Georgia" w:cs="Calibri"/>
          <w:color w:val="404040" w:themeColor="text1" w:themeTint="BF"/>
          <w:sz w:val="20"/>
        </w:rPr>
        <w:t xml:space="preserve">means </w:t>
      </w:r>
      <w:proofErr w:type="spellStart"/>
      <w:r w:rsidR="00BB1D31">
        <w:rPr>
          <w:rFonts w:ascii="Georgia" w:hAnsi="Georgia" w:cs="Calibri"/>
          <w:color w:val="404040" w:themeColor="text1" w:themeTint="BF"/>
          <w:sz w:val="20"/>
        </w:rPr>
        <w:t>Ocorian</w:t>
      </w:r>
      <w:proofErr w:type="spellEnd"/>
      <w:r w:rsidR="00BB1D31">
        <w:rPr>
          <w:rFonts w:ascii="Georgia" w:hAnsi="Georgia" w:cs="Calibri"/>
          <w:color w:val="404040" w:themeColor="text1" w:themeTint="BF"/>
          <w:sz w:val="20"/>
        </w:rPr>
        <w:t xml:space="preserve"> Administration</w:t>
      </w:r>
      <w:r w:rsidRPr="00F7744E">
        <w:rPr>
          <w:rFonts w:ascii="Georgia" w:hAnsi="Georgia" w:cs="Calibri"/>
          <w:color w:val="404040" w:themeColor="text1" w:themeTint="BF"/>
          <w:sz w:val="20"/>
        </w:rPr>
        <w:t xml:space="preserve"> </w:t>
      </w:r>
      <w:r w:rsidR="00F64421">
        <w:rPr>
          <w:rFonts w:ascii="Georgia" w:hAnsi="Georgia" w:cs="Calibri"/>
          <w:color w:val="404040" w:themeColor="text1" w:themeTint="BF"/>
          <w:sz w:val="20"/>
        </w:rPr>
        <w:t xml:space="preserve">(Guernsey) </w:t>
      </w:r>
      <w:r w:rsidRPr="00F7744E">
        <w:rPr>
          <w:rFonts w:ascii="Georgia" w:hAnsi="Georgia" w:cs="Calibri"/>
          <w:color w:val="404040" w:themeColor="text1" w:themeTint="BF"/>
          <w:sz w:val="20"/>
        </w:rPr>
        <w:t>Limited</w:t>
      </w:r>
    </w:p>
    <w:p w14:paraId="593C26E4" w14:textId="77777777" w:rsidR="00F7744E" w:rsidRDefault="00F7744E" w:rsidP="004522DF">
      <w:pPr>
        <w:jc w:val="both"/>
        <w:rPr>
          <w:rFonts w:ascii="Georgia" w:hAnsi="Georgia" w:cs="Calibri"/>
          <w:b/>
          <w:color w:val="404040" w:themeColor="text1" w:themeTint="BF"/>
          <w:sz w:val="20"/>
        </w:rPr>
      </w:pPr>
    </w:p>
    <w:p w14:paraId="7035E260" w14:textId="77777777" w:rsidR="0018287C" w:rsidRPr="00436CB7" w:rsidRDefault="0018287C" w:rsidP="004522DF">
      <w:pPr>
        <w:jc w:val="both"/>
        <w:rPr>
          <w:rFonts w:ascii="Arial" w:hAnsi="Arial" w:cs="Arial"/>
        </w:rPr>
      </w:pPr>
      <w:r w:rsidRPr="0018287C">
        <w:rPr>
          <w:rFonts w:ascii="Georgia" w:hAnsi="Georgia" w:cs="Calibri"/>
          <w:b/>
          <w:color w:val="404040" w:themeColor="text1" w:themeTint="BF"/>
          <w:sz w:val="20"/>
        </w:rPr>
        <w:t>AGM</w:t>
      </w:r>
      <w:r>
        <w:rPr>
          <w:rFonts w:ascii="Arial" w:hAnsi="Arial" w:cs="Arial"/>
          <w:b/>
        </w:rPr>
        <w:t xml:space="preserve"> </w:t>
      </w:r>
      <w:r w:rsidRPr="0018287C">
        <w:rPr>
          <w:rFonts w:ascii="Georgia" w:hAnsi="Georgia"/>
          <w:color w:val="404040" w:themeColor="text1" w:themeTint="BF"/>
          <w:sz w:val="20"/>
          <w:szCs w:val="20"/>
        </w:rPr>
        <w:t>means the Annual General Meeting</w:t>
      </w:r>
    </w:p>
    <w:p w14:paraId="5E3A80E6" w14:textId="77777777" w:rsidR="0018287C" w:rsidRPr="00AA5380" w:rsidRDefault="0018287C" w:rsidP="004522DF">
      <w:pPr>
        <w:jc w:val="both"/>
        <w:rPr>
          <w:rFonts w:ascii="Arial" w:hAnsi="Arial" w:cs="Arial"/>
          <w:b/>
          <w:sz w:val="20"/>
          <w:szCs w:val="20"/>
        </w:rPr>
      </w:pPr>
    </w:p>
    <w:p w14:paraId="056FD37F" w14:textId="77777777" w:rsidR="0018287C" w:rsidRPr="0018287C" w:rsidRDefault="0018287C" w:rsidP="004522DF">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AIC </w:t>
      </w:r>
      <w:r w:rsidRPr="0018287C">
        <w:rPr>
          <w:rFonts w:ascii="Georgia" w:hAnsi="Georgia" w:cs="Calibri"/>
          <w:color w:val="404040" w:themeColor="text1" w:themeTint="BF"/>
          <w:sz w:val="20"/>
        </w:rPr>
        <w:t>means the Association of Investment Companies</w:t>
      </w:r>
    </w:p>
    <w:p w14:paraId="2E115DBE" w14:textId="77777777" w:rsidR="0018287C" w:rsidRPr="0018287C" w:rsidRDefault="0018287C" w:rsidP="004522DF">
      <w:pPr>
        <w:jc w:val="both"/>
        <w:rPr>
          <w:rFonts w:ascii="Georgia" w:hAnsi="Georgia" w:cs="Calibri"/>
          <w:b/>
          <w:color w:val="404040" w:themeColor="text1" w:themeTint="BF"/>
          <w:sz w:val="20"/>
        </w:rPr>
      </w:pPr>
    </w:p>
    <w:p w14:paraId="6B461B1C" w14:textId="77777777" w:rsidR="0018287C" w:rsidRPr="0018287C" w:rsidRDefault="0018287C" w:rsidP="004522DF">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AIC Code </w:t>
      </w:r>
      <w:r w:rsidRPr="0018287C">
        <w:rPr>
          <w:rFonts w:ascii="Georgia" w:hAnsi="Georgia" w:cs="Calibri"/>
          <w:color w:val="404040" w:themeColor="text1" w:themeTint="BF"/>
          <w:sz w:val="20"/>
        </w:rPr>
        <w:t>means the Association of Investment Companies Code of Corporate Governance</w:t>
      </w:r>
    </w:p>
    <w:p w14:paraId="667C4CF6" w14:textId="39D0E5DE" w:rsidR="0018287C" w:rsidRDefault="0018287C" w:rsidP="0018287C">
      <w:pPr>
        <w:jc w:val="both"/>
        <w:rPr>
          <w:rFonts w:ascii="Georgia" w:hAnsi="Georgia" w:cs="Calibri"/>
          <w:b/>
          <w:color w:val="404040" w:themeColor="text1" w:themeTint="BF"/>
          <w:sz w:val="20"/>
        </w:rPr>
      </w:pPr>
    </w:p>
    <w:p w14:paraId="49A16F4E" w14:textId="77777777" w:rsidR="006B1F95" w:rsidRDefault="006B1F95" w:rsidP="006B1F95">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AIF </w:t>
      </w:r>
      <w:r w:rsidRPr="0018287C">
        <w:rPr>
          <w:rFonts w:ascii="Georgia" w:hAnsi="Georgia" w:cs="Calibri"/>
          <w:color w:val="404040" w:themeColor="text1" w:themeTint="BF"/>
          <w:sz w:val="20"/>
        </w:rPr>
        <w:t xml:space="preserve">means </w:t>
      </w:r>
      <w:r>
        <w:rPr>
          <w:rFonts w:ascii="Georgia" w:hAnsi="Georgia" w:cs="Calibri"/>
          <w:color w:val="404040" w:themeColor="text1" w:themeTint="BF"/>
          <w:sz w:val="20"/>
        </w:rPr>
        <w:t>Alternative Investment Fund</w:t>
      </w:r>
    </w:p>
    <w:p w14:paraId="5137D96E" w14:textId="77777777" w:rsidR="006B1F95" w:rsidRPr="0018287C" w:rsidRDefault="006B1F95" w:rsidP="006B1F95">
      <w:pPr>
        <w:jc w:val="both"/>
        <w:rPr>
          <w:rFonts w:ascii="Georgia" w:hAnsi="Georgia" w:cs="Calibri"/>
          <w:b/>
          <w:color w:val="404040" w:themeColor="text1" w:themeTint="BF"/>
          <w:sz w:val="20"/>
        </w:rPr>
      </w:pPr>
    </w:p>
    <w:p w14:paraId="669D1F7C" w14:textId="77777777" w:rsidR="006B1F95" w:rsidRPr="0018287C" w:rsidRDefault="006B1F95" w:rsidP="006B1F95">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AIFM </w:t>
      </w:r>
      <w:r>
        <w:rPr>
          <w:rFonts w:ascii="Georgia" w:hAnsi="Georgia" w:cs="Calibri"/>
          <w:color w:val="404040" w:themeColor="text1" w:themeTint="BF"/>
          <w:sz w:val="20"/>
        </w:rPr>
        <w:t>means</w:t>
      </w:r>
      <w:r w:rsidRPr="0018287C">
        <w:rPr>
          <w:rFonts w:ascii="Georgia" w:hAnsi="Georgia" w:cs="Calibri"/>
          <w:color w:val="404040" w:themeColor="text1" w:themeTint="BF"/>
          <w:sz w:val="20"/>
        </w:rPr>
        <w:t xml:space="preserve"> Alternative Investment Fund Management</w:t>
      </w:r>
    </w:p>
    <w:p w14:paraId="34CDBFAC" w14:textId="77777777" w:rsidR="006B1F95" w:rsidRPr="0018287C" w:rsidRDefault="006B1F95" w:rsidP="0018287C">
      <w:pPr>
        <w:jc w:val="both"/>
        <w:rPr>
          <w:rFonts w:ascii="Georgia" w:hAnsi="Georgia" w:cs="Calibri"/>
          <w:b/>
          <w:color w:val="404040" w:themeColor="text1" w:themeTint="BF"/>
          <w:sz w:val="20"/>
        </w:rPr>
      </w:pPr>
    </w:p>
    <w:p w14:paraId="543F0B57"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AIFMD </w:t>
      </w:r>
      <w:r w:rsidRPr="0018287C">
        <w:rPr>
          <w:rFonts w:ascii="Georgia" w:hAnsi="Georgia" w:cs="Calibri"/>
          <w:color w:val="404040" w:themeColor="text1" w:themeTint="BF"/>
          <w:sz w:val="20"/>
        </w:rPr>
        <w:t>means the Alternative Investment Fund Management Directive</w:t>
      </w:r>
    </w:p>
    <w:p w14:paraId="11A2EAFD" w14:textId="77777777" w:rsidR="0018287C" w:rsidRPr="0018287C" w:rsidRDefault="0018287C" w:rsidP="0018287C">
      <w:pPr>
        <w:jc w:val="both"/>
        <w:rPr>
          <w:rFonts w:ascii="Georgia" w:hAnsi="Georgia" w:cs="Calibri"/>
          <w:b/>
          <w:color w:val="404040" w:themeColor="text1" w:themeTint="BF"/>
          <w:sz w:val="20"/>
        </w:rPr>
      </w:pPr>
    </w:p>
    <w:p w14:paraId="321DB258" w14:textId="1BE11BE9"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Articles </w:t>
      </w:r>
      <w:r w:rsidRPr="0018287C">
        <w:rPr>
          <w:rFonts w:ascii="Georgia" w:hAnsi="Georgia" w:cs="Calibri"/>
          <w:color w:val="404040" w:themeColor="text1" w:themeTint="BF"/>
          <w:sz w:val="20"/>
        </w:rPr>
        <w:t xml:space="preserve">means the </w:t>
      </w:r>
      <w:r w:rsidR="005D5C0F">
        <w:rPr>
          <w:rFonts w:ascii="Georgia" w:hAnsi="Georgia" w:cs="Calibri"/>
          <w:color w:val="404040" w:themeColor="text1" w:themeTint="BF"/>
          <w:sz w:val="20"/>
        </w:rPr>
        <w:t xml:space="preserve">Memorandum </w:t>
      </w:r>
      <w:r w:rsidR="000B704F">
        <w:rPr>
          <w:rFonts w:ascii="Georgia" w:hAnsi="Georgia" w:cs="Calibri"/>
          <w:color w:val="404040" w:themeColor="text1" w:themeTint="BF"/>
          <w:sz w:val="20"/>
        </w:rPr>
        <w:t xml:space="preserve">of 29 May 2013 as amended </w:t>
      </w:r>
      <w:r w:rsidR="005D5C0F">
        <w:rPr>
          <w:rFonts w:ascii="Georgia" w:hAnsi="Georgia" w:cs="Calibri"/>
          <w:color w:val="404040" w:themeColor="text1" w:themeTint="BF"/>
          <w:sz w:val="20"/>
        </w:rPr>
        <w:t xml:space="preserve">and </w:t>
      </w:r>
      <w:r w:rsidRPr="0018287C">
        <w:rPr>
          <w:rFonts w:ascii="Georgia" w:hAnsi="Georgia" w:cs="Calibri"/>
          <w:color w:val="404040" w:themeColor="text1" w:themeTint="BF"/>
          <w:sz w:val="20"/>
        </w:rPr>
        <w:t>Articles of Incorporation</w:t>
      </w:r>
      <w:r w:rsidR="005D5C0F">
        <w:rPr>
          <w:rFonts w:ascii="Georgia" w:hAnsi="Georgia" w:cs="Calibri"/>
          <w:color w:val="404040" w:themeColor="text1" w:themeTint="BF"/>
          <w:sz w:val="20"/>
        </w:rPr>
        <w:t xml:space="preserve"> </w:t>
      </w:r>
      <w:r w:rsidR="000B704F">
        <w:rPr>
          <w:rFonts w:ascii="Georgia" w:hAnsi="Georgia" w:cs="Calibri"/>
          <w:color w:val="404040" w:themeColor="text1" w:themeTint="BF"/>
          <w:sz w:val="20"/>
        </w:rPr>
        <w:t>as ad</w:t>
      </w:r>
      <w:r w:rsidR="006422FC">
        <w:rPr>
          <w:rFonts w:ascii="Georgia" w:hAnsi="Georgia" w:cs="Calibri"/>
          <w:color w:val="404040" w:themeColor="text1" w:themeTint="BF"/>
          <w:sz w:val="20"/>
        </w:rPr>
        <w:t xml:space="preserve">opted by special resolution on </w:t>
      </w:r>
      <w:r w:rsidR="000B704F">
        <w:rPr>
          <w:rFonts w:ascii="Georgia" w:hAnsi="Georgia" w:cs="Calibri"/>
          <w:color w:val="404040" w:themeColor="text1" w:themeTint="BF"/>
          <w:sz w:val="20"/>
        </w:rPr>
        <w:t>7 November 2016.</w:t>
      </w:r>
    </w:p>
    <w:p w14:paraId="384FA9EB" w14:textId="77777777" w:rsidR="0018287C" w:rsidRPr="0018287C" w:rsidRDefault="0018287C" w:rsidP="0018287C">
      <w:pPr>
        <w:jc w:val="both"/>
        <w:rPr>
          <w:rFonts w:ascii="Georgia" w:hAnsi="Georgia" w:cs="Calibri"/>
          <w:b/>
          <w:color w:val="404040" w:themeColor="text1" w:themeTint="BF"/>
          <w:sz w:val="20"/>
        </w:rPr>
      </w:pPr>
    </w:p>
    <w:p w14:paraId="63366EF1" w14:textId="7777777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Auditor </w:t>
      </w:r>
      <w:r w:rsidRPr="0018287C">
        <w:rPr>
          <w:rFonts w:ascii="Georgia" w:hAnsi="Georgia" w:cs="Calibri"/>
          <w:color w:val="404040" w:themeColor="text1" w:themeTint="BF"/>
          <w:sz w:val="20"/>
        </w:rPr>
        <w:t>means KPMG Channel Islands Limited</w:t>
      </w:r>
      <w:r w:rsidR="0054171A">
        <w:rPr>
          <w:rFonts w:ascii="Georgia" w:hAnsi="Georgia" w:cs="Calibri"/>
          <w:color w:val="404040" w:themeColor="text1" w:themeTint="BF"/>
          <w:sz w:val="20"/>
        </w:rPr>
        <w:t xml:space="preserve"> (see KPMG)</w:t>
      </w:r>
    </w:p>
    <w:p w14:paraId="5EF5B08D" w14:textId="77777777" w:rsidR="006422FC" w:rsidRDefault="006422FC" w:rsidP="0018287C">
      <w:pPr>
        <w:jc w:val="both"/>
        <w:rPr>
          <w:rFonts w:ascii="Georgia" w:hAnsi="Georgia" w:cs="Calibri"/>
          <w:color w:val="404040" w:themeColor="text1" w:themeTint="BF"/>
          <w:sz w:val="20"/>
        </w:rPr>
      </w:pPr>
    </w:p>
    <w:p w14:paraId="1283060A" w14:textId="25F8839A" w:rsidR="006422FC" w:rsidRDefault="006422FC" w:rsidP="0018287C">
      <w:pPr>
        <w:jc w:val="both"/>
        <w:rPr>
          <w:rFonts w:ascii="Georgia" w:hAnsi="Georgia" w:cs="Calibri"/>
          <w:color w:val="404040" w:themeColor="text1" w:themeTint="BF"/>
          <w:sz w:val="20"/>
        </w:rPr>
      </w:pPr>
      <w:r w:rsidRPr="006422FC">
        <w:rPr>
          <w:rFonts w:ascii="Georgia" w:hAnsi="Georgia" w:cs="Calibri"/>
          <w:b/>
          <w:color w:val="404040" w:themeColor="text1" w:themeTint="BF"/>
          <w:sz w:val="20"/>
        </w:rPr>
        <w:t>Aviva Investors</w:t>
      </w:r>
      <w:r>
        <w:rPr>
          <w:rFonts w:ascii="Georgia" w:hAnsi="Georgia" w:cs="Calibri"/>
          <w:color w:val="404040" w:themeColor="text1" w:themeTint="BF"/>
          <w:sz w:val="20"/>
        </w:rPr>
        <w:t xml:space="preserve"> means Aviva Investors Limited</w:t>
      </w:r>
    </w:p>
    <w:p w14:paraId="4557756F" w14:textId="77777777" w:rsidR="00416D04" w:rsidRDefault="00416D04" w:rsidP="0018287C">
      <w:pPr>
        <w:jc w:val="both"/>
        <w:rPr>
          <w:rFonts w:ascii="Georgia" w:hAnsi="Georgia" w:cs="Calibri"/>
          <w:color w:val="404040" w:themeColor="text1" w:themeTint="BF"/>
          <w:sz w:val="20"/>
        </w:rPr>
      </w:pPr>
    </w:p>
    <w:p w14:paraId="47410D0D" w14:textId="259E8184" w:rsidR="00416D04" w:rsidRPr="0018287C" w:rsidRDefault="00416D04" w:rsidP="0018287C">
      <w:pPr>
        <w:jc w:val="both"/>
        <w:rPr>
          <w:rFonts w:ascii="Georgia" w:hAnsi="Georgia" w:cs="Calibri"/>
          <w:b/>
          <w:color w:val="404040" w:themeColor="text1" w:themeTint="BF"/>
          <w:sz w:val="20"/>
        </w:rPr>
      </w:pPr>
      <w:r w:rsidRPr="00416D04">
        <w:rPr>
          <w:rFonts w:ascii="Georgia" w:hAnsi="Georgia" w:cs="Calibri"/>
          <w:b/>
          <w:color w:val="404040" w:themeColor="text1" w:themeTint="BF"/>
          <w:sz w:val="20"/>
        </w:rPr>
        <w:t>BEIS</w:t>
      </w:r>
      <w:r>
        <w:rPr>
          <w:rFonts w:ascii="Georgia" w:hAnsi="Georgia" w:cs="Calibri"/>
          <w:color w:val="404040" w:themeColor="text1" w:themeTint="BF"/>
          <w:sz w:val="20"/>
        </w:rPr>
        <w:t xml:space="preserve"> means The Department for Business, Energy and Industrial Strategy</w:t>
      </w:r>
    </w:p>
    <w:p w14:paraId="3A4AF3D6" w14:textId="77777777" w:rsidR="0018287C" w:rsidRPr="0018287C" w:rsidRDefault="0018287C" w:rsidP="0018287C">
      <w:pPr>
        <w:jc w:val="both"/>
        <w:rPr>
          <w:rFonts w:ascii="Georgia" w:hAnsi="Georgia" w:cs="Calibri"/>
          <w:b/>
          <w:color w:val="404040" w:themeColor="text1" w:themeTint="BF"/>
          <w:sz w:val="20"/>
        </w:rPr>
      </w:pPr>
    </w:p>
    <w:p w14:paraId="34EED231" w14:textId="0E41CDE2" w:rsidR="00771642" w:rsidRDefault="00771642" w:rsidP="0018287C">
      <w:pPr>
        <w:jc w:val="both"/>
        <w:rPr>
          <w:rFonts w:ascii="Georgia" w:hAnsi="Georgia" w:cs="Calibri"/>
          <w:b/>
          <w:color w:val="404040" w:themeColor="text1" w:themeTint="BF"/>
          <w:sz w:val="20"/>
        </w:rPr>
      </w:pPr>
      <w:r>
        <w:rPr>
          <w:rFonts w:ascii="Georgia" w:hAnsi="Georgia" w:cs="Calibri"/>
          <w:b/>
          <w:color w:val="404040" w:themeColor="text1" w:themeTint="BF"/>
          <w:sz w:val="20"/>
        </w:rPr>
        <w:t xml:space="preserve">BEPS </w:t>
      </w:r>
      <w:r w:rsidRPr="00AA5380">
        <w:rPr>
          <w:rFonts w:ascii="Georgia" w:hAnsi="Georgia" w:cs="Calibri"/>
          <w:color w:val="404040" w:themeColor="text1" w:themeTint="BF"/>
          <w:sz w:val="20"/>
        </w:rPr>
        <w:t xml:space="preserve">means </w:t>
      </w:r>
      <w:r w:rsidR="00AA5380" w:rsidRPr="00AA5380">
        <w:rPr>
          <w:rFonts w:ascii="Georgia" w:hAnsi="Georgia" w:cs="Calibri"/>
          <w:color w:val="404040" w:themeColor="text1" w:themeTint="BF"/>
          <w:sz w:val="20"/>
        </w:rPr>
        <w:t>Base erosion and profit shifting</w:t>
      </w:r>
    </w:p>
    <w:p w14:paraId="4902769F" w14:textId="77777777" w:rsidR="00771642" w:rsidRDefault="00771642" w:rsidP="0018287C">
      <w:pPr>
        <w:jc w:val="both"/>
        <w:rPr>
          <w:rFonts w:ascii="Georgia" w:hAnsi="Georgia" w:cs="Calibri"/>
          <w:b/>
          <w:color w:val="404040" w:themeColor="text1" w:themeTint="BF"/>
          <w:sz w:val="20"/>
        </w:rPr>
      </w:pPr>
    </w:p>
    <w:p w14:paraId="68791BE0" w14:textId="704FAA7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Bluefield </w:t>
      </w:r>
      <w:r w:rsidRPr="0018287C">
        <w:rPr>
          <w:rFonts w:ascii="Georgia" w:hAnsi="Georgia" w:cs="Calibri"/>
          <w:color w:val="404040" w:themeColor="text1" w:themeTint="BF"/>
          <w:sz w:val="20"/>
        </w:rPr>
        <w:t>means Bluefield Partners LLP</w:t>
      </w:r>
    </w:p>
    <w:p w14:paraId="3B4B830E" w14:textId="7BF86B95" w:rsidR="003D4628" w:rsidRDefault="003D4628" w:rsidP="0018287C">
      <w:pPr>
        <w:jc w:val="both"/>
        <w:rPr>
          <w:rFonts w:ascii="Georgia" w:hAnsi="Georgia" w:cs="Calibri"/>
          <w:color w:val="404040" w:themeColor="text1" w:themeTint="BF"/>
          <w:sz w:val="20"/>
        </w:rPr>
      </w:pPr>
    </w:p>
    <w:p w14:paraId="04441B0F" w14:textId="4E357719" w:rsidR="003D4628" w:rsidRDefault="003D4628" w:rsidP="0018287C">
      <w:pPr>
        <w:jc w:val="both"/>
        <w:rPr>
          <w:rFonts w:ascii="Georgia" w:hAnsi="Georgia" w:cs="Calibri"/>
          <w:color w:val="404040" w:themeColor="text1" w:themeTint="BF"/>
          <w:sz w:val="20"/>
        </w:rPr>
      </w:pPr>
      <w:r w:rsidRPr="00C135B8">
        <w:rPr>
          <w:rFonts w:ascii="Georgia" w:hAnsi="Georgia" w:cs="Calibri"/>
          <w:b/>
          <w:color w:val="404040" w:themeColor="text1" w:themeTint="BF"/>
          <w:sz w:val="20"/>
        </w:rPr>
        <w:t>BOL</w:t>
      </w:r>
      <w:r>
        <w:rPr>
          <w:rFonts w:ascii="Georgia" w:hAnsi="Georgia" w:cs="Calibri"/>
          <w:color w:val="404040" w:themeColor="text1" w:themeTint="BF"/>
          <w:sz w:val="20"/>
        </w:rPr>
        <w:t xml:space="preserve"> means Bluefield Operations Limited</w:t>
      </w:r>
    </w:p>
    <w:p w14:paraId="3AB6A380" w14:textId="77777777" w:rsidR="003D4628" w:rsidRDefault="003D4628" w:rsidP="003D4628">
      <w:pPr>
        <w:jc w:val="both"/>
        <w:rPr>
          <w:rFonts w:ascii="Georgia" w:hAnsi="Georgia" w:cs="Calibri"/>
          <w:b/>
          <w:color w:val="404040" w:themeColor="text1" w:themeTint="BF"/>
          <w:sz w:val="20"/>
        </w:rPr>
      </w:pPr>
    </w:p>
    <w:p w14:paraId="3CDBEA15" w14:textId="67AB8914" w:rsidR="003D4628" w:rsidRDefault="003D4628" w:rsidP="003D4628">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Board</w:t>
      </w:r>
      <w:r w:rsidRPr="0018287C">
        <w:rPr>
          <w:rFonts w:ascii="Georgia" w:hAnsi="Georgia" w:cs="Calibri"/>
          <w:color w:val="404040" w:themeColor="text1" w:themeTint="BF"/>
          <w:sz w:val="20"/>
        </w:rPr>
        <w:t xml:space="preserve"> means the Directors of the Company</w:t>
      </w:r>
    </w:p>
    <w:p w14:paraId="092F56FD" w14:textId="77777777" w:rsidR="00636B56" w:rsidRDefault="00636B56" w:rsidP="0018287C">
      <w:pPr>
        <w:jc w:val="both"/>
        <w:rPr>
          <w:rFonts w:ascii="Georgia" w:hAnsi="Georgia" w:cs="Calibri"/>
          <w:b/>
          <w:color w:val="404040" w:themeColor="text1" w:themeTint="BF"/>
          <w:sz w:val="20"/>
        </w:rPr>
      </w:pPr>
    </w:p>
    <w:p w14:paraId="54871F1C" w14:textId="38EFB88A" w:rsidR="00843748" w:rsidRDefault="00843748" w:rsidP="0018287C">
      <w:pPr>
        <w:jc w:val="both"/>
        <w:rPr>
          <w:rFonts w:ascii="Georgia" w:hAnsi="Georgia" w:cs="Calibri"/>
          <w:color w:val="404040" w:themeColor="text1" w:themeTint="BF"/>
          <w:sz w:val="20"/>
        </w:rPr>
      </w:pPr>
      <w:proofErr w:type="spellStart"/>
      <w:r>
        <w:rPr>
          <w:rFonts w:ascii="Georgia" w:hAnsi="Georgia" w:cs="Calibri"/>
          <w:b/>
          <w:color w:val="404040" w:themeColor="text1" w:themeTint="BF"/>
          <w:sz w:val="20"/>
        </w:rPr>
        <w:t>Brexit</w:t>
      </w:r>
      <w:proofErr w:type="spellEnd"/>
      <w:r>
        <w:rPr>
          <w:rFonts w:ascii="Georgia" w:hAnsi="Georgia" w:cs="Calibri"/>
          <w:b/>
          <w:color w:val="404040" w:themeColor="text1" w:themeTint="BF"/>
          <w:sz w:val="20"/>
        </w:rPr>
        <w:t xml:space="preserve"> </w:t>
      </w:r>
      <w:r w:rsidRPr="00843748">
        <w:rPr>
          <w:rFonts w:ascii="Georgia" w:hAnsi="Georgia" w:cs="Calibri"/>
          <w:color w:val="404040" w:themeColor="text1" w:themeTint="BF"/>
          <w:sz w:val="20"/>
        </w:rPr>
        <w:t>means departure of the UK from the EU</w:t>
      </w:r>
    </w:p>
    <w:p w14:paraId="51A43909" w14:textId="13EC8B07" w:rsidR="00B164B3" w:rsidRDefault="00B164B3" w:rsidP="0018287C">
      <w:pPr>
        <w:jc w:val="both"/>
        <w:rPr>
          <w:rFonts w:ascii="Georgia" w:hAnsi="Georgia" w:cs="Calibri"/>
          <w:color w:val="404040" w:themeColor="text1" w:themeTint="BF"/>
          <w:sz w:val="20"/>
        </w:rPr>
      </w:pPr>
    </w:p>
    <w:p w14:paraId="57DDADB5" w14:textId="6ACAF4F2" w:rsidR="00B164B3" w:rsidRPr="00B164B3" w:rsidRDefault="00B164B3" w:rsidP="0018287C">
      <w:pPr>
        <w:jc w:val="both"/>
        <w:rPr>
          <w:rFonts w:ascii="Georgia" w:hAnsi="Georgia" w:cs="Calibri"/>
          <w:color w:val="404040" w:themeColor="text1" w:themeTint="BF"/>
          <w:sz w:val="20"/>
        </w:rPr>
      </w:pPr>
      <w:r w:rsidRPr="00B164B3">
        <w:rPr>
          <w:rFonts w:ascii="Georgia" w:hAnsi="Georgia" w:cs="Calibri"/>
          <w:b/>
          <w:color w:val="404040" w:themeColor="text1" w:themeTint="BF"/>
          <w:sz w:val="20"/>
        </w:rPr>
        <w:t xml:space="preserve">BSIF </w:t>
      </w:r>
      <w:r w:rsidRPr="00B164B3">
        <w:rPr>
          <w:rFonts w:ascii="Georgia" w:hAnsi="Georgia" w:cs="Calibri"/>
          <w:color w:val="404040" w:themeColor="text1" w:themeTint="BF"/>
          <w:sz w:val="20"/>
        </w:rPr>
        <w:t>means Bluefield Solar Income Fund Limited</w:t>
      </w:r>
    </w:p>
    <w:p w14:paraId="1BF4E42B" w14:textId="77777777" w:rsidR="0018287C" w:rsidRPr="00B164B3" w:rsidRDefault="0018287C" w:rsidP="0018287C">
      <w:pPr>
        <w:jc w:val="both"/>
        <w:rPr>
          <w:rFonts w:ascii="Georgia" w:hAnsi="Georgia" w:cs="Calibri"/>
          <w:color w:val="404040" w:themeColor="text1" w:themeTint="BF"/>
          <w:sz w:val="20"/>
        </w:rPr>
      </w:pPr>
    </w:p>
    <w:p w14:paraId="1CE203E4" w14:textId="62D3BE0D"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BSIFIL </w:t>
      </w:r>
      <w:r w:rsidRPr="0018287C">
        <w:rPr>
          <w:rFonts w:ascii="Georgia" w:hAnsi="Georgia" w:cs="Calibri"/>
          <w:color w:val="404040" w:themeColor="text1" w:themeTint="BF"/>
          <w:sz w:val="20"/>
        </w:rPr>
        <w:t>means Bluefield SIF Investments Limited</w:t>
      </w:r>
      <w:r w:rsidR="005D5C0F">
        <w:rPr>
          <w:rFonts w:ascii="Georgia" w:hAnsi="Georgia" w:cs="Calibri"/>
          <w:color w:val="404040" w:themeColor="text1" w:themeTint="BF"/>
          <w:sz w:val="20"/>
        </w:rPr>
        <w:t xml:space="preserve"> being the only direct subsidiary of the Company</w:t>
      </w:r>
    </w:p>
    <w:p w14:paraId="702ED542" w14:textId="618A596F" w:rsidR="00566BD8" w:rsidRDefault="00566BD8" w:rsidP="0018287C">
      <w:pPr>
        <w:jc w:val="both"/>
        <w:rPr>
          <w:rFonts w:ascii="Georgia" w:hAnsi="Georgia" w:cs="Calibri"/>
          <w:color w:val="404040" w:themeColor="text1" w:themeTint="BF"/>
          <w:sz w:val="20"/>
        </w:rPr>
      </w:pPr>
    </w:p>
    <w:p w14:paraId="6770C34B" w14:textId="77777777" w:rsidR="003D4628" w:rsidRDefault="003D4628" w:rsidP="003D4628">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BSL </w:t>
      </w:r>
      <w:r w:rsidRPr="0024470F">
        <w:rPr>
          <w:rFonts w:ascii="Georgia" w:hAnsi="Georgia" w:cs="Calibri"/>
          <w:color w:val="404040" w:themeColor="text1" w:themeTint="BF"/>
          <w:sz w:val="20"/>
        </w:rPr>
        <w:t>means</w:t>
      </w:r>
      <w:r w:rsidRPr="00636B56">
        <w:rPr>
          <w:rFonts w:ascii="Georgia" w:hAnsi="Georgia" w:cs="Calibri"/>
          <w:color w:val="404040" w:themeColor="text1" w:themeTint="BF"/>
          <w:sz w:val="20"/>
        </w:rPr>
        <w:t xml:space="preserve"> Bluefield </w:t>
      </w:r>
      <w:r>
        <w:rPr>
          <w:rFonts w:ascii="Georgia" w:hAnsi="Georgia" w:cs="Calibri"/>
          <w:color w:val="404040" w:themeColor="text1" w:themeTint="BF"/>
          <w:sz w:val="20"/>
        </w:rPr>
        <w:t xml:space="preserve">Asset Management </w:t>
      </w:r>
      <w:r w:rsidRPr="00636B56">
        <w:rPr>
          <w:rFonts w:ascii="Georgia" w:hAnsi="Georgia" w:cs="Calibri"/>
          <w:color w:val="404040" w:themeColor="text1" w:themeTint="BF"/>
          <w:sz w:val="20"/>
        </w:rPr>
        <w:t>Services Limited</w:t>
      </w:r>
    </w:p>
    <w:p w14:paraId="0085F027" w14:textId="77777777" w:rsidR="003D4628" w:rsidRDefault="003D4628" w:rsidP="0018287C">
      <w:pPr>
        <w:jc w:val="both"/>
        <w:rPr>
          <w:rFonts w:ascii="Georgia" w:hAnsi="Georgia" w:cs="Calibri"/>
          <w:color w:val="404040" w:themeColor="text1" w:themeTint="BF"/>
          <w:sz w:val="20"/>
        </w:rPr>
      </w:pPr>
    </w:p>
    <w:p w14:paraId="5600C41C" w14:textId="56039717" w:rsidR="00566BD8" w:rsidRPr="0018287C" w:rsidRDefault="00566BD8" w:rsidP="0018287C">
      <w:pPr>
        <w:jc w:val="both"/>
        <w:rPr>
          <w:rFonts w:ascii="Georgia" w:hAnsi="Georgia" w:cs="Calibri"/>
          <w:b/>
          <w:color w:val="404040" w:themeColor="text1" w:themeTint="BF"/>
          <w:sz w:val="20"/>
        </w:rPr>
      </w:pPr>
      <w:proofErr w:type="spellStart"/>
      <w:r w:rsidRPr="00566BD8">
        <w:rPr>
          <w:rFonts w:ascii="Georgia" w:hAnsi="Georgia" w:cs="Calibri"/>
          <w:b/>
          <w:color w:val="404040" w:themeColor="text1" w:themeTint="BF"/>
          <w:sz w:val="20"/>
        </w:rPr>
        <w:t>BSUoS</w:t>
      </w:r>
      <w:proofErr w:type="spellEnd"/>
      <w:r w:rsidRPr="00566BD8">
        <w:rPr>
          <w:rFonts w:ascii="Georgia" w:hAnsi="Georgia" w:cs="Calibri"/>
          <w:b/>
          <w:color w:val="404040" w:themeColor="text1" w:themeTint="BF"/>
          <w:sz w:val="20"/>
        </w:rPr>
        <w:t xml:space="preserve"> </w:t>
      </w:r>
      <w:r w:rsidRPr="00566BD8">
        <w:rPr>
          <w:rFonts w:ascii="Georgia" w:hAnsi="Georgia" w:cs="Calibri"/>
          <w:color w:val="404040" w:themeColor="text1" w:themeTint="BF"/>
          <w:sz w:val="20"/>
        </w:rPr>
        <w:t xml:space="preserve">means Balancing Services Use of System charges: costs set to ensure that network companies can recover their allowed revenue under </w:t>
      </w:r>
      <w:proofErr w:type="spellStart"/>
      <w:r w:rsidRPr="00566BD8">
        <w:rPr>
          <w:rFonts w:ascii="Georgia" w:hAnsi="Georgia" w:cs="Calibri"/>
          <w:color w:val="404040" w:themeColor="text1" w:themeTint="BF"/>
          <w:sz w:val="20"/>
        </w:rPr>
        <w:t>Ofgem</w:t>
      </w:r>
      <w:proofErr w:type="spellEnd"/>
      <w:r w:rsidRPr="00566BD8">
        <w:rPr>
          <w:rFonts w:ascii="Georgia" w:hAnsi="Georgia" w:cs="Calibri"/>
          <w:color w:val="404040" w:themeColor="text1" w:themeTint="BF"/>
          <w:sz w:val="20"/>
        </w:rPr>
        <w:t xml:space="preserve"> price controls</w:t>
      </w:r>
    </w:p>
    <w:p w14:paraId="25BBF322" w14:textId="77777777" w:rsidR="0018287C" w:rsidRDefault="0018287C" w:rsidP="0018287C">
      <w:pPr>
        <w:jc w:val="both"/>
        <w:rPr>
          <w:rFonts w:ascii="Georgia" w:hAnsi="Georgia" w:cs="Calibri"/>
          <w:b/>
          <w:color w:val="404040" w:themeColor="text1" w:themeTint="BF"/>
          <w:sz w:val="20"/>
        </w:rPr>
      </w:pPr>
    </w:p>
    <w:p w14:paraId="366B26C2" w14:textId="0E19FA8D" w:rsidR="006B1F95" w:rsidRDefault="006B1F95" w:rsidP="006B1F95">
      <w:pPr>
        <w:jc w:val="both"/>
        <w:rPr>
          <w:rFonts w:ascii="Georgia" w:hAnsi="Georgia" w:cs="Calibri"/>
          <w:color w:val="404040" w:themeColor="text1" w:themeTint="BF"/>
          <w:sz w:val="20"/>
        </w:rPr>
      </w:pPr>
      <w:r>
        <w:rPr>
          <w:rFonts w:ascii="Georgia" w:hAnsi="Georgia" w:cs="Calibri"/>
          <w:b/>
          <w:color w:val="404040" w:themeColor="text1" w:themeTint="BF"/>
          <w:sz w:val="20"/>
        </w:rPr>
        <w:t>Business days</w:t>
      </w:r>
      <w:r w:rsidRPr="0018287C">
        <w:rPr>
          <w:rFonts w:ascii="Georgia" w:hAnsi="Georgia" w:cs="Calibri"/>
          <w:b/>
          <w:color w:val="404040" w:themeColor="text1" w:themeTint="BF"/>
          <w:sz w:val="20"/>
        </w:rPr>
        <w:t xml:space="preserve"> </w:t>
      </w:r>
      <w:r w:rsidRPr="0018287C">
        <w:rPr>
          <w:rFonts w:ascii="Georgia" w:hAnsi="Georgia" w:cs="Calibri"/>
          <w:color w:val="404040" w:themeColor="text1" w:themeTint="BF"/>
          <w:sz w:val="20"/>
        </w:rPr>
        <w:t xml:space="preserve">means </w:t>
      </w:r>
      <w:r>
        <w:rPr>
          <w:rFonts w:ascii="Georgia" w:hAnsi="Georgia" w:cs="Calibri"/>
          <w:color w:val="404040" w:themeColor="text1" w:themeTint="BF"/>
          <w:sz w:val="20"/>
        </w:rPr>
        <w:t>every official working day of the week, generally Monday to Friday excluding public holidays</w:t>
      </w:r>
    </w:p>
    <w:p w14:paraId="15ADA0DB" w14:textId="57E00917" w:rsidR="00566BD8" w:rsidRDefault="00566BD8" w:rsidP="006B1F95">
      <w:pPr>
        <w:jc w:val="both"/>
        <w:rPr>
          <w:rFonts w:ascii="Georgia" w:hAnsi="Georgia" w:cs="Calibri"/>
          <w:color w:val="404040" w:themeColor="text1" w:themeTint="BF"/>
          <w:sz w:val="20"/>
        </w:rPr>
      </w:pPr>
    </w:p>
    <w:p w14:paraId="48C99D2F" w14:textId="00679AE2" w:rsidR="00566BD8" w:rsidRPr="0018287C" w:rsidRDefault="00566BD8" w:rsidP="006B1F95">
      <w:pPr>
        <w:jc w:val="both"/>
        <w:rPr>
          <w:rFonts w:ascii="Georgia" w:hAnsi="Georgia" w:cs="Calibri"/>
          <w:b/>
          <w:color w:val="404040" w:themeColor="text1" w:themeTint="BF"/>
          <w:sz w:val="20"/>
        </w:rPr>
      </w:pPr>
      <w:r w:rsidRPr="00566BD8">
        <w:rPr>
          <w:rFonts w:ascii="Georgia" w:hAnsi="Georgia" w:cs="Calibri"/>
          <w:b/>
          <w:color w:val="404040" w:themeColor="text1" w:themeTint="BF"/>
          <w:sz w:val="20"/>
        </w:rPr>
        <w:t xml:space="preserve">CAGR </w:t>
      </w:r>
      <w:r w:rsidRPr="00566BD8">
        <w:rPr>
          <w:rFonts w:ascii="Georgia" w:hAnsi="Georgia" w:cs="Calibri"/>
          <w:color w:val="404040" w:themeColor="text1" w:themeTint="BF"/>
          <w:sz w:val="20"/>
        </w:rPr>
        <w:t>means compound annual growth rate</w:t>
      </w:r>
    </w:p>
    <w:p w14:paraId="47BABE49" w14:textId="547EB146" w:rsidR="006B1F95" w:rsidRDefault="006B1F95" w:rsidP="0018287C">
      <w:pPr>
        <w:jc w:val="both"/>
        <w:rPr>
          <w:rFonts w:ascii="Georgia" w:hAnsi="Georgia" w:cs="Calibri"/>
          <w:b/>
          <w:color w:val="404040" w:themeColor="text1" w:themeTint="BF"/>
          <w:sz w:val="20"/>
        </w:rPr>
      </w:pPr>
    </w:p>
    <w:p w14:paraId="1B63AEC3" w14:textId="39751933" w:rsidR="00B164B3" w:rsidRDefault="00B164B3" w:rsidP="0018287C">
      <w:pPr>
        <w:jc w:val="both"/>
        <w:rPr>
          <w:rFonts w:ascii="Georgia" w:hAnsi="Georgia" w:cs="Calibri"/>
          <w:color w:val="404040" w:themeColor="text1" w:themeTint="BF"/>
          <w:sz w:val="20"/>
        </w:rPr>
      </w:pPr>
      <w:r w:rsidRPr="00B164B3">
        <w:rPr>
          <w:rFonts w:ascii="Georgia" w:hAnsi="Georgia" w:cs="Calibri"/>
          <w:b/>
          <w:color w:val="404040" w:themeColor="text1" w:themeTint="BF"/>
          <w:sz w:val="20"/>
        </w:rPr>
        <w:t xml:space="preserve">Calculation Time </w:t>
      </w:r>
      <w:r w:rsidRPr="00B164B3">
        <w:rPr>
          <w:rFonts w:ascii="Georgia" w:hAnsi="Georgia" w:cs="Calibri"/>
          <w:color w:val="404040" w:themeColor="text1" w:themeTint="BF"/>
          <w:sz w:val="20"/>
        </w:rPr>
        <w:t>means The Calculation Time as set out in the Articles of Incorporation</w:t>
      </w:r>
    </w:p>
    <w:p w14:paraId="5C548072" w14:textId="1638D8D7" w:rsidR="001E397A" w:rsidRDefault="001E397A" w:rsidP="0018287C">
      <w:pPr>
        <w:jc w:val="both"/>
        <w:rPr>
          <w:rFonts w:ascii="Georgia" w:hAnsi="Georgia" w:cs="Calibri"/>
          <w:color w:val="404040" w:themeColor="text1" w:themeTint="BF"/>
          <w:sz w:val="20"/>
        </w:rPr>
      </w:pPr>
    </w:p>
    <w:p w14:paraId="1DE366E1" w14:textId="5D45B91E" w:rsidR="001E397A" w:rsidRPr="00B164B3" w:rsidRDefault="001E397A" w:rsidP="0018287C">
      <w:pPr>
        <w:jc w:val="both"/>
        <w:rPr>
          <w:rFonts w:ascii="Georgia" w:hAnsi="Georgia" w:cs="Calibri"/>
          <w:color w:val="404040" w:themeColor="text1" w:themeTint="BF"/>
          <w:sz w:val="20"/>
        </w:rPr>
      </w:pPr>
      <w:r w:rsidRPr="001E397A">
        <w:rPr>
          <w:rFonts w:ascii="Georgia" w:hAnsi="Georgia" w:cs="Calibri"/>
          <w:b/>
          <w:color w:val="404040" w:themeColor="text1" w:themeTint="BF"/>
          <w:sz w:val="20"/>
        </w:rPr>
        <w:t xml:space="preserve">CCC </w:t>
      </w:r>
      <w:r w:rsidRPr="001E397A">
        <w:rPr>
          <w:rFonts w:ascii="Georgia" w:hAnsi="Georgia" w:cs="Calibri"/>
          <w:color w:val="404040" w:themeColor="text1" w:themeTint="BF"/>
          <w:sz w:val="20"/>
        </w:rPr>
        <w:t>means Committee on Climate Change</w:t>
      </w:r>
    </w:p>
    <w:p w14:paraId="574AE262" w14:textId="77777777" w:rsidR="00B164B3" w:rsidRPr="0018287C" w:rsidRDefault="00B164B3" w:rsidP="0018287C">
      <w:pPr>
        <w:jc w:val="both"/>
        <w:rPr>
          <w:rFonts w:ascii="Georgia" w:hAnsi="Georgia" w:cs="Calibri"/>
          <w:b/>
          <w:color w:val="404040" w:themeColor="text1" w:themeTint="BF"/>
          <w:sz w:val="20"/>
        </w:rPr>
      </w:pPr>
    </w:p>
    <w:p w14:paraId="174AA7E8" w14:textId="77777777" w:rsidR="0018287C" w:rsidRDefault="0018287C" w:rsidP="0018287C">
      <w:pPr>
        <w:jc w:val="both"/>
        <w:rPr>
          <w:rFonts w:ascii="Georgia" w:hAnsi="Georgia" w:cs="Calibri"/>
          <w:color w:val="404040" w:themeColor="text1" w:themeTint="BF"/>
          <w:sz w:val="20"/>
        </w:rPr>
      </w:pPr>
      <w:proofErr w:type="spellStart"/>
      <w:r w:rsidRPr="0018287C">
        <w:rPr>
          <w:rFonts w:ascii="Georgia" w:hAnsi="Georgia" w:cs="Calibri"/>
          <w:b/>
          <w:color w:val="404040" w:themeColor="text1" w:themeTint="BF"/>
          <w:sz w:val="20"/>
        </w:rPr>
        <w:t>CfD</w:t>
      </w:r>
      <w:proofErr w:type="spellEnd"/>
      <w:r w:rsidRPr="0018287C">
        <w:rPr>
          <w:rFonts w:ascii="Georgia" w:hAnsi="Georgia" w:cs="Calibri"/>
          <w:b/>
          <w:color w:val="404040" w:themeColor="text1" w:themeTint="BF"/>
          <w:sz w:val="20"/>
        </w:rPr>
        <w:t xml:space="preserve"> </w:t>
      </w:r>
      <w:r w:rsidRPr="0018287C">
        <w:rPr>
          <w:rFonts w:ascii="Georgia" w:hAnsi="Georgia" w:cs="Calibri"/>
          <w:color w:val="404040" w:themeColor="text1" w:themeTint="BF"/>
          <w:sz w:val="20"/>
        </w:rPr>
        <w:t>means Contract for Difference</w:t>
      </w:r>
    </w:p>
    <w:p w14:paraId="26183C3C" w14:textId="77777777" w:rsidR="005502F9" w:rsidRDefault="005502F9" w:rsidP="0018287C">
      <w:pPr>
        <w:jc w:val="both"/>
        <w:rPr>
          <w:rFonts w:ascii="Georgia" w:hAnsi="Georgia" w:cs="Calibri"/>
          <w:color w:val="404040" w:themeColor="text1" w:themeTint="BF"/>
          <w:sz w:val="20"/>
        </w:rPr>
      </w:pPr>
    </w:p>
    <w:p w14:paraId="0F0DFE55"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Company </w:t>
      </w:r>
      <w:r w:rsidRPr="0018287C">
        <w:rPr>
          <w:rFonts w:ascii="Georgia" w:hAnsi="Georgia" w:cs="Calibri"/>
          <w:color w:val="404040" w:themeColor="text1" w:themeTint="BF"/>
          <w:sz w:val="20"/>
        </w:rPr>
        <w:t xml:space="preserve">means Bluefield Solar Income Fund Limited </w:t>
      </w:r>
    </w:p>
    <w:p w14:paraId="26E2C68A" w14:textId="77777777" w:rsidR="0018287C" w:rsidRPr="0018287C" w:rsidRDefault="0018287C" w:rsidP="0018287C">
      <w:pPr>
        <w:jc w:val="both"/>
        <w:rPr>
          <w:rFonts w:ascii="Georgia" w:hAnsi="Georgia" w:cs="Calibri"/>
          <w:b/>
          <w:color w:val="404040" w:themeColor="text1" w:themeTint="BF"/>
          <w:sz w:val="20"/>
        </w:rPr>
      </w:pPr>
    </w:p>
    <w:p w14:paraId="64E776CB" w14:textId="77777777" w:rsidR="0018287C" w:rsidRP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Companies Law </w:t>
      </w:r>
      <w:r w:rsidRPr="0018287C">
        <w:rPr>
          <w:rFonts w:ascii="Georgia" w:hAnsi="Georgia" w:cs="Calibri"/>
          <w:color w:val="404040" w:themeColor="text1" w:themeTint="BF"/>
          <w:sz w:val="20"/>
        </w:rPr>
        <w:t>means the Companies (Guernsey) Law 2008</w:t>
      </w:r>
      <w:r w:rsidR="0054171A">
        <w:rPr>
          <w:rFonts w:ascii="Georgia" w:hAnsi="Georgia" w:cs="Calibri"/>
          <w:color w:val="404040" w:themeColor="text1" w:themeTint="BF"/>
          <w:sz w:val="20"/>
        </w:rPr>
        <w:t>, as amended (see Law)</w:t>
      </w:r>
    </w:p>
    <w:p w14:paraId="1EC541B5" w14:textId="77777777" w:rsidR="0018287C" w:rsidRPr="0018287C" w:rsidRDefault="0018287C" w:rsidP="0018287C">
      <w:pPr>
        <w:jc w:val="both"/>
        <w:rPr>
          <w:rFonts w:ascii="Georgia" w:hAnsi="Georgia" w:cs="Calibri"/>
          <w:b/>
          <w:color w:val="404040" w:themeColor="text1" w:themeTint="BF"/>
          <w:sz w:val="20"/>
        </w:rPr>
      </w:pPr>
    </w:p>
    <w:p w14:paraId="10768F2E" w14:textId="7777777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Consolidation Exception Amendments </w:t>
      </w:r>
      <w:r w:rsidRPr="0018287C">
        <w:rPr>
          <w:rFonts w:ascii="Georgia" w:hAnsi="Georgia" w:cs="Calibri"/>
          <w:color w:val="404040" w:themeColor="text1" w:themeTint="BF"/>
          <w:sz w:val="20"/>
        </w:rPr>
        <w:t>means the 18 December 2014 further amendments to IFRS 10 Investment Entities: Applying the Consolidation Exception (Amendments to IFRS 10, IFRS 12 and IAS 28)</w:t>
      </w:r>
    </w:p>
    <w:p w14:paraId="18D67AD2" w14:textId="77777777" w:rsidR="008B0463" w:rsidRDefault="008B0463" w:rsidP="0018287C">
      <w:pPr>
        <w:jc w:val="both"/>
        <w:rPr>
          <w:rFonts w:ascii="Georgia" w:hAnsi="Georgia" w:cs="Calibri"/>
          <w:color w:val="404040" w:themeColor="text1" w:themeTint="BF"/>
          <w:sz w:val="20"/>
        </w:rPr>
      </w:pPr>
    </w:p>
    <w:p w14:paraId="77329A62" w14:textId="4BD238C8" w:rsidR="008B0463" w:rsidRDefault="008B0463" w:rsidP="0018287C">
      <w:pPr>
        <w:jc w:val="both"/>
        <w:rPr>
          <w:rFonts w:ascii="Georgia" w:hAnsi="Georgia" w:cs="Calibri"/>
          <w:color w:val="404040" w:themeColor="text1" w:themeTint="BF"/>
          <w:sz w:val="20"/>
        </w:rPr>
      </w:pPr>
      <w:r w:rsidRPr="00450E17">
        <w:rPr>
          <w:rFonts w:ascii="Georgia" w:hAnsi="Georgia" w:cs="Calibri"/>
          <w:b/>
          <w:color w:val="404040" w:themeColor="text1" w:themeTint="BF"/>
          <w:sz w:val="20"/>
        </w:rPr>
        <w:t>Cost of debt</w:t>
      </w:r>
      <w:r w:rsidR="00B43DC2" w:rsidRPr="00450E17">
        <w:rPr>
          <w:rFonts w:ascii="Georgia" w:hAnsi="Georgia" w:cs="Calibri"/>
          <w:color w:val="404040" w:themeColor="text1" w:themeTint="BF"/>
          <w:sz w:val="20"/>
        </w:rPr>
        <w:t xml:space="preserve"> means the </w:t>
      </w:r>
      <w:r w:rsidRPr="00450E17">
        <w:rPr>
          <w:rFonts w:ascii="Georgia" w:hAnsi="Georgia" w:cs="Calibri"/>
          <w:color w:val="404040" w:themeColor="text1" w:themeTint="BF"/>
          <w:sz w:val="20"/>
        </w:rPr>
        <w:t>blended</w:t>
      </w:r>
      <w:r w:rsidR="00B43DC2" w:rsidRPr="00450E17">
        <w:rPr>
          <w:rFonts w:ascii="Georgia" w:hAnsi="Georgia" w:cs="Calibri"/>
          <w:color w:val="404040" w:themeColor="text1" w:themeTint="BF"/>
          <w:sz w:val="20"/>
        </w:rPr>
        <w:t xml:space="preserve"> cost of debt reflecting fixed and index-linked elements</w:t>
      </w:r>
    </w:p>
    <w:p w14:paraId="2F5F83B2" w14:textId="2A2DD670" w:rsidR="0018287C" w:rsidRDefault="0018287C" w:rsidP="0018287C">
      <w:pPr>
        <w:jc w:val="both"/>
        <w:rPr>
          <w:rFonts w:ascii="Georgia" w:hAnsi="Georgia" w:cs="Calibri"/>
          <w:b/>
          <w:color w:val="404040" w:themeColor="text1" w:themeTint="BF"/>
          <w:sz w:val="20"/>
        </w:rPr>
      </w:pPr>
    </w:p>
    <w:p w14:paraId="50F63102" w14:textId="37E182C8" w:rsidR="00A67EB4" w:rsidRDefault="00A67EB4"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CRS </w:t>
      </w:r>
      <w:r w:rsidR="008B0463">
        <w:rPr>
          <w:rFonts w:ascii="Georgia" w:hAnsi="Georgia" w:cs="Calibri"/>
          <w:color w:val="404040" w:themeColor="text1" w:themeTint="BF"/>
          <w:sz w:val="20"/>
        </w:rPr>
        <w:t>means Common Reporting Standard</w:t>
      </w:r>
    </w:p>
    <w:p w14:paraId="616307A0" w14:textId="63973034" w:rsidR="007252CB" w:rsidRDefault="007252CB" w:rsidP="0018287C">
      <w:pPr>
        <w:jc w:val="both"/>
        <w:rPr>
          <w:rFonts w:ascii="Georgia" w:hAnsi="Georgia" w:cs="Calibri"/>
          <w:color w:val="404040" w:themeColor="text1" w:themeTint="BF"/>
          <w:sz w:val="20"/>
        </w:rPr>
      </w:pPr>
    </w:p>
    <w:p w14:paraId="3A2122BE" w14:textId="7FD0FDA1" w:rsidR="007252CB" w:rsidRDefault="007252CB" w:rsidP="0018287C">
      <w:pPr>
        <w:jc w:val="both"/>
        <w:rPr>
          <w:rFonts w:ascii="Georgia" w:hAnsi="Georgia" w:cs="Calibri"/>
          <w:b/>
          <w:color w:val="404040" w:themeColor="text1" w:themeTint="BF"/>
          <w:sz w:val="20"/>
        </w:rPr>
      </w:pPr>
      <w:r w:rsidRPr="007252CB">
        <w:rPr>
          <w:rFonts w:ascii="Georgia" w:hAnsi="Georgia" w:cs="Calibri"/>
          <w:b/>
          <w:color w:val="404040" w:themeColor="text1" w:themeTint="BF"/>
          <w:sz w:val="20"/>
        </w:rPr>
        <w:t xml:space="preserve">C shares </w:t>
      </w:r>
      <w:r w:rsidRPr="007252CB">
        <w:rPr>
          <w:rFonts w:ascii="Georgia" w:hAnsi="Georgia" w:cs="Calibri"/>
          <w:color w:val="404040" w:themeColor="text1" w:themeTint="BF"/>
          <w:sz w:val="20"/>
        </w:rPr>
        <w:t>means Ordinary Shares approved for issue at no par value in the Company</w:t>
      </w:r>
    </w:p>
    <w:p w14:paraId="0FC2FE95" w14:textId="77777777" w:rsidR="00A67EB4" w:rsidRPr="0018287C" w:rsidRDefault="00A67EB4" w:rsidP="0018287C">
      <w:pPr>
        <w:jc w:val="both"/>
        <w:rPr>
          <w:rFonts w:ascii="Georgia" w:hAnsi="Georgia" w:cs="Calibri"/>
          <w:b/>
          <w:color w:val="404040" w:themeColor="text1" w:themeTint="BF"/>
          <w:sz w:val="20"/>
        </w:rPr>
      </w:pPr>
    </w:p>
    <w:p w14:paraId="53FB57B0" w14:textId="77777777" w:rsidR="00D91865" w:rsidRDefault="00D9186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CSR </w:t>
      </w:r>
      <w:r>
        <w:rPr>
          <w:rFonts w:ascii="Georgia" w:hAnsi="Georgia" w:cs="Calibri"/>
          <w:color w:val="404040" w:themeColor="text1" w:themeTint="BF"/>
          <w:sz w:val="20"/>
        </w:rPr>
        <w:t>means Corporate Social Responsibility</w:t>
      </w:r>
    </w:p>
    <w:p w14:paraId="6C5FE0B0" w14:textId="77777777" w:rsidR="004E4BF2" w:rsidRPr="00D91865" w:rsidRDefault="004E4BF2" w:rsidP="0018287C">
      <w:pPr>
        <w:jc w:val="both"/>
        <w:rPr>
          <w:rFonts w:ascii="Georgia" w:hAnsi="Georgia" w:cs="Calibri"/>
          <w:color w:val="404040" w:themeColor="text1" w:themeTint="BF"/>
          <w:sz w:val="20"/>
        </w:rPr>
      </w:pPr>
    </w:p>
    <w:p w14:paraId="353BB367" w14:textId="53A31868"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DCF </w:t>
      </w:r>
      <w:r w:rsidRPr="0018287C">
        <w:rPr>
          <w:rFonts w:ascii="Georgia" w:hAnsi="Georgia" w:cs="Calibri"/>
          <w:color w:val="404040" w:themeColor="text1" w:themeTint="BF"/>
          <w:sz w:val="20"/>
        </w:rPr>
        <w:t xml:space="preserve">means Discounted Cash Flow </w:t>
      </w:r>
    </w:p>
    <w:p w14:paraId="32EC3C14" w14:textId="31DECC08" w:rsidR="003D4628" w:rsidRDefault="003D4628" w:rsidP="0018287C">
      <w:pPr>
        <w:jc w:val="both"/>
        <w:rPr>
          <w:rFonts w:ascii="Georgia" w:hAnsi="Georgia" w:cs="Calibri"/>
          <w:color w:val="404040" w:themeColor="text1" w:themeTint="BF"/>
          <w:sz w:val="20"/>
        </w:rPr>
      </w:pPr>
    </w:p>
    <w:p w14:paraId="4B461DBB" w14:textId="687B82AD" w:rsidR="003D4628" w:rsidRPr="003D4628" w:rsidRDefault="004A5887" w:rsidP="0018287C">
      <w:pPr>
        <w:jc w:val="both"/>
        <w:rPr>
          <w:rFonts w:ascii="Georgia" w:hAnsi="Georgia" w:cs="Calibri"/>
          <w:color w:val="404040" w:themeColor="text1" w:themeTint="BF"/>
          <w:sz w:val="20"/>
        </w:rPr>
      </w:pPr>
      <w:r>
        <w:rPr>
          <w:rFonts w:ascii="Georgia" w:hAnsi="Georgia" w:cs="Calibri"/>
          <w:b/>
          <w:color w:val="404040" w:themeColor="text1" w:themeTint="BF"/>
          <w:sz w:val="20"/>
        </w:rPr>
        <w:t>DECC</w:t>
      </w:r>
      <w:r w:rsidR="003D4628">
        <w:rPr>
          <w:rFonts w:ascii="Georgia" w:hAnsi="Georgia" w:cs="Calibri"/>
          <w:b/>
          <w:color w:val="404040" w:themeColor="text1" w:themeTint="BF"/>
          <w:sz w:val="20"/>
        </w:rPr>
        <w:t xml:space="preserve"> </w:t>
      </w:r>
      <w:r w:rsidR="003D4628">
        <w:rPr>
          <w:rFonts w:ascii="Georgia" w:hAnsi="Georgia" w:cs="Calibri"/>
          <w:color w:val="404040" w:themeColor="text1" w:themeTint="BF"/>
          <w:sz w:val="20"/>
        </w:rPr>
        <w:t>means the Department of Energy and Climate Change</w:t>
      </w:r>
    </w:p>
    <w:p w14:paraId="0C9F6C18" w14:textId="61529E32" w:rsidR="00856C96" w:rsidRDefault="00856C96" w:rsidP="008E52BA">
      <w:pPr>
        <w:jc w:val="both"/>
        <w:rPr>
          <w:rFonts w:ascii="Georgia" w:hAnsi="Georgia" w:cs="Calibri"/>
          <w:color w:val="404040" w:themeColor="text1" w:themeTint="BF"/>
          <w:sz w:val="20"/>
        </w:rPr>
      </w:pPr>
    </w:p>
    <w:p w14:paraId="5B029F7F" w14:textId="02EDFF6D" w:rsidR="00856C96" w:rsidRDefault="00856C96" w:rsidP="008E52BA">
      <w:pPr>
        <w:jc w:val="both"/>
        <w:rPr>
          <w:rFonts w:ascii="Georgia" w:hAnsi="Georgia" w:cs="Calibri"/>
          <w:color w:val="404040" w:themeColor="text1" w:themeTint="BF"/>
          <w:sz w:val="20"/>
        </w:rPr>
      </w:pPr>
      <w:r w:rsidRPr="008C04AF">
        <w:rPr>
          <w:rFonts w:ascii="Georgia" w:hAnsi="Georgia" w:cs="Calibri"/>
          <w:b/>
          <w:color w:val="404040" w:themeColor="text1" w:themeTint="BF"/>
          <w:sz w:val="20"/>
        </w:rPr>
        <w:t>Defect Risk</w:t>
      </w:r>
      <w:r>
        <w:rPr>
          <w:rFonts w:ascii="Georgia" w:hAnsi="Georgia" w:cs="Calibri"/>
          <w:color w:val="404040" w:themeColor="text1" w:themeTint="BF"/>
          <w:sz w:val="20"/>
        </w:rPr>
        <w:t xml:space="preserve"> means that there is an over-reliance on limited equipment manufacturers </w:t>
      </w:r>
      <w:r w:rsidR="008C04AF">
        <w:rPr>
          <w:rFonts w:ascii="Georgia" w:hAnsi="Georgia" w:cs="Calibri"/>
          <w:color w:val="404040" w:themeColor="text1" w:themeTint="BF"/>
          <w:sz w:val="20"/>
        </w:rPr>
        <w:t>which could lead to large proportions of the portfolio suffering similar defects</w:t>
      </w:r>
    </w:p>
    <w:p w14:paraId="5F8751E2" w14:textId="77777777" w:rsidR="00843748" w:rsidRDefault="00843748" w:rsidP="008E52BA">
      <w:pPr>
        <w:jc w:val="both"/>
        <w:rPr>
          <w:rFonts w:ascii="Georgia" w:hAnsi="Georgia" w:cs="Calibri"/>
          <w:color w:val="404040" w:themeColor="text1" w:themeTint="BF"/>
          <w:sz w:val="20"/>
        </w:rPr>
      </w:pPr>
    </w:p>
    <w:p w14:paraId="2D278A56" w14:textId="5ACCE256" w:rsidR="009135A3" w:rsidRPr="00DD6909" w:rsidRDefault="009135A3" w:rsidP="00B4171A">
      <w:pPr>
        <w:jc w:val="both"/>
        <w:rPr>
          <w:rFonts w:ascii="Georgia" w:hAnsi="Georgia" w:cs="Calibri"/>
          <w:color w:val="404040" w:themeColor="text1" w:themeTint="BF"/>
          <w:sz w:val="20"/>
        </w:rPr>
      </w:pPr>
      <w:r w:rsidRPr="00450E17">
        <w:rPr>
          <w:rFonts w:ascii="Georgia" w:hAnsi="Georgia" w:cs="Calibri"/>
          <w:b/>
          <w:color w:val="404040" w:themeColor="text1" w:themeTint="BF"/>
          <w:sz w:val="20"/>
        </w:rPr>
        <w:t xml:space="preserve">Directors’ Valuation </w:t>
      </w:r>
      <w:r w:rsidRPr="00450E17">
        <w:rPr>
          <w:rFonts w:ascii="Georgia" w:hAnsi="Georgia" w:cs="Calibri"/>
          <w:color w:val="404040" w:themeColor="text1" w:themeTint="BF"/>
          <w:sz w:val="20"/>
        </w:rPr>
        <w:t xml:space="preserve">means </w:t>
      </w:r>
      <w:r w:rsidR="00DD6909" w:rsidRPr="00450E17">
        <w:rPr>
          <w:rFonts w:ascii="Georgia" w:hAnsi="Georgia" w:cs="Calibri"/>
          <w:color w:val="404040" w:themeColor="text1" w:themeTint="BF"/>
          <w:sz w:val="20"/>
        </w:rPr>
        <w:t>gross value of the SPV investments held by BSIFIL, including their holding companies.</w:t>
      </w:r>
    </w:p>
    <w:p w14:paraId="60F2D62A" w14:textId="77777777" w:rsidR="009135A3" w:rsidRDefault="009135A3" w:rsidP="00B4171A">
      <w:pPr>
        <w:jc w:val="both"/>
        <w:rPr>
          <w:rFonts w:ascii="Georgia" w:hAnsi="Georgia" w:cs="Calibri"/>
          <w:b/>
          <w:color w:val="404040" w:themeColor="text1" w:themeTint="BF"/>
          <w:sz w:val="20"/>
        </w:rPr>
      </w:pPr>
    </w:p>
    <w:p w14:paraId="50B16EB7" w14:textId="5E7029CA" w:rsidR="007252CB" w:rsidRDefault="00B4171A" w:rsidP="007252CB">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DNO </w:t>
      </w:r>
      <w:r w:rsidRPr="0018287C">
        <w:rPr>
          <w:rFonts w:ascii="Georgia" w:hAnsi="Georgia" w:cs="Calibri"/>
          <w:color w:val="404040" w:themeColor="text1" w:themeTint="BF"/>
          <w:sz w:val="20"/>
        </w:rPr>
        <w:t>means Distribution Network Operator</w:t>
      </w:r>
      <w:r w:rsidR="007252CB" w:rsidRPr="007252CB">
        <w:rPr>
          <w:rFonts w:ascii="Georgia" w:hAnsi="Georgia" w:cs="Calibri"/>
          <w:color w:val="404040" w:themeColor="text1" w:themeTint="BF"/>
          <w:sz w:val="20"/>
        </w:rPr>
        <w:t xml:space="preserve"> </w:t>
      </w:r>
    </w:p>
    <w:p w14:paraId="47D74A6B" w14:textId="77777777" w:rsidR="007252CB" w:rsidRDefault="007252CB" w:rsidP="007252CB">
      <w:pPr>
        <w:jc w:val="both"/>
        <w:rPr>
          <w:rFonts w:ascii="Georgia" w:hAnsi="Georgia" w:cs="Calibri"/>
          <w:b/>
          <w:color w:val="404040" w:themeColor="text1" w:themeTint="BF"/>
          <w:sz w:val="20"/>
        </w:rPr>
      </w:pPr>
    </w:p>
    <w:p w14:paraId="41F13AF9" w14:textId="75834412" w:rsidR="007252CB" w:rsidRDefault="007252CB" w:rsidP="007252CB">
      <w:pPr>
        <w:jc w:val="both"/>
        <w:rPr>
          <w:rFonts w:ascii="Georgia" w:hAnsi="Georgia" w:cs="Calibri"/>
          <w:color w:val="404040" w:themeColor="text1" w:themeTint="BF"/>
          <w:sz w:val="20"/>
        </w:rPr>
      </w:pPr>
      <w:r w:rsidRPr="009C2984">
        <w:rPr>
          <w:rFonts w:ascii="Georgia" w:hAnsi="Georgia" w:cs="Calibri"/>
          <w:b/>
          <w:color w:val="404040" w:themeColor="text1" w:themeTint="BF"/>
          <w:sz w:val="20"/>
        </w:rPr>
        <w:t>DSCR</w:t>
      </w:r>
      <w:r>
        <w:rPr>
          <w:rFonts w:ascii="Georgia" w:hAnsi="Georgia" w:cs="Calibri"/>
          <w:color w:val="404040" w:themeColor="text1" w:themeTint="BF"/>
          <w:sz w:val="20"/>
        </w:rPr>
        <w:t xml:space="preserve"> means debt service cover ratio</w:t>
      </w:r>
    </w:p>
    <w:p w14:paraId="7A18B468" w14:textId="77777777" w:rsidR="008E52BA" w:rsidRPr="0018287C" w:rsidRDefault="008E52BA" w:rsidP="008E52BA">
      <w:pPr>
        <w:jc w:val="both"/>
        <w:rPr>
          <w:rFonts w:ascii="Georgia" w:hAnsi="Georgia" w:cs="Calibri"/>
          <w:b/>
          <w:color w:val="404040" w:themeColor="text1" w:themeTint="BF"/>
          <w:sz w:val="20"/>
        </w:rPr>
      </w:pPr>
    </w:p>
    <w:p w14:paraId="20CDF797" w14:textId="570DC245"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DTR </w:t>
      </w:r>
      <w:r w:rsidRPr="0018287C">
        <w:rPr>
          <w:rFonts w:ascii="Georgia" w:hAnsi="Georgia" w:cs="Calibri"/>
          <w:color w:val="404040" w:themeColor="text1" w:themeTint="BF"/>
          <w:sz w:val="20"/>
        </w:rPr>
        <w:t xml:space="preserve">means the Disclosure </w:t>
      </w:r>
      <w:r w:rsidR="00F7744E">
        <w:rPr>
          <w:rFonts w:ascii="Georgia" w:hAnsi="Georgia" w:cs="Calibri"/>
          <w:color w:val="404040" w:themeColor="text1" w:themeTint="BF"/>
          <w:sz w:val="20"/>
        </w:rPr>
        <w:t xml:space="preserve">Guidance </w:t>
      </w:r>
      <w:r w:rsidRPr="0018287C">
        <w:rPr>
          <w:rFonts w:ascii="Georgia" w:hAnsi="Georgia" w:cs="Calibri"/>
          <w:color w:val="404040" w:themeColor="text1" w:themeTint="BF"/>
          <w:sz w:val="20"/>
        </w:rPr>
        <w:t>and Transparency Rules of the UK’s FCA</w:t>
      </w:r>
    </w:p>
    <w:p w14:paraId="45E2C654" w14:textId="58AD6C01" w:rsidR="007252CB" w:rsidRDefault="007252CB" w:rsidP="0018287C">
      <w:pPr>
        <w:jc w:val="both"/>
        <w:rPr>
          <w:rFonts w:ascii="Georgia" w:hAnsi="Georgia" w:cs="Calibri"/>
          <w:color w:val="404040" w:themeColor="text1" w:themeTint="BF"/>
          <w:sz w:val="20"/>
        </w:rPr>
      </w:pPr>
    </w:p>
    <w:p w14:paraId="10155981" w14:textId="0C9A7DB5" w:rsidR="007252CB" w:rsidRDefault="007252CB" w:rsidP="0018287C">
      <w:pPr>
        <w:jc w:val="both"/>
        <w:rPr>
          <w:rFonts w:ascii="Georgia" w:hAnsi="Georgia" w:cs="Calibri"/>
          <w:color w:val="404040" w:themeColor="text1" w:themeTint="BF"/>
          <w:sz w:val="20"/>
        </w:rPr>
      </w:pPr>
      <w:r w:rsidRPr="007252CB">
        <w:rPr>
          <w:rFonts w:ascii="Georgia" w:hAnsi="Georgia" w:cs="Calibri"/>
          <w:b/>
          <w:color w:val="404040" w:themeColor="text1" w:themeTint="BF"/>
          <w:sz w:val="20"/>
        </w:rPr>
        <w:t>EBITDA</w:t>
      </w:r>
      <w:r w:rsidRPr="007252CB">
        <w:rPr>
          <w:rFonts w:ascii="Georgia" w:hAnsi="Georgia" w:cs="Calibri"/>
          <w:color w:val="404040" w:themeColor="text1" w:themeTint="BF"/>
          <w:sz w:val="20"/>
        </w:rPr>
        <w:t xml:space="preserve"> means Earnings before interest, tax, depreciation and amortisation</w:t>
      </w:r>
    </w:p>
    <w:p w14:paraId="18A00E6F" w14:textId="77777777" w:rsidR="00855D4E" w:rsidRDefault="00855D4E" w:rsidP="0018287C">
      <w:pPr>
        <w:jc w:val="both"/>
        <w:rPr>
          <w:rFonts w:ascii="Georgia" w:hAnsi="Georgia" w:cs="Calibri"/>
          <w:color w:val="404040" w:themeColor="text1" w:themeTint="BF"/>
          <w:sz w:val="20"/>
        </w:rPr>
      </w:pPr>
    </w:p>
    <w:p w14:paraId="4F56831A" w14:textId="28489746"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EGM </w:t>
      </w:r>
      <w:r w:rsidRPr="0018287C">
        <w:rPr>
          <w:rFonts w:ascii="Georgia" w:hAnsi="Georgia" w:cs="Calibri"/>
          <w:color w:val="404040" w:themeColor="text1" w:themeTint="BF"/>
          <w:sz w:val="20"/>
        </w:rPr>
        <w:t>means Extraordinary General Meeting</w:t>
      </w:r>
    </w:p>
    <w:p w14:paraId="03E01B32" w14:textId="41FF5B45" w:rsidR="003D4628" w:rsidRDefault="003D4628" w:rsidP="0018287C">
      <w:pPr>
        <w:jc w:val="both"/>
        <w:rPr>
          <w:rFonts w:ascii="Georgia" w:hAnsi="Georgia" w:cs="Calibri"/>
          <w:color w:val="404040" w:themeColor="text1" w:themeTint="BF"/>
          <w:sz w:val="20"/>
        </w:rPr>
      </w:pPr>
    </w:p>
    <w:p w14:paraId="7C5D3C4E" w14:textId="1186A3D7" w:rsidR="003D4628" w:rsidRPr="003D4628" w:rsidRDefault="003D4628" w:rsidP="0018287C">
      <w:pPr>
        <w:jc w:val="both"/>
        <w:rPr>
          <w:rFonts w:ascii="Georgia" w:hAnsi="Georgia" w:cs="Calibri"/>
          <w:color w:val="404040" w:themeColor="text1" w:themeTint="BF"/>
          <w:sz w:val="20"/>
        </w:rPr>
      </w:pPr>
      <w:r>
        <w:rPr>
          <w:rFonts w:ascii="Georgia" w:hAnsi="Georgia" w:cs="Calibri"/>
          <w:b/>
          <w:color w:val="404040" w:themeColor="text1" w:themeTint="BF"/>
          <w:sz w:val="20"/>
        </w:rPr>
        <w:t>EIS</w:t>
      </w:r>
      <w:r>
        <w:rPr>
          <w:rFonts w:ascii="Georgia" w:hAnsi="Georgia" w:cs="Calibri"/>
          <w:color w:val="404040" w:themeColor="text1" w:themeTint="BF"/>
          <w:sz w:val="20"/>
        </w:rPr>
        <w:t xml:space="preserve"> means Enterprise Investment Scheme</w:t>
      </w:r>
    </w:p>
    <w:p w14:paraId="44F060ED" w14:textId="77777777" w:rsidR="0018287C" w:rsidRPr="0018287C" w:rsidRDefault="0018287C" w:rsidP="0018287C">
      <w:pPr>
        <w:jc w:val="both"/>
        <w:rPr>
          <w:rFonts w:ascii="Georgia" w:hAnsi="Georgia" w:cs="Calibri"/>
          <w:b/>
          <w:color w:val="404040" w:themeColor="text1" w:themeTint="BF"/>
          <w:sz w:val="20"/>
        </w:rPr>
      </w:pPr>
    </w:p>
    <w:p w14:paraId="54C32DD3" w14:textId="03A39685"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EPC </w:t>
      </w:r>
      <w:r w:rsidRPr="0018287C">
        <w:rPr>
          <w:rFonts w:ascii="Georgia" w:hAnsi="Georgia" w:cs="Calibri"/>
          <w:color w:val="404040" w:themeColor="text1" w:themeTint="BF"/>
          <w:sz w:val="20"/>
        </w:rPr>
        <w:t>means Engineering, Procurement &amp; Construction</w:t>
      </w:r>
    </w:p>
    <w:p w14:paraId="35D22E41" w14:textId="13F79A5E" w:rsidR="005C3886" w:rsidRDefault="005C3886" w:rsidP="0018287C">
      <w:pPr>
        <w:jc w:val="both"/>
        <w:rPr>
          <w:rFonts w:ascii="Georgia" w:hAnsi="Georgia" w:cs="Calibri"/>
          <w:color w:val="404040" w:themeColor="text1" w:themeTint="BF"/>
          <w:sz w:val="20"/>
        </w:rPr>
      </w:pPr>
    </w:p>
    <w:p w14:paraId="1CE9BE8D" w14:textId="13035847" w:rsidR="005C3886" w:rsidRDefault="005C3886" w:rsidP="0018287C">
      <w:pPr>
        <w:jc w:val="both"/>
        <w:rPr>
          <w:rFonts w:ascii="Georgia" w:hAnsi="Georgia" w:cs="Calibri"/>
          <w:color w:val="404040" w:themeColor="text1" w:themeTint="BF"/>
          <w:sz w:val="20"/>
        </w:rPr>
      </w:pPr>
      <w:r>
        <w:rPr>
          <w:rFonts w:ascii="Georgia" w:hAnsi="Georgia" w:cs="Calibri"/>
          <w:b/>
          <w:color w:val="404040" w:themeColor="text1" w:themeTint="BF"/>
          <w:sz w:val="20"/>
        </w:rPr>
        <w:t>EPS</w:t>
      </w:r>
      <w:r>
        <w:rPr>
          <w:rFonts w:ascii="Georgia" w:hAnsi="Georgia" w:cs="Calibri"/>
          <w:color w:val="404040" w:themeColor="text1" w:themeTint="BF"/>
          <w:sz w:val="20"/>
        </w:rPr>
        <w:t xml:space="preserve"> means Earning per share</w:t>
      </w:r>
    </w:p>
    <w:p w14:paraId="7A5E4BA0" w14:textId="141373A5" w:rsidR="005C3886" w:rsidRDefault="005C3886" w:rsidP="0018287C">
      <w:pPr>
        <w:jc w:val="both"/>
        <w:rPr>
          <w:rFonts w:ascii="Georgia" w:hAnsi="Georgia" w:cs="Calibri"/>
          <w:color w:val="404040" w:themeColor="text1" w:themeTint="BF"/>
          <w:sz w:val="20"/>
        </w:rPr>
      </w:pPr>
    </w:p>
    <w:p w14:paraId="49483BFD" w14:textId="64FFA0C0" w:rsidR="005C3886" w:rsidRPr="005C3886" w:rsidRDefault="005C3886" w:rsidP="0018287C">
      <w:pPr>
        <w:jc w:val="both"/>
        <w:rPr>
          <w:rFonts w:ascii="Georgia" w:hAnsi="Georgia" w:cs="Calibri"/>
          <w:color w:val="404040" w:themeColor="text1" w:themeTint="BF"/>
          <w:sz w:val="20"/>
        </w:rPr>
      </w:pPr>
      <w:r>
        <w:rPr>
          <w:rFonts w:ascii="Georgia" w:hAnsi="Georgia" w:cs="Calibri"/>
          <w:b/>
          <w:color w:val="404040" w:themeColor="text1" w:themeTint="BF"/>
          <w:sz w:val="20"/>
        </w:rPr>
        <w:t>ESG</w:t>
      </w:r>
      <w:r>
        <w:rPr>
          <w:rFonts w:ascii="Georgia" w:hAnsi="Georgia" w:cs="Calibri"/>
          <w:color w:val="404040" w:themeColor="text1" w:themeTint="BF"/>
          <w:sz w:val="20"/>
        </w:rPr>
        <w:t xml:space="preserve"> means Environmental, Social &amp; Governance</w:t>
      </w:r>
    </w:p>
    <w:p w14:paraId="5EC1EDAA" w14:textId="77777777" w:rsidR="0018287C" w:rsidRPr="0018287C" w:rsidRDefault="0018287C" w:rsidP="0018287C">
      <w:pPr>
        <w:jc w:val="both"/>
        <w:rPr>
          <w:rFonts w:ascii="Georgia" w:hAnsi="Georgia" w:cs="Calibri"/>
          <w:b/>
          <w:color w:val="404040" w:themeColor="text1" w:themeTint="BF"/>
          <w:sz w:val="20"/>
        </w:rPr>
      </w:pPr>
    </w:p>
    <w:p w14:paraId="50C76FD1" w14:textId="77777777" w:rsid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EU </w:t>
      </w:r>
      <w:r w:rsidRPr="0018287C">
        <w:rPr>
          <w:rFonts w:ascii="Georgia" w:hAnsi="Georgia" w:cs="Calibri"/>
          <w:color w:val="404040" w:themeColor="text1" w:themeTint="BF"/>
          <w:sz w:val="20"/>
        </w:rPr>
        <w:t>means the European Union</w:t>
      </w:r>
      <w:r w:rsidRPr="0018287C">
        <w:rPr>
          <w:rFonts w:ascii="Georgia" w:hAnsi="Georgia" w:cs="Calibri"/>
          <w:b/>
          <w:color w:val="404040" w:themeColor="text1" w:themeTint="BF"/>
          <w:sz w:val="20"/>
        </w:rPr>
        <w:t xml:space="preserve"> </w:t>
      </w:r>
    </w:p>
    <w:p w14:paraId="21D5E3BD" w14:textId="77777777" w:rsidR="00C55442" w:rsidRDefault="00C55442" w:rsidP="0018287C">
      <w:pPr>
        <w:jc w:val="both"/>
        <w:rPr>
          <w:rFonts w:ascii="Georgia" w:hAnsi="Georgia" w:cs="Calibri"/>
          <w:b/>
          <w:color w:val="404040" w:themeColor="text1" w:themeTint="BF"/>
          <w:sz w:val="20"/>
        </w:rPr>
      </w:pPr>
    </w:p>
    <w:p w14:paraId="258E80E2" w14:textId="5A10540A" w:rsidR="00C55442" w:rsidRDefault="00C55442" w:rsidP="0018287C">
      <w:pPr>
        <w:jc w:val="both"/>
        <w:rPr>
          <w:rFonts w:ascii="Georgia" w:hAnsi="Georgia" w:cs="Calibri"/>
          <w:b/>
          <w:color w:val="404040" w:themeColor="text1" w:themeTint="BF"/>
          <w:sz w:val="20"/>
        </w:rPr>
      </w:pPr>
      <w:r>
        <w:rPr>
          <w:rFonts w:ascii="Georgia" w:hAnsi="Georgia" w:cs="Calibri"/>
          <w:b/>
          <w:color w:val="404040" w:themeColor="text1" w:themeTint="BF"/>
          <w:sz w:val="20"/>
        </w:rPr>
        <w:t xml:space="preserve">EV </w:t>
      </w:r>
      <w:r w:rsidRPr="00C55442">
        <w:rPr>
          <w:rFonts w:ascii="Georgia" w:hAnsi="Georgia" w:cs="Calibri"/>
          <w:color w:val="404040" w:themeColor="text1" w:themeTint="BF"/>
          <w:sz w:val="20"/>
        </w:rPr>
        <w:t>means enterprise valuation</w:t>
      </w:r>
    </w:p>
    <w:p w14:paraId="72D65B4E" w14:textId="3543EDDF" w:rsidR="0018287C" w:rsidRDefault="0018287C" w:rsidP="0018287C">
      <w:pPr>
        <w:jc w:val="both"/>
        <w:rPr>
          <w:rFonts w:ascii="Georgia" w:hAnsi="Georgia" w:cs="Calibri"/>
          <w:b/>
          <w:color w:val="404040" w:themeColor="text1" w:themeTint="BF"/>
          <w:sz w:val="20"/>
        </w:rPr>
      </w:pPr>
    </w:p>
    <w:p w14:paraId="2479B37A" w14:textId="6187C85C" w:rsidR="0018287C" w:rsidRPr="0018287C" w:rsidRDefault="0018287C" w:rsidP="0018287C">
      <w:pPr>
        <w:jc w:val="both"/>
        <w:rPr>
          <w:rFonts w:ascii="Georgia" w:hAnsi="Georgia" w:cs="Calibri"/>
          <w:color w:val="404040" w:themeColor="text1" w:themeTint="BF"/>
          <w:sz w:val="20"/>
        </w:rPr>
      </w:pPr>
      <w:r w:rsidRPr="00E85EF6">
        <w:rPr>
          <w:rFonts w:ascii="Georgia" w:hAnsi="Georgia" w:cs="Calibri"/>
          <w:b/>
          <w:color w:val="404040" w:themeColor="text1" w:themeTint="BF"/>
          <w:sz w:val="20"/>
        </w:rPr>
        <w:t>F</w:t>
      </w:r>
      <w:r w:rsidR="00AA5380">
        <w:rPr>
          <w:rFonts w:ascii="Georgia" w:hAnsi="Georgia" w:cs="Calibri"/>
          <w:b/>
          <w:color w:val="404040" w:themeColor="text1" w:themeTint="BF"/>
          <w:sz w:val="20"/>
        </w:rPr>
        <w:t>AC</w:t>
      </w:r>
      <w:r w:rsidRPr="00E85EF6">
        <w:rPr>
          <w:rFonts w:ascii="Georgia" w:hAnsi="Georgia" w:cs="Calibri"/>
          <w:b/>
          <w:color w:val="404040" w:themeColor="text1" w:themeTint="BF"/>
          <w:sz w:val="20"/>
        </w:rPr>
        <w:t xml:space="preserve"> </w:t>
      </w:r>
      <w:r w:rsidRPr="00E85EF6">
        <w:rPr>
          <w:rFonts w:ascii="Georgia" w:hAnsi="Georgia" w:cs="Calibri"/>
          <w:color w:val="404040" w:themeColor="text1" w:themeTint="BF"/>
          <w:sz w:val="20"/>
        </w:rPr>
        <w:t xml:space="preserve">means </w:t>
      </w:r>
      <w:r w:rsidR="00AA5380">
        <w:rPr>
          <w:rFonts w:ascii="Georgia" w:hAnsi="Georgia" w:cs="Calibri"/>
          <w:color w:val="404040" w:themeColor="text1" w:themeTint="BF"/>
          <w:sz w:val="20"/>
        </w:rPr>
        <w:t>Final Acceptance Certificate</w:t>
      </w:r>
    </w:p>
    <w:p w14:paraId="6BE717C6" w14:textId="77777777" w:rsidR="0018287C" w:rsidRDefault="0018287C" w:rsidP="0018287C">
      <w:pPr>
        <w:jc w:val="both"/>
        <w:rPr>
          <w:rFonts w:ascii="Georgia" w:hAnsi="Georgia" w:cs="Calibri"/>
          <w:b/>
          <w:color w:val="404040" w:themeColor="text1" w:themeTint="BF"/>
          <w:sz w:val="20"/>
        </w:rPr>
      </w:pPr>
    </w:p>
    <w:p w14:paraId="1B87F993" w14:textId="77777777" w:rsidR="00D91865" w:rsidRDefault="00D9186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FATCA </w:t>
      </w:r>
      <w:r>
        <w:rPr>
          <w:rFonts w:ascii="Georgia" w:hAnsi="Georgia" w:cs="Calibri"/>
          <w:color w:val="404040" w:themeColor="text1" w:themeTint="BF"/>
          <w:sz w:val="20"/>
        </w:rPr>
        <w:t>means the Foreign Account Tax Compliance Act</w:t>
      </w:r>
    </w:p>
    <w:p w14:paraId="4A7E2C95" w14:textId="77777777" w:rsidR="00D91865" w:rsidRPr="00D91865" w:rsidRDefault="00D91865" w:rsidP="0018287C">
      <w:pPr>
        <w:jc w:val="both"/>
        <w:rPr>
          <w:rFonts w:ascii="Georgia" w:hAnsi="Georgia" w:cs="Calibri"/>
          <w:color w:val="404040" w:themeColor="text1" w:themeTint="BF"/>
          <w:sz w:val="20"/>
        </w:rPr>
      </w:pPr>
    </w:p>
    <w:p w14:paraId="00F5F2DF" w14:textId="0AC17841" w:rsidR="008C62C1" w:rsidRPr="008C62C1" w:rsidRDefault="008C62C1"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Financial Statements </w:t>
      </w:r>
      <w:r w:rsidRPr="008C62C1">
        <w:rPr>
          <w:rFonts w:ascii="Georgia" w:hAnsi="Georgia" w:cs="Calibri"/>
          <w:color w:val="404040" w:themeColor="text1" w:themeTint="BF"/>
          <w:sz w:val="20"/>
        </w:rPr>
        <w:t>means the audit</w:t>
      </w:r>
      <w:r w:rsidR="00E2078B">
        <w:rPr>
          <w:rFonts w:ascii="Georgia" w:hAnsi="Georgia" w:cs="Calibri"/>
          <w:color w:val="404040" w:themeColor="text1" w:themeTint="BF"/>
          <w:sz w:val="20"/>
        </w:rPr>
        <w:t>ed</w:t>
      </w:r>
      <w:r w:rsidRPr="008C62C1">
        <w:rPr>
          <w:rFonts w:ascii="Georgia" w:hAnsi="Georgia" w:cs="Calibri"/>
          <w:color w:val="404040" w:themeColor="text1" w:themeTint="BF"/>
          <w:sz w:val="20"/>
        </w:rPr>
        <w:t xml:space="preserve"> annual financial statements</w:t>
      </w:r>
    </w:p>
    <w:p w14:paraId="7672F84D" w14:textId="77777777" w:rsidR="008C62C1" w:rsidRDefault="008C62C1" w:rsidP="0018287C">
      <w:pPr>
        <w:jc w:val="both"/>
        <w:rPr>
          <w:rFonts w:ascii="Georgia" w:hAnsi="Georgia" w:cs="Calibri"/>
          <w:b/>
          <w:color w:val="404040" w:themeColor="text1" w:themeTint="BF"/>
          <w:sz w:val="20"/>
        </w:rPr>
      </w:pPr>
    </w:p>
    <w:p w14:paraId="51612A12" w14:textId="77777777" w:rsidR="0018287C" w:rsidRDefault="0018287C" w:rsidP="0018287C">
      <w:pPr>
        <w:jc w:val="both"/>
        <w:rPr>
          <w:rFonts w:ascii="Georgia" w:hAnsi="Georgia" w:cs="Calibri"/>
          <w:color w:val="404040" w:themeColor="text1" w:themeTint="BF"/>
          <w:sz w:val="20"/>
        </w:rPr>
      </w:pPr>
      <w:proofErr w:type="spellStart"/>
      <w:r w:rsidRPr="0018287C">
        <w:rPr>
          <w:rFonts w:ascii="Georgia" w:hAnsi="Georgia" w:cs="Calibri"/>
          <w:b/>
          <w:color w:val="404040" w:themeColor="text1" w:themeTint="BF"/>
          <w:sz w:val="20"/>
        </w:rPr>
        <w:t>FiT</w:t>
      </w:r>
      <w:proofErr w:type="spellEnd"/>
      <w:r w:rsidRPr="0018287C">
        <w:rPr>
          <w:rFonts w:ascii="Georgia" w:hAnsi="Georgia" w:cs="Calibri"/>
          <w:b/>
          <w:color w:val="404040" w:themeColor="text1" w:themeTint="BF"/>
          <w:sz w:val="20"/>
        </w:rPr>
        <w:t xml:space="preserve"> </w:t>
      </w:r>
      <w:r w:rsidR="0054171A">
        <w:rPr>
          <w:rFonts w:ascii="Georgia" w:hAnsi="Georgia" w:cs="Calibri"/>
          <w:color w:val="404040" w:themeColor="text1" w:themeTint="BF"/>
          <w:sz w:val="20"/>
        </w:rPr>
        <w:t>means Feed-in Tariff</w:t>
      </w:r>
    </w:p>
    <w:p w14:paraId="1797E828" w14:textId="77777777" w:rsidR="006B5E2B" w:rsidRDefault="006B5E2B" w:rsidP="0018287C">
      <w:pPr>
        <w:jc w:val="both"/>
        <w:rPr>
          <w:rFonts w:ascii="Georgia" w:hAnsi="Georgia" w:cs="Calibri"/>
          <w:color w:val="404040" w:themeColor="text1" w:themeTint="BF"/>
          <w:sz w:val="20"/>
        </w:rPr>
      </w:pPr>
    </w:p>
    <w:p w14:paraId="39B2046C" w14:textId="77777777" w:rsidR="006B5E2B" w:rsidRPr="0018287C" w:rsidRDefault="006B5E2B" w:rsidP="0018287C">
      <w:pPr>
        <w:jc w:val="both"/>
        <w:rPr>
          <w:rFonts w:ascii="Georgia" w:hAnsi="Georgia" w:cs="Calibri"/>
          <w:color w:val="404040" w:themeColor="text1" w:themeTint="BF"/>
          <w:sz w:val="20"/>
        </w:rPr>
      </w:pPr>
      <w:r w:rsidRPr="0024470F">
        <w:rPr>
          <w:rFonts w:ascii="Georgia" w:hAnsi="Georgia" w:cs="Calibri"/>
          <w:b/>
          <w:color w:val="404040" w:themeColor="text1" w:themeTint="BF"/>
          <w:sz w:val="20"/>
        </w:rPr>
        <w:t xml:space="preserve">GAV </w:t>
      </w:r>
      <w:r>
        <w:rPr>
          <w:rFonts w:ascii="Georgia" w:hAnsi="Georgia" w:cs="Calibri"/>
          <w:color w:val="404040" w:themeColor="text1" w:themeTint="BF"/>
          <w:sz w:val="20"/>
        </w:rPr>
        <w:t>means Gross Asset Value</w:t>
      </w:r>
    </w:p>
    <w:p w14:paraId="7D607E6B" w14:textId="77777777" w:rsidR="0018287C" w:rsidRPr="0018287C" w:rsidRDefault="0018287C" w:rsidP="0018287C">
      <w:pPr>
        <w:jc w:val="both"/>
        <w:rPr>
          <w:rFonts w:ascii="Georgia" w:hAnsi="Georgia" w:cs="Calibri"/>
          <w:b/>
          <w:color w:val="404040" w:themeColor="text1" w:themeTint="BF"/>
          <w:sz w:val="20"/>
        </w:rPr>
      </w:pPr>
    </w:p>
    <w:p w14:paraId="79DED13E"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GFSC </w:t>
      </w:r>
      <w:r w:rsidRPr="0018287C">
        <w:rPr>
          <w:rFonts w:ascii="Georgia" w:hAnsi="Georgia" w:cs="Calibri"/>
          <w:color w:val="404040" w:themeColor="text1" w:themeTint="BF"/>
          <w:sz w:val="20"/>
        </w:rPr>
        <w:t>means the Guernsey Financial Services Commission</w:t>
      </w:r>
    </w:p>
    <w:p w14:paraId="740E39D2" w14:textId="77777777" w:rsidR="0018287C" w:rsidRPr="0018287C" w:rsidRDefault="0018287C" w:rsidP="0018287C">
      <w:pPr>
        <w:jc w:val="both"/>
        <w:rPr>
          <w:rFonts w:ascii="Georgia" w:hAnsi="Georgia" w:cs="Calibri"/>
          <w:b/>
          <w:color w:val="404040" w:themeColor="text1" w:themeTint="BF"/>
          <w:sz w:val="20"/>
        </w:rPr>
      </w:pPr>
    </w:p>
    <w:p w14:paraId="5E2173B6" w14:textId="54F09205" w:rsidR="00D1090D" w:rsidRDefault="00D1090D" w:rsidP="0018287C">
      <w:pPr>
        <w:jc w:val="both"/>
        <w:rPr>
          <w:rFonts w:ascii="Georgia" w:hAnsi="Georgia" w:cs="Calibri"/>
          <w:b/>
          <w:color w:val="404040" w:themeColor="text1" w:themeTint="BF"/>
          <w:sz w:val="20"/>
        </w:rPr>
      </w:pPr>
      <w:r>
        <w:rPr>
          <w:rFonts w:ascii="Georgia" w:hAnsi="Georgia" w:cs="Calibri"/>
          <w:b/>
          <w:color w:val="404040" w:themeColor="text1" w:themeTint="BF"/>
          <w:sz w:val="20"/>
        </w:rPr>
        <w:t xml:space="preserve">Group </w:t>
      </w:r>
      <w:r w:rsidRPr="00D1090D">
        <w:rPr>
          <w:rFonts w:ascii="Georgia" w:hAnsi="Georgia" w:cs="Calibri"/>
          <w:color w:val="404040" w:themeColor="text1" w:themeTint="BF"/>
          <w:sz w:val="20"/>
        </w:rPr>
        <w:t>means Bluefield Solar Income Fund Limited and Bluefield SIF Investments Limited</w:t>
      </w:r>
    </w:p>
    <w:p w14:paraId="4460E9A7" w14:textId="77777777" w:rsidR="00D1090D" w:rsidRDefault="00D1090D" w:rsidP="0018287C">
      <w:pPr>
        <w:jc w:val="both"/>
        <w:rPr>
          <w:rFonts w:ascii="Georgia" w:hAnsi="Georgia" w:cs="Calibri"/>
          <w:b/>
          <w:color w:val="404040" w:themeColor="text1" w:themeTint="BF"/>
          <w:sz w:val="20"/>
        </w:rPr>
      </w:pPr>
    </w:p>
    <w:p w14:paraId="26EDB1AC"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Guernsey Code </w:t>
      </w:r>
      <w:r w:rsidRPr="0018287C">
        <w:rPr>
          <w:rFonts w:ascii="Georgia" w:hAnsi="Georgia" w:cs="Calibri"/>
          <w:color w:val="404040" w:themeColor="text1" w:themeTint="BF"/>
          <w:sz w:val="20"/>
        </w:rPr>
        <w:t>means the Guernsey Financial Services Commission Finance Sector Code of Corporate Governance</w:t>
      </w:r>
    </w:p>
    <w:p w14:paraId="07C5EBFA" w14:textId="77777777" w:rsidR="0018287C" w:rsidRPr="0018287C" w:rsidRDefault="0018287C" w:rsidP="0018287C">
      <w:pPr>
        <w:jc w:val="both"/>
        <w:rPr>
          <w:rFonts w:ascii="Georgia" w:hAnsi="Georgia" w:cs="Calibri"/>
          <w:b/>
          <w:color w:val="404040" w:themeColor="text1" w:themeTint="BF"/>
          <w:sz w:val="20"/>
        </w:rPr>
      </w:pPr>
    </w:p>
    <w:p w14:paraId="4EFA9D27" w14:textId="77777777" w:rsidR="0018287C" w:rsidRPr="0018287C" w:rsidRDefault="0018287C" w:rsidP="0018287C">
      <w:pPr>
        <w:jc w:val="both"/>
        <w:rPr>
          <w:rFonts w:ascii="Georgia" w:hAnsi="Georgia" w:cs="Calibri"/>
          <w:b/>
          <w:color w:val="404040" w:themeColor="text1" w:themeTint="BF"/>
          <w:sz w:val="20"/>
        </w:rPr>
      </w:pPr>
      <w:proofErr w:type="spellStart"/>
      <w:r w:rsidRPr="0018287C">
        <w:rPr>
          <w:rFonts w:ascii="Georgia" w:hAnsi="Georgia" w:cs="Calibri"/>
          <w:b/>
          <w:color w:val="404040" w:themeColor="text1" w:themeTint="BF"/>
          <w:sz w:val="20"/>
        </w:rPr>
        <w:t>GWh</w:t>
      </w:r>
      <w:proofErr w:type="spellEnd"/>
      <w:r w:rsidRPr="0018287C">
        <w:rPr>
          <w:rFonts w:ascii="Georgia" w:hAnsi="Georgia" w:cs="Calibri"/>
          <w:b/>
          <w:color w:val="404040" w:themeColor="text1" w:themeTint="BF"/>
          <w:sz w:val="20"/>
        </w:rPr>
        <w:t xml:space="preserve"> </w:t>
      </w:r>
      <w:r w:rsidR="0054171A">
        <w:rPr>
          <w:rFonts w:ascii="Georgia" w:hAnsi="Georgia" w:cs="Calibri"/>
          <w:color w:val="404040" w:themeColor="text1" w:themeTint="BF"/>
          <w:sz w:val="20"/>
        </w:rPr>
        <w:t>means Gigawatt h</w:t>
      </w:r>
      <w:r w:rsidR="008E52BA">
        <w:rPr>
          <w:rFonts w:ascii="Georgia" w:hAnsi="Georgia" w:cs="Calibri"/>
          <w:color w:val="404040" w:themeColor="text1" w:themeTint="BF"/>
          <w:sz w:val="20"/>
        </w:rPr>
        <w:t>our</w:t>
      </w:r>
    </w:p>
    <w:p w14:paraId="7F6BB802" w14:textId="77777777" w:rsidR="0018287C" w:rsidRPr="0018287C" w:rsidRDefault="0018287C" w:rsidP="0018287C">
      <w:pPr>
        <w:jc w:val="both"/>
        <w:rPr>
          <w:rFonts w:ascii="Georgia" w:hAnsi="Georgia" w:cs="Calibri"/>
          <w:b/>
          <w:color w:val="404040" w:themeColor="text1" w:themeTint="BF"/>
          <w:sz w:val="20"/>
        </w:rPr>
      </w:pPr>
    </w:p>
    <w:p w14:paraId="627F1292" w14:textId="77777777" w:rsidR="00FC2C15" w:rsidRPr="00C45C8C" w:rsidRDefault="00FC2C15" w:rsidP="0018287C">
      <w:pPr>
        <w:jc w:val="both"/>
        <w:rPr>
          <w:rFonts w:ascii="Georgia" w:hAnsi="Georgia" w:cs="Calibri"/>
          <w:color w:val="404040" w:themeColor="text1" w:themeTint="BF"/>
          <w:sz w:val="20"/>
        </w:rPr>
      </w:pPr>
      <w:proofErr w:type="spellStart"/>
      <w:r>
        <w:rPr>
          <w:rFonts w:ascii="Georgia" w:hAnsi="Georgia" w:cs="Calibri"/>
          <w:b/>
          <w:color w:val="404040" w:themeColor="text1" w:themeTint="BF"/>
          <w:sz w:val="20"/>
        </w:rPr>
        <w:t>GWp</w:t>
      </w:r>
      <w:proofErr w:type="spellEnd"/>
      <w:r>
        <w:rPr>
          <w:rFonts w:ascii="Georgia" w:hAnsi="Georgia" w:cs="Calibri"/>
          <w:b/>
          <w:color w:val="404040" w:themeColor="text1" w:themeTint="BF"/>
          <w:sz w:val="20"/>
        </w:rPr>
        <w:t xml:space="preserve"> </w:t>
      </w:r>
      <w:r w:rsidRPr="00C45C8C">
        <w:rPr>
          <w:rFonts w:ascii="Georgia" w:hAnsi="Georgia" w:cs="Calibri"/>
          <w:color w:val="404040" w:themeColor="text1" w:themeTint="BF"/>
          <w:sz w:val="20"/>
        </w:rPr>
        <w:t>means Gigawatt peak</w:t>
      </w:r>
    </w:p>
    <w:p w14:paraId="3FF84FF8" w14:textId="77777777" w:rsidR="00FC2C15" w:rsidRDefault="00FC2C15" w:rsidP="0018287C">
      <w:pPr>
        <w:jc w:val="both"/>
        <w:rPr>
          <w:rFonts w:ascii="Georgia" w:hAnsi="Georgia" w:cs="Calibri"/>
          <w:b/>
          <w:color w:val="404040" w:themeColor="text1" w:themeTint="BF"/>
          <w:sz w:val="20"/>
        </w:rPr>
      </w:pPr>
    </w:p>
    <w:p w14:paraId="3420AA45"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IAS </w:t>
      </w:r>
      <w:r w:rsidRPr="0018287C">
        <w:rPr>
          <w:rFonts w:ascii="Georgia" w:hAnsi="Georgia" w:cs="Calibri"/>
          <w:color w:val="404040" w:themeColor="text1" w:themeTint="BF"/>
          <w:sz w:val="20"/>
        </w:rPr>
        <w:t>means International Accounting Standard</w:t>
      </w:r>
    </w:p>
    <w:p w14:paraId="6430F65A" w14:textId="77777777" w:rsidR="0018287C" w:rsidRPr="0018287C" w:rsidRDefault="0018287C" w:rsidP="0018287C">
      <w:pPr>
        <w:jc w:val="both"/>
        <w:rPr>
          <w:rFonts w:ascii="Georgia" w:hAnsi="Georgia" w:cs="Calibri"/>
          <w:b/>
          <w:color w:val="404040" w:themeColor="text1" w:themeTint="BF"/>
          <w:sz w:val="20"/>
        </w:rPr>
      </w:pPr>
    </w:p>
    <w:p w14:paraId="4567BA01"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IASB </w:t>
      </w:r>
      <w:r w:rsidRPr="0018287C">
        <w:rPr>
          <w:rFonts w:ascii="Georgia" w:hAnsi="Georgia" w:cs="Calibri"/>
          <w:color w:val="404040" w:themeColor="text1" w:themeTint="BF"/>
          <w:sz w:val="20"/>
        </w:rPr>
        <w:t>means the International Accounting Standards Board</w:t>
      </w:r>
    </w:p>
    <w:p w14:paraId="37579400" w14:textId="77777777" w:rsidR="0018287C" w:rsidRPr="0018287C" w:rsidRDefault="0018287C" w:rsidP="0018287C">
      <w:pPr>
        <w:jc w:val="both"/>
        <w:rPr>
          <w:rFonts w:ascii="Georgia" w:hAnsi="Georgia" w:cs="Calibri"/>
          <w:b/>
          <w:color w:val="404040" w:themeColor="text1" w:themeTint="BF"/>
          <w:sz w:val="20"/>
        </w:rPr>
      </w:pPr>
    </w:p>
    <w:p w14:paraId="35D5A376" w14:textId="7777777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IFRS </w:t>
      </w:r>
      <w:r w:rsidRPr="0018287C">
        <w:rPr>
          <w:rFonts w:ascii="Georgia" w:hAnsi="Georgia" w:cs="Calibri"/>
          <w:color w:val="404040" w:themeColor="text1" w:themeTint="BF"/>
          <w:sz w:val="20"/>
        </w:rPr>
        <w:t>means International Financial Reporting Standards</w:t>
      </w:r>
      <w:r w:rsidR="005D5C0F">
        <w:rPr>
          <w:rFonts w:ascii="Georgia" w:hAnsi="Georgia" w:cs="Calibri"/>
          <w:color w:val="404040" w:themeColor="text1" w:themeTint="BF"/>
          <w:sz w:val="20"/>
        </w:rPr>
        <w:t xml:space="preserve"> as adopted by the EU</w:t>
      </w:r>
    </w:p>
    <w:p w14:paraId="6A39C801" w14:textId="3248FC54" w:rsidR="0018287C" w:rsidRPr="0018287C" w:rsidRDefault="0018287C" w:rsidP="0018287C">
      <w:pPr>
        <w:jc w:val="both"/>
        <w:rPr>
          <w:rFonts w:ascii="Georgia" w:hAnsi="Georgia" w:cs="Calibri"/>
          <w:b/>
          <w:color w:val="404040" w:themeColor="text1" w:themeTint="BF"/>
          <w:sz w:val="20"/>
        </w:rPr>
      </w:pPr>
    </w:p>
    <w:p w14:paraId="45BAC4E6"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Investment Adviser </w:t>
      </w:r>
      <w:r w:rsidRPr="0018287C">
        <w:rPr>
          <w:rFonts w:ascii="Georgia" w:hAnsi="Georgia" w:cs="Calibri"/>
          <w:color w:val="404040" w:themeColor="text1" w:themeTint="BF"/>
          <w:sz w:val="20"/>
        </w:rPr>
        <w:t>means Bluefield Partners LLP</w:t>
      </w:r>
    </w:p>
    <w:p w14:paraId="29209308" w14:textId="77777777" w:rsidR="0018287C" w:rsidRPr="0018287C" w:rsidRDefault="0018287C" w:rsidP="0018287C">
      <w:pPr>
        <w:jc w:val="both"/>
        <w:rPr>
          <w:rFonts w:ascii="Georgia" w:hAnsi="Georgia" w:cs="Calibri"/>
          <w:b/>
          <w:color w:val="404040" w:themeColor="text1" w:themeTint="BF"/>
          <w:sz w:val="20"/>
        </w:rPr>
      </w:pPr>
    </w:p>
    <w:p w14:paraId="61B56DD3" w14:textId="77777777" w:rsidR="0018287C" w:rsidRP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IPEV Valuation Guidelines </w:t>
      </w:r>
      <w:r w:rsidRPr="0018287C">
        <w:rPr>
          <w:rFonts w:ascii="Georgia" w:hAnsi="Georgia" w:cs="Calibri"/>
          <w:color w:val="404040" w:themeColor="text1" w:themeTint="BF"/>
          <w:sz w:val="20"/>
        </w:rPr>
        <w:t xml:space="preserve">means the International Private Equity and Venture Capital Valuation Guidelines </w:t>
      </w:r>
    </w:p>
    <w:p w14:paraId="08432247" w14:textId="77777777" w:rsidR="0018287C" w:rsidRPr="0018287C" w:rsidRDefault="0018287C" w:rsidP="0018287C">
      <w:pPr>
        <w:jc w:val="both"/>
        <w:rPr>
          <w:rFonts w:ascii="Georgia" w:hAnsi="Georgia" w:cs="Calibri"/>
          <w:b/>
          <w:color w:val="404040" w:themeColor="text1" w:themeTint="BF"/>
          <w:sz w:val="20"/>
        </w:rPr>
      </w:pPr>
    </w:p>
    <w:p w14:paraId="1286C37B" w14:textId="49E84130"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IPO </w:t>
      </w:r>
      <w:r w:rsidRPr="0018287C">
        <w:rPr>
          <w:rFonts w:ascii="Georgia" w:hAnsi="Georgia" w:cs="Calibri"/>
          <w:color w:val="404040" w:themeColor="text1" w:themeTint="BF"/>
          <w:sz w:val="20"/>
        </w:rPr>
        <w:t>means initial public offering</w:t>
      </w:r>
    </w:p>
    <w:p w14:paraId="6E1998D7" w14:textId="4BA1CEFE" w:rsidR="007252CB" w:rsidRDefault="007252CB" w:rsidP="0018287C">
      <w:pPr>
        <w:jc w:val="both"/>
        <w:rPr>
          <w:rFonts w:ascii="Georgia" w:hAnsi="Georgia" w:cs="Calibri"/>
          <w:color w:val="404040" w:themeColor="text1" w:themeTint="BF"/>
          <w:sz w:val="20"/>
        </w:rPr>
      </w:pPr>
    </w:p>
    <w:p w14:paraId="794A32AB" w14:textId="77777777" w:rsidR="007252CB" w:rsidRPr="007252CB" w:rsidRDefault="007252CB" w:rsidP="007252CB">
      <w:pPr>
        <w:jc w:val="both"/>
        <w:rPr>
          <w:rFonts w:ascii="Georgia" w:hAnsi="Georgia" w:cs="Calibri"/>
          <w:color w:val="404040" w:themeColor="text1" w:themeTint="BF"/>
          <w:sz w:val="20"/>
        </w:rPr>
      </w:pPr>
      <w:r w:rsidRPr="007252CB">
        <w:rPr>
          <w:rFonts w:ascii="Georgia" w:hAnsi="Georgia" w:cs="Calibri"/>
          <w:b/>
          <w:color w:val="404040" w:themeColor="text1" w:themeTint="BF"/>
          <w:sz w:val="20"/>
        </w:rPr>
        <w:t>IRR</w:t>
      </w:r>
      <w:r w:rsidRPr="007252CB">
        <w:rPr>
          <w:rFonts w:ascii="Georgia" w:hAnsi="Georgia" w:cs="Calibri"/>
          <w:color w:val="404040" w:themeColor="text1" w:themeTint="BF"/>
          <w:sz w:val="20"/>
        </w:rPr>
        <w:t xml:space="preserve"> means Internal Rate of Return</w:t>
      </w:r>
    </w:p>
    <w:p w14:paraId="527FCA70" w14:textId="77777777" w:rsidR="007252CB" w:rsidRDefault="007252CB" w:rsidP="007252CB">
      <w:pPr>
        <w:jc w:val="both"/>
        <w:rPr>
          <w:rFonts w:ascii="Georgia" w:hAnsi="Georgia" w:cs="Calibri"/>
          <w:color w:val="404040" w:themeColor="text1" w:themeTint="BF"/>
          <w:sz w:val="20"/>
        </w:rPr>
      </w:pPr>
    </w:p>
    <w:p w14:paraId="2E86D15E" w14:textId="68A6650E" w:rsidR="007252CB" w:rsidRPr="007252CB" w:rsidRDefault="007252CB" w:rsidP="007252CB">
      <w:pPr>
        <w:jc w:val="both"/>
        <w:rPr>
          <w:rFonts w:ascii="Georgia" w:hAnsi="Georgia" w:cs="Calibri"/>
          <w:color w:val="404040" w:themeColor="text1" w:themeTint="BF"/>
          <w:sz w:val="20"/>
        </w:rPr>
      </w:pPr>
      <w:r w:rsidRPr="007252CB">
        <w:rPr>
          <w:rFonts w:ascii="Georgia" w:hAnsi="Georgia" w:cs="Calibri"/>
          <w:b/>
          <w:color w:val="404040" w:themeColor="text1" w:themeTint="BF"/>
          <w:sz w:val="20"/>
        </w:rPr>
        <w:t>IVSC</w:t>
      </w:r>
      <w:r w:rsidRPr="007252CB">
        <w:rPr>
          <w:rFonts w:ascii="Georgia" w:hAnsi="Georgia" w:cs="Calibri"/>
          <w:color w:val="404040" w:themeColor="text1" w:themeTint="BF"/>
          <w:sz w:val="20"/>
        </w:rPr>
        <w:t xml:space="preserve"> The International Valuation Standards Council</w:t>
      </w:r>
    </w:p>
    <w:p w14:paraId="3F3FC1BD" w14:textId="77777777" w:rsidR="007252CB" w:rsidRDefault="007252CB" w:rsidP="007252CB">
      <w:pPr>
        <w:jc w:val="both"/>
        <w:rPr>
          <w:rFonts w:ascii="Georgia" w:hAnsi="Georgia" w:cs="Calibri"/>
          <w:color w:val="404040" w:themeColor="text1" w:themeTint="BF"/>
          <w:sz w:val="20"/>
        </w:rPr>
      </w:pPr>
    </w:p>
    <w:p w14:paraId="198EBE2B" w14:textId="7FC18CB4" w:rsidR="007252CB" w:rsidRDefault="007252CB" w:rsidP="007252CB">
      <w:pPr>
        <w:jc w:val="both"/>
        <w:rPr>
          <w:rFonts w:ascii="Georgia" w:hAnsi="Georgia" w:cs="Calibri"/>
          <w:color w:val="404040" w:themeColor="text1" w:themeTint="BF"/>
          <w:sz w:val="20"/>
        </w:rPr>
      </w:pPr>
      <w:r w:rsidRPr="007252CB">
        <w:rPr>
          <w:rFonts w:ascii="Georgia" w:hAnsi="Georgia" w:cs="Calibri"/>
          <w:b/>
          <w:color w:val="404040" w:themeColor="text1" w:themeTint="BF"/>
          <w:sz w:val="20"/>
        </w:rPr>
        <w:t>KID</w:t>
      </w:r>
      <w:r w:rsidRPr="007252CB">
        <w:rPr>
          <w:rFonts w:ascii="Georgia" w:hAnsi="Georgia" w:cs="Calibri"/>
          <w:color w:val="404040" w:themeColor="text1" w:themeTint="BF"/>
          <w:sz w:val="20"/>
        </w:rPr>
        <w:t xml:space="preserve"> means Key Information Document</w:t>
      </w:r>
    </w:p>
    <w:p w14:paraId="5705F650" w14:textId="77777777" w:rsidR="00451315" w:rsidRDefault="00451315" w:rsidP="0018287C">
      <w:pPr>
        <w:jc w:val="both"/>
        <w:rPr>
          <w:rFonts w:ascii="Georgia" w:hAnsi="Georgia" w:cs="Calibri"/>
          <w:color w:val="404040" w:themeColor="text1" w:themeTint="BF"/>
          <w:sz w:val="20"/>
        </w:rPr>
      </w:pPr>
    </w:p>
    <w:p w14:paraId="7F6A39B1"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KPI </w:t>
      </w:r>
      <w:r w:rsidRPr="0018287C">
        <w:rPr>
          <w:rFonts w:ascii="Georgia" w:hAnsi="Georgia" w:cs="Calibri"/>
          <w:color w:val="404040" w:themeColor="text1" w:themeTint="BF"/>
          <w:sz w:val="20"/>
        </w:rPr>
        <w:t>means Key Performance Indicators</w:t>
      </w:r>
    </w:p>
    <w:p w14:paraId="29344026" w14:textId="77777777" w:rsidR="0018287C" w:rsidRPr="0018287C" w:rsidRDefault="0018287C" w:rsidP="0018287C">
      <w:pPr>
        <w:jc w:val="both"/>
        <w:rPr>
          <w:rFonts w:ascii="Georgia" w:hAnsi="Georgia" w:cs="Calibri"/>
          <w:b/>
          <w:color w:val="404040" w:themeColor="text1" w:themeTint="BF"/>
          <w:sz w:val="20"/>
        </w:rPr>
      </w:pPr>
    </w:p>
    <w:p w14:paraId="548DCD97" w14:textId="72C9E8A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KPMG </w:t>
      </w:r>
      <w:r w:rsidRPr="0018287C">
        <w:rPr>
          <w:rFonts w:ascii="Georgia" w:hAnsi="Georgia" w:cs="Calibri"/>
          <w:color w:val="404040" w:themeColor="text1" w:themeTint="BF"/>
          <w:sz w:val="20"/>
        </w:rPr>
        <w:t>means KPMG Channel Islands Limited</w:t>
      </w:r>
      <w:r w:rsidR="0054171A">
        <w:rPr>
          <w:rFonts w:ascii="Georgia" w:hAnsi="Georgia" w:cs="Calibri"/>
          <w:color w:val="404040" w:themeColor="text1" w:themeTint="BF"/>
          <w:sz w:val="20"/>
        </w:rPr>
        <w:t xml:space="preserve"> (see Auditor)</w:t>
      </w:r>
    </w:p>
    <w:p w14:paraId="46EF4235" w14:textId="3F2D99FA" w:rsidR="00676764" w:rsidRDefault="00676764" w:rsidP="0018287C">
      <w:pPr>
        <w:jc w:val="both"/>
        <w:rPr>
          <w:rFonts w:ascii="Georgia" w:hAnsi="Georgia" w:cs="Calibri"/>
          <w:color w:val="404040" w:themeColor="text1" w:themeTint="BF"/>
          <w:sz w:val="20"/>
        </w:rPr>
      </w:pPr>
    </w:p>
    <w:p w14:paraId="5378D70C" w14:textId="414424AC" w:rsidR="00676764" w:rsidRDefault="00676764" w:rsidP="0018287C">
      <w:pPr>
        <w:jc w:val="both"/>
        <w:rPr>
          <w:rFonts w:ascii="Georgia" w:hAnsi="Georgia" w:cs="Calibri"/>
          <w:color w:val="404040" w:themeColor="text1" w:themeTint="BF"/>
          <w:sz w:val="20"/>
        </w:rPr>
      </w:pPr>
      <w:r w:rsidRPr="00676764">
        <w:rPr>
          <w:rFonts w:ascii="Georgia" w:hAnsi="Georgia" w:cs="Calibri"/>
          <w:b/>
          <w:color w:val="404040" w:themeColor="text1" w:themeTint="BF"/>
          <w:sz w:val="20"/>
        </w:rPr>
        <w:t>kWh</w:t>
      </w:r>
      <w:r w:rsidRPr="00676764">
        <w:rPr>
          <w:rFonts w:ascii="Georgia" w:hAnsi="Georgia" w:cs="Calibri"/>
          <w:color w:val="404040" w:themeColor="text1" w:themeTint="BF"/>
          <w:sz w:val="20"/>
        </w:rPr>
        <w:t xml:space="preserve"> means Kilowatt hour</w:t>
      </w:r>
    </w:p>
    <w:p w14:paraId="5F150740" w14:textId="77777777" w:rsidR="00A35879" w:rsidRDefault="00A35879" w:rsidP="0018287C">
      <w:pPr>
        <w:jc w:val="both"/>
        <w:rPr>
          <w:rFonts w:ascii="Georgia" w:hAnsi="Georgia" w:cs="Calibri"/>
          <w:color w:val="404040" w:themeColor="text1" w:themeTint="BF"/>
          <w:sz w:val="20"/>
        </w:rPr>
      </w:pPr>
    </w:p>
    <w:p w14:paraId="44C40395" w14:textId="665B8CAF" w:rsidR="00A35879" w:rsidRPr="0018287C" w:rsidRDefault="007010EE" w:rsidP="0018287C">
      <w:pPr>
        <w:jc w:val="both"/>
        <w:rPr>
          <w:rFonts w:ascii="Georgia" w:hAnsi="Georgia" w:cs="Calibri"/>
          <w:b/>
          <w:color w:val="404040" w:themeColor="text1" w:themeTint="BF"/>
          <w:sz w:val="20"/>
        </w:rPr>
      </w:pPr>
      <w:proofErr w:type="spellStart"/>
      <w:r>
        <w:rPr>
          <w:rFonts w:ascii="Georgia" w:hAnsi="Georgia" w:cs="Calibri"/>
          <w:b/>
          <w:color w:val="404040" w:themeColor="text1" w:themeTint="BF"/>
          <w:sz w:val="20"/>
        </w:rPr>
        <w:t>k</w:t>
      </w:r>
      <w:r w:rsidR="00A35879" w:rsidRPr="001B56EC">
        <w:rPr>
          <w:rFonts w:ascii="Georgia" w:hAnsi="Georgia" w:cs="Calibri"/>
          <w:b/>
          <w:color w:val="404040" w:themeColor="text1" w:themeTint="BF"/>
          <w:sz w:val="20"/>
        </w:rPr>
        <w:t>Wp</w:t>
      </w:r>
      <w:proofErr w:type="spellEnd"/>
      <w:r w:rsidR="00A35879">
        <w:rPr>
          <w:rFonts w:ascii="Georgia" w:hAnsi="Georgia" w:cs="Calibri"/>
          <w:color w:val="404040" w:themeColor="text1" w:themeTint="BF"/>
          <w:sz w:val="20"/>
        </w:rPr>
        <w:t xml:space="preserve"> means Kilowatt peak</w:t>
      </w:r>
    </w:p>
    <w:p w14:paraId="2ECA4319" w14:textId="77777777" w:rsidR="00FC2C15" w:rsidRDefault="00FC2C15" w:rsidP="00FC2C15">
      <w:pPr>
        <w:jc w:val="both"/>
        <w:rPr>
          <w:rFonts w:ascii="Georgia" w:hAnsi="Georgia" w:cs="Calibri"/>
          <w:b/>
          <w:color w:val="404040" w:themeColor="text1" w:themeTint="BF"/>
          <w:sz w:val="20"/>
        </w:rPr>
      </w:pPr>
    </w:p>
    <w:p w14:paraId="207CD300" w14:textId="77777777" w:rsidR="0018287C" w:rsidRP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Law </w:t>
      </w:r>
      <w:r w:rsidRPr="0018287C">
        <w:rPr>
          <w:rFonts w:ascii="Georgia" w:hAnsi="Georgia" w:cs="Calibri"/>
          <w:color w:val="404040" w:themeColor="text1" w:themeTint="BF"/>
          <w:sz w:val="20"/>
        </w:rPr>
        <w:t>means Companies (Guernsey) Law, 2008 as amended</w:t>
      </w:r>
      <w:r w:rsidR="0054171A">
        <w:rPr>
          <w:rFonts w:ascii="Georgia" w:hAnsi="Georgia" w:cs="Calibri"/>
          <w:color w:val="404040" w:themeColor="text1" w:themeTint="BF"/>
          <w:sz w:val="20"/>
        </w:rPr>
        <w:t xml:space="preserve"> (see Companies Law)</w:t>
      </w:r>
    </w:p>
    <w:p w14:paraId="3236E391" w14:textId="1E8E2E9E" w:rsidR="001E397A" w:rsidRDefault="001E397A" w:rsidP="0018287C">
      <w:pPr>
        <w:jc w:val="both"/>
        <w:rPr>
          <w:rFonts w:ascii="Georgia" w:hAnsi="Georgia" w:cs="Calibri"/>
          <w:b/>
          <w:color w:val="404040" w:themeColor="text1" w:themeTint="BF"/>
          <w:sz w:val="20"/>
        </w:rPr>
      </w:pPr>
    </w:p>
    <w:p w14:paraId="6BF67F5F" w14:textId="77777777" w:rsidR="00451315" w:rsidRDefault="00451315" w:rsidP="0018287C">
      <w:pPr>
        <w:jc w:val="both"/>
        <w:rPr>
          <w:rFonts w:ascii="Georgia" w:hAnsi="Georgia" w:cs="Calibri"/>
          <w:b/>
          <w:color w:val="404040" w:themeColor="text1" w:themeTint="BF"/>
          <w:sz w:val="20"/>
        </w:rPr>
      </w:pPr>
      <w:r>
        <w:rPr>
          <w:rFonts w:ascii="Georgia" w:hAnsi="Georgia" w:cs="Calibri"/>
          <w:b/>
          <w:color w:val="404040" w:themeColor="text1" w:themeTint="BF"/>
          <w:sz w:val="20"/>
        </w:rPr>
        <w:t xml:space="preserve">LD </w:t>
      </w:r>
      <w:r>
        <w:rPr>
          <w:rFonts w:ascii="Georgia" w:hAnsi="Georgia" w:cs="Calibri"/>
          <w:color w:val="404040" w:themeColor="text1" w:themeTint="BF"/>
          <w:sz w:val="20"/>
        </w:rPr>
        <w:t>means liquidated damages</w:t>
      </w:r>
    </w:p>
    <w:p w14:paraId="6A815D04" w14:textId="77777777" w:rsidR="00451315" w:rsidRDefault="00451315" w:rsidP="0018287C">
      <w:pPr>
        <w:jc w:val="both"/>
        <w:rPr>
          <w:rFonts w:ascii="Georgia" w:hAnsi="Georgia" w:cs="Calibri"/>
          <w:b/>
          <w:color w:val="404040" w:themeColor="text1" w:themeTint="BF"/>
          <w:sz w:val="20"/>
        </w:rPr>
      </w:pPr>
    </w:p>
    <w:p w14:paraId="339D17E3"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LIBOR </w:t>
      </w:r>
      <w:r w:rsidRPr="0018287C">
        <w:rPr>
          <w:rFonts w:ascii="Georgia" w:hAnsi="Georgia" w:cs="Calibri"/>
          <w:color w:val="404040" w:themeColor="text1" w:themeTint="BF"/>
          <w:sz w:val="20"/>
        </w:rPr>
        <w:t>means London Interbank Offer</w:t>
      </w:r>
      <w:r w:rsidR="00BB09B8">
        <w:rPr>
          <w:rFonts w:ascii="Georgia" w:hAnsi="Georgia" w:cs="Calibri"/>
          <w:color w:val="404040" w:themeColor="text1" w:themeTint="BF"/>
          <w:sz w:val="20"/>
        </w:rPr>
        <w:t>ed</w:t>
      </w:r>
      <w:r w:rsidRPr="0018287C">
        <w:rPr>
          <w:rFonts w:ascii="Georgia" w:hAnsi="Georgia" w:cs="Calibri"/>
          <w:color w:val="404040" w:themeColor="text1" w:themeTint="BF"/>
          <w:sz w:val="20"/>
        </w:rPr>
        <w:t xml:space="preserve"> Rate</w:t>
      </w:r>
    </w:p>
    <w:p w14:paraId="2CAA38A2" w14:textId="77777777" w:rsidR="00636B56" w:rsidRDefault="00636B56" w:rsidP="0018287C">
      <w:pPr>
        <w:jc w:val="both"/>
        <w:rPr>
          <w:rFonts w:ascii="Georgia" w:hAnsi="Georgia" w:cs="Calibri"/>
          <w:b/>
          <w:color w:val="404040" w:themeColor="text1" w:themeTint="BF"/>
          <w:sz w:val="20"/>
        </w:rPr>
      </w:pPr>
    </w:p>
    <w:p w14:paraId="194B582D" w14:textId="77777777" w:rsidR="00D91865" w:rsidRDefault="00D9186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Listing Rules </w:t>
      </w:r>
      <w:r>
        <w:rPr>
          <w:rFonts w:ascii="Georgia" w:hAnsi="Georgia" w:cs="Calibri"/>
          <w:color w:val="404040" w:themeColor="text1" w:themeTint="BF"/>
          <w:sz w:val="20"/>
        </w:rPr>
        <w:t>means the set of FCA rules which must be followed by all companies listed in the UK</w:t>
      </w:r>
    </w:p>
    <w:p w14:paraId="655D3D71" w14:textId="77777777" w:rsidR="00843748" w:rsidRPr="00D91865" w:rsidRDefault="00843748" w:rsidP="0018287C">
      <w:pPr>
        <w:jc w:val="both"/>
        <w:rPr>
          <w:rFonts w:ascii="Georgia" w:hAnsi="Georgia" w:cs="Calibri"/>
          <w:color w:val="404040" w:themeColor="text1" w:themeTint="BF"/>
          <w:sz w:val="20"/>
        </w:rPr>
      </w:pPr>
    </w:p>
    <w:p w14:paraId="77E0784C" w14:textId="408A35AA" w:rsidR="00CA14C0" w:rsidRDefault="00CA14C0" w:rsidP="00CA14C0">
      <w:pPr>
        <w:jc w:val="both"/>
        <w:rPr>
          <w:rFonts w:ascii="Georgia" w:hAnsi="Georgia" w:cs="Calibri"/>
          <w:color w:val="404040" w:themeColor="text1" w:themeTint="BF"/>
          <w:sz w:val="20"/>
        </w:rPr>
      </w:pPr>
      <w:r>
        <w:rPr>
          <w:rFonts w:ascii="Georgia" w:hAnsi="Georgia" w:cs="Calibri"/>
          <w:b/>
          <w:color w:val="404040" w:themeColor="text1" w:themeTint="BF"/>
          <w:sz w:val="20"/>
        </w:rPr>
        <w:t>Lloyds</w:t>
      </w:r>
      <w:r w:rsidRPr="0018287C">
        <w:rPr>
          <w:rFonts w:ascii="Georgia" w:hAnsi="Georgia" w:cs="Calibri"/>
          <w:b/>
          <w:color w:val="404040" w:themeColor="text1" w:themeTint="BF"/>
          <w:sz w:val="20"/>
        </w:rPr>
        <w:t xml:space="preserve"> </w:t>
      </w:r>
      <w:r w:rsidRPr="0018287C">
        <w:rPr>
          <w:rFonts w:ascii="Georgia" w:hAnsi="Georgia" w:cs="Calibri"/>
          <w:color w:val="404040" w:themeColor="text1" w:themeTint="BF"/>
          <w:sz w:val="20"/>
        </w:rPr>
        <w:t xml:space="preserve">means </w:t>
      </w:r>
      <w:r>
        <w:rPr>
          <w:rFonts w:ascii="Georgia" w:hAnsi="Georgia" w:cs="Calibri"/>
          <w:color w:val="404040" w:themeColor="text1" w:themeTint="BF"/>
          <w:sz w:val="20"/>
        </w:rPr>
        <w:t xml:space="preserve">Lloyds Bank Group </w:t>
      </w:r>
      <w:r w:rsidR="009321AA">
        <w:rPr>
          <w:rFonts w:ascii="Georgia" w:hAnsi="Georgia" w:cs="Calibri"/>
          <w:color w:val="404040" w:themeColor="text1" w:themeTint="BF"/>
          <w:sz w:val="20"/>
        </w:rPr>
        <w:t>plc</w:t>
      </w:r>
    </w:p>
    <w:p w14:paraId="47A9A404" w14:textId="345205A4" w:rsidR="00676764" w:rsidRPr="0018287C" w:rsidRDefault="00676764" w:rsidP="00CA14C0">
      <w:pPr>
        <w:jc w:val="both"/>
        <w:rPr>
          <w:rFonts w:ascii="Georgia" w:hAnsi="Georgia" w:cs="Calibri"/>
          <w:b/>
          <w:color w:val="404040" w:themeColor="text1" w:themeTint="BF"/>
          <w:sz w:val="20"/>
        </w:rPr>
      </w:pPr>
    </w:p>
    <w:p w14:paraId="7E9E7888" w14:textId="1A9E213C"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LSE </w:t>
      </w:r>
      <w:r w:rsidRPr="0018287C">
        <w:rPr>
          <w:rFonts w:ascii="Georgia" w:hAnsi="Georgia" w:cs="Calibri"/>
          <w:color w:val="404040" w:themeColor="text1" w:themeTint="BF"/>
          <w:sz w:val="20"/>
        </w:rPr>
        <w:t xml:space="preserve">means </w:t>
      </w:r>
      <w:r>
        <w:rPr>
          <w:rFonts w:ascii="Georgia" w:hAnsi="Georgia" w:cs="Calibri"/>
          <w:color w:val="404040" w:themeColor="text1" w:themeTint="BF"/>
          <w:sz w:val="20"/>
        </w:rPr>
        <w:t xml:space="preserve">London Stock Exchange </w:t>
      </w:r>
      <w:r w:rsidR="009321AA">
        <w:rPr>
          <w:rFonts w:ascii="Georgia" w:hAnsi="Georgia" w:cs="Calibri"/>
          <w:color w:val="404040" w:themeColor="text1" w:themeTint="BF"/>
          <w:sz w:val="20"/>
        </w:rPr>
        <w:t>plc</w:t>
      </w:r>
    </w:p>
    <w:p w14:paraId="2BF5759E" w14:textId="77777777" w:rsidR="00841E9D" w:rsidRDefault="00841E9D" w:rsidP="0018287C">
      <w:pPr>
        <w:jc w:val="both"/>
        <w:rPr>
          <w:rFonts w:ascii="Georgia" w:hAnsi="Georgia" w:cs="Calibri"/>
          <w:color w:val="404040" w:themeColor="text1" w:themeTint="BF"/>
          <w:sz w:val="20"/>
        </w:rPr>
      </w:pPr>
    </w:p>
    <w:p w14:paraId="02AE0146" w14:textId="6E4CF45C" w:rsidR="00841E9D" w:rsidRPr="0018287C" w:rsidRDefault="00841E9D" w:rsidP="0018287C">
      <w:pPr>
        <w:jc w:val="both"/>
        <w:rPr>
          <w:rFonts w:ascii="Georgia" w:hAnsi="Georgia" w:cs="Calibri"/>
          <w:color w:val="404040" w:themeColor="text1" w:themeTint="BF"/>
          <w:sz w:val="20"/>
        </w:rPr>
      </w:pPr>
      <w:r w:rsidRPr="00841E9D">
        <w:rPr>
          <w:rFonts w:ascii="Georgia" w:hAnsi="Georgia" w:cs="Calibri"/>
          <w:b/>
          <w:color w:val="404040" w:themeColor="text1" w:themeTint="BF"/>
          <w:sz w:val="20"/>
        </w:rPr>
        <w:t>LTF</w:t>
      </w:r>
      <w:r>
        <w:rPr>
          <w:rFonts w:ascii="Georgia" w:hAnsi="Georgia" w:cs="Calibri"/>
          <w:color w:val="404040" w:themeColor="text1" w:themeTint="BF"/>
          <w:sz w:val="20"/>
        </w:rPr>
        <w:t xml:space="preserve"> means long term facility provided by Aviva</w:t>
      </w:r>
      <w:r w:rsidR="000B704F">
        <w:rPr>
          <w:rFonts w:ascii="Georgia" w:hAnsi="Georgia" w:cs="Calibri"/>
          <w:color w:val="404040" w:themeColor="text1" w:themeTint="BF"/>
          <w:sz w:val="20"/>
        </w:rPr>
        <w:t xml:space="preserve"> Investors Limited</w:t>
      </w:r>
    </w:p>
    <w:p w14:paraId="2082FBA2" w14:textId="77777777" w:rsidR="0018287C" w:rsidRPr="0018287C" w:rsidRDefault="0018287C" w:rsidP="0018287C">
      <w:pPr>
        <w:jc w:val="both"/>
        <w:rPr>
          <w:rFonts w:ascii="Georgia" w:hAnsi="Georgia" w:cs="Calibri"/>
          <w:b/>
          <w:color w:val="404040" w:themeColor="text1" w:themeTint="BF"/>
          <w:sz w:val="20"/>
        </w:rPr>
      </w:pPr>
    </w:p>
    <w:p w14:paraId="5BFC4400" w14:textId="1099F863"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Main Market </w:t>
      </w:r>
      <w:r w:rsidRPr="0018287C">
        <w:rPr>
          <w:rFonts w:ascii="Georgia" w:hAnsi="Georgia" w:cs="Calibri"/>
          <w:color w:val="404040" w:themeColor="text1" w:themeTint="BF"/>
          <w:sz w:val="20"/>
        </w:rPr>
        <w:t xml:space="preserve">means the main securities market of the </w:t>
      </w:r>
      <w:r w:rsidR="007010EE">
        <w:rPr>
          <w:rFonts w:ascii="Georgia" w:hAnsi="Georgia" w:cs="Calibri"/>
          <w:color w:val="404040" w:themeColor="text1" w:themeTint="BF"/>
          <w:sz w:val="20"/>
        </w:rPr>
        <w:t>LSE</w:t>
      </w:r>
    </w:p>
    <w:p w14:paraId="7DDAA1E3" w14:textId="199C702D" w:rsidR="003D4628" w:rsidRDefault="003D4628" w:rsidP="0018287C">
      <w:pPr>
        <w:jc w:val="both"/>
        <w:rPr>
          <w:rFonts w:ascii="Georgia" w:hAnsi="Georgia" w:cs="Calibri"/>
          <w:color w:val="404040" w:themeColor="text1" w:themeTint="BF"/>
          <w:sz w:val="20"/>
        </w:rPr>
      </w:pPr>
    </w:p>
    <w:p w14:paraId="21882832" w14:textId="27021830" w:rsidR="003D4628" w:rsidRPr="003D4628" w:rsidRDefault="003D4628"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MW </w:t>
      </w:r>
      <w:r>
        <w:rPr>
          <w:rFonts w:ascii="Georgia" w:hAnsi="Georgia" w:cs="Calibri"/>
          <w:color w:val="404040" w:themeColor="text1" w:themeTint="BF"/>
          <w:sz w:val="20"/>
        </w:rPr>
        <w:t>mean</w:t>
      </w:r>
      <w:r w:rsidR="004A5887">
        <w:rPr>
          <w:rFonts w:ascii="Georgia" w:hAnsi="Georgia" w:cs="Calibri"/>
          <w:color w:val="404040" w:themeColor="text1" w:themeTint="BF"/>
          <w:sz w:val="20"/>
        </w:rPr>
        <w:t>s</w:t>
      </w:r>
      <w:r>
        <w:rPr>
          <w:rFonts w:ascii="Georgia" w:hAnsi="Georgia" w:cs="Calibri"/>
          <w:color w:val="404040" w:themeColor="text1" w:themeTint="BF"/>
          <w:sz w:val="20"/>
        </w:rPr>
        <w:t xml:space="preserve"> Megawatt</w:t>
      </w:r>
      <w:r w:rsidR="00C052FF">
        <w:rPr>
          <w:rFonts w:ascii="Georgia" w:hAnsi="Georgia" w:cs="Calibri"/>
          <w:color w:val="404040" w:themeColor="text1" w:themeTint="BF"/>
          <w:sz w:val="20"/>
        </w:rPr>
        <w:t xml:space="preserve"> (a unit of power equal to one million watts)</w:t>
      </w:r>
    </w:p>
    <w:p w14:paraId="77C99F25" w14:textId="77777777" w:rsidR="0018287C" w:rsidRPr="0018287C" w:rsidRDefault="0018287C" w:rsidP="0018287C">
      <w:pPr>
        <w:jc w:val="both"/>
        <w:rPr>
          <w:rFonts w:ascii="Georgia" w:hAnsi="Georgia" w:cs="Calibri"/>
          <w:b/>
          <w:color w:val="404040" w:themeColor="text1" w:themeTint="BF"/>
          <w:sz w:val="20"/>
        </w:rPr>
      </w:pPr>
    </w:p>
    <w:p w14:paraId="0CEB44E8" w14:textId="77777777" w:rsidR="0018287C" w:rsidRP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MWh </w:t>
      </w:r>
      <w:r w:rsidR="008E52BA">
        <w:rPr>
          <w:rFonts w:ascii="Georgia" w:hAnsi="Georgia" w:cs="Calibri"/>
          <w:color w:val="404040" w:themeColor="text1" w:themeTint="BF"/>
          <w:sz w:val="20"/>
        </w:rPr>
        <w:t>means Megawatt h</w:t>
      </w:r>
      <w:r w:rsidRPr="0018287C">
        <w:rPr>
          <w:rFonts w:ascii="Georgia" w:hAnsi="Georgia" w:cs="Calibri"/>
          <w:color w:val="404040" w:themeColor="text1" w:themeTint="BF"/>
          <w:sz w:val="20"/>
        </w:rPr>
        <w:t>our</w:t>
      </w:r>
    </w:p>
    <w:p w14:paraId="38BF3280" w14:textId="77777777" w:rsidR="0018287C" w:rsidRPr="0018287C" w:rsidRDefault="0018287C" w:rsidP="0018287C">
      <w:pPr>
        <w:jc w:val="both"/>
        <w:rPr>
          <w:rFonts w:ascii="Georgia" w:hAnsi="Georgia" w:cs="Calibri"/>
          <w:b/>
          <w:color w:val="404040" w:themeColor="text1" w:themeTint="BF"/>
          <w:sz w:val="20"/>
        </w:rPr>
      </w:pPr>
    </w:p>
    <w:p w14:paraId="1A013783" w14:textId="77777777" w:rsidR="0018287C" w:rsidRPr="0018287C" w:rsidRDefault="0018287C" w:rsidP="0018287C">
      <w:pPr>
        <w:jc w:val="both"/>
        <w:rPr>
          <w:rFonts w:ascii="Georgia" w:hAnsi="Georgia" w:cs="Calibri"/>
          <w:b/>
          <w:color w:val="404040" w:themeColor="text1" w:themeTint="BF"/>
          <w:sz w:val="20"/>
        </w:rPr>
      </w:pPr>
      <w:proofErr w:type="spellStart"/>
      <w:r w:rsidRPr="0018287C">
        <w:rPr>
          <w:rFonts w:ascii="Georgia" w:hAnsi="Georgia" w:cs="Calibri"/>
          <w:b/>
          <w:color w:val="404040" w:themeColor="text1" w:themeTint="BF"/>
          <w:sz w:val="20"/>
        </w:rPr>
        <w:t>MWp</w:t>
      </w:r>
      <w:proofErr w:type="spellEnd"/>
      <w:r w:rsidRPr="0018287C">
        <w:rPr>
          <w:rFonts w:ascii="Georgia" w:hAnsi="Georgia" w:cs="Calibri"/>
          <w:b/>
          <w:color w:val="404040" w:themeColor="text1" w:themeTint="BF"/>
          <w:sz w:val="20"/>
        </w:rPr>
        <w:t xml:space="preserve"> </w:t>
      </w:r>
      <w:r w:rsidR="008E52BA">
        <w:rPr>
          <w:rFonts w:ascii="Georgia" w:hAnsi="Georgia" w:cs="Calibri"/>
          <w:color w:val="404040" w:themeColor="text1" w:themeTint="BF"/>
          <w:sz w:val="20"/>
        </w:rPr>
        <w:t>means Megawatt p</w:t>
      </w:r>
      <w:r w:rsidRPr="0018287C">
        <w:rPr>
          <w:rFonts w:ascii="Georgia" w:hAnsi="Georgia" w:cs="Calibri"/>
          <w:color w:val="404040" w:themeColor="text1" w:themeTint="BF"/>
          <w:sz w:val="20"/>
        </w:rPr>
        <w:t>eak</w:t>
      </w:r>
    </w:p>
    <w:p w14:paraId="3BBB5C5B" w14:textId="77777777" w:rsidR="0018287C" w:rsidRPr="0018287C" w:rsidRDefault="0018287C" w:rsidP="0018287C">
      <w:pPr>
        <w:jc w:val="both"/>
        <w:rPr>
          <w:rFonts w:ascii="Georgia" w:hAnsi="Georgia" w:cs="Calibri"/>
          <w:b/>
          <w:color w:val="404040" w:themeColor="text1" w:themeTint="BF"/>
          <w:sz w:val="20"/>
        </w:rPr>
      </w:pPr>
    </w:p>
    <w:p w14:paraId="1DD2D8A4"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NAV </w:t>
      </w:r>
      <w:r w:rsidRPr="0018287C">
        <w:rPr>
          <w:rFonts w:ascii="Georgia" w:hAnsi="Georgia" w:cs="Calibri"/>
          <w:color w:val="404040" w:themeColor="text1" w:themeTint="BF"/>
          <w:sz w:val="20"/>
        </w:rPr>
        <w:t>means Net Asset Value as defined in the prospectus</w:t>
      </w:r>
    </w:p>
    <w:p w14:paraId="3CCDCD4A" w14:textId="77777777" w:rsidR="0018287C" w:rsidRDefault="0018287C" w:rsidP="0018287C">
      <w:pPr>
        <w:jc w:val="both"/>
        <w:rPr>
          <w:rFonts w:ascii="Georgia" w:hAnsi="Georgia" w:cs="Calibri"/>
          <w:b/>
          <w:color w:val="404040" w:themeColor="text1" w:themeTint="BF"/>
          <w:sz w:val="20"/>
        </w:rPr>
      </w:pPr>
    </w:p>
    <w:p w14:paraId="3E497530" w14:textId="77777777" w:rsidR="00D91865" w:rsidRPr="00D91865" w:rsidRDefault="00D9186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NMPI </w:t>
      </w:r>
      <w:r>
        <w:rPr>
          <w:rFonts w:ascii="Georgia" w:hAnsi="Georgia" w:cs="Calibri"/>
          <w:color w:val="404040" w:themeColor="text1" w:themeTint="BF"/>
          <w:sz w:val="20"/>
        </w:rPr>
        <w:t>means Non-mainstream Pooled Investments and Special Purpose Vehicles and the rules around their financial promotion</w:t>
      </w:r>
    </w:p>
    <w:p w14:paraId="23217C18" w14:textId="77777777" w:rsidR="00D91865" w:rsidRDefault="00D91865" w:rsidP="0018287C">
      <w:pPr>
        <w:jc w:val="both"/>
        <w:rPr>
          <w:rFonts w:ascii="Georgia" w:hAnsi="Georgia" w:cs="Calibri"/>
          <w:b/>
          <w:color w:val="404040" w:themeColor="text1" w:themeTint="BF"/>
          <w:sz w:val="20"/>
        </w:rPr>
      </w:pPr>
    </w:p>
    <w:p w14:paraId="56A26D66" w14:textId="77777777" w:rsidR="00D91865" w:rsidRPr="00D91865" w:rsidRDefault="00D9186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NPPR </w:t>
      </w:r>
      <w:r>
        <w:rPr>
          <w:rFonts w:ascii="Georgia" w:hAnsi="Georgia" w:cs="Calibri"/>
          <w:color w:val="404040" w:themeColor="text1" w:themeTint="BF"/>
          <w:sz w:val="20"/>
        </w:rPr>
        <w:t>means the AIFMD National Private Placement Regime</w:t>
      </w:r>
    </w:p>
    <w:p w14:paraId="304BC33D" w14:textId="77777777" w:rsidR="00D91865" w:rsidRPr="0018287C" w:rsidRDefault="00D91865" w:rsidP="0018287C">
      <w:pPr>
        <w:jc w:val="both"/>
        <w:rPr>
          <w:rFonts w:ascii="Georgia" w:hAnsi="Georgia" w:cs="Calibri"/>
          <w:b/>
          <w:color w:val="404040" w:themeColor="text1" w:themeTint="BF"/>
          <w:sz w:val="20"/>
        </w:rPr>
      </w:pPr>
    </w:p>
    <w:p w14:paraId="05B21C50" w14:textId="74169978" w:rsidR="006C3005" w:rsidRDefault="006C300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 xml:space="preserve">O&amp;M </w:t>
      </w:r>
      <w:r w:rsidRPr="006C3005">
        <w:rPr>
          <w:rFonts w:ascii="Georgia" w:hAnsi="Georgia" w:cs="Calibri"/>
          <w:color w:val="404040" w:themeColor="text1" w:themeTint="BF"/>
          <w:sz w:val="20"/>
        </w:rPr>
        <w:t xml:space="preserve">means </w:t>
      </w:r>
      <w:r>
        <w:rPr>
          <w:rFonts w:ascii="Georgia" w:hAnsi="Georgia" w:cs="Calibri"/>
          <w:color w:val="404040" w:themeColor="text1" w:themeTint="BF"/>
          <w:sz w:val="20"/>
        </w:rPr>
        <w:t>Operation</w:t>
      </w:r>
      <w:r w:rsidRPr="006C3005">
        <w:rPr>
          <w:rFonts w:ascii="Georgia" w:hAnsi="Georgia" w:cs="Calibri"/>
          <w:color w:val="404040" w:themeColor="text1" w:themeTint="BF"/>
          <w:sz w:val="20"/>
        </w:rPr>
        <w:t xml:space="preserve"> and Maintenance</w:t>
      </w:r>
    </w:p>
    <w:p w14:paraId="220A90E0" w14:textId="77777777" w:rsidR="00E51028" w:rsidRDefault="00E51028" w:rsidP="0018287C">
      <w:pPr>
        <w:jc w:val="both"/>
        <w:rPr>
          <w:rFonts w:ascii="Georgia" w:hAnsi="Georgia" w:cs="Calibri"/>
          <w:b/>
          <w:color w:val="404040" w:themeColor="text1" w:themeTint="BF"/>
          <w:sz w:val="20"/>
        </w:rPr>
      </w:pPr>
    </w:p>
    <w:p w14:paraId="658DC530" w14:textId="52E624A2"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Official List </w:t>
      </w:r>
      <w:r w:rsidRPr="0018287C">
        <w:rPr>
          <w:rFonts w:ascii="Georgia" w:hAnsi="Georgia" w:cs="Calibri"/>
          <w:color w:val="404040" w:themeColor="text1" w:themeTint="BF"/>
          <w:sz w:val="20"/>
        </w:rPr>
        <w:t>means the Premium Segment of the UK Listing Authority’s Official List</w:t>
      </w:r>
    </w:p>
    <w:p w14:paraId="62182F25" w14:textId="41216CFC" w:rsidR="00D37CBF" w:rsidRDefault="00D37CBF" w:rsidP="0018287C">
      <w:pPr>
        <w:jc w:val="both"/>
        <w:rPr>
          <w:rFonts w:ascii="Georgia" w:hAnsi="Georgia" w:cs="Calibri"/>
          <w:color w:val="404040" w:themeColor="text1" w:themeTint="BF"/>
          <w:sz w:val="20"/>
        </w:rPr>
      </w:pPr>
    </w:p>
    <w:p w14:paraId="3A5ED51E" w14:textId="430A1588" w:rsidR="00D37CBF" w:rsidRPr="0018287C" w:rsidRDefault="00D37CBF" w:rsidP="0018287C">
      <w:pPr>
        <w:jc w:val="both"/>
        <w:rPr>
          <w:rFonts w:ascii="Georgia" w:hAnsi="Georgia" w:cs="Calibri"/>
          <w:b/>
          <w:color w:val="404040" w:themeColor="text1" w:themeTint="BF"/>
          <w:sz w:val="20"/>
        </w:rPr>
      </w:pPr>
      <w:proofErr w:type="spellStart"/>
      <w:r w:rsidRPr="00D37CBF">
        <w:rPr>
          <w:rFonts w:ascii="Georgia" w:hAnsi="Georgia" w:cs="Calibri"/>
          <w:b/>
          <w:color w:val="404040" w:themeColor="text1" w:themeTint="BF"/>
          <w:sz w:val="20"/>
        </w:rPr>
        <w:lastRenderedPageBreak/>
        <w:t>Ofgem</w:t>
      </w:r>
      <w:proofErr w:type="spellEnd"/>
      <w:r w:rsidRPr="00D37CBF">
        <w:rPr>
          <w:rFonts w:ascii="Georgia" w:hAnsi="Georgia" w:cs="Calibri"/>
          <w:b/>
          <w:color w:val="404040" w:themeColor="text1" w:themeTint="BF"/>
          <w:sz w:val="20"/>
        </w:rPr>
        <w:t xml:space="preserve"> </w:t>
      </w:r>
      <w:r w:rsidRPr="00D37CBF">
        <w:rPr>
          <w:rFonts w:ascii="Georgia" w:hAnsi="Georgia" w:cs="Calibri"/>
          <w:color w:val="404040" w:themeColor="text1" w:themeTint="BF"/>
          <w:sz w:val="20"/>
        </w:rPr>
        <w:t>means Office of Gas and Electricity Markets</w:t>
      </w:r>
    </w:p>
    <w:p w14:paraId="0AD2ADF7" w14:textId="77777777" w:rsidR="00D91865" w:rsidRDefault="00D91865" w:rsidP="0018287C">
      <w:pPr>
        <w:jc w:val="both"/>
        <w:rPr>
          <w:rFonts w:ascii="Georgia" w:hAnsi="Georgia" w:cs="Calibri"/>
          <w:b/>
          <w:color w:val="404040" w:themeColor="text1" w:themeTint="BF"/>
          <w:sz w:val="20"/>
        </w:rPr>
      </w:pPr>
    </w:p>
    <w:p w14:paraId="4F6882F1" w14:textId="77777777" w:rsidR="006B1F95" w:rsidRDefault="006B1F95" w:rsidP="0018287C">
      <w:pPr>
        <w:jc w:val="both"/>
        <w:rPr>
          <w:rFonts w:ascii="Georgia" w:hAnsi="Georgia" w:cs="Calibri"/>
          <w:color w:val="404040" w:themeColor="text1" w:themeTint="BF"/>
          <w:sz w:val="20"/>
        </w:rPr>
      </w:pPr>
      <w:r>
        <w:rPr>
          <w:rFonts w:ascii="Georgia" w:hAnsi="Georgia" w:cs="Calibri"/>
          <w:b/>
          <w:color w:val="404040" w:themeColor="text1" w:themeTint="BF"/>
          <w:sz w:val="20"/>
        </w:rPr>
        <w:t>Ordinary Shares</w:t>
      </w:r>
      <w:r w:rsidRPr="0018287C">
        <w:rPr>
          <w:rFonts w:ascii="Georgia" w:hAnsi="Georgia" w:cs="Calibri"/>
          <w:b/>
          <w:color w:val="404040" w:themeColor="text1" w:themeTint="BF"/>
          <w:sz w:val="20"/>
        </w:rPr>
        <w:t xml:space="preserve"> </w:t>
      </w:r>
      <w:r w:rsidRPr="0018287C">
        <w:rPr>
          <w:rFonts w:ascii="Georgia" w:hAnsi="Georgia" w:cs="Calibri"/>
          <w:color w:val="404040" w:themeColor="text1" w:themeTint="BF"/>
          <w:sz w:val="20"/>
        </w:rPr>
        <w:t xml:space="preserve">means the </w:t>
      </w:r>
      <w:r>
        <w:rPr>
          <w:rFonts w:ascii="Georgia" w:hAnsi="Georgia" w:cs="Calibri"/>
          <w:color w:val="404040" w:themeColor="text1" w:themeTint="BF"/>
          <w:sz w:val="20"/>
        </w:rPr>
        <w:t>issued ordinary share capital of the Company, of which there is only one class</w:t>
      </w:r>
    </w:p>
    <w:p w14:paraId="3977A167" w14:textId="77777777" w:rsidR="00856C96" w:rsidRDefault="00856C96" w:rsidP="0018287C">
      <w:pPr>
        <w:jc w:val="both"/>
        <w:rPr>
          <w:rFonts w:ascii="Georgia" w:hAnsi="Georgia" w:cs="Calibri"/>
          <w:color w:val="404040" w:themeColor="text1" w:themeTint="BF"/>
          <w:sz w:val="20"/>
        </w:rPr>
      </w:pPr>
    </w:p>
    <w:p w14:paraId="3D77B639" w14:textId="69F36153" w:rsidR="00856C96" w:rsidRDefault="00856C96" w:rsidP="0018287C">
      <w:pPr>
        <w:jc w:val="both"/>
        <w:rPr>
          <w:rFonts w:ascii="Georgia" w:hAnsi="Georgia" w:cs="Calibri"/>
          <w:color w:val="404040" w:themeColor="text1" w:themeTint="BF"/>
          <w:sz w:val="20"/>
        </w:rPr>
      </w:pPr>
      <w:r w:rsidRPr="00856C96">
        <w:rPr>
          <w:rFonts w:ascii="Georgia" w:hAnsi="Georgia" w:cs="Calibri"/>
          <w:b/>
          <w:color w:val="404040" w:themeColor="text1" w:themeTint="BF"/>
          <w:sz w:val="20"/>
        </w:rPr>
        <w:t>Outage Risk</w:t>
      </w:r>
      <w:r>
        <w:rPr>
          <w:rFonts w:ascii="Georgia" w:hAnsi="Georgia" w:cs="Calibri"/>
          <w:color w:val="404040" w:themeColor="text1" w:themeTint="BF"/>
          <w:sz w:val="20"/>
        </w:rPr>
        <w:t xml:space="preserve"> means that a higher proportion of large capacity assets hold increased exposure to material losses due to curtailments and periods of outage</w:t>
      </w:r>
    </w:p>
    <w:p w14:paraId="38E98BDD" w14:textId="12F9ED17" w:rsidR="005E6F7B" w:rsidRDefault="005E6F7B" w:rsidP="0018287C">
      <w:pPr>
        <w:jc w:val="both"/>
        <w:rPr>
          <w:rFonts w:ascii="Georgia" w:hAnsi="Georgia" w:cs="Calibri"/>
          <w:color w:val="404040" w:themeColor="text1" w:themeTint="BF"/>
          <w:sz w:val="20"/>
        </w:rPr>
      </w:pPr>
    </w:p>
    <w:p w14:paraId="47C68350" w14:textId="77777777" w:rsidR="005E6F7B" w:rsidRPr="005E6F7B" w:rsidRDefault="005E6F7B" w:rsidP="005E6F7B">
      <w:pPr>
        <w:jc w:val="both"/>
        <w:rPr>
          <w:rFonts w:ascii="Georgia" w:hAnsi="Georgia" w:cs="Calibri"/>
          <w:color w:val="404040" w:themeColor="text1" w:themeTint="BF"/>
          <w:sz w:val="20"/>
        </w:rPr>
      </w:pPr>
      <w:r w:rsidRPr="005E6F7B">
        <w:rPr>
          <w:rFonts w:ascii="Georgia" w:hAnsi="Georgia" w:cs="Calibri"/>
          <w:b/>
          <w:color w:val="404040" w:themeColor="text1" w:themeTint="BF"/>
          <w:sz w:val="20"/>
        </w:rPr>
        <w:t>P10</w:t>
      </w:r>
      <w:r w:rsidRPr="005E6F7B">
        <w:rPr>
          <w:rFonts w:ascii="Georgia" w:hAnsi="Georgia" w:cs="Calibri"/>
          <w:color w:val="404040" w:themeColor="text1" w:themeTint="BF"/>
          <w:sz w:val="20"/>
        </w:rPr>
        <w:t xml:space="preserve"> means Irradiation estimate exceeded with 10% probability</w:t>
      </w:r>
    </w:p>
    <w:p w14:paraId="2936D3AC" w14:textId="77777777" w:rsidR="005E6F7B" w:rsidRDefault="005E6F7B" w:rsidP="005E6F7B">
      <w:pPr>
        <w:jc w:val="both"/>
        <w:rPr>
          <w:rFonts w:ascii="Georgia" w:hAnsi="Georgia" w:cs="Calibri"/>
          <w:color w:val="404040" w:themeColor="text1" w:themeTint="BF"/>
          <w:sz w:val="20"/>
        </w:rPr>
      </w:pPr>
    </w:p>
    <w:p w14:paraId="19094979" w14:textId="4DB1632F" w:rsidR="005E6F7B" w:rsidRDefault="005E6F7B" w:rsidP="005E6F7B">
      <w:pPr>
        <w:jc w:val="both"/>
        <w:rPr>
          <w:rFonts w:ascii="Georgia" w:hAnsi="Georgia" w:cs="Calibri"/>
          <w:color w:val="404040" w:themeColor="text1" w:themeTint="BF"/>
          <w:sz w:val="20"/>
        </w:rPr>
      </w:pPr>
      <w:r w:rsidRPr="005E6F7B">
        <w:rPr>
          <w:rFonts w:ascii="Georgia" w:hAnsi="Georgia" w:cs="Calibri"/>
          <w:b/>
          <w:color w:val="404040" w:themeColor="text1" w:themeTint="BF"/>
          <w:sz w:val="20"/>
        </w:rPr>
        <w:t>P90</w:t>
      </w:r>
      <w:r w:rsidRPr="005E6F7B">
        <w:rPr>
          <w:rFonts w:ascii="Georgia" w:hAnsi="Georgia" w:cs="Calibri"/>
          <w:color w:val="404040" w:themeColor="text1" w:themeTint="BF"/>
          <w:sz w:val="20"/>
        </w:rPr>
        <w:t xml:space="preserve"> means Irradiation estimate exceeded with 90% probability</w:t>
      </w:r>
    </w:p>
    <w:p w14:paraId="0455A4A7" w14:textId="77777777" w:rsidR="00A67EB4" w:rsidRDefault="00A67EB4" w:rsidP="0018287C">
      <w:pPr>
        <w:jc w:val="both"/>
        <w:rPr>
          <w:rFonts w:ascii="Georgia" w:hAnsi="Georgia" w:cs="Calibri"/>
          <w:color w:val="404040" w:themeColor="text1" w:themeTint="BF"/>
          <w:sz w:val="20"/>
        </w:rPr>
      </w:pPr>
    </w:p>
    <w:p w14:paraId="649A533D" w14:textId="75351BF7" w:rsidR="00A67EB4" w:rsidRDefault="00A67EB4" w:rsidP="0018287C">
      <w:pPr>
        <w:jc w:val="both"/>
        <w:rPr>
          <w:rFonts w:ascii="Georgia" w:hAnsi="Georgia" w:cs="Calibri"/>
          <w:b/>
          <w:color w:val="404040" w:themeColor="text1" w:themeTint="BF"/>
          <w:sz w:val="20"/>
        </w:rPr>
      </w:pPr>
      <w:r w:rsidRPr="00450E17">
        <w:rPr>
          <w:rFonts w:ascii="Georgia" w:hAnsi="Georgia" w:cs="Calibri"/>
          <w:b/>
          <w:color w:val="404040" w:themeColor="text1" w:themeTint="BF"/>
          <w:sz w:val="20"/>
        </w:rPr>
        <w:t>PCA</w:t>
      </w:r>
      <w:r w:rsidRPr="00450E17">
        <w:rPr>
          <w:rFonts w:ascii="Georgia" w:hAnsi="Georgia" w:cs="Calibri"/>
          <w:color w:val="404040" w:themeColor="text1" w:themeTint="BF"/>
          <w:sz w:val="20"/>
        </w:rPr>
        <w:t xml:space="preserve"> means Person</w:t>
      </w:r>
      <w:r w:rsidR="006A0063" w:rsidRPr="00450E17">
        <w:rPr>
          <w:rFonts w:ascii="Georgia" w:hAnsi="Georgia" w:cs="Calibri"/>
          <w:color w:val="404040" w:themeColor="text1" w:themeTint="BF"/>
          <w:sz w:val="20"/>
        </w:rPr>
        <w:t>s</w:t>
      </w:r>
      <w:r w:rsidRPr="00450E17">
        <w:rPr>
          <w:rFonts w:ascii="Georgia" w:hAnsi="Georgia" w:cs="Calibri"/>
          <w:color w:val="404040" w:themeColor="text1" w:themeTint="BF"/>
          <w:sz w:val="20"/>
        </w:rPr>
        <w:t xml:space="preserve"> Closely Associate</w:t>
      </w:r>
      <w:r w:rsidR="006A0063" w:rsidRPr="00450E17">
        <w:rPr>
          <w:rFonts w:ascii="Georgia" w:hAnsi="Georgia" w:cs="Calibri"/>
          <w:color w:val="404040" w:themeColor="text1" w:themeTint="BF"/>
          <w:sz w:val="20"/>
        </w:rPr>
        <w:t>d</w:t>
      </w:r>
    </w:p>
    <w:p w14:paraId="15621FA2" w14:textId="4B228EAA" w:rsidR="00CA14C0" w:rsidRPr="0018287C" w:rsidRDefault="00CA14C0" w:rsidP="0018287C">
      <w:pPr>
        <w:jc w:val="both"/>
        <w:rPr>
          <w:rFonts w:ascii="Georgia" w:hAnsi="Georgia" w:cs="Calibri"/>
          <w:b/>
          <w:color w:val="404040" w:themeColor="text1" w:themeTint="BF"/>
          <w:sz w:val="20"/>
        </w:rPr>
      </w:pPr>
    </w:p>
    <w:p w14:paraId="70645214" w14:textId="21C8D82A"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PPA </w:t>
      </w:r>
      <w:r w:rsidR="007010EE">
        <w:rPr>
          <w:rFonts w:ascii="Georgia" w:hAnsi="Georgia" w:cs="Calibri"/>
          <w:color w:val="404040" w:themeColor="text1" w:themeTint="BF"/>
          <w:sz w:val="20"/>
        </w:rPr>
        <w:t>means Power Purchase Agreement</w:t>
      </w:r>
    </w:p>
    <w:p w14:paraId="31DE020E" w14:textId="77777777" w:rsidR="00F7744E" w:rsidRDefault="00F7744E" w:rsidP="0018287C">
      <w:pPr>
        <w:jc w:val="both"/>
        <w:rPr>
          <w:rFonts w:ascii="Georgia" w:hAnsi="Georgia" w:cs="Calibri"/>
          <w:color w:val="404040" w:themeColor="text1" w:themeTint="BF"/>
          <w:sz w:val="20"/>
        </w:rPr>
      </w:pPr>
    </w:p>
    <w:p w14:paraId="2D01A296" w14:textId="482F95F5" w:rsidR="00F7744E" w:rsidRDefault="00F7744E" w:rsidP="0018287C">
      <w:pPr>
        <w:jc w:val="both"/>
        <w:rPr>
          <w:rFonts w:ascii="Georgia" w:hAnsi="Georgia" w:cs="Calibri"/>
          <w:color w:val="404040" w:themeColor="text1" w:themeTint="BF"/>
          <w:sz w:val="20"/>
        </w:rPr>
      </w:pPr>
      <w:proofErr w:type="spellStart"/>
      <w:r w:rsidRPr="00F7744E">
        <w:rPr>
          <w:rFonts w:ascii="Georgia" w:hAnsi="Georgia" w:cs="Calibri"/>
          <w:b/>
          <w:color w:val="404040" w:themeColor="text1" w:themeTint="BF"/>
          <w:sz w:val="20"/>
        </w:rPr>
        <w:t>pps</w:t>
      </w:r>
      <w:proofErr w:type="spellEnd"/>
      <w:r>
        <w:rPr>
          <w:rFonts w:ascii="Georgia" w:hAnsi="Georgia" w:cs="Calibri"/>
          <w:color w:val="404040" w:themeColor="text1" w:themeTint="BF"/>
          <w:sz w:val="20"/>
        </w:rPr>
        <w:t xml:space="preserve"> means pence per share</w:t>
      </w:r>
    </w:p>
    <w:p w14:paraId="6498AD32" w14:textId="0D909F24" w:rsidR="00605C8E" w:rsidRDefault="00605C8E" w:rsidP="0018287C">
      <w:pPr>
        <w:jc w:val="both"/>
        <w:rPr>
          <w:rFonts w:ascii="Georgia" w:hAnsi="Georgia" w:cs="Calibri"/>
          <w:color w:val="404040" w:themeColor="text1" w:themeTint="BF"/>
          <w:sz w:val="20"/>
        </w:rPr>
      </w:pPr>
    </w:p>
    <w:p w14:paraId="0035E513" w14:textId="595AE5BF" w:rsidR="00605C8E" w:rsidRPr="0018287C" w:rsidRDefault="00605C8E" w:rsidP="0018287C">
      <w:pPr>
        <w:jc w:val="both"/>
        <w:rPr>
          <w:rFonts w:ascii="Georgia" w:hAnsi="Georgia" w:cs="Calibri"/>
          <w:b/>
          <w:color w:val="404040" w:themeColor="text1" w:themeTint="BF"/>
          <w:sz w:val="20"/>
        </w:rPr>
      </w:pPr>
      <w:r w:rsidRPr="00605C8E">
        <w:rPr>
          <w:rFonts w:ascii="Georgia" w:hAnsi="Georgia" w:cs="Calibri"/>
          <w:b/>
          <w:color w:val="404040" w:themeColor="text1" w:themeTint="BF"/>
          <w:sz w:val="20"/>
        </w:rPr>
        <w:t xml:space="preserve">PR </w:t>
      </w:r>
      <w:r w:rsidRPr="005E6F7B">
        <w:rPr>
          <w:rFonts w:ascii="Georgia" w:hAnsi="Georgia" w:cs="Calibri"/>
          <w:color w:val="404040" w:themeColor="text1" w:themeTint="BF"/>
          <w:sz w:val="20"/>
        </w:rPr>
        <w:t>means</w:t>
      </w:r>
      <w:r w:rsidRPr="00605C8E">
        <w:rPr>
          <w:rFonts w:ascii="Georgia" w:hAnsi="Georgia" w:cs="Calibri"/>
          <w:b/>
          <w:color w:val="404040" w:themeColor="text1" w:themeTint="BF"/>
          <w:sz w:val="20"/>
        </w:rPr>
        <w:t xml:space="preserve"> </w:t>
      </w:r>
      <w:r w:rsidRPr="00605C8E">
        <w:rPr>
          <w:rFonts w:ascii="Georgia" w:hAnsi="Georgia" w:cs="Calibri"/>
          <w:color w:val="404040" w:themeColor="text1" w:themeTint="BF"/>
          <w:sz w:val="20"/>
        </w:rPr>
        <w:t>Performance Ratio (the ratio of the actual and theoretically possible energy outputs)</w:t>
      </w:r>
    </w:p>
    <w:p w14:paraId="53ADCD5D" w14:textId="69E13859" w:rsidR="0018287C" w:rsidRDefault="0018287C" w:rsidP="0018287C">
      <w:pPr>
        <w:jc w:val="both"/>
        <w:rPr>
          <w:rFonts w:ascii="Georgia" w:hAnsi="Georgia" w:cs="Calibri"/>
          <w:b/>
          <w:color w:val="404040" w:themeColor="text1" w:themeTint="BF"/>
          <w:sz w:val="20"/>
        </w:rPr>
      </w:pPr>
    </w:p>
    <w:p w14:paraId="003BA7DF" w14:textId="7CCC57E2" w:rsidR="003D4628" w:rsidRPr="003D4628" w:rsidRDefault="003D4628" w:rsidP="0018287C">
      <w:pPr>
        <w:jc w:val="both"/>
        <w:rPr>
          <w:rFonts w:ascii="Georgia" w:hAnsi="Georgia" w:cs="Calibri"/>
          <w:color w:val="404040" w:themeColor="text1" w:themeTint="BF"/>
          <w:sz w:val="20"/>
        </w:rPr>
      </w:pPr>
      <w:r>
        <w:rPr>
          <w:rFonts w:ascii="Georgia" w:hAnsi="Georgia" w:cs="Calibri"/>
          <w:b/>
          <w:color w:val="404040" w:themeColor="text1" w:themeTint="BF"/>
          <w:sz w:val="20"/>
        </w:rPr>
        <w:t>PRIIPS</w:t>
      </w:r>
      <w:r>
        <w:rPr>
          <w:rFonts w:ascii="Georgia" w:hAnsi="Georgia" w:cs="Calibri"/>
          <w:color w:val="404040" w:themeColor="text1" w:themeTint="BF"/>
          <w:sz w:val="20"/>
        </w:rPr>
        <w:t xml:space="preserve"> means Packaged Retail and Insurance-Based Investment Products</w:t>
      </w:r>
    </w:p>
    <w:p w14:paraId="4E05FC2B" w14:textId="77777777" w:rsidR="003D4628" w:rsidRPr="0018287C" w:rsidRDefault="003D4628" w:rsidP="0018287C">
      <w:pPr>
        <w:jc w:val="both"/>
        <w:rPr>
          <w:rFonts w:ascii="Georgia" w:hAnsi="Georgia" w:cs="Calibri"/>
          <w:b/>
          <w:color w:val="404040" w:themeColor="text1" w:themeTint="BF"/>
          <w:sz w:val="20"/>
        </w:rPr>
      </w:pPr>
    </w:p>
    <w:p w14:paraId="4DAC4B9D"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PV </w:t>
      </w:r>
      <w:r w:rsidRPr="0018287C">
        <w:rPr>
          <w:rFonts w:ascii="Georgia" w:hAnsi="Georgia" w:cs="Calibri"/>
          <w:color w:val="404040" w:themeColor="text1" w:themeTint="BF"/>
          <w:sz w:val="20"/>
        </w:rPr>
        <w:t>means Photovoltaic</w:t>
      </w:r>
    </w:p>
    <w:p w14:paraId="1F727FE8" w14:textId="79B7F888" w:rsidR="006B5E2B" w:rsidRDefault="006B5E2B" w:rsidP="00CA14C0">
      <w:pPr>
        <w:jc w:val="both"/>
        <w:rPr>
          <w:rFonts w:ascii="Georgia" w:hAnsi="Georgia" w:cs="Calibri"/>
          <w:color w:val="404040" w:themeColor="text1" w:themeTint="BF"/>
          <w:sz w:val="20"/>
        </w:rPr>
      </w:pPr>
    </w:p>
    <w:p w14:paraId="06A19C69" w14:textId="77777777" w:rsidR="006B5E2B" w:rsidRDefault="006B5E2B" w:rsidP="00CA14C0">
      <w:pPr>
        <w:jc w:val="both"/>
        <w:rPr>
          <w:rFonts w:ascii="Georgia" w:hAnsi="Georgia" w:cs="Calibri"/>
          <w:color w:val="404040" w:themeColor="text1" w:themeTint="BF"/>
          <w:sz w:val="20"/>
        </w:rPr>
      </w:pPr>
      <w:r w:rsidRPr="0034116C">
        <w:rPr>
          <w:rFonts w:ascii="Georgia" w:hAnsi="Georgia" w:cs="Calibri"/>
          <w:b/>
          <w:color w:val="404040" w:themeColor="text1" w:themeTint="BF"/>
          <w:sz w:val="20"/>
        </w:rPr>
        <w:t xml:space="preserve">RCF </w:t>
      </w:r>
      <w:r w:rsidRPr="0034116C">
        <w:rPr>
          <w:rFonts w:ascii="Georgia" w:hAnsi="Georgia" w:cs="Calibri"/>
          <w:color w:val="404040" w:themeColor="text1" w:themeTint="BF"/>
          <w:sz w:val="20"/>
        </w:rPr>
        <w:t>means Revolving Credit Facility</w:t>
      </w:r>
    </w:p>
    <w:p w14:paraId="171B76AE" w14:textId="77777777" w:rsidR="00C135B8" w:rsidRDefault="00C135B8" w:rsidP="00CA14C0">
      <w:pPr>
        <w:jc w:val="both"/>
        <w:rPr>
          <w:rFonts w:ascii="Georgia" w:hAnsi="Georgia" w:cs="Calibri"/>
          <w:color w:val="404040" w:themeColor="text1" w:themeTint="BF"/>
          <w:sz w:val="20"/>
        </w:rPr>
      </w:pPr>
    </w:p>
    <w:p w14:paraId="14C362CB" w14:textId="56B221AF"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RO Scheme </w:t>
      </w:r>
      <w:r w:rsidRPr="0018287C">
        <w:rPr>
          <w:rFonts w:ascii="Georgia" w:hAnsi="Georgia" w:cs="Calibri"/>
          <w:color w:val="404040" w:themeColor="text1" w:themeTint="BF"/>
          <w:sz w:val="20"/>
        </w:rPr>
        <w:t xml:space="preserve">means the Renewable Obligation Scheme which is the financial mechanism by which the UK Government incentivises the deployment of large-scale renewable electricity generation by placing a mandatory requirement on licensed UK electricity suppliers to source a specified and annually increasing proportion of </w:t>
      </w:r>
      <w:r w:rsidR="007010EE">
        <w:rPr>
          <w:rFonts w:ascii="Georgia" w:hAnsi="Georgia" w:cs="Calibri"/>
          <w:color w:val="404040" w:themeColor="text1" w:themeTint="BF"/>
          <w:sz w:val="20"/>
        </w:rPr>
        <w:t xml:space="preserve">the </w:t>
      </w:r>
      <w:r w:rsidRPr="0018287C">
        <w:rPr>
          <w:rFonts w:ascii="Georgia" w:hAnsi="Georgia" w:cs="Calibri"/>
          <w:color w:val="404040" w:themeColor="text1" w:themeTint="BF"/>
          <w:sz w:val="20"/>
        </w:rPr>
        <w:t>electricity they supply to customers from eligible</w:t>
      </w:r>
      <w:r w:rsidR="007010EE">
        <w:rPr>
          <w:rFonts w:ascii="Georgia" w:hAnsi="Georgia" w:cs="Calibri"/>
          <w:color w:val="404040" w:themeColor="text1" w:themeTint="BF"/>
          <w:sz w:val="20"/>
        </w:rPr>
        <w:t xml:space="preserve"> renewable sourc</w:t>
      </w:r>
      <w:r w:rsidRPr="0018287C">
        <w:rPr>
          <w:rFonts w:ascii="Georgia" w:hAnsi="Georgia" w:cs="Calibri"/>
          <w:color w:val="404040" w:themeColor="text1" w:themeTint="BF"/>
          <w:sz w:val="20"/>
        </w:rPr>
        <w:t>es</w:t>
      </w:r>
      <w:r w:rsidR="00D3144C">
        <w:rPr>
          <w:rFonts w:ascii="Georgia" w:hAnsi="Georgia" w:cs="Calibri"/>
          <w:color w:val="404040" w:themeColor="text1" w:themeTint="BF"/>
          <w:sz w:val="20"/>
        </w:rPr>
        <w:t>,</w:t>
      </w:r>
      <w:r w:rsidRPr="0018287C">
        <w:rPr>
          <w:rFonts w:ascii="Georgia" w:hAnsi="Georgia" w:cs="Calibri"/>
          <w:color w:val="404040" w:themeColor="text1" w:themeTint="BF"/>
          <w:sz w:val="20"/>
        </w:rPr>
        <w:t xml:space="preserve"> or pay a penalty</w:t>
      </w:r>
    </w:p>
    <w:p w14:paraId="31198F29" w14:textId="77777777" w:rsidR="007010EE" w:rsidRPr="0018287C" w:rsidRDefault="007010EE" w:rsidP="0018287C">
      <w:pPr>
        <w:jc w:val="both"/>
        <w:rPr>
          <w:rFonts w:ascii="Georgia" w:hAnsi="Georgia" w:cs="Calibri"/>
          <w:b/>
          <w:color w:val="404040" w:themeColor="text1" w:themeTint="BF"/>
          <w:sz w:val="20"/>
        </w:rPr>
      </w:pPr>
    </w:p>
    <w:p w14:paraId="0A9A42B4" w14:textId="77777777" w:rsidR="0018287C" w:rsidRPr="0018287C" w:rsidRDefault="0018287C"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ROC </w:t>
      </w:r>
      <w:r w:rsidRPr="0018287C">
        <w:rPr>
          <w:rFonts w:ascii="Georgia" w:hAnsi="Georgia" w:cs="Calibri"/>
          <w:color w:val="404040" w:themeColor="text1" w:themeTint="BF"/>
          <w:sz w:val="20"/>
        </w:rPr>
        <w:t>means Renewable Obligation Certificates</w:t>
      </w:r>
    </w:p>
    <w:p w14:paraId="5AFDAEB2" w14:textId="77777777" w:rsidR="00FC2C15" w:rsidRDefault="00FC2C15" w:rsidP="00FC2C15">
      <w:pPr>
        <w:jc w:val="both"/>
        <w:rPr>
          <w:rFonts w:ascii="Georgia" w:hAnsi="Georgia" w:cs="Calibri"/>
          <w:b/>
          <w:color w:val="404040" w:themeColor="text1" w:themeTint="BF"/>
          <w:sz w:val="20"/>
        </w:rPr>
      </w:pPr>
    </w:p>
    <w:p w14:paraId="65427989" w14:textId="44F78C87" w:rsidR="00C0763D" w:rsidRDefault="00C0763D" w:rsidP="0018287C">
      <w:pPr>
        <w:jc w:val="both"/>
        <w:rPr>
          <w:rFonts w:ascii="Georgia" w:hAnsi="Georgia" w:cs="Calibri"/>
          <w:b/>
          <w:color w:val="404040" w:themeColor="text1" w:themeTint="BF"/>
          <w:sz w:val="20"/>
        </w:rPr>
      </w:pPr>
      <w:r w:rsidRPr="00A66615">
        <w:rPr>
          <w:rFonts w:ascii="Georgia" w:hAnsi="Georgia" w:cs="Calibri"/>
          <w:b/>
          <w:color w:val="404040" w:themeColor="text1" w:themeTint="BF"/>
          <w:sz w:val="20"/>
        </w:rPr>
        <w:t xml:space="preserve">ROC recycle </w:t>
      </w:r>
      <w:r w:rsidRPr="00A66615">
        <w:rPr>
          <w:rFonts w:ascii="Georgia" w:hAnsi="Georgia" w:cs="Calibri"/>
          <w:color w:val="404040" w:themeColor="text1" w:themeTint="BF"/>
          <w:sz w:val="20"/>
        </w:rPr>
        <w:t xml:space="preserve">means the payment received by </w:t>
      </w:r>
      <w:r w:rsidR="00DC23C4" w:rsidRPr="00A66615">
        <w:rPr>
          <w:rFonts w:ascii="Georgia" w:hAnsi="Georgia" w:cs="Calibri"/>
          <w:color w:val="404040" w:themeColor="text1" w:themeTint="BF"/>
          <w:sz w:val="20"/>
        </w:rPr>
        <w:t>generators from the redistribution of the buy-out fund</w:t>
      </w:r>
      <w:r w:rsidR="00A66615" w:rsidRPr="00A66615">
        <w:rPr>
          <w:rFonts w:ascii="Georgia" w:hAnsi="Georgia" w:cs="Calibri"/>
          <w:color w:val="404040" w:themeColor="text1" w:themeTint="BF"/>
          <w:sz w:val="20"/>
        </w:rPr>
        <w:t>.</w:t>
      </w:r>
      <w:r w:rsidR="00A66615" w:rsidRPr="00A66615">
        <w:rPr>
          <w:rFonts w:ascii="Georgia" w:hAnsi="Georgia"/>
          <w:color w:val="404040"/>
          <w:sz w:val="20"/>
          <w:szCs w:val="20"/>
        </w:rPr>
        <w:t xml:space="preserve"> </w:t>
      </w:r>
      <w:r w:rsidR="00A66615">
        <w:rPr>
          <w:rFonts w:ascii="Georgia" w:hAnsi="Georgia"/>
          <w:color w:val="404040"/>
          <w:sz w:val="20"/>
          <w:szCs w:val="20"/>
        </w:rPr>
        <w:t>Payments are made into the buy-out fund when suppliers do not have sufficient ROCs to cover their obligation.</w:t>
      </w:r>
    </w:p>
    <w:p w14:paraId="423D722F" w14:textId="77777777" w:rsidR="00C0763D" w:rsidRDefault="00C0763D" w:rsidP="0018287C">
      <w:pPr>
        <w:jc w:val="both"/>
        <w:rPr>
          <w:rFonts w:ascii="Georgia" w:hAnsi="Georgia" w:cs="Calibri"/>
          <w:b/>
          <w:color w:val="404040" w:themeColor="text1" w:themeTint="BF"/>
          <w:sz w:val="20"/>
        </w:rPr>
      </w:pPr>
    </w:p>
    <w:p w14:paraId="5123C6CE" w14:textId="7777777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RPI </w:t>
      </w:r>
      <w:r w:rsidRPr="0018287C">
        <w:rPr>
          <w:rFonts w:ascii="Georgia" w:hAnsi="Georgia" w:cs="Calibri"/>
          <w:color w:val="404040" w:themeColor="text1" w:themeTint="BF"/>
          <w:sz w:val="20"/>
        </w:rPr>
        <w:t>means the Retail Price Index</w:t>
      </w:r>
    </w:p>
    <w:p w14:paraId="047D488A" w14:textId="77777777" w:rsidR="00F7744E" w:rsidRDefault="00F7744E" w:rsidP="0018287C">
      <w:pPr>
        <w:jc w:val="both"/>
        <w:rPr>
          <w:rFonts w:ascii="Georgia" w:hAnsi="Georgia" w:cs="Calibri"/>
          <w:color w:val="404040" w:themeColor="text1" w:themeTint="BF"/>
          <w:sz w:val="20"/>
        </w:rPr>
      </w:pPr>
    </w:p>
    <w:p w14:paraId="51211B0F" w14:textId="77777777" w:rsidR="00DE3B8C" w:rsidRDefault="00DE3B8C" w:rsidP="0018287C">
      <w:pPr>
        <w:jc w:val="both"/>
        <w:rPr>
          <w:rFonts w:ascii="Georgia" w:hAnsi="Georgia" w:cs="Calibri"/>
          <w:color w:val="404040" w:themeColor="text1" w:themeTint="BF"/>
          <w:sz w:val="20"/>
        </w:rPr>
      </w:pPr>
      <w:r w:rsidRPr="00837182">
        <w:rPr>
          <w:rFonts w:ascii="Georgia" w:hAnsi="Georgia" w:cs="Calibri"/>
          <w:b/>
          <w:color w:val="404040" w:themeColor="text1" w:themeTint="BF"/>
          <w:sz w:val="20"/>
        </w:rPr>
        <w:t>SPA</w:t>
      </w:r>
      <w:r>
        <w:rPr>
          <w:rFonts w:ascii="Georgia" w:hAnsi="Georgia" w:cs="Calibri"/>
          <w:color w:val="404040" w:themeColor="text1" w:themeTint="BF"/>
          <w:sz w:val="20"/>
        </w:rPr>
        <w:t xml:space="preserve"> means Share Purchase Agreement</w:t>
      </w:r>
    </w:p>
    <w:p w14:paraId="7E17FAF1" w14:textId="77777777" w:rsidR="00957D8D" w:rsidRPr="0018287C" w:rsidRDefault="00957D8D" w:rsidP="0018287C">
      <w:pPr>
        <w:jc w:val="both"/>
        <w:rPr>
          <w:rFonts w:ascii="Georgia" w:hAnsi="Georgia" w:cs="Calibri"/>
          <w:b/>
          <w:color w:val="404040" w:themeColor="text1" w:themeTint="BF"/>
          <w:sz w:val="20"/>
        </w:rPr>
      </w:pPr>
    </w:p>
    <w:p w14:paraId="1443BD71" w14:textId="77777777" w:rsidR="009C2984" w:rsidRDefault="00451315" w:rsidP="00451315">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SPVs </w:t>
      </w:r>
      <w:r w:rsidRPr="0018287C">
        <w:rPr>
          <w:rFonts w:ascii="Georgia" w:hAnsi="Georgia" w:cs="Calibri"/>
          <w:color w:val="404040" w:themeColor="text1" w:themeTint="BF"/>
          <w:sz w:val="20"/>
        </w:rPr>
        <w:t>means the Special Purpose Vehicles which hold the Company’s investment portfolio of underlying operating assets</w:t>
      </w:r>
    </w:p>
    <w:p w14:paraId="450AF8EF" w14:textId="77777777" w:rsidR="00843748" w:rsidRDefault="00843748" w:rsidP="00451315">
      <w:pPr>
        <w:jc w:val="both"/>
        <w:rPr>
          <w:rFonts w:ascii="Georgia" w:hAnsi="Georgia" w:cs="Calibri"/>
          <w:color w:val="404040" w:themeColor="text1" w:themeTint="BF"/>
          <w:sz w:val="20"/>
        </w:rPr>
      </w:pPr>
    </w:p>
    <w:p w14:paraId="1C59777B" w14:textId="77777777" w:rsidR="006B1F95" w:rsidRPr="0018287C" w:rsidRDefault="006B1F95" w:rsidP="006B1F95">
      <w:pPr>
        <w:jc w:val="both"/>
        <w:rPr>
          <w:rFonts w:ascii="Georgia" w:hAnsi="Georgia" w:cs="Calibri"/>
          <w:b/>
          <w:color w:val="404040" w:themeColor="text1" w:themeTint="BF"/>
          <w:sz w:val="20"/>
        </w:rPr>
      </w:pPr>
      <w:r>
        <w:rPr>
          <w:rFonts w:ascii="Georgia" w:hAnsi="Georgia" w:cs="Calibri"/>
          <w:b/>
          <w:color w:val="404040" w:themeColor="text1" w:themeTint="BF"/>
          <w:sz w:val="20"/>
        </w:rPr>
        <w:t>Sterling</w:t>
      </w:r>
      <w:r w:rsidRPr="0018287C">
        <w:rPr>
          <w:rFonts w:ascii="Georgia" w:hAnsi="Georgia" w:cs="Calibri"/>
          <w:b/>
          <w:color w:val="404040" w:themeColor="text1" w:themeTint="BF"/>
          <w:sz w:val="20"/>
        </w:rPr>
        <w:t xml:space="preserve"> </w:t>
      </w:r>
      <w:r w:rsidRPr="0018287C">
        <w:rPr>
          <w:rFonts w:ascii="Georgia" w:hAnsi="Georgia" w:cs="Calibri"/>
          <w:color w:val="404040" w:themeColor="text1" w:themeTint="BF"/>
          <w:sz w:val="20"/>
        </w:rPr>
        <w:t xml:space="preserve">means </w:t>
      </w:r>
      <w:r w:rsidR="00A34B03">
        <w:rPr>
          <w:rFonts w:ascii="Georgia" w:hAnsi="Georgia" w:cs="Calibri"/>
          <w:color w:val="404040" w:themeColor="text1" w:themeTint="BF"/>
          <w:sz w:val="20"/>
        </w:rPr>
        <w:t>the Great British p</w:t>
      </w:r>
      <w:r>
        <w:rPr>
          <w:rFonts w:ascii="Georgia" w:hAnsi="Georgia" w:cs="Calibri"/>
          <w:color w:val="404040" w:themeColor="text1" w:themeTint="BF"/>
          <w:sz w:val="20"/>
        </w:rPr>
        <w:t>ound currency</w:t>
      </w:r>
    </w:p>
    <w:p w14:paraId="2F497DC1" w14:textId="77777777" w:rsidR="00CE4EAA" w:rsidRDefault="00CE4EAA" w:rsidP="00DE3B8C">
      <w:pPr>
        <w:jc w:val="both"/>
        <w:rPr>
          <w:rFonts w:ascii="Georgia" w:hAnsi="Georgia" w:cs="Calibri"/>
          <w:b/>
          <w:color w:val="404040" w:themeColor="text1" w:themeTint="BF"/>
          <w:sz w:val="20"/>
        </w:rPr>
      </w:pPr>
    </w:p>
    <w:p w14:paraId="778AD51A" w14:textId="38867472" w:rsidR="00586A48" w:rsidRPr="0018287C" w:rsidRDefault="00586A48" w:rsidP="00586A48">
      <w:pPr>
        <w:jc w:val="both"/>
        <w:rPr>
          <w:rFonts w:ascii="Georgia" w:hAnsi="Georgia" w:cs="Calibri"/>
          <w:b/>
          <w:color w:val="404040" w:themeColor="text1" w:themeTint="BF"/>
          <w:sz w:val="20"/>
        </w:rPr>
      </w:pPr>
      <w:r>
        <w:rPr>
          <w:rFonts w:ascii="Georgia" w:hAnsi="Georgia" w:cs="Calibri"/>
          <w:b/>
          <w:color w:val="404040" w:themeColor="text1" w:themeTint="BF"/>
          <w:sz w:val="20"/>
        </w:rPr>
        <w:t>T</w:t>
      </w:r>
      <w:r w:rsidRPr="0034116C">
        <w:rPr>
          <w:rFonts w:ascii="Georgia" w:hAnsi="Georgia" w:cs="Calibri"/>
          <w:b/>
          <w:color w:val="404040" w:themeColor="text1" w:themeTint="BF"/>
          <w:sz w:val="20"/>
        </w:rPr>
        <w:t xml:space="preserve">ISE </w:t>
      </w:r>
      <w:r w:rsidRPr="0034116C">
        <w:rPr>
          <w:rFonts w:ascii="Georgia" w:hAnsi="Georgia" w:cs="Calibri"/>
          <w:color w:val="404040" w:themeColor="text1" w:themeTint="BF"/>
          <w:sz w:val="20"/>
        </w:rPr>
        <w:t xml:space="preserve">means </w:t>
      </w:r>
      <w:r>
        <w:rPr>
          <w:rFonts w:ascii="Georgia" w:hAnsi="Georgia" w:cs="Calibri"/>
          <w:color w:val="404040" w:themeColor="text1" w:themeTint="BF"/>
          <w:sz w:val="20"/>
        </w:rPr>
        <w:t>The International Stock</w:t>
      </w:r>
      <w:r w:rsidRPr="0034116C">
        <w:rPr>
          <w:rFonts w:ascii="Georgia" w:hAnsi="Georgia" w:cs="Calibri"/>
          <w:color w:val="404040" w:themeColor="text1" w:themeTint="BF"/>
          <w:sz w:val="20"/>
        </w:rPr>
        <w:t xml:space="preserve"> Exchange</w:t>
      </w:r>
      <w:r>
        <w:rPr>
          <w:rFonts w:ascii="Georgia" w:hAnsi="Georgia" w:cs="Calibri"/>
          <w:color w:val="404040" w:themeColor="text1" w:themeTint="BF"/>
          <w:sz w:val="20"/>
        </w:rPr>
        <w:t xml:space="preserve"> (formerly CISE, Channel Islands Securities Exchange)</w:t>
      </w:r>
    </w:p>
    <w:p w14:paraId="241E2B3A" w14:textId="77777777" w:rsidR="00586A48" w:rsidRDefault="00586A48" w:rsidP="0018287C">
      <w:pPr>
        <w:jc w:val="both"/>
        <w:rPr>
          <w:rFonts w:ascii="Georgia" w:hAnsi="Georgia" w:cs="Calibri"/>
          <w:b/>
          <w:color w:val="404040" w:themeColor="text1" w:themeTint="BF"/>
          <w:sz w:val="20"/>
        </w:rPr>
      </w:pPr>
    </w:p>
    <w:p w14:paraId="0213DBD3" w14:textId="77777777" w:rsidR="000B09F7" w:rsidRDefault="000B09F7" w:rsidP="0018287C">
      <w:pPr>
        <w:jc w:val="both"/>
        <w:rPr>
          <w:rFonts w:ascii="Georgia" w:hAnsi="Georgia" w:cs="Calibri"/>
          <w:b/>
          <w:color w:val="404040" w:themeColor="text1" w:themeTint="BF"/>
          <w:sz w:val="20"/>
        </w:rPr>
      </w:pPr>
      <w:r w:rsidRPr="0018287C">
        <w:rPr>
          <w:rFonts w:ascii="Georgia" w:hAnsi="Georgia" w:cs="Calibri"/>
          <w:b/>
          <w:color w:val="404040" w:themeColor="text1" w:themeTint="BF"/>
          <w:sz w:val="20"/>
        </w:rPr>
        <w:t xml:space="preserve">UK </w:t>
      </w:r>
      <w:r w:rsidRPr="0018287C">
        <w:rPr>
          <w:rFonts w:ascii="Georgia" w:hAnsi="Georgia" w:cs="Calibri"/>
          <w:color w:val="404040" w:themeColor="text1" w:themeTint="BF"/>
          <w:sz w:val="20"/>
        </w:rPr>
        <w:t>means the United Kingdom of Great Britain and Northern Ireland</w:t>
      </w:r>
    </w:p>
    <w:p w14:paraId="4EE4E8D8" w14:textId="77777777" w:rsidR="004E4BF2" w:rsidRDefault="00CE4EAA" w:rsidP="0024470F">
      <w:pPr>
        <w:tabs>
          <w:tab w:val="left" w:pos="3399"/>
        </w:tabs>
        <w:rPr>
          <w:rFonts w:ascii="Georgia" w:hAnsi="Georgia" w:cs="Calibri"/>
          <w:b/>
          <w:color w:val="404040" w:themeColor="text1" w:themeTint="BF"/>
          <w:sz w:val="20"/>
        </w:rPr>
      </w:pPr>
      <w:r>
        <w:rPr>
          <w:rFonts w:ascii="Georgia" w:hAnsi="Georgia" w:cs="Calibri"/>
          <w:b/>
          <w:color w:val="404040" w:themeColor="text1" w:themeTint="BF"/>
          <w:sz w:val="20"/>
        </w:rPr>
        <w:tab/>
      </w:r>
    </w:p>
    <w:p w14:paraId="3EC59358" w14:textId="77777777" w:rsidR="0018287C" w:rsidRDefault="0018287C" w:rsidP="0018287C">
      <w:pPr>
        <w:jc w:val="both"/>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UK Code </w:t>
      </w:r>
      <w:r w:rsidRPr="0018287C">
        <w:rPr>
          <w:rFonts w:ascii="Georgia" w:hAnsi="Georgia" w:cs="Calibri"/>
          <w:color w:val="404040" w:themeColor="text1" w:themeTint="BF"/>
          <w:sz w:val="20"/>
        </w:rPr>
        <w:t>means the United Kingdom Corporate Governance Code</w:t>
      </w:r>
    </w:p>
    <w:p w14:paraId="3CB25E87" w14:textId="77777777" w:rsidR="00837182" w:rsidRDefault="00837182" w:rsidP="0018287C">
      <w:pPr>
        <w:jc w:val="both"/>
        <w:rPr>
          <w:rFonts w:ascii="Georgia" w:hAnsi="Georgia" w:cs="Calibri"/>
          <w:color w:val="404040" w:themeColor="text1" w:themeTint="BF"/>
          <w:sz w:val="20"/>
        </w:rPr>
      </w:pPr>
    </w:p>
    <w:p w14:paraId="21E1266E" w14:textId="259A5C96" w:rsidR="00AD2B02" w:rsidRDefault="0018287C" w:rsidP="00837182">
      <w:pPr>
        <w:rPr>
          <w:rFonts w:ascii="Georgia" w:hAnsi="Georgia" w:cs="Calibri"/>
          <w:color w:val="404040" w:themeColor="text1" w:themeTint="BF"/>
          <w:sz w:val="20"/>
        </w:rPr>
      </w:pPr>
      <w:r w:rsidRPr="0018287C">
        <w:rPr>
          <w:rFonts w:ascii="Georgia" w:hAnsi="Georgia" w:cs="Calibri"/>
          <w:b/>
          <w:color w:val="404040" w:themeColor="text1" w:themeTint="BF"/>
          <w:sz w:val="20"/>
        </w:rPr>
        <w:t xml:space="preserve">UK FCA </w:t>
      </w:r>
      <w:r w:rsidRPr="0018287C">
        <w:rPr>
          <w:rFonts w:ascii="Georgia" w:hAnsi="Georgia" w:cs="Calibri"/>
          <w:color w:val="404040" w:themeColor="text1" w:themeTint="BF"/>
          <w:sz w:val="20"/>
        </w:rPr>
        <w:t>means the UK Financial Conduct Authority</w:t>
      </w:r>
    </w:p>
    <w:p w14:paraId="2DDEADC1" w14:textId="61F694D6" w:rsidR="00566BD8" w:rsidRPr="00566BD8" w:rsidRDefault="00566BD8" w:rsidP="00837182">
      <w:pPr>
        <w:rPr>
          <w:rFonts w:ascii="Georgia" w:hAnsi="Georgia" w:cs="Calibri"/>
          <w:b/>
          <w:color w:val="404040" w:themeColor="text1" w:themeTint="BF"/>
          <w:sz w:val="20"/>
        </w:rPr>
      </w:pPr>
    </w:p>
    <w:p w14:paraId="4BB8CB61" w14:textId="2E052EC7" w:rsidR="00566BD8" w:rsidRDefault="00566BD8" w:rsidP="00837182">
      <w:pPr>
        <w:rPr>
          <w:rFonts w:ascii="Georgia" w:hAnsi="Georgia" w:cs="Calibri"/>
          <w:color w:val="404040" w:themeColor="text1" w:themeTint="BF"/>
          <w:sz w:val="20"/>
        </w:rPr>
      </w:pPr>
      <w:r w:rsidRPr="00566BD8">
        <w:rPr>
          <w:rFonts w:ascii="Georgia" w:hAnsi="Georgia" w:cs="Calibri"/>
          <w:b/>
          <w:color w:val="404040" w:themeColor="text1" w:themeTint="BF"/>
          <w:sz w:val="20"/>
        </w:rPr>
        <w:t>United Nations Principles for Responsible Investment</w:t>
      </w:r>
      <w:r w:rsidRPr="00566BD8">
        <w:rPr>
          <w:rFonts w:ascii="Georgia" w:hAnsi="Georgia" w:cs="Calibri"/>
          <w:color w:val="404040" w:themeColor="text1" w:themeTint="BF"/>
          <w:sz w:val="20"/>
        </w:rPr>
        <w:t xml:space="preserve"> means an approach to investing that aims to incorporate environmental, social and governance factors into investment decisions, to better manage risk and generate</w:t>
      </w:r>
      <w:r>
        <w:rPr>
          <w:rFonts w:ascii="Georgia" w:hAnsi="Georgia" w:cs="Calibri"/>
          <w:color w:val="404040" w:themeColor="text1" w:themeTint="BF"/>
          <w:sz w:val="20"/>
        </w:rPr>
        <w:t xml:space="preserve"> sustainable, </w:t>
      </w:r>
      <w:r w:rsidR="00D37CBF">
        <w:rPr>
          <w:rFonts w:ascii="Georgia" w:hAnsi="Georgia" w:cs="Calibri"/>
          <w:color w:val="404040" w:themeColor="text1" w:themeTint="BF"/>
          <w:sz w:val="20"/>
        </w:rPr>
        <w:t>long-term</w:t>
      </w:r>
      <w:r>
        <w:rPr>
          <w:rFonts w:ascii="Georgia" w:hAnsi="Georgia" w:cs="Calibri"/>
          <w:color w:val="404040" w:themeColor="text1" w:themeTint="BF"/>
          <w:sz w:val="20"/>
        </w:rPr>
        <w:t xml:space="preserve"> returns</w:t>
      </w:r>
    </w:p>
    <w:p w14:paraId="0E4FD8A0" w14:textId="77777777" w:rsidR="00277D08" w:rsidRPr="00277D08" w:rsidRDefault="00277D08" w:rsidP="00277D08">
      <w:pPr>
        <w:rPr>
          <w:rFonts w:ascii="Georgia" w:hAnsi="Georgia" w:cs="Calibri"/>
          <w:sz w:val="20"/>
        </w:rPr>
      </w:pPr>
    </w:p>
    <w:p w14:paraId="5E74B319" w14:textId="77777777" w:rsidR="00277D08" w:rsidRDefault="00277D08" w:rsidP="00277D08">
      <w:pPr>
        <w:tabs>
          <w:tab w:val="left" w:pos="842"/>
        </w:tabs>
        <w:rPr>
          <w:rFonts w:ascii="Georgia" w:hAnsi="Georgia" w:cs="Calibri"/>
          <w:sz w:val="20"/>
        </w:rPr>
        <w:sectPr w:rsidR="00277D08" w:rsidSect="00C45C8C">
          <w:headerReference w:type="default" r:id="rId48"/>
          <w:headerReference w:type="first" r:id="rId49"/>
          <w:pgSz w:w="12240" w:h="15840" w:code="1"/>
          <w:pgMar w:top="1276" w:right="1440" w:bottom="567" w:left="1440" w:header="720" w:footer="187" w:gutter="0"/>
          <w:cols w:space="720"/>
          <w:titlePg/>
          <w:docGrid w:linePitch="326"/>
        </w:sectPr>
      </w:pPr>
    </w:p>
    <w:p w14:paraId="245571D6" w14:textId="103BDC84" w:rsidR="0001661C" w:rsidRPr="0001661C" w:rsidRDefault="0001661C" w:rsidP="0001661C">
      <w:pPr>
        <w:pStyle w:val="Heading2"/>
        <w:spacing w:before="0"/>
        <w:rPr>
          <w:color w:val="404040" w:themeColor="text1" w:themeTint="BF"/>
          <w:vertAlign w:val="superscript"/>
        </w:rPr>
      </w:pPr>
      <w:r w:rsidRPr="0001661C">
        <w:rPr>
          <w:color w:val="404040" w:themeColor="text1" w:themeTint="BF"/>
        </w:rPr>
        <w:lastRenderedPageBreak/>
        <w:t xml:space="preserve">Alternative Performance Measures </w:t>
      </w:r>
      <w:r w:rsidRPr="0001661C">
        <w:rPr>
          <w:i/>
          <w:color w:val="404040" w:themeColor="text1" w:themeTint="BF"/>
          <w:vertAlign w:val="superscript"/>
        </w:rPr>
        <w:t>Unaudited</w:t>
      </w:r>
    </w:p>
    <w:p w14:paraId="3E5C79B6" w14:textId="729BA570" w:rsidR="00277D08" w:rsidRDefault="00277D08" w:rsidP="00277D08">
      <w:pPr>
        <w:tabs>
          <w:tab w:val="left" w:pos="842"/>
        </w:tabs>
        <w:rPr>
          <w:rFonts w:ascii="Georgia" w:hAnsi="Georgia" w:cs="Calibri"/>
          <w:sz w:val="20"/>
        </w:rPr>
      </w:pPr>
    </w:p>
    <w:tbl>
      <w:tblPr>
        <w:tblStyle w:val="TableGrid"/>
        <w:tblW w:w="0" w:type="auto"/>
        <w:tblLayout w:type="fixed"/>
        <w:tblLook w:val="04A0" w:firstRow="1" w:lastRow="0" w:firstColumn="1" w:lastColumn="0" w:noHBand="0" w:noVBand="1"/>
      </w:tblPr>
      <w:tblGrid>
        <w:gridCol w:w="1555"/>
        <w:gridCol w:w="2409"/>
        <w:gridCol w:w="2410"/>
        <w:gridCol w:w="2642"/>
      </w:tblGrid>
      <w:tr w:rsidR="00277D08" w:rsidRPr="00B148F9" w14:paraId="59898CE3" w14:textId="77777777" w:rsidTr="00103357">
        <w:tc>
          <w:tcPr>
            <w:tcW w:w="1555" w:type="dxa"/>
          </w:tcPr>
          <w:p w14:paraId="04EDB927" w14:textId="77777777" w:rsidR="00277D08" w:rsidRPr="004D6D7D" w:rsidRDefault="00277D08" w:rsidP="00103357">
            <w:pPr>
              <w:pStyle w:val="Title"/>
              <w:spacing w:line="240" w:lineRule="auto"/>
              <w:jc w:val="left"/>
              <w:rPr>
                <w:rFonts w:ascii="Georgia" w:hAnsi="Georgia"/>
                <w:b/>
                <w:color w:val="404040" w:themeColor="text1" w:themeTint="BF"/>
                <w:sz w:val="20"/>
                <w:szCs w:val="20"/>
              </w:rPr>
            </w:pPr>
            <w:r w:rsidRPr="004D6D7D">
              <w:rPr>
                <w:rFonts w:ascii="Georgia" w:hAnsi="Georgia"/>
                <w:b/>
                <w:color w:val="404040" w:themeColor="text1" w:themeTint="BF"/>
                <w:sz w:val="20"/>
                <w:szCs w:val="20"/>
              </w:rPr>
              <w:t>APM</w:t>
            </w:r>
          </w:p>
        </w:tc>
        <w:tc>
          <w:tcPr>
            <w:tcW w:w="2409" w:type="dxa"/>
          </w:tcPr>
          <w:p w14:paraId="2EE4BCF9" w14:textId="77777777" w:rsidR="00277D08" w:rsidRPr="004D6D7D" w:rsidRDefault="00277D08" w:rsidP="00103357">
            <w:pPr>
              <w:pStyle w:val="Title"/>
              <w:spacing w:line="240" w:lineRule="auto"/>
              <w:jc w:val="left"/>
              <w:rPr>
                <w:rFonts w:ascii="Georgia" w:hAnsi="Georgia"/>
                <w:b/>
                <w:color w:val="404040" w:themeColor="text1" w:themeTint="BF"/>
                <w:sz w:val="20"/>
                <w:szCs w:val="20"/>
              </w:rPr>
            </w:pPr>
            <w:r w:rsidRPr="004D6D7D">
              <w:rPr>
                <w:rFonts w:ascii="Georgia" w:hAnsi="Georgia"/>
                <w:b/>
                <w:color w:val="404040" w:themeColor="text1" w:themeTint="BF"/>
                <w:sz w:val="20"/>
                <w:szCs w:val="20"/>
              </w:rPr>
              <w:t>Definition</w:t>
            </w:r>
          </w:p>
        </w:tc>
        <w:tc>
          <w:tcPr>
            <w:tcW w:w="2410" w:type="dxa"/>
          </w:tcPr>
          <w:p w14:paraId="183271F4" w14:textId="77777777" w:rsidR="00277D08" w:rsidRPr="004D6D7D" w:rsidRDefault="00277D08" w:rsidP="00103357">
            <w:pPr>
              <w:pStyle w:val="Title"/>
              <w:spacing w:line="240" w:lineRule="auto"/>
              <w:jc w:val="left"/>
              <w:rPr>
                <w:rFonts w:ascii="Georgia" w:hAnsi="Georgia"/>
                <w:b/>
                <w:color w:val="404040" w:themeColor="text1" w:themeTint="BF"/>
                <w:sz w:val="20"/>
                <w:szCs w:val="20"/>
              </w:rPr>
            </w:pPr>
            <w:r w:rsidRPr="004D6D7D">
              <w:rPr>
                <w:rFonts w:ascii="Georgia" w:hAnsi="Georgia"/>
                <w:b/>
                <w:color w:val="404040" w:themeColor="text1" w:themeTint="BF"/>
                <w:sz w:val="20"/>
                <w:szCs w:val="20"/>
              </w:rPr>
              <w:t>Purpose</w:t>
            </w:r>
          </w:p>
        </w:tc>
        <w:tc>
          <w:tcPr>
            <w:tcW w:w="2642" w:type="dxa"/>
          </w:tcPr>
          <w:p w14:paraId="624A5AC8" w14:textId="77777777" w:rsidR="00277D08" w:rsidRPr="004D6D7D" w:rsidRDefault="00277D08" w:rsidP="00103357">
            <w:pPr>
              <w:pStyle w:val="Title"/>
              <w:spacing w:line="240" w:lineRule="auto"/>
              <w:jc w:val="left"/>
              <w:rPr>
                <w:rFonts w:ascii="Georgia" w:hAnsi="Georgia"/>
                <w:b/>
                <w:color w:val="404040" w:themeColor="text1" w:themeTint="BF"/>
                <w:sz w:val="20"/>
                <w:szCs w:val="20"/>
              </w:rPr>
            </w:pPr>
            <w:r w:rsidRPr="004D6D7D">
              <w:rPr>
                <w:rFonts w:ascii="Georgia" w:hAnsi="Georgia"/>
                <w:b/>
                <w:color w:val="404040" w:themeColor="text1" w:themeTint="BF"/>
                <w:sz w:val="20"/>
                <w:szCs w:val="20"/>
              </w:rPr>
              <w:t>Calculation</w:t>
            </w:r>
          </w:p>
        </w:tc>
      </w:tr>
      <w:tr w:rsidR="00665381" w:rsidRPr="00B148F9" w14:paraId="39AE209D" w14:textId="77777777" w:rsidTr="00103357">
        <w:tc>
          <w:tcPr>
            <w:tcW w:w="1555" w:type="dxa"/>
          </w:tcPr>
          <w:p w14:paraId="08F739F3" w14:textId="6604D278" w:rsidR="00665381" w:rsidRPr="004D6D7D" w:rsidRDefault="00665381" w:rsidP="00665381">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Total return</w:t>
            </w:r>
          </w:p>
        </w:tc>
        <w:tc>
          <w:tcPr>
            <w:tcW w:w="2409" w:type="dxa"/>
          </w:tcPr>
          <w:p w14:paraId="0F76E437" w14:textId="4186E204" w:rsidR="00665381" w:rsidRPr="004D6D7D" w:rsidRDefault="00665381"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 xml:space="preserve">The percentage increase/(decrease) in NAV, inclusive of dividends </w:t>
            </w:r>
            <w:r w:rsidR="00FF5D44" w:rsidRPr="004D6D7D">
              <w:rPr>
                <w:rFonts w:ascii="Georgia" w:hAnsi="Georgia"/>
                <w:color w:val="404040" w:themeColor="text1" w:themeTint="BF"/>
                <w:sz w:val="20"/>
                <w:szCs w:val="20"/>
              </w:rPr>
              <w:t>pai</w:t>
            </w:r>
            <w:r w:rsidRPr="004D6D7D">
              <w:rPr>
                <w:rFonts w:ascii="Georgia" w:hAnsi="Georgia"/>
                <w:color w:val="404040" w:themeColor="text1" w:themeTint="BF"/>
                <w:sz w:val="20"/>
                <w:szCs w:val="20"/>
              </w:rPr>
              <w:t>d, in the reporting period.</w:t>
            </w:r>
          </w:p>
        </w:tc>
        <w:tc>
          <w:tcPr>
            <w:tcW w:w="2410" w:type="dxa"/>
          </w:tcPr>
          <w:p w14:paraId="5F1DC9A7" w14:textId="2B9B3981" w:rsidR="00665381" w:rsidRPr="004D6D7D" w:rsidRDefault="00665381" w:rsidP="00665381">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A key measure of the success of the Investment Manager’s investment strategy.</w:t>
            </w:r>
          </w:p>
        </w:tc>
        <w:tc>
          <w:tcPr>
            <w:tcW w:w="2642" w:type="dxa"/>
          </w:tcPr>
          <w:p w14:paraId="14CDE3F0" w14:textId="4A2376AC" w:rsidR="00665381" w:rsidRPr="004D6D7D" w:rsidRDefault="00665381" w:rsidP="00C12AFA">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quotient of the NAV per share at the end of the period (</w:t>
            </w:r>
            <w:r w:rsidR="009310E2" w:rsidRPr="004D6D7D">
              <w:rPr>
                <w:rFonts w:ascii="Georgia" w:hAnsi="Georgia"/>
                <w:color w:val="404040" w:themeColor="text1" w:themeTint="BF"/>
                <w:sz w:val="20"/>
                <w:szCs w:val="20"/>
              </w:rPr>
              <w:t>117.0</w:t>
            </w:r>
            <w:r w:rsidR="00C12AFA" w:rsidRPr="004D6D7D">
              <w:rPr>
                <w:rFonts w:ascii="Georgia" w:hAnsi="Georgia"/>
                <w:color w:val="404040" w:themeColor="text1" w:themeTint="BF"/>
                <w:sz w:val="20"/>
                <w:szCs w:val="20"/>
              </w:rPr>
              <w:t>1p</w:t>
            </w:r>
            <w:r w:rsidRPr="004D6D7D">
              <w:rPr>
                <w:rFonts w:ascii="Georgia" w:hAnsi="Georgia"/>
                <w:color w:val="404040" w:themeColor="text1" w:themeTint="BF"/>
                <w:sz w:val="20"/>
                <w:szCs w:val="20"/>
              </w:rPr>
              <w:t xml:space="preserve">) and the NAV per share at the beginning of the period (117.98p), plus any dividends </w:t>
            </w:r>
            <w:r w:rsidR="00FF5D44" w:rsidRPr="004D6D7D">
              <w:rPr>
                <w:rFonts w:ascii="Georgia" w:hAnsi="Georgia"/>
                <w:color w:val="404040" w:themeColor="text1" w:themeTint="BF"/>
                <w:sz w:val="20"/>
                <w:szCs w:val="20"/>
              </w:rPr>
              <w:t>pai</w:t>
            </w:r>
            <w:r w:rsidRPr="004D6D7D">
              <w:rPr>
                <w:rFonts w:ascii="Georgia" w:hAnsi="Georgia"/>
                <w:color w:val="404040" w:themeColor="text1" w:themeTint="BF"/>
                <w:sz w:val="20"/>
                <w:szCs w:val="20"/>
              </w:rPr>
              <w:t xml:space="preserve">d, minus one expressed as a percentage. </w:t>
            </w:r>
          </w:p>
        </w:tc>
      </w:tr>
      <w:tr w:rsidR="00FF5D44" w:rsidRPr="00B148F9" w14:paraId="4046B002" w14:textId="77777777" w:rsidTr="00103357">
        <w:tc>
          <w:tcPr>
            <w:tcW w:w="1555" w:type="dxa"/>
          </w:tcPr>
          <w:p w14:paraId="26AE23B9" w14:textId="528E0621"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Shareholder Total return</w:t>
            </w:r>
          </w:p>
        </w:tc>
        <w:tc>
          <w:tcPr>
            <w:tcW w:w="2409" w:type="dxa"/>
          </w:tcPr>
          <w:p w14:paraId="019D469A" w14:textId="0E701836"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percentage increase/(decrease) in share price, inclusive of dividends paid, in the reporting period.</w:t>
            </w:r>
          </w:p>
        </w:tc>
        <w:tc>
          <w:tcPr>
            <w:tcW w:w="2410" w:type="dxa"/>
          </w:tcPr>
          <w:p w14:paraId="09AA45FC" w14:textId="39E71500"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A measure of the return that could have been obtained by holding a share over the reporting period.</w:t>
            </w:r>
          </w:p>
        </w:tc>
        <w:tc>
          <w:tcPr>
            <w:tcW w:w="2642" w:type="dxa"/>
          </w:tcPr>
          <w:p w14:paraId="644B8553" w14:textId="345C8BA0" w:rsidR="00FF5D44" w:rsidRPr="004D6D7D" w:rsidRDefault="00FF5D44" w:rsidP="0092293D">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quotient of the price per share at the end of the period (</w:t>
            </w:r>
            <w:r w:rsidR="0092293D" w:rsidRPr="004D6D7D">
              <w:rPr>
                <w:rFonts w:ascii="Georgia" w:hAnsi="Georgia"/>
                <w:color w:val="404040" w:themeColor="text1" w:themeTint="BF"/>
                <w:sz w:val="20"/>
                <w:szCs w:val="20"/>
              </w:rPr>
              <w:t>134.5</w:t>
            </w:r>
            <w:r w:rsidRPr="004D6D7D">
              <w:rPr>
                <w:rFonts w:ascii="Georgia" w:hAnsi="Georgia"/>
                <w:color w:val="404040" w:themeColor="text1" w:themeTint="BF"/>
                <w:sz w:val="20"/>
                <w:szCs w:val="20"/>
              </w:rPr>
              <w:t>p) and the price per share at the beginning of the period (136.5p), plus any dividends paid, minus one expressed as a percentage. The measure excludes transaction costs.</w:t>
            </w:r>
          </w:p>
        </w:tc>
      </w:tr>
      <w:tr w:rsidR="00FF5D44" w:rsidRPr="00B148F9" w14:paraId="3A3E4EB3" w14:textId="77777777" w:rsidTr="00103357">
        <w:tc>
          <w:tcPr>
            <w:tcW w:w="1555" w:type="dxa"/>
          </w:tcPr>
          <w:p w14:paraId="68260A3D" w14:textId="26722A99"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Underlying Earnings</w:t>
            </w:r>
          </w:p>
        </w:tc>
        <w:tc>
          <w:tcPr>
            <w:tcW w:w="2409" w:type="dxa"/>
          </w:tcPr>
          <w:p w14:paraId="1663B2E2" w14:textId="48F69652"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Total net income of the Company’s investment portfolio.</w:t>
            </w:r>
          </w:p>
        </w:tc>
        <w:tc>
          <w:tcPr>
            <w:tcW w:w="2410" w:type="dxa"/>
          </w:tcPr>
          <w:p w14:paraId="09D25116" w14:textId="15572D1A"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A measure to link the underlying financial performance of the operational projects to the dividends declared and paid by the Company</w:t>
            </w:r>
          </w:p>
        </w:tc>
        <w:tc>
          <w:tcPr>
            <w:tcW w:w="2642" w:type="dxa"/>
          </w:tcPr>
          <w:p w14:paraId="647D6952" w14:textId="2C9AD55E"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Total income of the Company’s portfolio minus Group operating costs minus Group debt costs.</w:t>
            </w:r>
          </w:p>
        </w:tc>
      </w:tr>
      <w:tr w:rsidR="00FF5D44" w:rsidRPr="00B148F9" w14:paraId="62AED607" w14:textId="77777777" w:rsidTr="00103357">
        <w:tc>
          <w:tcPr>
            <w:tcW w:w="1555" w:type="dxa"/>
          </w:tcPr>
          <w:p w14:paraId="6DA96908" w14:textId="2495718D"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NAV per Ordinary Share</w:t>
            </w:r>
          </w:p>
        </w:tc>
        <w:tc>
          <w:tcPr>
            <w:tcW w:w="2409" w:type="dxa"/>
          </w:tcPr>
          <w:p w14:paraId="172F3FC2" w14:textId="5E91CE02"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Company’s closing share price on the London Stock Exchange for a specified date.</w:t>
            </w:r>
          </w:p>
        </w:tc>
        <w:tc>
          <w:tcPr>
            <w:tcW w:w="2410" w:type="dxa"/>
          </w:tcPr>
          <w:p w14:paraId="0AADC607" w14:textId="5A73C787"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A measure of the value of one ordinary share.</w:t>
            </w:r>
          </w:p>
        </w:tc>
        <w:tc>
          <w:tcPr>
            <w:tcW w:w="2642" w:type="dxa"/>
          </w:tcPr>
          <w:p w14:paraId="4792B822" w14:textId="218E1DC1" w:rsidR="00FF5D44" w:rsidRPr="004D6D7D" w:rsidRDefault="00FF5D44" w:rsidP="00CD1C67">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net assets attributable to ordinary shares on the statement of financial position (£</w:t>
            </w:r>
            <w:r w:rsidR="009310E2" w:rsidRPr="004D6D7D">
              <w:rPr>
                <w:rFonts w:ascii="Georgia" w:hAnsi="Georgia"/>
                <w:color w:val="404040" w:themeColor="text1" w:themeTint="BF"/>
                <w:sz w:val="20"/>
                <w:szCs w:val="20"/>
              </w:rPr>
              <w:t>433.5</w:t>
            </w:r>
            <w:r w:rsidRPr="004D6D7D">
              <w:rPr>
                <w:rFonts w:ascii="Georgia" w:hAnsi="Georgia"/>
                <w:color w:val="404040" w:themeColor="text1" w:themeTint="BF"/>
                <w:sz w:val="20"/>
                <w:szCs w:val="20"/>
              </w:rPr>
              <w:t>m) divided by the number of ordinary shares in issue (</w:t>
            </w:r>
            <w:r w:rsidR="00CD1C67" w:rsidRPr="004D6D7D">
              <w:rPr>
                <w:rFonts w:ascii="Georgia" w:hAnsi="Georgia"/>
                <w:color w:val="404040" w:themeColor="text1" w:themeTint="BF"/>
                <w:sz w:val="20"/>
                <w:szCs w:val="20"/>
              </w:rPr>
              <w:t>370,499,622</w:t>
            </w:r>
            <w:r w:rsidRPr="004D6D7D">
              <w:rPr>
                <w:rFonts w:ascii="Georgia" w:hAnsi="Georgia"/>
                <w:color w:val="404040" w:themeColor="text1" w:themeTint="BF"/>
                <w:sz w:val="20"/>
                <w:szCs w:val="20"/>
              </w:rPr>
              <w:t>) as at the calculation date</w:t>
            </w:r>
          </w:p>
        </w:tc>
      </w:tr>
      <w:tr w:rsidR="00FF5D44" w:rsidRPr="00B148F9" w14:paraId="7ED46C89" w14:textId="77777777" w:rsidTr="00103357">
        <w:tc>
          <w:tcPr>
            <w:tcW w:w="1555" w:type="dxa"/>
          </w:tcPr>
          <w:p w14:paraId="7C1E999F" w14:textId="1451B9EA"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Sale of Electricity</w:t>
            </w:r>
          </w:p>
        </w:tc>
        <w:tc>
          <w:tcPr>
            <w:tcW w:w="2409" w:type="dxa"/>
          </w:tcPr>
          <w:p w14:paraId="3CF8672B" w14:textId="0E40CFE2"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total proportion of revenue generated by the Company’s portfolio that is attributable to electricity sales.</w:t>
            </w:r>
          </w:p>
        </w:tc>
        <w:tc>
          <w:tcPr>
            <w:tcW w:w="2410" w:type="dxa"/>
          </w:tcPr>
          <w:p w14:paraId="209AA095" w14:textId="2C26FCF1"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A measure to understand the proportion of revenue attributable to sales of electricity.</w:t>
            </w:r>
          </w:p>
        </w:tc>
        <w:tc>
          <w:tcPr>
            <w:tcW w:w="2642" w:type="dxa"/>
          </w:tcPr>
          <w:p w14:paraId="102537A5" w14:textId="2B1BD1E8" w:rsidR="00FF5D44" w:rsidRPr="004D6D7D" w:rsidRDefault="00FF5D44" w:rsidP="00FF5D44">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The amount of revenue attributable to electricity sales divided by the total revenue generated by the Company’s portfolio, expressed as a percentage.</w:t>
            </w:r>
          </w:p>
        </w:tc>
      </w:tr>
      <w:tr w:rsidR="00947348" w:rsidRPr="00B148F9" w14:paraId="40FA86B4" w14:textId="77777777" w:rsidTr="00103357">
        <w:tc>
          <w:tcPr>
            <w:tcW w:w="1555" w:type="dxa"/>
          </w:tcPr>
          <w:p w14:paraId="7BB11AFE" w14:textId="1EFF1B5A" w:rsidR="00947348" w:rsidRPr="004D6D7D" w:rsidRDefault="00947348" w:rsidP="00947348">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Total Revenue</w:t>
            </w:r>
          </w:p>
        </w:tc>
        <w:tc>
          <w:tcPr>
            <w:tcW w:w="2409" w:type="dxa"/>
          </w:tcPr>
          <w:p w14:paraId="5465786F" w14:textId="7EAC4CB0"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Total net income of the Company’s investment portfolio.</w:t>
            </w:r>
          </w:p>
        </w:tc>
        <w:tc>
          <w:tcPr>
            <w:tcW w:w="2410" w:type="dxa"/>
          </w:tcPr>
          <w:p w14:paraId="53CA2565" w14:textId="3306FBD7"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 xml:space="preserve">A measure to outline the Total revenue of the portfolio on per </w:t>
            </w:r>
            <w:proofErr w:type="spellStart"/>
            <w:r>
              <w:rPr>
                <w:rFonts w:ascii="Georgia" w:hAnsi="Georgia"/>
                <w:color w:val="404040"/>
                <w:sz w:val="20"/>
                <w:szCs w:val="20"/>
              </w:rPr>
              <w:t>MWp</w:t>
            </w:r>
            <w:proofErr w:type="spellEnd"/>
            <w:r>
              <w:rPr>
                <w:rFonts w:ascii="Georgia" w:hAnsi="Georgia"/>
                <w:color w:val="404040"/>
                <w:sz w:val="20"/>
                <w:szCs w:val="20"/>
              </w:rPr>
              <w:t xml:space="preserve"> basis.</w:t>
            </w:r>
          </w:p>
        </w:tc>
        <w:tc>
          <w:tcPr>
            <w:tcW w:w="2642" w:type="dxa"/>
          </w:tcPr>
          <w:p w14:paraId="0D098330" w14:textId="283C5173"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Total income of the Company’s portfolio owned for a full 12mths.</w:t>
            </w:r>
          </w:p>
        </w:tc>
      </w:tr>
      <w:tr w:rsidR="00947348" w:rsidRPr="00B148F9" w14:paraId="5C563EFD" w14:textId="77777777" w:rsidTr="00103357">
        <w:tc>
          <w:tcPr>
            <w:tcW w:w="1555" w:type="dxa"/>
          </w:tcPr>
          <w:p w14:paraId="158B6356" w14:textId="200F25EC" w:rsidR="00947348" w:rsidRPr="004D6D7D" w:rsidRDefault="00947348" w:rsidP="00947348">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PPA Revenue</w:t>
            </w:r>
          </w:p>
        </w:tc>
        <w:tc>
          <w:tcPr>
            <w:tcW w:w="2409" w:type="dxa"/>
          </w:tcPr>
          <w:p w14:paraId="1F6EA36E" w14:textId="77C396D0"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Revenue generated through PPAs.</w:t>
            </w:r>
          </w:p>
        </w:tc>
        <w:tc>
          <w:tcPr>
            <w:tcW w:w="2410" w:type="dxa"/>
          </w:tcPr>
          <w:p w14:paraId="7280800A" w14:textId="257D9E14"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A measure to outline the revenue earned by the portfolio from power sales.</w:t>
            </w:r>
          </w:p>
        </w:tc>
        <w:tc>
          <w:tcPr>
            <w:tcW w:w="2642" w:type="dxa"/>
          </w:tcPr>
          <w:p w14:paraId="46BD042E" w14:textId="5F262A20"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Total revenue from all power price sales during the period from the Company’s portfolio.</w:t>
            </w:r>
          </w:p>
        </w:tc>
      </w:tr>
      <w:tr w:rsidR="00947348" w:rsidRPr="00B148F9" w14:paraId="67ABDA4C" w14:textId="77777777" w:rsidTr="00103357">
        <w:tc>
          <w:tcPr>
            <w:tcW w:w="1555" w:type="dxa"/>
          </w:tcPr>
          <w:p w14:paraId="0E89CFF0" w14:textId="157C69D1" w:rsidR="00947348" w:rsidRPr="004D6D7D" w:rsidRDefault="00947348" w:rsidP="00947348">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Regulated Revenue</w:t>
            </w:r>
          </w:p>
        </w:tc>
        <w:tc>
          <w:tcPr>
            <w:tcW w:w="2409" w:type="dxa"/>
          </w:tcPr>
          <w:p w14:paraId="57FAED52" w14:textId="469436B0"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 xml:space="preserve">Revenue generated from the sale of </w:t>
            </w:r>
            <w:proofErr w:type="spellStart"/>
            <w:r>
              <w:rPr>
                <w:rFonts w:ascii="Georgia" w:hAnsi="Georgia"/>
                <w:color w:val="404040"/>
                <w:sz w:val="20"/>
                <w:szCs w:val="20"/>
              </w:rPr>
              <w:t>FiTs</w:t>
            </w:r>
            <w:proofErr w:type="spellEnd"/>
            <w:r>
              <w:rPr>
                <w:rFonts w:ascii="Georgia" w:hAnsi="Georgia"/>
                <w:color w:val="404040"/>
                <w:sz w:val="20"/>
                <w:szCs w:val="20"/>
              </w:rPr>
              <w:t xml:space="preserve"> and ROCs.</w:t>
            </w:r>
          </w:p>
        </w:tc>
        <w:tc>
          <w:tcPr>
            <w:tcW w:w="2410" w:type="dxa"/>
          </w:tcPr>
          <w:p w14:paraId="506F5966" w14:textId="3F02D65A"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A measure to outline the revenue earned by the portfolio from government subsidies.</w:t>
            </w:r>
          </w:p>
        </w:tc>
        <w:tc>
          <w:tcPr>
            <w:tcW w:w="2642" w:type="dxa"/>
          </w:tcPr>
          <w:p w14:paraId="5AC58C7F" w14:textId="6AE6216B" w:rsidR="00947348" w:rsidRPr="004D6D7D" w:rsidRDefault="00947348" w:rsidP="00947348">
            <w:pPr>
              <w:pStyle w:val="Title"/>
              <w:spacing w:line="240" w:lineRule="auto"/>
              <w:jc w:val="left"/>
              <w:rPr>
                <w:rFonts w:ascii="Georgia" w:hAnsi="Georgia"/>
                <w:color w:val="404040" w:themeColor="text1" w:themeTint="BF"/>
                <w:sz w:val="20"/>
                <w:szCs w:val="20"/>
              </w:rPr>
            </w:pPr>
            <w:r>
              <w:rPr>
                <w:rFonts w:ascii="Georgia" w:hAnsi="Georgia"/>
                <w:color w:val="404040"/>
                <w:sz w:val="20"/>
                <w:szCs w:val="20"/>
              </w:rPr>
              <w:t>Total revenue from all subsidy income earned during the period from the Company’s portfolio.</w:t>
            </w:r>
          </w:p>
        </w:tc>
      </w:tr>
    </w:tbl>
    <w:p w14:paraId="66658B98" w14:textId="255DBEF7" w:rsidR="00FC0AF0" w:rsidRDefault="00FC0AF0" w:rsidP="00665381">
      <w:pPr>
        <w:tabs>
          <w:tab w:val="left" w:pos="842"/>
        </w:tabs>
        <w:rPr>
          <w:rFonts w:ascii="Georgia" w:hAnsi="Georgia" w:cs="Calibri"/>
          <w:sz w:val="20"/>
        </w:rPr>
      </w:pPr>
    </w:p>
    <w:p w14:paraId="1873D6FC" w14:textId="57E4F2E3" w:rsidR="0001661C" w:rsidRDefault="0001661C" w:rsidP="00665381">
      <w:pPr>
        <w:tabs>
          <w:tab w:val="left" w:pos="842"/>
        </w:tabs>
        <w:rPr>
          <w:rFonts w:ascii="Georgia" w:hAnsi="Georgia" w:cs="Calibri"/>
          <w:sz w:val="20"/>
        </w:rPr>
      </w:pPr>
    </w:p>
    <w:p w14:paraId="0546C78F" w14:textId="5A021026" w:rsidR="0001661C" w:rsidRDefault="0001661C" w:rsidP="00665381">
      <w:pPr>
        <w:tabs>
          <w:tab w:val="left" w:pos="842"/>
        </w:tabs>
        <w:rPr>
          <w:rFonts w:ascii="Georgia" w:hAnsi="Georgia" w:cs="Calibri"/>
          <w:sz w:val="20"/>
        </w:rPr>
      </w:pPr>
    </w:p>
    <w:p w14:paraId="1C327652" w14:textId="19C9BE32" w:rsidR="0001661C" w:rsidRDefault="0001661C" w:rsidP="00665381">
      <w:pPr>
        <w:tabs>
          <w:tab w:val="left" w:pos="842"/>
        </w:tabs>
        <w:rPr>
          <w:rFonts w:ascii="Georgia" w:hAnsi="Georgia" w:cs="Calibri"/>
          <w:sz w:val="20"/>
        </w:rPr>
      </w:pPr>
    </w:p>
    <w:p w14:paraId="6B925575" w14:textId="5909EC98" w:rsidR="0001661C" w:rsidRDefault="0001661C" w:rsidP="00665381">
      <w:pPr>
        <w:tabs>
          <w:tab w:val="left" w:pos="842"/>
        </w:tabs>
        <w:rPr>
          <w:rFonts w:ascii="Georgia" w:hAnsi="Georgia" w:cs="Calibri"/>
          <w:sz w:val="20"/>
        </w:rPr>
      </w:pPr>
    </w:p>
    <w:p w14:paraId="5A7EA1FA" w14:textId="7F28A133" w:rsidR="0001661C" w:rsidRPr="0001661C" w:rsidRDefault="0001661C" w:rsidP="0001661C">
      <w:pPr>
        <w:pStyle w:val="Heading2"/>
        <w:spacing w:before="0"/>
        <w:rPr>
          <w:color w:val="404040" w:themeColor="text1" w:themeTint="BF"/>
          <w:vertAlign w:val="superscript"/>
        </w:rPr>
      </w:pPr>
      <w:r w:rsidRPr="0001661C">
        <w:rPr>
          <w:color w:val="404040" w:themeColor="text1" w:themeTint="BF"/>
        </w:rPr>
        <w:lastRenderedPageBreak/>
        <w:t>Alternative Performance Measures</w:t>
      </w:r>
      <w:r>
        <w:rPr>
          <w:color w:val="404040" w:themeColor="text1" w:themeTint="BF"/>
        </w:rPr>
        <w:t xml:space="preserve"> (continued)</w:t>
      </w:r>
      <w:r w:rsidRPr="0001661C">
        <w:rPr>
          <w:color w:val="404040" w:themeColor="text1" w:themeTint="BF"/>
        </w:rPr>
        <w:t xml:space="preserve"> </w:t>
      </w:r>
      <w:r w:rsidRPr="0001661C">
        <w:rPr>
          <w:i/>
          <w:color w:val="404040" w:themeColor="text1" w:themeTint="BF"/>
          <w:vertAlign w:val="superscript"/>
        </w:rPr>
        <w:t>Unaudited</w:t>
      </w:r>
    </w:p>
    <w:p w14:paraId="7830999A" w14:textId="77777777" w:rsidR="0001661C" w:rsidRDefault="0001661C" w:rsidP="00665381">
      <w:pPr>
        <w:tabs>
          <w:tab w:val="left" w:pos="842"/>
        </w:tabs>
        <w:rPr>
          <w:rFonts w:ascii="Georgia" w:hAnsi="Georgia" w:cs="Calibri"/>
          <w:sz w:val="20"/>
        </w:rPr>
      </w:pPr>
    </w:p>
    <w:tbl>
      <w:tblPr>
        <w:tblStyle w:val="TableGrid"/>
        <w:tblW w:w="0" w:type="auto"/>
        <w:tblLayout w:type="fixed"/>
        <w:tblLook w:val="04A0" w:firstRow="1" w:lastRow="0" w:firstColumn="1" w:lastColumn="0" w:noHBand="0" w:noVBand="1"/>
      </w:tblPr>
      <w:tblGrid>
        <w:gridCol w:w="1555"/>
        <w:gridCol w:w="2383"/>
        <w:gridCol w:w="2436"/>
        <w:gridCol w:w="2976"/>
      </w:tblGrid>
      <w:tr w:rsidR="00FC0AF0" w14:paraId="0554509E" w14:textId="77777777" w:rsidTr="00FC0AF0">
        <w:tc>
          <w:tcPr>
            <w:tcW w:w="1555" w:type="dxa"/>
          </w:tcPr>
          <w:p w14:paraId="56D3F92A" w14:textId="3F311B41" w:rsidR="00FC0AF0" w:rsidRPr="004D6D7D" w:rsidRDefault="00FC0AF0" w:rsidP="00FC0AF0">
            <w:pPr>
              <w:tabs>
                <w:tab w:val="left" w:pos="842"/>
              </w:tabs>
              <w:rPr>
                <w:rFonts w:ascii="Georgia" w:hAnsi="Georgia" w:cs="Calibri"/>
                <w:color w:val="404040" w:themeColor="text1" w:themeTint="BF"/>
                <w:sz w:val="20"/>
              </w:rPr>
            </w:pPr>
            <w:r w:rsidRPr="004D6D7D">
              <w:rPr>
                <w:rFonts w:ascii="Georgia" w:hAnsi="Georgia"/>
                <w:color w:val="404040" w:themeColor="text1" w:themeTint="BF"/>
                <w:sz w:val="20"/>
                <w:szCs w:val="20"/>
              </w:rPr>
              <w:t>Ongoing charges ratio</w:t>
            </w:r>
          </w:p>
        </w:tc>
        <w:tc>
          <w:tcPr>
            <w:tcW w:w="2383" w:type="dxa"/>
          </w:tcPr>
          <w:p w14:paraId="1D0A9814" w14:textId="59EF6361" w:rsidR="00FC0AF0" w:rsidRPr="004D6D7D" w:rsidRDefault="00FC0AF0" w:rsidP="00FC0AF0">
            <w:pPr>
              <w:tabs>
                <w:tab w:val="left" w:pos="842"/>
              </w:tabs>
              <w:rPr>
                <w:rFonts w:ascii="Georgia" w:hAnsi="Georgia" w:cs="Calibri"/>
                <w:color w:val="404040" w:themeColor="text1" w:themeTint="BF"/>
                <w:sz w:val="20"/>
              </w:rPr>
            </w:pPr>
            <w:r w:rsidRPr="004D6D7D">
              <w:rPr>
                <w:rFonts w:ascii="Georgia" w:hAnsi="Georgia"/>
                <w:color w:val="404040" w:themeColor="text1" w:themeTint="BF"/>
                <w:sz w:val="20"/>
                <w:szCs w:val="20"/>
              </w:rPr>
              <w:t>The recurring costs that the Company has incurred during the period excluding performance fees and one off legal and professional fees expressed as a percentage of the Company’s average NAV for the period.</w:t>
            </w:r>
          </w:p>
        </w:tc>
        <w:tc>
          <w:tcPr>
            <w:tcW w:w="2436" w:type="dxa"/>
          </w:tcPr>
          <w:p w14:paraId="3A78E63F" w14:textId="43FC027C" w:rsidR="00FC0AF0" w:rsidRPr="004D6D7D" w:rsidRDefault="00FC0AF0" w:rsidP="00FC0AF0">
            <w:pPr>
              <w:tabs>
                <w:tab w:val="left" w:pos="842"/>
              </w:tabs>
              <w:rPr>
                <w:rFonts w:ascii="Georgia" w:hAnsi="Georgia" w:cs="Calibri"/>
                <w:color w:val="404040" w:themeColor="text1" w:themeTint="BF"/>
                <w:sz w:val="20"/>
              </w:rPr>
            </w:pPr>
            <w:r w:rsidRPr="004D6D7D">
              <w:rPr>
                <w:rFonts w:ascii="Georgia" w:hAnsi="Georgia"/>
                <w:color w:val="404040" w:themeColor="text1" w:themeTint="BF"/>
                <w:sz w:val="20"/>
                <w:szCs w:val="20"/>
              </w:rPr>
              <w:t>A measure of the minimum gross profit that the Company needs to produce</w:t>
            </w:r>
            <w:r w:rsidR="001206D7">
              <w:rPr>
                <w:rFonts w:ascii="Georgia" w:hAnsi="Georgia"/>
                <w:color w:val="404040" w:themeColor="text1" w:themeTint="BF"/>
                <w:sz w:val="20"/>
                <w:szCs w:val="20"/>
              </w:rPr>
              <w:t xml:space="preserve"> to make a positive return for S</w:t>
            </w:r>
            <w:r w:rsidRPr="004D6D7D">
              <w:rPr>
                <w:rFonts w:ascii="Georgia" w:hAnsi="Georgia"/>
                <w:color w:val="404040" w:themeColor="text1" w:themeTint="BF"/>
                <w:sz w:val="20"/>
                <w:szCs w:val="20"/>
              </w:rPr>
              <w:t xml:space="preserve">hareholders. </w:t>
            </w:r>
          </w:p>
        </w:tc>
        <w:tc>
          <w:tcPr>
            <w:tcW w:w="2976" w:type="dxa"/>
          </w:tcPr>
          <w:p w14:paraId="3CB4AC6F" w14:textId="5BECAF95" w:rsidR="00FC0AF0" w:rsidRPr="004D6D7D" w:rsidRDefault="00FC0AF0" w:rsidP="00FC0AF0">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 xml:space="preserve">Calculated in accordance with the AIC methodology detailed </w:t>
            </w:r>
            <w:r w:rsidR="00947348">
              <w:rPr>
                <w:rFonts w:ascii="Georgia" w:hAnsi="Georgia"/>
                <w:color w:val="404040" w:themeColor="text1" w:themeTint="BF"/>
                <w:sz w:val="20"/>
                <w:szCs w:val="20"/>
              </w:rPr>
              <w:t>in the table</w:t>
            </w:r>
            <w:r w:rsidRPr="004D6D7D">
              <w:rPr>
                <w:rFonts w:ascii="Georgia" w:hAnsi="Georgia"/>
                <w:color w:val="404040" w:themeColor="text1" w:themeTint="BF"/>
                <w:sz w:val="20"/>
                <w:szCs w:val="20"/>
              </w:rPr>
              <w:t xml:space="preserve"> below.</w:t>
            </w:r>
          </w:p>
          <w:p w14:paraId="6DB24761" w14:textId="77777777" w:rsidR="00FC0AF0" w:rsidRPr="004D6D7D" w:rsidRDefault="00FC0AF0" w:rsidP="00FC0AF0">
            <w:pPr>
              <w:pStyle w:val="Title"/>
              <w:spacing w:line="240" w:lineRule="auto"/>
              <w:jc w:val="left"/>
              <w:rPr>
                <w:rFonts w:ascii="Georgia" w:hAnsi="Georgia"/>
                <w:color w:val="404040" w:themeColor="text1" w:themeTint="BF"/>
                <w:sz w:val="20"/>
                <w:szCs w:val="20"/>
              </w:rPr>
            </w:pPr>
          </w:p>
          <w:p w14:paraId="4B25D474" w14:textId="77777777" w:rsidR="00FC0AF0" w:rsidRPr="004D6D7D" w:rsidRDefault="00FC0AF0" w:rsidP="00FC0AF0">
            <w:pPr>
              <w:tabs>
                <w:tab w:val="left" w:pos="842"/>
              </w:tabs>
              <w:rPr>
                <w:rFonts w:ascii="Georgia" w:hAnsi="Georgia" w:cs="Calibri"/>
                <w:color w:val="404040" w:themeColor="text1" w:themeTint="BF"/>
                <w:sz w:val="20"/>
              </w:rPr>
            </w:pPr>
          </w:p>
        </w:tc>
      </w:tr>
      <w:tr w:rsidR="00FC3F03" w14:paraId="0126BCF2" w14:textId="77777777" w:rsidTr="00FC0AF0">
        <w:tc>
          <w:tcPr>
            <w:tcW w:w="1555" w:type="dxa"/>
          </w:tcPr>
          <w:p w14:paraId="18A73B66" w14:textId="16C4BC82" w:rsidR="00FC3F03" w:rsidRPr="004D6D7D" w:rsidRDefault="00FC3F03" w:rsidP="00FC3F03">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Weighted Average Life</w:t>
            </w:r>
          </w:p>
        </w:tc>
        <w:tc>
          <w:tcPr>
            <w:tcW w:w="2383" w:type="dxa"/>
          </w:tcPr>
          <w:p w14:paraId="629E6875" w14:textId="1480923C" w:rsidR="00FC3F03" w:rsidRPr="004D6D7D" w:rsidRDefault="00FC3F03" w:rsidP="00FC3F03">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The average operational life of the Company’s portfolio</w:t>
            </w:r>
          </w:p>
        </w:tc>
        <w:tc>
          <w:tcPr>
            <w:tcW w:w="2436" w:type="dxa"/>
          </w:tcPr>
          <w:p w14:paraId="721A3761" w14:textId="6F294FDE" w:rsidR="00FC3F03" w:rsidRPr="004D6D7D" w:rsidRDefault="00FC3F03" w:rsidP="00FC3F03">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A measure of th</w:t>
            </w:r>
            <w:r w:rsidR="005B2E8B">
              <w:rPr>
                <w:rFonts w:ascii="Georgia" w:hAnsi="Georgia"/>
                <w:color w:val="404040" w:themeColor="text1" w:themeTint="BF"/>
                <w:sz w:val="20"/>
                <w:szCs w:val="20"/>
              </w:rPr>
              <w:t>e Company’s progress in extending</w:t>
            </w:r>
            <w:r w:rsidRPr="004D6D7D">
              <w:rPr>
                <w:rFonts w:ascii="Georgia" w:hAnsi="Georgia"/>
                <w:color w:val="404040" w:themeColor="text1" w:themeTint="BF"/>
                <w:sz w:val="20"/>
                <w:szCs w:val="20"/>
              </w:rPr>
              <w:t xml:space="preserve"> the life of its portfolio beyond the end of the subsidy regime in 2036.</w:t>
            </w:r>
          </w:p>
        </w:tc>
        <w:tc>
          <w:tcPr>
            <w:tcW w:w="2976" w:type="dxa"/>
          </w:tcPr>
          <w:p w14:paraId="72CB6D23" w14:textId="2108CAED" w:rsidR="00FC3F03" w:rsidRPr="004D6D7D" w:rsidRDefault="00FC3F03" w:rsidP="00FC3F03">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 xml:space="preserve">The sum of the product of each plant’s operational capacity in </w:t>
            </w:r>
            <w:proofErr w:type="spellStart"/>
            <w:r w:rsidRPr="004D6D7D">
              <w:rPr>
                <w:rFonts w:ascii="Georgia" w:hAnsi="Georgia"/>
                <w:color w:val="404040" w:themeColor="text1" w:themeTint="BF"/>
                <w:sz w:val="20"/>
                <w:szCs w:val="20"/>
              </w:rPr>
              <w:t>MWp</w:t>
            </w:r>
            <w:proofErr w:type="spellEnd"/>
            <w:r w:rsidRPr="004D6D7D">
              <w:rPr>
                <w:rFonts w:ascii="Georgia" w:hAnsi="Georgia"/>
                <w:color w:val="404040" w:themeColor="text1" w:themeTint="BF"/>
                <w:sz w:val="20"/>
                <w:szCs w:val="20"/>
              </w:rPr>
              <w:t xml:space="preserve"> and the plant</w:t>
            </w:r>
            <w:r w:rsidR="006113C2" w:rsidRPr="004D6D7D">
              <w:rPr>
                <w:rFonts w:ascii="Georgia" w:hAnsi="Georgia"/>
                <w:color w:val="404040" w:themeColor="text1" w:themeTint="BF"/>
                <w:sz w:val="20"/>
                <w:szCs w:val="20"/>
              </w:rPr>
              <w:t>’</w:t>
            </w:r>
            <w:r w:rsidRPr="004D6D7D">
              <w:rPr>
                <w:rFonts w:ascii="Georgia" w:hAnsi="Georgia"/>
                <w:color w:val="404040" w:themeColor="text1" w:themeTint="BF"/>
                <w:sz w:val="20"/>
                <w:szCs w:val="20"/>
              </w:rPr>
              <w:t xml:space="preserve">s expected life divided by the total portfolio capacity in </w:t>
            </w:r>
            <w:proofErr w:type="spellStart"/>
            <w:r w:rsidRPr="004D6D7D">
              <w:rPr>
                <w:rFonts w:ascii="Georgia" w:hAnsi="Georgia"/>
                <w:color w:val="404040" w:themeColor="text1" w:themeTint="BF"/>
                <w:sz w:val="20"/>
                <w:szCs w:val="20"/>
              </w:rPr>
              <w:t>MWp</w:t>
            </w:r>
            <w:proofErr w:type="spellEnd"/>
            <w:r w:rsidRPr="004D6D7D">
              <w:rPr>
                <w:rFonts w:ascii="Georgia" w:hAnsi="Georgia"/>
                <w:color w:val="404040" w:themeColor="text1" w:themeTint="BF"/>
                <w:sz w:val="20"/>
                <w:szCs w:val="20"/>
              </w:rPr>
              <w:t>.</w:t>
            </w:r>
          </w:p>
        </w:tc>
      </w:tr>
      <w:tr w:rsidR="0039572B" w14:paraId="7CF7D899" w14:textId="77777777" w:rsidTr="00FC0AF0">
        <w:tc>
          <w:tcPr>
            <w:tcW w:w="1555" w:type="dxa"/>
          </w:tcPr>
          <w:p w14:paraId="7C83A922" w14:textId="43F50F3F" w:rsidR="0039572B" w:rsidRPr="004D6D7D" w:rsidRDefault="006113C2" w:rsidP="00FC3F03">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 xml:space="preserve">Directors’ </w:t>
            </w:r>
            <w:r w:rsidR="0039572B" w:rsidRPr="004D6D7D">
              <w:rPr>
                <w:rFonts w:ascii="Georgia" w:hAnsi="Georgia"/>
                <w:color w:val="404040" w:themeColor="text1" w:themeTint="BF"/>
                <w:sz w:val="20"/>
                <w:szCs w:val="20"/>
              </w:rPr>
              <w:t>Valuation</w:t>
            </w:r>
          </w:p>
        </w:tc>
        <w:tc>
          <w:tcPr>
            <w:tcW w:w="2383" w:type="dxa"/>
          </w:tcPr>
          <w:p w14:paraId="61FC6B92" w14:textId="173F7E30" w:rsidR="0039572B" w:rsidRPr="004D6D7D" w:rsidRDefault="0039572B" w:rsidP="00FC3F03">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The gross value of the SPV Investments held by BSIFIL, including their holding companies.</w:t>
            </w:r>
          </w:p>
        </w:tc>
        <w:tc>
          <w:tcPr>
            <w:tcW w:w="2436" w:type="dxa"/>
          </w:tcPr>
          <w:p w14:paraId="2BB7A15F" w14:textId="1695B4A5" w:rsidR="0039572B" w:rsidRPr="004D6D7D" w:rsidRDefault="0039572B" w:rsidP="00FC3F03">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A measur</w:t>
            </w:r>
            <w:r w:rsidR="005B2E8B">
              <w:rPr>
                <w:rFonts w:ascii="Georgia" w:hAnsi="Georgia"/>
                <w:color w:val="404040" w:themeColor="text1" w:themeTint="BF"/>
                <w:sz w:val="20"/>
                <w:szCs w:val="20"/>
              </w:rPr>
              <w:t>e of the gross value of the C</w:t>
            </w:r>
            <w:r w:rsidRPr="004D6D7D">
              <w:rPr>
                <w:rFonts w:ascii="Georgia" w:hAnsi="Georgia"/>
                <w:color w:val="404040" w:themeColor="text1" w:themeTint="BF"/>
                <w:sz w:val="20"/>
                <w:szCs w:val="20"/>
              </w:rPr>
              <w:t>ompany’s investment portfolio.</w:t>
            </w:r>
          </w:p>
        </w:tc>
        <w:tc>
          <w:tcPr>
            <w:tcW w:w="2976" w:type="dxa"/>
          </w:tcPr>
          <w:p w14:paraId="604C18AB" w14:textId="77777777" w:rsidR="0039572B" w:rsidRDefault="0039572B" w:rsidP="00FC3F03">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A reconciliation of the Directors’ Valuation to Financial assets at fair value through profit and loss is shown in Note 8 of the financial statements.</w:t>
            </w:r>
          </w:p>
          <w:p w14:paraId="3EB6917A" w14:textId="74724EF6" w:rsidR="005B2E8B" w:rsidRPr="004D6D7D" w:rsidRDefault="005B2E8B" w:rsidP="00FC3F03">
            <w:pPr>
              <w:pStyle w:val="Title"/>
              <w:spacing w:line="240" w:lineRule="auto"/>
              <w:jc w:val="left"/>
              <w:rPr>
                <w:rFonts w:ascii="Georgia" w:hAnsi="Georgia"/>
                <w:color w:val="404040" w:themeColor="text1" w:themeTint="BF"/>
                <w:sz w:val="20"/>
                <w:szCs w:val="20"/>
              </w:rPr>
            </w:pPr>
          </w:p>
        </w:tc>
      </w:tr>
      <w:tr w:rsidR="005B2E8B" w14:paraId="7A25890F" w14:textId="77777777" w:rsidTr="00FC0AF0">
        <w:tc>
          <w:tcPr>
            <w:tcW w:w="1555" w:type="dxa"/>
          </w:tcPr>
          <w:p w14:paraId="5FA1B005" w14:textId="30F89072" w:rsidR="005B2E8B" w:rsidRPr="004D6D7D" w:rsidRDefault="005B2E8B" w:rsidP="00FC3F03">
            <w:pPr>
              <w:tabs>
                <w:tab w:val="left" w:pos="842"/>
              </w:tabs>
              <w:rPr>
                <w:rFonts w:ascii="Georgia" w:hAnsi="Georgia"/>
                <w:color w:val="404040" w:themeColor="text1" w:themeTint="BF"/>
                <w:sz w:val="20"/>
                <w:szCs w:val="20"/>
              </w:rPr>
            </w:pPr>
            <w:r>
              <w:rPr>
                <w:rFonts w:ascii="Georgia" w:hAnsi="Georgia"/>
                <w:color w:val="404040" w:themeColor="text1" w:themeTint="BF"/>
                <w:sz w:val="20"/>
                <w:szCs w:val="20"/>
              </w:rPr>
              <w:t>Gross Asset Value</w:t>
            </w:r>
          </w:p>
        </w:tc>
        <w:tc>
          <w:tcPr>
            <w:tcW w:w="2383" w:type="dxa"/>
          </w:tcPr>
          <w:p w14:paraId="58EA8E86" w14:textId="6E2C7FCF" w:rsidR="005B2E8B" w:rsidRPr="004D6D7D" w:rsidRDefault="005B2E8B" w:rsidP="00FC3F03">
            <w:pPr>
              <w:tabs>
                <w:tab w:val="left" w:pos="842"/>
              </w:tabs>
              <w:rPr>
                <w:rFonts w:ascii="Georgia" w:hAnsi="Georgia"/>
                <w:color w:val="404040" w:themeColor="text1" w:themeTint="BF"/>
                <w:sz w:val="20"/>
                <w:szCs w:val="20"/>
              </w:rPr>
            </w:pPr>
            <w:r>
              <w:rPr>
                <w:rFonts w:ascii="Georgia" w:hAnsi="Georgia"/>
                <w:color w:val="404040" w:themeColor="text1" w:themeTint="BF"/>
                <w:sz w:val="20"/>
                <w:szCs w:val="20"/>
              </w:rPr>
              <w:t>The Market Value of all Assets within the Company.</w:t>
            </w:r>
          </w:p>
        </w:tc>
        <w:tc>
          <w:tcPr>
            <w:tcW w:w="2436" w:type="dxa"/>
          </w:tcPr>
          <w:p w14:paraId="396A9B4C" w14:textId="09EF7A53" w:rsidR="005B2E8B" w:rsidRPr="004D6D7D" w:rsidRDefault="005B2E8B" w:rsidP="005B2E8B">
            <w:pPr>
              <w:tabs>
                <w:tab w:val="left" w:pos="842"/>
              </w:tabs>
              <w:rPr>
                <w:rFonts w:ascii="Georgia" w:hAnsi="Georgia"/>
                <w:color w:val="404040" w:themeColor="text1" w:themeTint="BF"/>
                <w:sz w:val="20"/>
                <w:szCs w:val="20"/>
              </w:rPr>
            </w:pPr>
            <w:r w:rsidRPr="004D6D7D">
              <w:rPr>
                <w:rFonts w:ascii="Georgia" w:hAnsi="Georgia"/>
                <w:color w:val="404040" w:themeColor="text1" w:themeTint="BF"/>
                <w:sz w:val="20"/>
                <w:szCs w:val="20"/>
              </w:rPr>
              <w:t>A measur</w:t>
            </w:r>
            <w:r>
              <w:rPr>
                <w:rFonts w:ascii="Georgia" w:hAnsi="Georgia"/>
                <w:color w:val="404040" w:themeColor="text1" w:themeTint="BF"/>
                <w:sz w:val="20"/>
                <w:szCs w:val="20"/>
              </w:rPr>
              <w:t>e of the gross value of the C</w:t>
            </w:r>
            <w:r w:rsidRPr="004D6D7D">
              <w:rPr>
                <w:rFonts w:ascii="Georgia" w:hAnsi="Georgia"/>
                <w:color w:val="404040" w:themeColor="text1" w:themeTint="BF"/>
                <w:sz w:val="20"/>
                <w:szCs w:val="20"/>
              </w:rPr>
              <w:t xml:space="preserve">ompany’s </w:t>
            </w:r>
            <w:r>
              <w:rPr>
                <w:rFonts w:ascii="Georgia" w:hAnsi="Georgia"/>
                <w:color w:val="404040" w:themeColor="text1" w:themeTint="BF"/>
                <w:sz w:val="20"/>
                <w:szCs w:val="20"/>
              </w:rPr>
              <w:t>Assets.</w:t>
            </w:r>
          </w:p>
        </w:tc>
        <w:tc>
          <w:tcPr>
            <w:tcW w:w="2976" w:type="dxa"/>
          </w:tcPr>
          <w:p w14:paraId="78A8EB47" w14:textId="77777777" w:rsidR="005B2E8B" w:rsidRDefault="005B2E8B" w:rsidP="005B2E8B">
            <w:pPr>
              <w:pStyle w:val="Title"/>
              <w:spacing w:line="240" w:lineRule="auto"/>
              <w:jc w:val="left"/>
              <w:rPr>
                <w:rFonts w:ascii="Georgia" w:hAnsi="Georgia"/>
                <w:color w:val="404040" w:themeColor="text1" w:themeTint="BF"/>
                <w:sz w:val="20"/>
                <w:szCs w:val="20"/>
              </w:rPr>
            </w:pPr>
            <w:r w:rsidRPr="004D6D7D">
              <w:rPr>
                <w:rFonts w:ascii="Georgia" w:hAnsi="Georgia"/>
                <w:color w:val="404040" w:themeColor="text1" w:themeTint="BF"/>
                <w:sz w:val="20"/>
                <w:szCs w:val="20"/>
              </w:rPr>
              <w:t xml:space="preserve">The </w:t>
            </w:r>
            <w:r>
              <w:rPr>
                <w:rFonts w:ascii="Georgia" w:hAnsi="Georgia"/>
                <w:color w:val="404040" w:themeColor="text1" w:themeTint="BF"/>
                <w:sz w:val="20"/>
                <w:szCs w:val="20"/>
              </w:rPr>
              <w:t xml:space="preserve">total </w:t>
            </w:r>
            <w:r w:rsidRPr="004D6D7D">
              <w:rPr>
                <w:rFonts w:ascii="Georgia" w:hAnsi="Georgia"/>
                <w:color w:val="404040" w:themeColor="text1" w:themeTint="BF"/>
                <w:sz w:val="20"/>
                <w:szCs w:val="20"/>
              </w:rPr>
              <w:t>assets attributable to ordinary shares on the statement of financial position</w:t>
            </w:r>
            <w:r>
              <w:rPr>
                <w:rFonts w:ascii="Georgia" w:hAnsi="Georgia"/>
                <w:color w:val="404040" w:themeColor="text1" w:themeTint="BF"/>
                <w:sz w:val="20"/>
                <w:szCs w:val="20"/>
              </w:rPr>
              <w:t>.</w:t>
            </w:r>
          </w:p>
          <w:p w14:paraId="49D48CAC" w14:textId="5F27104B" w:rsidR="005B2E8B" w:rsidRPr="004D6D7D" w:rsidRDefault="005B2E8B" w:rsidP="005B2E8B">
            <w:pPr>
              <w:pStyle w:val="Title"/>
              <w:spacing w:line="240" w:lineRule="auto"/>
              <w:jc w:val="left"/>
              <w:rPr>
                <w:rFonts w:ascii="Georgia" w:hAnsi="Georgia"/>
                <w:color w:val="404040" w:themeColor="text1" w:themeTint="BF"/>
                <w:sz w:val="20"/>
                <w:szCs w:val="20"/>
              </w:rPr>
            </w:pPr>
          </w:p>
        </w:tc>
      </w:tr>
    </w:tbl>
    <w:p w14:paraId="04684215" w14:textId="757209B3" w:rsidR="00A65A3A" w:rsidRDefault="00A65A3A" w:rsidP="00665381">
      <w:pPr>
        <w:tabs>
          <w:tab w:val="left" w:pos="842"/>
        </w:tabs>
        <w:rPr>
          <w:rFonts w:ascii="Georgia" w:hAnsi="Georgia" w:cs="Calibri"/>
          <w:sz w:val="20"/>
        </w:rPr>
      </w:pPr>
    </w:p>
    <w:p w14:paraId="3C77DA96" w14:textId="77777777" w:rsidR="00A65A3A" w:rsidRPr="00A65A3A" w:rsidRDefault="00A65A3A" w:rsidP="00A65A3A">
      <w:pPr>
        <w:rPr>
          <w:rFonts w:ascii="Georgia" w:hAnsi="Georgia" w:cs="Calibri"/>
          <w:sz w:val="20"/>
        </w:rPr>
      </w:pPr>
    </w:p>
    <w:p w14:paraId="535626D3" w14:textId="77777777" w:rsidR="00A65A3A" w:rsidRPr="00A65A3A" w:rsidRDefault="00A65A3A" w:rsidP="00A65A3A">
      <w:pPr>
        <w:rPr>
          <w:rFonts w:ascii="Georgia" w:hAnsi="Georgia" w:cs="Calibri"/>
          <w:sz w:val="20"/>
        </w:rPr>
      </w:pPr>
    </w:p>
    <w:p w14:paraId="7672E552" w14:textId="77777777" w:rsidR="00A65A3A" w:rsidRPr="00A65A3A" w:rsidRDefault="00A65A3A" w:rsidP="00A65A3A">
      <w:pPr>
        <w:rPr>
          <w:rFonts w:ascii="Georgia" w:hAnsi="Georgia" w:cs="Calibri"/>
          <w:sz w:val="20"/>
        </w:rPr>
      </w:pPr>
    </w:p>
    <w:p w14:paraId="63B5A60D" w14:textId="77777777" w:rsidR="00A65A3A" w:rsidRPr="00A65A3A" w:rsidRDefault="00A65A3A" w:rsidP="00A65A3A">
      <w:pPr>
        <w:rPr>
          <w:rFonts w:ascii="Georgia" w:hAnsi="Georgia" w:cs="Calibri"/>
          <w:sz w:val="20"/>
        </w:rPr>
      </w:pPr>
    </w:p>
    <w:p w14:paraId="643C5259" w14:textId="77777777" w:rsidR="00A65A3A" w:rsidRPr="00A65A3A" w:rsidRDefault="00A65A3A" w:rsidP="00A65A3A">
      <w:pPr>
        <w:rPr>
          <w:rFonts w:ascii="Georgia" w:hAnsi="Georgia" w:cs="Calibri"/>
          <w:sz w:val="20"/>
        </w:rPr>
      </w:pPr>
    </w:p>
    <w:p w14:paraId="44CD6B6B" w14:textId="77777777" w:rsidR="00A65A3A" w:rsidRPr="00A65A3A" w:rsidRDefault="00A65A3A" w:rsidP="00A65A3A">
      <w:pPr>
        <w:rPr>
          <w:rFonts w:ascii="Georgia" w:hAnsi="Georgia" w:cs="Calibri"/>
          <w:sz w:val="20"/>
        </w:rPr>
      </w:pPr>
    </w:p>
    <w:p w14:paraId="400739F6" w14:textId="77777777" w:rsidR="00A65A3A" w:rsidRPr="00A65A3A" w:rsidRDefault="00A65A3A" w:rsidP="00A65A3A">
      <w:pPr>
        <w:rPr>
          <w:rFonts w:ascii="Georgia" w:hAnsi="Georgia" w:cs="Calibri"/>
          <w:sz w:val="20"/>
        </w:rPr>
      </w:pPr>
    </w:p>
    <w:p w14:paraId="00B2AC0C" w14:textId="77777777" w:rsidR="00A65A3A" w:rsidRPr="00A65A3A" w:rsidRDefault="00A65A3A" w:rsidP="00A65A3A">
      <w:pPr>
        <w:rPr>
          <w:rFonts w:ascii="Georgia" w:hAnsi="Georgia" w:cs="Calibri"/>
          <w:sz w:val="20"/>
        </w:rPr>
      </w:pPr>
    </w:p>
    <w:p w14:paraId="61507E3D" w14:textId="77777777" w:rsidR="00A65A3A" w:rsidRPr="00A65A3A" w:rsidRDefault="00A65A3A" w:rsidP="00A65A3A">
      <w:pPr>
        <w:rPr>
          <w:rFonts w:ascii="Georgia" w:hAnsi="Georgia" w:cs="Calibri"/>
          <w:sz w:val="20"/>
        </w:rPr>
      </w:pPr>
    </w:p>
    <w:p w14:paraId="100202A1" w14:textId="77777777" w:rsidR="00A65A3A" w:rsidRPr="00A65A3A" w:rsidRDefault="00A65A3A" w:rsidP="00A65A3A">
      <w:pPr>
        <w:rPr>
          <w:rFonts w:ascii="Georgia" w:hAnsi="Georgia" w:cs="Calibri"/>
          <w:sz w:val="20"/>
        </w:rPr>
      </w:pPr>
    </w:p>
    <w:p w14:paraId="793CF68C" w14:textId="77777777" w:rsidR="00A65A3A" w:rsidRPr="00A65A3A" w:rsidRDefault="00A65A3A" w:rsidP="00A65A3A">
      <w:pPr>
        <w:rPr>
          <w:rFonts w:ascii="Georgia" w:hAnsi="Georgia" w:cs="Calibri"/>
          <w:sz w:val="20"/>
        </w:rPr>
      </w:pPr>
    </w:p>
    <w:p w14:paraId="3CBD3CCD" w14:textId="77777777" w:rsidR="00A65A3A" w:rsidRPr="00A65A3A" w:rsidRDefault="00A65A3A" w:rsidP="00A65A3A">
      <w:pPr>
        <w:rPr>
          <w:rFonts w:ascii="Georgia" w:hAnsi="Georgia" w:cs="Calibri"/>
          <w:sz w:val="20"/>
        </w:rPr>
      </w:pPr>
    </w:p>
    <w:p w14:paraId="1A34235A" w14:textId="77777777" w:rsidR="00A65A3A" w:rsidRPr="00A65A3A" w:rsidRDefault="00A65A3A" w:rsidP="00A65A3A">
      <w:pPr>
        <w:rPr>
          <w:rFonts w:ascii="Georgia" w:hAnsi="Georgia" w:cs="Calibri"/>
          <w:sz w:val="20"/>
        </w:rPr>
      </w:pPr>
    </w:p>
    <w:p w14:paraId="05382C41" w14:textId="77777777" w:rsidR="00A65A3A" w:rsidRPr="00A65A3A" w:rsidRDefault="00A65A3A" w:rsidP="00A65A3A">
      <w:pPr>
        <w:rPr>
          <w:rFonts w:ascii="Georgia" w:hAnsi="Georgia" w:cs="Calibri"/>
          <w:sz w:val="20"/>
        </w:rPr>
      </w:pPr>
    </w:p>
    <w:p w14:paraId="2C9C7CA4" w14:textId="77777777" w:rsidR="00A65A3A" w:rsidRPr="00A65A3A" w:rsidRDefault="00A65A3A" w:rsidP="00A65A3A">
      <w:pPr>
        <w:rPr>
          <w:rFonts w:ascii="Georgia" w:hAnsi="Georgia" w:cs="Calibri"/>
          <w:sz w:val="20"/>
        </w:rPr>
      </w:pPr>
    </w:p>
    <w:p w14:paraId="166145A9" w14:textId="77777777" w:rsidR="00A65A3A" w:rsidRPr="00A65A3A" w:rsidRDefault="00A65A3A" w:rsidP="00A65A3A">
      <w:pPr>
        <w:rPr>
          <w:rFonts w:ascii="Georgia" w:hAnsi="Georgia" w:cs="Calibri"/>
          <w:sz w:val="20"/>
        </w:rPr>
      </w:pPr>
    </w:p>
    <w:p w14:paraId="7C40A003" w14:textId="77777777" w:rsidR="00A65A3A" w:rsidRPr="00A65A3A" w:rsidRDefault="00A65A3A" w:rsidP="00A65A3A">
      <w:pPr>
        <w:rPr>
          <w:rFonts w:ascii="Georgia" w:hAnsi="Georgia" w:cs="Calibri"/>
          <w:sz w:val="20"/>
        </w:rPr>
      </w:pPr>
    </w:p>
    <w:p w14:paraId="14D04011" w14:textId="77777777" w:rsidR="00A65A3A" w:rsidRPr="00A65A3A" w:rsidRDefault="00A65A3A" w:rsidP="00A65A3A">
      <w:pPr>
        <w:rPr>
          <w:rFonts w:ascii="Georgia" w:hAnsi="Georgia" w:cs="Calibri"/>
          <w:sz w:val="20"/>
        </w:rPr>
      </w:pPr>
    </w:p>
    <w:p w14:paraId="08D7A656" w14:textId="77777777" w:rsidR="00A65A3A" w:rsidRPr="00A65A3A" w:rsidRDefault="00A65A3A" w:rsidP="00A65A3A">
      <w:pPr>
        <w:rPr>
          <w:rFonts w:ascii="Georgia" w:hAnsi="Georgia" w:cs="Calibri"/>
          <w:sz w:val="20"/>
        </w:rPr>
      </w:pPr>
    </w:p>
    <w:p w14:paraId="414690A1" w14:textId="77777777" w:rsidR="00A65A3A" w:rsidRPr="00A65A3A" w:rsidRDefault="00A65A3A" w:rsidP="00A65A3A">
      <w:pPr>
        <w:rPr>
          <w:rFonts w:ascii="Georgia" w:hAnsi="Georgia" w:cs="Calibri"/>
          <w:sz w:val="20"/>
        </w:rPr>
      </w:pPr>
    </w:p>
    <w:p w14:paraId="3A1C8F90" w14:textId="77777777" w:rsidR="00A65A3A" w:rsidRPr="00A65A3A" w:rsidRDefault="00A65A3A" w:rsidP="00A65A3A">
      <w:pPr>
        <w:rPr>
          <w:rFonts w:ascii="Georgia" w:hAnsi="Georgia" w:cs="Calibri"/>
          <w:sz w:val="20"/>
        </w:rPr>
      </w:pPr>
    </w:p>
    <w:p w14:paraId="7A18C4A3" w14:textId="77777777" w:rsidR="00A65A3A" w:rsidRPr="00A65A3A" w:rsidRDefault="00A65A3A" w:rsidP="00A65A3A">
      <w:pPr>
        <w:rPr>
          <w:rFonts w:ascii="Georgia" w:hAnsi="Georgia" w:cs="Calibri"/>
          <w:sz w:val="20"/>
        </w:rPr>
      </w:pPr>
    </w:p>
    <w:p w14:paraId="32EAFF34" w14:textId="64B91F53" w:rsidR="00A65A3A" w:rsidRDefault="00A65A3A" w:rsidP="00A65A3A">
      <w:pPr>
        <w:rPr>
          <w:rFonts w:ascii="Georgia" w:hAnsi="Georgia" w:cs="Calibri"/>
          <w:sz w:val="20"/>
        </w:rPr>
      </w:pPr>
    </w:p>
    <w:p w14:paraId="5A05A7F8" w14:textId="77777777" w:rsidR="00A65A3A" w:rsidRPr="00A65A3A" w:rsidRDefault="00A65A3A" w:rsidP="00A65A3A">
      <w:pPr>
        <w:rPr>
          <w:rFonts w:ascii="Georgia" w:hAnsi="Georgia" w:cs="Calibri"/>
          <w:sz w:val="20"/>
        </w:rPr>
      </w:pPr>
    </w:p>
    <w:p w14:paraId="2CF3A485" w14:textId="70A73A2B" w:rsidR="00A65A3A" w:rsidRDefault="00A65A3A" w:rsidP="00A65A3A">
      <w:pPr>
        <w:rPr>
          <w:rFonts w:ascii="Georgia" w:hAnsi="Georgia" w:cs="Calibri"/>
          <w:sz w:val="20"/>
        </w:rPr>
      </w:pPr>
    </w:p>
    <w:p w14:paraId="5A6F7C8E" w14:textId="49C6C074" w:rsidR="00FC0AF0" w:rsidRDefault="00FC0AF0" w:rsidP="00A65A3A">
      <w:pPr>
        <w:rPr>
          <w:rFonts w:ascii="Georgia" w:hAnsi="Georgia" w:cs="Calibri"/>
          <w:sz w:val="20"/>
        </w:rPr>
      </w:pPr>
    </w:p>
    <w:p w14:paraId="68D20B1E" w14:textId="40235233" w:rsidR="00A65A3A" w:rsidRDefault="00A65A3A" w:rsidP="00A65A3A">
      <w:pPr>
        <w:rPr>
          <w:rFonts w:ascii="Georgia" w:hAnsi="Georgia" w:cs="Calibri"/>
          <w:sz w:val="20"/>
        </w:rPr>
      </w:pPr>
    </w:p>
    <w:p w14:paraId="261556FB" w14:textId="0A741B3A" w:rsidR="00A65A3A" w:rsidRDefault="00A65A3A" w:rsidP="00A65A3A">
      <w:pPr>
        <w:rPr>
          <w:rFonts w:ascii="Georgia" w:hAnsi="Georgia" w:cs="Calibri"/>
          <w:sz w:val="20"/>
        </w:rPr>
      </w:pPr>
    </w:p>
    <w:p w14:paraId="289B70C9" w14:textId="5E4A2F43" w:rsidR="00A65A3A" w:rsidRPr="00A65A3A" w:rsidRDefault="00A65A3A" w:rsidP="00A65A3A">
      <w:pPr>
        <w:pStyle w:val="Heading2"/>
        <w:spacing w:before="0"/>
        <w:rPr>
          <w:color w:val="404040" w:themeColor="text1" w:themeTint="BF"/>
          <w:vertAlign w:val="superscript"/>
        </w:rPr>
      </w:pPr>
      <w:r w:rsidRPr="0001661C">
        <w:rPr>
          <w:color w:val="404040" w:themeColor="text1" w:themeTint="BF"/>
        </w:rPr>
        <w:lastRenderedPageBreak/>
        <w:t>Alternative Performance Measures</w:t>
      </w:r>
      <w:r>
        <w:rPr>
          <w:color w:val="404040" w:themeColor="text1" w:themeTint="BF"/>
        </w:rPr>
        <w:t xml:space="preserve"> (continued)</w:t>
      </w:r>
      <w:r w:rsidRPr="0001661C">
        <w:rPr>
          <w:color w:val="404040" w:themeColor="text1" w:themeTint="BF"/>
        </w:rPr>
        <w:t xml:space="preserve"> </w:t>
      </w:r>
      <w:r w:rsidRPr="0001661C">
        <w:rPr>
          <w:i/>
          <w:color w:val="404040" w:themeColor="text1" w:themeTint="BF"/>
          <w:vertAlign w:val="superscript"/>
        </w:rPr>
        <w:t>Unaudited</w:t>
      </w:r>
    </w:p>
    <w:p w14:paraId="63F2935F" w14:textId="66D70F5E" w:rsidR="00A65A3A" w:rsidRDefault="00A65A3A" w:rsidP="00A65A3A">
      <w:pPr>
        <w:rPr>
          <w:rFonts w:ascii="Georgia" w:hAnsi="Georgia" w:cs="Calibri"/>
          <w:sz w:val="20"/>
        </w:rPr>
      </w:pPr>
    </w:p>
    <w:tbl>
      <w:tblPr>
        <w:tblW w:w="9356" w:type="dxa"/>
        <w:tblLayout w:type="fixed"/>
        <w:tblLook w:val="04A0" w:firstRow="1" w:lastRow="0" w:firstColumn="1" w:lastColumn="0" w:noHBand="0" w:noVBand="1"/>
      </w:tblPr>
      <w:tblGrid>
        <w:gridCol w:w="2694"/>
        <w:gridCol w:w="2409"/>
        <w:gridCol w:w="2127"/>
        <w:gridCol w:w="2126"/>
      </w:tblGrid>
      <w:tr w:rsidR="00A65A3A" w:rsidRPr="009625B4" w14:paraId="33E32988" w14:textId="77777777" w:rsidTr="00CC553E">
        <w:trPr>
          <w:trHeight w:val="264"/>
        </w:trPr>
        <w:tc>
          <w:tcPr>
            <w:tcW w:w="2694" w:type="dxa"/>
            <w:tcBorders>
              <w:top w:val="nil"/>
              <w:left w:val="nil"/>
              <w:bottom w:val="nil"/>
              <w:right w:val="nil"/>
            </w:tcBorders>
            <w:shd w:val="clear" w:color="auto" w:fill="auto"/>
            <w:noWrap/>
            <w:vAlign w:val="bottom"/>
            <w:hideMark/>
          </w:tcPr>
          <w:p w14:paraId="78E1971A" w14:textId="77777777" w:rsidR="00A65A3A" w:rsidRPr="003E47FD" w:rsidRDefault="00A65A3A" w:rsidP="00B24322">
            <w:pPr>
              <w:rPr>
                <w:rFonts w:ascii="Georgia" w:hAnsi="Georgia" w:cs="Arial"/>
                <w:b/>
                <w:bCs/>
                <w:color w:val="333333"/>
                <w:sz w:val="20"/>
                <w:szCs w:val="20"/>
              </w:rPr>
            </w:pPr>
            <w:r w:rsidRPr="003E47FD">
              <w:rPr>
                <w:rFonts w:ascii="Georgia" w:hAnsi="Georgia" w:cs="Arial"/>
                <w:b/>
                <w:bCs/>
                <w:color w:val="333333"/>
                <w:sz w:val="20"/>
                <w:szCs w:val="20"/>
              </w:rPr>
              <w:t>Ongoing Charges</w:t>
            </w:r>
          </w:p>
        </w:tc>
        <w:tc>
          <w:tcPr>
            <w:tcW w:w="6662" w:type="dxa"/>
            <w:gridSpan w:val="3"/>
            <w:tcBorders>
              <w:top w:val="nil"/>
              <w:left w:val="nil"/>
              <w:bottom w:val="nil"/>
              <w:right w:val="nil"/>
            </w:tcBorders>
            <w:shd w:val="clear" w:color="auto" w:fill="auto"/>
            <w:noWrap/>
            <w:vAlign w:val="bottom"/>
            <w:hideMark/>
          </w:tcPr>
          <w:p w14:paraId="10013C24" w14:textId="3A10E930" w:rsidR="00A65A3A" w:rsidRPr="003E47FD" w:rsidRDefault="00A65A3A" w:rsidP="00A65A3A">
            <w:pPr>
              <w:rPr>
                <w:rFonts w:ascii="Arial" w:hAnsi="Arial" w:cs="Arial"/>
                <w:sz w:val="20"/>
                <w:szCs w:val="20"/>
              </w:rPr>
            </w:pPr>
            <w:r>
              <w:rPr>
                <w:rFonts w:ascii="Georgia" w:hAnsi="Georgia" w:cs="Arial"/>
                <w:b/>
                <w:bCs/>
                <w:color w:val="333333"/>
                <w:sz w:val="20"/>
                <w:szCs w:val="20"/>
              </w:rPr>
              <w:t>Year to 30 June 2020</w:t>
            </w:r>
          </w:p>
        </w:tc>
      </w:tr>
      <w:tr w:rsidR="00A65A3A" w:rsidRPr="009625B4" w14:paraId="52982F20" w14:textId="77777777" w:rsidTr="00CC553E">
        <w:trPr>
          <w:trHeight w:val="395"/>
        </w:trPr>
        <w:tc>
          <w:tcPr>
            <w:tcW w:w="2694" w:type="dxa"/>
            <w:tcBorders>
              <w:top w:val="nil"/>
              <w:left w:val="nil"/>
              <w:bottom w:val="nil"/>
              <w:right w:val="nil"/>
            </w:tcBorders>
            <w:shd w:val="clear" w:color="auto" w:fill="auto"/>
            <w:noWrap/>
            <w:vAlign w:val="bottom"/>
            <w:hideMark/>
          </w:tcPr>
          <w:p w14:paraId="2CBD1682" w14:textId="77777777" w:rsidR="00A65A3A" w:rsidRPr="003E47FD" w:rsidRDefault="00A65A3A" w:rsidP="00B24322">
            <w:pPr>
              <w:rPr>
                <w:rFonts w:ascii="Georgia" w:hAnsi="Georgia" w:cs="Arial"/>
                <w:color w:val="333333"/>
                <w:sz w:val="20"/>
                <w:szCs w:val="20"/>
              </w:rPr>
            </w:pPr>
          </w:p>
        </w:tc>
        <w:tc>
          <w:tcPr>
            <w:tcW w:w="2409" w:type="dxa"/>
            <w:tcBorders>
              <w:top w:val="nil"/>
              <w:left w:val="nil"/>
              <w:bottom w:val="nil"/>
              <w:right w:val="nil"/>
            </w:tcBorders>
            <w:shd w:val="clear" w:color="auto" w:fill="auto"/>
            <w:noWrap/>
            <w:vAlign w:val="bottom"/>
            <w:hideMark/>
          </w:tcPr>
          <w:p w14:paraId="6D15335E" w14:textId="77777777" w:rsidR="00A65A3A" w:rsidRPr="003E47FD" w:rsidRDefault="00A65A3A" w:rsidP="00B24322">
            <w:pPr>
              <w:jc w:val="right"/>
              <w:rPr>
                <w:rFonts w:ascii="Georgia" w:hAnsi="Georgia" w:cs="Arial"/>
                <w:b/>
                <w:bCs/>
                <w:color w:val="333333"/>
                <w:sz w:val="20"/>
                <w:szCs w:val="20"/>
              </w:rPr>
            </w:pPr>
            <w:r w:rsidRPr="003E47FD">
              <w:rPr>
                <w:rFonts w:ascii="Georgia" w:hAnsi="Georgia" w:cs="Arial"/>
                <w:b/>
                <w:bCs/>
                <w:color w:val="333333"/>
                <w:sz w:val="20"/>
                <w:szCs w:val="20"/>
              </w:rPr>
              <w:t>The Company</w:t>
            </w:r>
          </w:p>
        </w:tc>
        <w:tc>
          <w:tcPr>
            <w:tcW w:w="2127" w:type="dxa"/>
            <w:tcBorders>
              <w:top w:val="nil"/>
              <w:left w:val="nil"/>
              <w:bottom w:val="nil"/>
              <w:right w:val="nil"/>
            </w:tcBorders>
            <w:shd w:val="clear" w:color="auto" w:fill="auto"/>
            <w:noWrap/>
            <w:vAlign w:val="bottom"/>
            <w:hideMark/>
          </w:tcPr>
          <w:p w14:paraId="61609B8D" w14:textId="77777777" w:rsidR="00A65A3A" w:rsidRPr="003E47FD" w:rsidRDefault="00A65A3A" w:rsidP="00B24322">
            <w:pPr>
              <w:jc w:val="right"/>
              <w:rPr>
                <w:rFonts w:ascii="Georgia" w:hAnsi="Georgia" w:cs="Arial"/>
                <w:b/>
                <w:bCs/>
                <w:color w:val="333333"/>
                <w:sz w:val="20"/>
                <w:szCs w:val="20"/>
              </w:rPr>
            </w:pPr>
            <w:r w:rsidRPr="003E47FD">
              <w:rPr>
                <w:rFonts w:ascii="Georgia" w:hAnsi="Georgia" w:cs="Arial"/>
                <w:b/>
                <w:bCs/>
                <w:color w:val="333333"/>
                <w:sz w:val="20"/>
                <w:szCs w:val="20"/>
              </w:rPr>
              <w:t>BSIFIL</w:t>
            </w:r>
          </w:p>
        </w:tc>
        <w:tc>
          <w:tcPr>
            <w:tcW w:w="2126" w:type="dxa"/>
            <w:tcBorders>
              <w:top w:val="nil"/>
              <w:left w:val="nil"/>
              <w:bottom w:val="nil"/>
              <w:right w:val="nil"/>
            </w:tcBorders>
            <w:shd w:val="clear" w:color="auto" w:fill="auto"/>
            <w:vAlign w:val="bottom"/>
            <w:hideMark/>
          </w:tcPr>
          <w:p w14:paraId="523C5A8C" w14:textId="77777777" w:rsidR="00A65A3A" w:rsidRPr="003E47FD" w:rsidRDefault="00A65A3A" w:rsidP="00B24322">
            <w:pPr>
              <w:jc w:val="right"/>
              <w:rPr>
                <w:rFonts w:ascii="Georgia" w:hAnsi="Georgia" w:cs="Arial"/>
                <w:b/>
                <w:bCs/>
                <w:color w:val="333333"/>
                <w:sz w:val="20"/>
                <w:szCs w:val="20"/>
              </w:rPr>
            </w:pPr>
            <w:r w:rsidRPr="003E47FD">
              <w:rPr>
                <w:rFonts w:ascii="Georgia" w:hAnsi="Georgia" w:cs="Arial"/>
                <w:b/>
                <w:bCs/>
                <w:color w:val="333333"/>
                <w:sz w:val="20"/>
                <w:szCs w:val="20"/>
              </w:rPr>
              <w:t>Total</w:t>
            </w:r>
          </w:p>
        </w:tc>
      </w:tr>
      <w:tr w:rsidR="00A65A3A" w:rsidRPr="009625B4" w14:paraId="74BAE92B" w14:textId="77777777" w:rsidTr="00CC553E">
        <w:trPr>
          <w:trHeight w:val="133"/>
        </w:trPr>
        <w:tc>
          <w:tcPr>
            <w:tcW w:w="2694" w:type="dxa"/>
            <w:tcBorders>
              <w:top w:val="nil"/>
              <w:left w:val="nil"/>
              <w:bottom w:val="single" w:sz="4" w:space="0" w:color="auto"/>
              <w:right w:val="nil"/>
            </w:tcBorders>
            <w:shd w:val="clear" w:color="auto" w:fill="auto"/>
            <w:noWrap/>
            <w:vAlign w:val="bottom"/>
            <w:hideMark/>
          </w:tcPr>
          <w:p w14:paraId="3354B5FE" w14:textId="77777777" w:rsidR="00A65A3A" w:rsidRPr="003E47FD" w:rsidRDefault="00A65A3A" w:rsidP="00B24322">
            <w:pPr>
              <w:rPr>
                <w:rFonts w:ascii="Georgia" w:hAnsi="Georgia" w:cs="Arial"/>
                <w:color w:val="333333"/>
                <w:sz w:val="20"/>
                <w:szCs w:val="20"/>
              </w:rPr>
            </w:pPr>
            <w:r w:rsidRPr="003E47FD">
              <w:rPr>
                <w:rFonts w:ascii="Georgia" w:hAnsi="Georgia" w:cs="Arial"/>
                <w:color w:val="333333"/>
                <w:sz w:val="20"/>
                <w:szCs w:val="20"/>
              </w:rPr>
              <w:t> </w:t>
            </w:r>
          </w:p>
        </w:tc>
        <w:tc>
          <w:tcPr>
            <w:tcW w:w="2409" w:type="dxa"/>
            <w:tcBorders>
              <w:top w:val="nil"/>
              <w:left w:val="nil"/>
              <w:bottom w:val="single" w:sz="4" w:space="0" w:color="auto"/>
              <w:right w:val="nil"/>
            </w:tcBorders>
            <w:shd w:val="clear" w:color="auto" w:fill="auto"/>
            <w:noWrap/>
            <w:vAlign w:val="bottom"/>
            <w:hideMark/>
          </w:tcPr>
          <w:p w14:paraId="53D6AEA2" w14:textId="77777777" w:rsidR="00A65A3A" w:rsidRPr="003E47FD" w:rsidRDefault="00A65A3A" w:rsidP="00B24322">
            <w:pPr>
              <w:rPr>
                <w:rFonts w:ascii="Georgia" w:hAnsi="Georgia" w:cs="Arial"/>
                <w:color w:val="333333"/>
                <w:sz w:val="20"/>
                <w:szCs w:val="20"/>
              </w:rPr>
            </w:pPr>
            <w:r w:rsidRPr="003E47FD">
              <w:rPr>
                <w:rFonts w:ascii="Georgia" w:hAnsi="Georgia" w:cs="Arial"/>
                <w:color w:val="333333"/>
                <w:sz w:val="20"/>
                <w:szCs w:val="20"/>
              </w:rPr>
              <w:t> </w:t>
            </w:r>
          </w:p>
        </w:tc>
        <w:tc>
          <w:tcPr>
            <w:tcW w:w="2127" w:type="dxa"/>
            <w:tcBorders>
              <w:top w:val="nil"/>
              <w:left w:val="nil"/>
              <w:bottom w:val="single" w:sz="4" w:space="0" w:color="auto"/>
              <w:right w:val="nil"/>
            </w:tcBorders>
            <w:shd w:val="clear" w:color="auto" w:fill="auto"/>
            <w:noWrap/>
            <w:vAlign w:val="bottom"/>
            <w:hideMark/>
          </w:tcPr>
          <w:p w14:paraId="6DF66320" w14:textId="77777777" w:rsidR="00A65A3A" w:rsidRPr="003E47FD" w:rsidRDefault="00A65A3A" w:rsidP="00B24322">
            <w:pPr>
              <w:rPr>
                <w:rFonts w:ascii="Georgia" w:hAnsi="Georgia" w:cs="Arial"/>
                <w:color w:val="333333"/>
                <w:sz w:val="20"/>
                <w:szCs w:val="20"/>
              </w:rPr>
            </w:pPr>
            <w:r w:rsidRPr="003E47FD">
              <w:rPr>
                <w:rFonts w:ascii="Georgia" w:hAnsi="Georgia" w:cs="Arial"/>
                <w:color w:val="333333"/>
                <w:sz w:val="20"/>
                <w:szCs w:val="20"/>
              </w:rPr>
              <w:t> </w:t>
            </w:r>
          </w:p>
        </w:tc>
        <w:tc>
          <w:tcPr>
            <w:tcW w:w="2126" w:type="dxa"/>
            <w:tcBorders>
              <w:top w:val="nil"/>
              <w:left w:val="nil"/>
              <w:bottom w:val="single" w:sz="4" w:space="0" w:color="auto"/>
              <w:right w:val="nil"/>
            </w:tcBorders>
            <w:shd w:val="clear" w:color="auto" w:fill="auto"/>
            <w:noWrap/>
            <w:vAlign w:val="center"/>
            <w:hideMark/>
          </w:tcPr>
          <w:p w14:paraId="2045C082" w14:textId="77777777" w:rsidR="00A65A3A" w:rsidRPr="003E47FD" w:rsidRDefault="00A65A3A" w:rsidP="00B24322">
            <w:pPr>
              <w:jc w:val="right"/>
              <w:rPr>
                <w:rFonts w:ascii="Georgia" w:hAnsi="Georgia" w:cs="Arial"/>
                <w:b/>
                <w:bCs/>
                <w:color w:val="333333"/>
                <w:sz w:val="20"/>
                <w:szCs w:val="20"/>
              </w:rPr>
            </w:pPr>
            <w:r w:rsidRPr="003E47FD">
              <w:rPr>
                <w:rFonts w:ascii="Georgia" w:hAnsi="Georgia" w:cs="Arial"/>
                <w:b/>
                <w:bCs/>
                <w:color w:val="333333"/>
                <w:sz w:val="20"/>
                <w:szCs w:val="20"/>
              </w:rPr>
              <w:t>£</w:t>
            </w:r>
          </w:p>
        </w:tc>
      </w:tr>
      <w:tr w:rsidR="00ED6D7B" w:rsidRPr="009625B4" w14:paraId="3A11CD36" w14:textId="77777777" w:rsidTr="00CC553E">
        <w:trPr>
          <w:trHeight w:val="264"/>
        </w:trPr>
        <w:tc>
          <w:tcPr>
            <w:tcW w:w="2694" w:type="dxa"/>
            <w:tcBorders>
              <w:top w:val="nil"/>
              <w:left w:val="nil"/>
              <w:bottom w:val="nil"/>
              <w:right w:val="nil"/>
            </w:tcBorders>
            <w:shd w:val="clear" w:color="auto" w:fill="auto"/>
            <w:noWrap/>
            <w:vAlign w:val="bottom"/>
            <w:hideMark/>
          </w:tcPr>
          <w:p w14:paraId="41900A29"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Fees to Investment Adviser</w:t>
            </w:r>
          </w:p>
        </w:tc>
        <w:tc>
          <w:tcPr>
            <w:tcW w:w="2409" w:type="dxa"/>
            <w:tcBorders>
              <w:top w:val="nil"/>
              <w:left w:val="nil"/>
              <w:bottom w:val="nil"/>
              <w:right w:val="nil"/>
            </w:tcBorders>
            <w:shd w:val="clear" w:color="auto" w:fill="auto"/>
            <w:noWrap/>
            <w:vAlign w:val="center"/>
          </w:tcPr>
          <w:p w14:paraId="4DE2A454" w14:textId="4D4F692F" w:rsidR="00ED6D7B" w:rsidRPr="00E3564C" w:rsidRDefault="00ED6D7B" w:rsidP="00ED6D7B">
            <w:pPr>
              <w:jc w:val="right"/>
              <w:rPr>
                <w:rFonts w:ascii="Georgia" w:hAnsi="Georgia" w:cs="Arial"/>
                <w:sz w:val="20"/>
                <w:szCs w:val="20"/>
              </w:rPr>
            </w:pPr>
            <w:r>
              <w:rPr>
                <w:rFonts w:ascii="Georgia" w:hAnsi="Georgia" w:cs="Arial"/>
                <w:sz w:val="20"/>
                <w:szCs w:val="20"/>
              </w:rPr>
              <w:t>320,640</w:t>
            </w:r>
          </w:p>
        </w:tc>
        <w:tc>
          <w:tcPr>
            <w:tcW w:w="2127" w:type="dxa"/>
            <w:tcBorders>
              <w:top w:val="nil"/>
              <w:left w:val="nil"/>
              <w:bottom w:val="nil"/>
              <w:right w:val="nil"/>
            </w:tcBorders>
            <w:shd w:val="clear" w:color="auto" w:fill="auto"/>
            <w:noWrap/>
            <w:vAlign w:val="center"/>
          </w:tcPr>
          <w:p w14:paraId="0AC717C4" w14:textId="336BC51E" w:rsidR="00ED6D7B" w:rsidRPr="00E3564C" w:rsidRDefault="00ED6D7B" w:rsidP="00ED6D7B">
            <w:pPr>
              <w:jc w:val="right"/>
              <w:rPr>
                <w:rFonts w:ascii="Georgia" w:hAnsi="Georgia" w:cs="Arial"/>
                <w:sz w:val="20"/>
                <w:szCs w:val="20"/>
              </w:rPr>
            </w:pPr>
            <w:r>
              <w:rPr>
                <w:rFonts w:ascii="Georgia" w:hAnsi="Georgia" w:cs="Arial"/>
                <w:sz w:val="20"/>
                <w:szCs w:val="20"/>
              </w:rPr>
              <w:t>3,048,232</w:t>
            </w:r>
          </w:p>
        </w:tc>
        <w:tc>
          <w:tcPr>
            <w:tcW w:w="2126" w:type="dxa"/>
            <w:tcBorders>
              <w:top w:val="nil"/>
              <w:left w:val="nil"/>
              <w:bottom w:val="nil"/>
              <w:right w:val="nil"/>
            </w:tcBorders>
            <w:shd w:val="clear" w:color="auto" w:fill="auto"/>
            <w:noWrap/>
            <w:vAlign w:val="center"/>
          </w:tcPr>
          <w:p w14:paraId="12E7673D" w14:textId="7EC2AB1E" w:rsidR="00ED6D7B" w:rsidRPr="00E3564C" w:rsidRDefault="00ED6D7B" w:rsidP="00ED6D7B">
            <w:pPr>
              <w:jc w:val="right"/>
              <w:rPr>
                <w:rFonts w:ascii="Georgia" w:hAnsi="Georgia" w:cs="Arial"/>
                <w:sz w:val="20"/>
                <w:szCs w:val="20"/>
              </w:rPr>
            </w:pPr>
            <w:r>
              <w:rPr>
                <w:rFonts w:ascii="Georgia" w:hAnsi="Georgia" w:cs="Arial"/>
                <w:sz w:val="20"/>
                <w:szCs w:val="20"/>
              </w:rPr>
              <w:t>3,368,872</w:t>
            </w:r>
          </w:p>
        </w:tc>
      </w:tr>
      <w:tr w:rsidR="00ED6D7B" w:rsidRPr="009625B4" w14:paraId="50DFBCD2" w14:textId="77777777" w:rsidTr="00CC553E">
        <w:trPr>
          <w:trHeight w:val="264"/>
        </w:trPr>
        <w:tc>
          <w:tcPr>
            <w:tcW w:w="2694" w:type="dxa"/>
            <w:tcBorders>
              <w:top w:val="nil"/>
              <w:left w:val="nil"/>
              <w:bottom w:val="nil"/>
              <w:right w:val="nil"/>
            </w:tcBorders>
            <w:shd w:val="clear" w:color="auto" w:fill="auto"/>
            <w:noWrap/>
            <w:vAlign w:val="bottom"/>
            <w:hideMark/>
          </w:tcPr>
          <w:p w14:paraId="57FA70D3"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Legal and professional fees</w:t>
            </w:r>
          </w:p>
        </w:tc>
        <w:tc>
          <w:tcPr>
            <w:tcW w:w="2409" w:type="dxa"/>
            <w:tcBorders>
              <w:top w:val="nil"/>
              <w:left w:val="nil"/>
              <w:bottom w:val="nil"/>
              <w:right w:val="nil"/>
            </w:tcBorders>
            <w:shd w:val="clear" w:color="auto" w:fill="auto"/>
            <w:noWrap/>
            <w:vAlign w:val="center"/>
          </w:tcPr>
          <w:p w14:paraId="3DC7312F" w14:textId="0F3A3207" w:rsidR="00ED6D7B" w:rsidRPr="00E3564C" w:rsidRDefault="00ED6D7B" w:rsidP="00ED6D7B">
            <w:pPr>
              <w:jc w:val="right"/>
              <w:rPr>
                <w:rFonts w:ascii="Georgia" w:hAnsi="Georgia" w:cs="Arial"/>
                <w:sz w:val="20"/>
                <w:szCs w:val="20"/>
              </w:rPr>
            </w:pPr>
            <w:r>
              <w:rPr>
                <w:rFonts w:ascii="Georgia" w:hAnsi="Georgia" w:cs="Arial"/>
                <w:sz w:val="20"/>
                <w:szCs w:val="20"/>
              </w:rPr>
              <w:t>125,343</w:t>
            </w:r>
          </w:p>
        </w:tc>
        <w:tc>
          <w:tcPr>
            <w:tcW w:w="2127" w:type="dxa"/>
            <w:tcBorders>
              <w:top w:val="nil"/>
              <w:left w:val="nil"/>
              <w:bottom w:val="nil"/>
              <w:right w:val="nil"/>
            </w:tcBorders>
            <w:shd w:val="clear" w:color="auto" w:fill="auto"/>
            <w:noWrap/>
            <w:vAlign w:val="center"/>
          </w:tcPr>
          <w:p w14:paraId="1DB6AC72" w14:textId="6C27E544" w:rsidR="00ED6D7B" w:rsidRPr="00E3564C" w:rsidRDefault="00ED6D7B" w:rsidP="00ED6D7B">
            <w:pPr>
              <w:jc w:val="right"/>
              <w:rPr>
                <w:rFonts w:ascii="Georgia" w:hAnsi="Georgia" w:cs="Arial"/>
                <w:sz w:val="20"/>
                <w:szCs w:val="20"/>
              </w:rPr>
            </w:pPr>
            <w:r>
              <w:rPr>
                <w:rFonts w:ascii="Georgia" w:hAnsi="Georgia" w:cs="Arial"/>
                <w:sz w:val="20"/>
                <w:szCs w:val="20"/>
              </w:rPr>
              <w:t>38,997</w:t>
            </w:r>
          </w:p>
        </w:tc>
        <w:tc>
          <w:tcPr>
            <w:tcW w:w="2126" w:type="dxa"/>
            <w:tcBorders>
              <w:top w:val="nil"/>
              <w:left w:val="nil"/>
              <w:bottom w:val="nil"/>
              <w:right w:val="nil"/>
            </w:tcBorders>
            <w:shd w:val="clear" w:color="auto" w:fill="auto"/>
            <w:noWrap/>
            <w:vAlign w:val="center"/>
          </w:tcPr>
          <w:p w14:paraId="04025920" w14:textId="5E45F2A4" w:rsidR="00ED6D7B" w:rsidRPr="00E3564C" w:rsidRDefault="00ED6D7B" w:rsidP="00ED6D7B">
            <w:pPr>
              <w:jc w:val="right"/>
              <w:rPr>
                <w:rFonts w:ascii="Georgia" w:hAnsi="Georgia" w:cs="Arial"/>
                <w:sz w:val="20"/>
                <w:szCs w:val="20"/>
              </w:rPr>
            </w:pPr>
            <w:r>
              <w:rPr>
                <w:rFonts w:ascii="Georgia" w:hAnsi="Georgia" w:cs="Arial"/>
                <w:sz w:val="20"/>
                <w:szCs w:val="20"/>
              </w:rPr>
              <w:t>164,340</w:t>
            </w:r>
          </w:p>
        </w:tc>
      </w:tr>
      <w:tr w:rsidR="00ED6D7B" w:rsidRPr="009625B4" w14:paraId="36A91774" w14:textId="77777777" w:rsidTr="00CC553E">
        <w:trPr>
          <w:trHeight w:val="264"/>
        </w:trPr>
        <w:tc>
          <w:tcPr>
            <w:tcW w:w="2694" w:type="dxa"/>
            <w:tcBorders>
              <w:top w:val="nil"/>
              <w:left w:val="nil"/>
              <w:bottom w:val="nil"/>
              <w:right w:val="nil"/>
            </w:tcBorders>
            <w:shd w:val="clear" w:color="auto" w:fill="auto"/>
            <w:noWrap/>
            <w:vAlign w:val="bottom"/>
            <w:hideMark/>
          </w:tcPr>
          <w:p w14:paraId="325BAC37"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Administration fees</w:t>
            </w:r>
          </w:p>
        </w:tc>
        <w:tc>
          <w:tcPr>
            <w:tcW w:w="2409" w:type="dxa"/>
            <w:tcBorders>
              <w:top w:val="nil"/>
              <w:left w:val="nil"/>
              <w:bottom w:val="nil"/>
              <w:right w:val="nil"/>
            </w:tcBorders>
            <w:shd w:val="clear" w:color="auto" w:fill="auto"/>
            <w:noWrap/>
            <w:vAlign w:val="center"/>
          </w:tcPr>
          <w:p w14:paraId="01EA915A" w14:textId="3685ECB1" w:rsidR="00ED6D7B" w:rsidRPr="00E3564C" w:rsidRDefault="00ED6D7B" w:rsidP="00ED6D7B">
            <w:pPr>
              <w:jc w:val="right"/>
              <w:rPr>
                <w:rFonts w:ascii="Georgia" w:hAnsi="Georgia" w:cs="Arial"/>
                <w:sz w:val="20"/>
                <w:szCs w:val="20"/>
              </w:rPr>
            </w:pPr>
            <w:r>
              <w:rPr>
                <w:rFonts w:ascii="Georgia" w:hAnsi="Georgia" w:cs="Arial"/>
                <w:sz w:val="20"/>
                <w:szCs w:val="20"/>
              </w:rPr>
              <w:t>302,445</w:t>
            </w:r>
          </w:p>
        </w:tc>
        <w:tc>
          <w:tcPr>
            <w:tcW w:w="2127" w:type="dxa"/>
            <w:tcBorders>
              <w:top w:val="nil"/>
              <w:left w:val="nil"/>
              <w:bottom w:val="nil"/>
              <w:right w:val="nil"/>
            </w:tcBorders>
            <w:shd w:val="clear" w:color="auto" w:fill="auto"/>
            <w:noWrap/>
            <w:vAlign w:val="center"/>
          </w:tcPr>
          <w:p w14:paraId="1ED6D53B" w14:textId="1979C892" w:rsidR="00ED6D7B" w:rsidRPr="00E3564C" w:rsidRDefault="00ED6D7B" w:rsidP="00ED6D7B">
            <w:pPr>
              <w:jc w:val="right"/>
              <w:rPr>
                <w:rFonts w:ascii="Georgia" w:hAnsi="Georgia" w:cs="Arial"/>
                <w:sz w:val="20"/>
                <w:szCs w:val="20"/>
              </w:rPr>
            </w:pPr>
            <w:r>
              <w:rPr>
                <w:rFonts w:ascii="Georgia" w:hAnsi="Georgia" w:cs="Arial"/>
                <w:sz w:val="20"/>
                <w:szCs w:val="20"/>
              </w:rPr>
              <w:t xml:space="preserve">                          - </w:t>
            </w:r>
          </w:p>
        </w:tc>
        <w:tc>
          <w:tcPr>
            <w:tcW w:w="2126" w:type="dxa"/>
            <w:tcBorders>
              <w:top w:val="nil"/>
              <w:left w:val="nil"/>
              <w:bottom w:val="nil"/>
              <w:right w:val="nil"/>
            </w:tcBorders>
            <w:shd w:val="clear" w:color="auto" w:fill="auto"/>
            <w:noWrap/>
            <w:vAlign w:val="center"/>
          </w:tcPr>
          <w:p w14:paraId="32BF005E" w14:textId="3E1F0288" w:rsidR="00ED6D7B" w:rsidRPr="00E3564C" w:rsidRDefault="00ED6D7B" w:rsidP="00ED6D7B">
            <w:pPr>
              <w:jc w:val="right"/>
              <w:rPr>
                <w:rFonts w:ascii="Georgia" w:hAnsi="Georgia" w:cs="Arial"/>
                <w:sz w:val="20"/>
                <w:szCs w:val="20"/>
              </w:rPr>
            </w:pPr>
            <w:r>
              <w:rPr>
                <w:rFonts w:ascii="Georgia" w:hAnsi="Georgia" w:cs="Arial"/>
                <w:sz w:val="20"/>
                <w:szCs w:val="20"/>
              </w:rPr>
              <w:t>302,445</w:t>
            </w:r>
          </w:p>
        </w:tc>
      </w:tr>
      <w:tr w:rsidR="00ED6D7B" w:rsidRPr="009625B4" w14:paraId="1AC23B73" w14:textId="77777777" w:rsidTr="00CC553E">
        <w:trPr>
          <w:trHeight w:val="264"/>
        </w:trPr>
        <w:tc>
          <w:tcPr>
            <w:tcW w:w="2694" w:type="dxa"/>
            <w:tcBorders>
              <w:top w:val="nil"/>
              <w:left w:val="nil"/>
              <w:bottom w:val="nil"/>
              <w:right w:val="nil"/>
            </w:tcBorders>
            <w:shd w:val="clear" w:color="auto" w:fill="auto"/>
            <w:noWrap/>
            <w:vAlign w:val="bottom"/>
            <w:hideMark/>
          </w:tcPr>
          <w:p w14:paraId="0FF58872"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Directors’ remuneration</w:t>
            </w:r>
          </w:p>
        </w:tc>
        <w:tc>
          <w:tcPr>
            <w:tcW w:w="2409" w:type="dxa"/>
            <w:tcBorders>
              <w:top w:val="nil"/>
              <w:left w:val="nil"/>
              <w:bottom w:val="nil"/>
              <w:right w:val="nil"/>
            </w:tcBorders>
            <w:shd w:val="clear" w:color="auto" w:fill="auto"/>
            <w:noWrap/>
            <w:vAlign w:val="center"/>
          </w:tcPr>
          <w:p w14:paraId="598045F2" w14:textId="11A3B288" w:rsidR="00ED6D7B" w:rsidRPr="00E3564C" w:rsidRDefault="00ED6D7B" w:rsidP="00ED6D7B">
            <w:pPr>
              <w:jc w:val="right"/>
              <w:rPr>
                <w:rFonts w:ascii="Georgia" w:hAnsi="Georgia" w:cs="Arial"/>
                <w:sz w:val="20"/>
                <w:szCs w:val="20"/>
              </w:rPr>
            </w:pPr>
            <w:r>
              <w:rPr>
                <w:rFonts w:ascii="Georgia" w:hAnsi="Georgia" w:cs="Arial"/>
                <w:sz w:val="20"/>
                <w:szCs w:val="20"/>
              </w:rPr>
              <w:t>217,500</w:t>
            </w:r>
          </w:p>
        </w:tc>
        <w:tc>
          <w:tcPr>
            <w:tcW w:w="2127" w:type="dxa"/>
            <w:tcBorders>
              <w:top w:val="nil"/>
              <w:left w:val="nil"/>
              <w:bottom w:val="nil"/>
              <w:right w:val="nil"/>
            </w:tcBorders>
            <w:shd w:val="clear" w:color="auto" w:fill="auto"/>
            <w:noWrap/>
            <w:vAlign w:val="center"/>
          </w:tcPr>
          <w:p w14:paraId="29082829" w14:textId="3DA01B14" w:rsidR="00ED6D7B" w:rsidRPr="00E3564C" w:rsidRDefault="00ED6D7B" w:rsidP="00ED6D7B">
            <w:pPr>
              <w:jc w:val="right"/>
              <w:rPr>
                <w:rFonts w:ascii="Georgia" w:hAnsi="Georgia" w:cs="Arial"/>
                <w:sz w:val="20"/>
                <w:szCs w:val="20"/>
              </w:rPr>
            </w:pPr>
            <w:r>
              <w:rPr>
                <w:rFonts w:ascii="Georgia" w:hAnsi="Georgia" w:cs="Arial"/>
                <w:sz w:val="20"/>
                <w:szCs w:val="20"/>
              </w:rPr>
              <w:t>12,000</w:t>
            </w:r>
          </w:p>
        </w:tc>
        <w:tc>
          <w:tcPr>
            <w:tcW w:w="2126" w:type="dxa"/>
            <w:tcBorders>
              <w:top w:val="nil"/>
              <w:left w:val="nil"/>
              <w:bottom w:val="nil"/>
              <w:right w:val="nil"/>
            </w:tcBorders>
            <w:shd w:val="clear" w:color="auto" w:fill="auto"/>
            <w:noWrap/>
            <w:vAlign w:val="center"/>
          </w:tcPr>
          <w:p w14:paraId="38F97F2B" w14:textId="0EDF9680" w:rsidR="00ED6D7B" w:rsidRPr="00E3564C" w:rsidRDefault="00ED6D7B" w:rsidP="00ED6D7B">
            <w:pPr>
              <w:jc w:val="right"/>
              <w:rPr>
                <w:rFonts w:ascii="Georgia" w:hAnsi="Georgia" w:cs="Arial"/>
                <w:sz w:val="20"/>
                <w:szCs w:val="20"/>
              </w:rPr>
            </w:pPr>
            <w:r>
              <w:rPr>
                <w:rFonts w:ascii="Georgia" w:hAnsi="Georgia" w:cs="Arial"/>
                <w:sz w:val="20"/>
                <w:szCs w:val="20"/>
              </w:rPr>
              <w:t>229,500</w:t>
            </w:r>
          </w:p>
        </w:tc>
      </w:tr>
      <w:tr w:rsidR="00ED6D7B" w:rsidRPr="009625B4" w14:paraId="5BCECB8A" w14:textId="77777777" w:rsidTr="00CC553E">
        <w:trPr>
          <w:trHeight w:val="264"/>
        </w:trPr>
        <w:tc>
          <w:tcPr>
            <w:tcW w:w="2694" w:type="dxa"/>
            <w:tcBorders>
              <w:top w:val="nil"/>
              <w:left w:val="nil"/>
              <w:bottom w:val="nil"/>
              <w:right w:val="nil"/>
            </w:tcBorders>
            <w:shd w:val="clear" w:color="auto" w:fill="auto"/>
            <w:noWrap/>
            <w:vAlign w:val="bottom"/>
            <w:hideMark/>
          </w:tcPr>
          <w:p w14:paraId="286F6AC5"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Audit fees</w:t>
            </w:r>
          </w:p>
        </w:tc>
        <w:tc>
          <w:tcPr>
            <w:tcW w:w="2409" w:type="dxa"/>
            <w:tcBorders>
              <w:top w:val="nil"/>
              <w:left w:val="nil"/>
              <w:bottom w:val="nil"/>
              <w:right w:val="nil"/>
            </w:tcBorders>
            <w:shd w:val="clear" w:color="auto" w:fill="auto"/>
            <w:noWrap/>
            <w:vAlign w:val="center"/>
          </w:tcPr>
          <w:p w14:paraId="555FBFB0" w14:textId="61A5AF90" w:rsidR="00ED6D7B" w:rsidRPr="00E3564C" w:rsidRDefault="00ED6D7B" w:rsidP="00ED6D7B">
            <w:pPr>
              <w:jc w:val="right"/>
              <w:rPr>
                <w:rFonts w:ascii="Georgia" w:hAnsi="Georgia" w:cs="Arial"/>
                <w:sz w:val="20"/>
                <w:szCs w:val="20"/>
              </w:rPr>
            </w:pPr>
            <w:r>
              <w:rPr>
                <w:rFonts w:ascii="Georgia" w:hAnsi="Georgia" w:cs="Arial"/>
                <w:sz w:val="20"/>
                <w:szCs w:val="20"/>
              </w:rPr>
              <w:t>133,744</w:t>
            </w:r>
          </w:p>
        </w:tc>
        <w:tc>
          <w:tcPr>
            <w:tcW w:w="2127" w:type="dxa"/>
            <w:tcBorders>
              <w:top w:val="nil"/>
              <w:left w:val="nil"/>
              <w:bottom w:val="nil"/>
              <w:right w:val="nil"/>
            </w:tcBorders>
            <w:shd w:val="clear" w:color="auto" w:fill="auto"/>
            <w:noWrap/>
            <w:vAlign w:val="center"/>
          </w:tcPr>
          <w:p w14:paraId="55499EA6" w14:textId="03A77CC3" w:rsidR="00ED6D7B" w:rsidRPr="00E3564C" w:rsidRDefault="00ED6D7B" w:rsidP="00ED6D7B">
            <w:pPr>
              <w:jc w:val="right"/>
              <w:rPr>
                <w:rFonts w:ascii="Georgia" w:hAnsi="Georgia" w:cs="Arial"/>
                <w:sz w:val="20"/>
                <w:szCs w:val="20"/>
              </w:rPr>
            </w:pPr>
            <w:r>
              <w:rPr>
                <w:rFonts w:ascii="Georgia" w:hAnsi="Georgia" w:cs="Arial"/>
                <w:sz w:val="20"/>
                <w:szCs w:val="20"/>
              </w:rPr>
              <w:t>23,460</w:t>
            </w:r>
          </w:p>
        </w:tc>
        <w:tc>
          <w:tcPr>
            <w:tcW w:w="2126" w:type="dxa"/>
            <w:tcBorders>
              <w:top w:val="nil"/>
              <w:left w:val="nil"/>
              <w:bottom w:val="nil"/>
              <w:right w:val="nil"/>
            </w:tcBorders>
            <w:shd w:val="clear" w:color="auto" w:fill="auto"/>
            <w:noWrap/>
            <w:vAlign w:val="center"/>
          </w:tcPr>
          <w:p w14:paraId="04582CBC" w14:textId="5B43E24F" w:rsidR="00ED6D7B" w:rsidRPr="00E3564C" w:rsidRDefault="00ED6D7B" w:rsidP="00ED6D7B">
            <w:pPr>
              <w:jc w:val="right"/>
              <w:rPr>
                <w:rFonts w:ascii="Georgia" w:hAnsi="Georgia" w:cs="Arial"/>
                <w:sz w:val="20"/>
                <w:szCs w:val="20"/>
              </w:rPr>
            </w:pPr>
            <w:r>
              <w:rPr>
                <w:rFonts w:ascii="Georgia" w:hAnsi="Georgia" w:cs="Arial"/>
                <w:sz w:val="20"/>
                <w:szCs w:val="20"/>
              </w:rPr>
              <w:t>157,204</w:t>
            </w:r>
          </w:p>
        </w:tc>
      </w:tr>
      <w:tr w:rsidR="00ED6D7B" w:rsidRPr="009625B4" w14:paraId="22C73AFE" w14:textId="77777777" w:rsidTr="00CC553E">
        <w:trPr>
          <w:trHeight w:val="264"/>
        </w:trPr>
        <w:tc>
          <w:tcPr>
            <w:tcW w:w="2694" w:type="dxa"/>
            <w:tcBorders>
              <w:top w:val="nil"/>
              <w:left w:val="nil"/>
              <w:bottom w:val="nil"/>
              <w:right w:val="nil"/>
            </w:tcBorders>
            <w:shd w:val="clear" w:color="auto" w:fill="auto"/>
            <w:noWrap/>
            <w:vAlign w:val="bottom"/>
            <w:hideMark/>
          </w:tcPr>
          <w:p w14:paraId="276355CF"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Other ongoing expenses</w:t>
            </w:r>
          </w:p>
        </w:tc>
        <w:tc>
          <w:tcPr>
            <w:tcW w:w="2409" w:type="dxa"/>
            <w:tcBorders>
              <w:top w:val="nil"/>
              <w:left w:val="nil"/>
              <w:bottom w:val="nil"/>
              <w:right w:val="nil"/>
            </w:tcBorders>
            <w:shd w:val="clear" w:color="auto" w:fill="auto"/>
            <w:noWrap/>
            <w:vAlign w:val="center"/>
          </w:tcPr>
          <w:p w14:paraId="28DFB686" w14:textId="25FA8FC0" w:rsidR="00ED6D7B" w:rsidRPr="00E3564C" w:rsidRDefault="00ED6D7B" w:rsidP="00ED6D7B">
            <w:pPr>
              <w:jc w:val="right"/>
              <w:rPr>
                <w:rFonts w:ascii="Georgia" w:hAnsi="Georgia" w:cs="Arial"/>
                <w:sz w:val="20"/>
                <w:szCs w:val="20"/>
              </w:rPr>
            </w:pPr>
            <w:r>
              <w:rPr>
                <w:rFonts w:ascii="Georgia" w:hAnsi="Georgia" w:cs="Arial"/>
                <w:sz w:val="20"/>
                <w:szCs w:val="20"/>
              </w:rPr>
              <w:t>238,560</w:t>
            </w:r>
          </w:p>
        </w:tc>
        <w:tc>
          <w:tcPr>
            <w:tcW w:w="2127" w:type="dxa"/>
            <w:tcBorders>
              <w:top w:val="nil"/>
              <w:left w:val="nil"/>
              <w:bottom w:val="nil"/>
              <w:right w:val="nil"/>
            </w:tcBorders>
            <w:shd w:val="clear" w:color="auto" w:fill="auto"/>
            <w:noWrap/>
            <w:vAlign w:val="center"/>
          </w:tcPr>
          <w:p w14:paraId="296A01BB" w14:textId="3D4537A1" w:rsidR="00ED6D7B" w:rsidRPr="00E3564C" w:rsidRDefault="00ED6D7B" w:rsidP="00ED6D7B">
            <w:pPr>
              <w:jc w:val="right"/>
              <w:rPr>
                <w:rFonts w:ascii="Georgia" w:hAnsi="Georgia" w:cs="Arial"/>
                <w:sz w:val="20"/>
                <w:szCs w:val="20"/>
              </w:rPr>
            </w:pPr>
            <w:r>
              <w:rPr>
                <w:rFonts w:ascii="Georgia" w:hAnsi="Georgia" w:cs="Arial"/>
                <w:sz w:val="20"/>
                <w:szCs w:val="20"/>
              </w:rPr>
              <w:t>1,816,196</w:t>
            </w:r>
          </w:p>
        </w:tc>
        <w:tc>
          <w:tcPr>
            <w:tcW w:w="2126" w:type="dxa"/>
            <w:tcBorders>
              <w:top w:val="nil"/>
              <w:left w:val="nil"/>
              <w:bottom w:val="nil"/>
              <w:right w:val="nil"/>
            </w:tcBorders>
            <w:shd w:val="clear" w:color="auto" w:fill="auto"/>
            <w:noWrap/>
            <w:vAlign w:val="center"/>
          </w:tcPr>
          <w:p w14:paraId="62D12E9C" w14:textId="0373A9E2" w:rsidR="00ED6D7B" w:rsidRPr="00E3564C" w:rsidRDefault="00ED6D7B" w:rsidP="00ED6D7B">
            <w:pPr>
              <w:jc w:val="right"/>
              <w:rPr>
                <w:rFonts w:ascii="Georgia" w:hAnsi="Georgia" w:cs="Arial"/>
                <w:sz w:val="20"/>
                <w:szCs w:val="20"/>
              </w:rPr>
            </w:pPr>
            <w:r>
              <w:rPr>
                <w:rFonts w:ascii="Georgia" w:hAnsi="Georgia" w:cs="Arial"/>
                <w:sz w:val="20"/>
                <w:szCs w:val="20"/>
              </w:rPr>
              <w:t>2,054,756</w:t>
            </w:r>
          </w:p>
        </w:tc>
      </w:tr>
      <w:tr w:rsidR="00ED6D7B" w:rsidRPr="009625B4" w14:paraId="790C254F" w14:textId="77777777" w:rsidTr="00CC553E">
        <w:trPr>
          <w:trHeight w:val="280"/>
        </w:trPr>
        <w:tc>
          <w:tcPr>
            <w:tcW w:w="2694" w:type="dxa"/>
            <w:tcBorders>
              <w:top w:val="nil"/>
              <w:left w:val="nil"/>
              <w:bottom w:val="nil"/>
              <w:right w:val="nil"/>
            </w:tcBorders>
            <w:shd w:val="clear" w:color="auto" w:fill="auto"/>
            <w:noWrap/>
            <w:vAlign w:val="bottom"/>
            <w:hideMark/>
          </w:tcPr>
          <w:p w14:paraId="502EFA63"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Total expenses</w:t>
            </w:r>
          </w:p>
        </w:tc>
        <w:tc>
          <w:tcPr>
            <w:tcW w:w="2409" w:type="dxa"/>
            <w:tcBorders>
              <w:top w:val="single" w:sz="4" w:space="0" w:color="auto"/>
              <w:left w:val="nil"/>
              <w:bottom w:val="single" w:sz="8" w:space="0" w:color="auto"/>
              <w:right w:val="nil"/>
            </w:tcBorders>
            <w:shd w:val="clear" w:color="auto" w:fill="auto"/>
            <w:noWrap/>
            <w:vAlign w:val="center"/>
          </w:tcPr>
          <w:p w14:paraId="3548992F" w14:textId="3C8649FE" w:rsidR="00ED6D7B" w:rsidRPr="00E3564C" w:rsidRDefault="00ED6D7B" w:rsidP="00ED6D7B">
            <w:pPr>
              <w:jc w:val="right"/>
              <w:rPr>
                <w:rFonts w:ascii="Georgia" w:hAnsi="Georgia" w:cs="Arial"/>
                <w:b/>
                <w:bCs/>
                <w:color w:val="333333"/>
                <w:sz w:val="20"/>
                <w:szCs w:val="20"/>
              </w:rPr>
            </w:pPr>
            <w:r>
              <w:rPr>
                <w:rFonts w:ascii="Georgia" w:hAnsi="Georgia" w:cs="Arial"/>
                <w:b/>
                <w:bCs/>
                <w:color w:val="333333"/>
                <w:sz w:val="20"/>
                <w:szCs w:val="20"/>
              </w:rPr>
              <w:t xml:space="preserve">        1,338,232 </w:t>
            </w:r>
          </w:p>
        </w:tc>
        <w:tc>
          <w:tcPr>
            <w:tcW w:w="2127" w:type="dxa"/>
            <w:tcBorders>
              <w:top w:val="single" w:sz="4" w:space="0" w:color="auto"/>
              <w:left w:val="nil"/>
              <w:bottom w:val="single" w:sz="8" w:space="0" w:color="auto"/>
              <w:right w:val="nil"/>
            </w:tcBorders>
            <w:shd w:val="clear" w:color="auto" w:fill="auto"/>
            <w:noWrap/>
            <w:vAlign w:val="center"/>
          </w:tcPr>
          <w:p w14:paraId="3D296529" w14:textId="2B755F26" w:rsidR="00ED6D7B" w:rsidRPr="00E3564C" w:rsidRDefault="00ED6D7B" w:rsidP="00ED6D7B">
            <w:pPr>
              <w:jc w:val="right"/>
              <w:rPr>
                <w:rFonts w:ascii="Georgia" w:hAnsi="Georgia" w:cs="Arial"/>
                <w:b/>
                <w:bCs/>
                <w:color w:val="333333"/>
                <w:sz w:val="20"/>
                <w:szCs w:val="20"/>
              </w:rPr>
            </w:pPr>
            <w:r>
              <w:rPr>
                <w:rFonts w:ascii="Georgia" w:hAnsi="Georgia" w:cs="Arial"/>
                <w:b/>
                <w:bCs/>
                <w:color w:val="333333"/>
                <w:sz w:val="20"/>
                <w:szCs w:val="20"/>
              </w:rPr>
              <w:t xml:space="preserve">    4,938,885 </w:t>
            </w:r>
          </w:p>
        </w:tc>
        <w:tc>
          <w:tcPr>
            <w:tcW w:w="2126" w:type="dxa"/>
            <w:tcBorders>
              <w:top w:val="single" w:sz="4" w:space="0" w:color="auto"/>
              <w:left w:val="nil"/>
              <w:bottom w:val="single" w:sz="8" w:space="0" w:color="auto"/>
              <w:right w:val="nil"/>
            </w:tcBorders>
            <w:shd w:val="clear" w:color="auto" w:fill="auto"/>
            <w:noWrap/>
            <w:vAlign w:val="center"/>
          </w:tcPr>
          <w:p w14:paraId="781A9B80" w14:textId="56815C20" w:rsidR="00ED6D7B" w:rsidRPr="00E3564C" w:rsidRDefault="00ED6D7B" w:rsidP="00ED6D7B">
            <w:pPr>
              <w:jc w:val="right"/>
              <w:rPr>
                <w:rFonts w:ascii="Georgia" w:hAnsi="Georgia" w:cs="Arial"/>
                <w:b/>
                <w:bCs/>
                <w:color w:val="333333"/>
                <w:sz w:val="20"/>
                <w:szCs w:val="20"/>
              </w:rPr>
            </w:pPr>
            <w:r>
              <w:rPr>
                <w:rFonts w:ascii="Georgia" w:hAnsi="Georgia" w:cs="Arial"/>
                <w:b/>
                <w:bCs/>
                <w:color w:val="333333"/>
                <w:sz w:val="20"/>
                <w:szCs w:val="20"/>
              </w:rPr>
              <w:t xml:space="preserve">         6,277,117 </w:t>
            </w:r>
          </w:p>
        </w:tc>
      </w:tr>
      <w:tr w:rsidR="00A65A3A" w:rsidRPr="009625B4" w14:paraId="104191A1" w14:textId="77777777" w:rsidTr="00CC553E">
        <w:trPr>
          <w:trHeight w:val="141"/>
        </w:trPr>
        <w:tc>
          <w:tcPr>
            <w:tcW w:w="2694" w:type="dxa"/>
            <w:tcBorders>
              <w:top w:val="nil"/>
              <w:left w:val="nil"/>
              <w:bottom w:val="nil"/>
              <w:right w:val="nil"/>
            </w:tcBorders>
            <w:shd w:val="clear" w:color="auto" w:fill="auto"/>
            <w:noWrap/>
            <w:vAlign w:val="bottom"/>
            <w:hideMark/>
          </w:tcPr>
          <w:p w14:paraId="620047E6" w14:textId="77777777" w:rsidR="00A65A3A" w:rsidRPr="00E3564C" w:rsidRDefault="00A65A3A" w:rsidP="00B24322">
            <w:pPr>
              <w:rPr>
                <w:rFonts w:ascii="Calibri" w:hAnsi="Calibri" w:cs="Arial"/>
                <w:sz w:val="20"/>
                <w:szCs w:val="20"/>
              </w:rPr>
            </w:pPr>
          </w:p>
        </w:tc>
        <w:tc>
          <w:tcPr>
            <w:tcW w:w="2409" w:type="dxa"/>
            <w:tcBorders>
              <w:top w:val="nil"/>
              <w:left w:val="nil"/>
              <w:bottom w:val="nil"/>
              <w:right w:val="nil"/>
            </w:tcBorders>
            <w:shd w:val="clear" w:color="auto" w:fill="auto"/>
            <w:noWrap/>
            <w:vAlign w:val="bottom"/>
            <w:hideMark/>
          </w:tcPr>
          <w:p w14:paraId="3FD33AAA" w14:textId="77777777" w:rsidR="00A65A3A" w:rsidRPr="00E3564C" w:rsidRDefault="00A65A3A" w:rsidP="00B24322">
            <w:pPr>
              <w:rPr>
                <w:rFonts w:ascii="Calibri" w:hAnsi="Calibri" w:cs="Arial"/>
                <w:sz w:val="20"/>
                <w:szCs w:val="20"/>
              </w:rPr>
            </w:pPr>
          </w:p>
        </w:tc>
        <w:tc>
          <w:tcPr>
            <w:tcW w:w="2127" w:type="dxa"/>
            <w:tcBorders>
              <w:top w:val="nil"/>
              <w:left w:val="nil"/>
              <w:bottom w:val="nil"/>
              <w:right w:val="nil"/>
            </w:tcBorders>
            <w:shd w:val="clear" w:color="auto" w:fill="auto"/>
            <w:noWrap/>
            <w:vAlign w:val="bottom"/>
            <w:hideMark/>
          </w:tcPr>
          <w:p w14:paraId="257E6C1E" w14:textId="77777777" w:rsidR="00A65A3A" w:rsidRPr="00E3564C" w:rsidRDefault="00A65A3A" w:rsidP="00B24322">
            <w:pPr>
              <w:rPr>
                <w:rFonts w:ascii="Calibri" w:hAnsi="Calibri" w:cs="Arial"/>
                <w:sz w:val="20"/>
                <w:szCs w:val="20"/>
              </w:rPr>
            </w:pPr>
          </w:p>
        </w:tc>
        <w:tc>
          <w:tcPr>
            <w:tcW w:w="2126" w:type="dxa"/>
            <w:tcBorders>
              <w:top w:val="nil"/>
              <w:left w:val="nil"/>
              <w:bottom w:val="nil"/>
              <w:right w:val="nil"/>
            </w:tcBorders>
            <w:shd w:val="clear" w:color="auto" w:fill="auto"/>
            <w:noWrap/>
            <w:vAlign w:val="bottom"/>
            <w:hideMark/>
          </w:tcPr>
          <w:p w14:paraId="7E068500" w14:textId="77777777" w:rsidR="00A65A3A" w:rsidRPr="00E3564C" w:rsidRDefault="00A65A3A" w:rsidP="00B24322">
            <w:pPr>
              <w:rPr>
                <w:rFonts w:ascii="Calibri" w:hAnsi="Calibri" w:cs="Arial"/>
                <w:sz w:val="20"/>
                <w:szCs w:val="20"/>
              </w:rPr>
            </w:pPr>
          </w:p>
        </w:tc>
      </w:tr>
      <w:tr w:rsidR="00ED6D7B" w:rsidRPr="009625B4" w14:paraId="18F6F70C" w14:textId="77777777" w:rsidTr="00CC553E">
        <w:trPr>
          <w:trHeight w:val="264"/>
        </w:trPr>
        <w:tc>
          <w:tcPr>
            <w:tcW w:w="2694" w:type="dxa"/>
            <w:tcBorders>
              <w:top w:val="nil"/>
              <w:left w:val="nil"/>
              <w:bottom w:val="nil"/>
              <w:right w:val="nil"/>
            </w:tcBorders>
            <w:shd w:val="clear" w:color="auto" w:fill="auto"/>
            <w:noWrap/>
            <w:vAlign w:val="bottom"/>
            <w:hideMark/>
          </w:tcPr>
          <w:p w14:paraId="3E7C7E44"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Non-recurring expenses</w:t>
            </w:r>
          </w:p>
        </w:tc>
        <w:tc>
          <w:tcPr>
            <w:tcW w:w="2409" w:type="dxa"/>
            <w:tcBorders>
              <w:top w:val="nil"/>
              <w:left w:val="nil"/>
              <w:bottom w:val="nil"/>
              <w:right w:val="nil"/>
            </w:tcBorders>
            <w:shd w:val="clear" w:color="auto" w:fill="auto"/>
            <w:noWrap/>
            <w:vAlign w:val="center"/>
          </w:tcPr>
          <w:p w14:paraId="4904DA0F" w14:textId="159A1B7C" w:rsidR="00ED6D7B" w:rsidRPr="00E3564C" w:rsidRDefault="00ED6D7B" w:rsidP="00ED6D7B">
            <w:pPr>
              <w:jc w:val="right"/>
              <w:rPr>
                <w:rFonts w:ascii="Georgia" w:hAnsi="Georgia" w:cs="Arial"/>
                <w:sz w:val="20"/>
                <w:szCs w:val="20"/>
              </w:rPr>
            </w:pPr>
            <w:r>
              <w:rPr>
                <w:rFonts w:ascii="Georgia" w:hAnsi="Georgia" w:cs="Arial"/>
                <w:sz w:val="20"/>
                <w:szCs w:val="20"/>
              </w:rPr>
              <w:t>(25,560)</w:t>
            </w:r>
          </w:p>
        </w:tc>
        <w:tc>
          <w:tcPr>
            <w:tcW w:w="2127" w:type="dxa"/>
            <w:tcBorders>
              <w:top w:val="nil"/>
              <w:left w:val="nil"/>
              <w:bottom w:val="nil"/>
              <w:right w:val="nil"/>
            </w:tcBorders>
            <w:shd w:val="clear" w:color="auto" w:fill="auto"/>
            <w:noWrap/>
            <w:vAlign w:val="center"/>
          </w:tcPr>
          <w:p w14:paraId="5A2E45BE" w14:textId="7F4C711C" w:rsidR="00ED6D7B" w:rsidRPr="00E3564C" w:rsidRDefault="00ED6D7B" w:rsidP="00ED6D7B">
            <w:pPr>
              <w:jc w:val="right"/>
              <w:rPr>
                <w:rFonts w:ascii="Georgia" w:hAnsi="Georgia" w:cs="Arial"/>
                <w:sz w:val="20"/>
                <w:szCs w:val="20"/>
              </w:rPr>
            </w:pPr>
            <w:r>
              <w:rPr>
                <w:rFonts w:ascii="Georgia" w:hAnsi="Georgia" w:cs="Arial"/>
                <w:sz w:val="20"/>
                <w:szCs w:val="20"/>
              </w:rPr>
              <w:t>(1,434,366)</w:t>
            </w:r>
          </w:p>
        </w:tc>
        <w:tc>
          <w:tcPr>
            <w:tcW w:w="2126" w:type="dxa"/>
            <w:tcBorders>
              <w:top w:val="nil"/>
              <w:left w:val="nil"/>
              <w:bottom w:val="nil"/>
              <w:right w:val="nil"/>
            </w:tcBorders>
            <w:shd w:val="clear" w:color="auto" w:fill="auto"/>
            <w:noWrap/>
            <w:vAlign w:val="center"/>
          </w:tcPr>
          <w:p w14:paraId="3C367120" w14:textId="2EC23D00" w:rsidR="00ED6D7B" w:rsidRPr="00E3564C" w:rsidRDefault="00ED6D7B" w:rsidP="00ED6D7B">
            <w:pPr>
              <w:jc w:val="right"/>
              <w:rPr>
                <w:rFonts w:ascii="Georgia" w:hAnsi="Georgia" w:cs="Arial"/>
                <w:sz w:val="20"/>
                <w:szCs w:val="20"/>
              </w:rPr>
            </w:pPr>
            <w:r>
              <w:rPr>
                <w:rFonts w:ascii="Georgia" w:hAnsi="Georgia" w:cs="Arial"/>
                <w:sz w:val="20"/>
                <w:szCs w:val="20"/>
              </w:rPr>
              <w:t>(1,459,926)</w:t>
            </w:r>
          </w:p>
        </w:tc>
      </w:tr>
      <w:tr w:rsidR="00A65A3A" w:rsidRPr="009625B4" w14:paraId="415E7102" w14:textId="77777777" w:rsidTr="00CC553E">
        <w:trPr>
          <w:trHeight w:val="183"/>
        </w:trPr>
        <w:tc>
          <w:tcPr>
            <w:tcW w:w="2694" w:type="dxa"/>
            <w:tcBorders>
              <w:top w:val="nil"/>
              <w:left w:val="nil"/>
              <w:bottom w:val="nil"/>
              <w:right w:val="nil"/>
            </w:tcBorders>
            <w:shd w:val="clear" w:color="auto" w:fill="auto"/>
            <w:noWrap/>
            <w:vAlign w:val="bottom"/>
            <w:hideMark/>
          </w:tcPr>
          <w:p w14:paraId="5570342A" w14:textId="77777777" w:rsidR="00A65A3A" w:rsidRPr="00E3564C" w:rsidRDefault="00A65A3A" w:rsidP="00B24322">
            <w:pPr>
              <w:rPr>
                <w:rFonts w:ascii="Calibri" w:hAnsi="Calibri" w:cs="Arial"/>
                <w:sz w:val="20"/>
                <w:szCs w:val="20"/>
              </w:rPr>
            </w:pPr>
          </w:p>
        </w:tc>
        <w:tc>
          <w:tcPr>
            <w:tcW w:w="2409" w:type="dxa"/>
            <w:tcBorders>
              <w:top w:val="nil"/>
              <w:left w:val="nil"/>
              <w:bottom w:val="nil"/>
              <w:right w:val="nil"/>
            </w:tcBorders>
            <w:shd w:val="clear" w:color="auto" w:fill="auto"/>
            <w:noWrap/>
            <w:vAlign w:val="center"/>
            <w:hideMark/>
          </w:tcPr>
          <w:p w14:paraId="4C8E20EC" w14:textId="77777777" w:rsidR="00A65A3A" w:rsidRPr="00E3564C" w:rsidRDefault="00A65A3A" w:rsidP="00B24322">
            <w:pPr>
              <w:jc w:val="right"/>
              <w:rPr>
                <w:rFonts w:ascii="Georgia" w:hAnsi="Georgia" w:cs="Arial"/>
                <w:sz w:val="20"/>
                <w:szCs w:val="20"/>
              </w:rPr>
            </w:pPr>
          </w:p>
        </w:tc>
        <w:tc>
          <w:tcPr>
            <w:tcW w:w="2127" w:type="dxa"/>
            <w:tcBorders>
              <w:top w:val="nil"/>
              <w:left w:val="nil"/>
              <w:bottom w:val="nil"/>
              <w:right w:val="nil"/>
            </w:tcBorders>
            <w:shd w:val="clear" w:color="auto" w:fill="auto"/>
            <w:noWrap/>
            <w:vAlign w:val="center"/>
            <w:hideMark/>
          </w:tcPr>
          <w:p w14:paraId="0391ECA2" w14:textId="77777777" w:rsidR="00A65A3A" w:rsidRPr="00E3564C" w:rsidRDefault="00A65A3A" w:rsidP="00B24322">
            <w:pPr>
              <w:jc w:val="right"/>
              <w:rPr>
                <w:rFonts w:ascii="Georgia" w:hAnsi="Georgia" w:cs="Arial"/>
                <w:sz w:val="20"/>
                <w:szCs w:val="20"/>
              </w:rPr>
            </w:pPr>
          </w:p>
        </w:tc>
        <w:tc>
          <w:tcPr>
            <w:tcW w:w="2126" w:type="dxa"/>
            <w:tcBorders>
              <w:top w:val="nil"/>
              <w:left w:val="nil"/>
              <w:bottom w:val="nil"/>
              <w:right w:val="nil"/>
            </w:tcBorders>
            <w:shd w:val="clear" w:color="auto" w:fill="auto"/>
            <w:noWrap/>
            <w:vAlign w:val="center"/>
            <w:hideMark/>
          </w:tcPr>
          <w:p w14:paraId="102FAFBD" w14:textId="77777777" w:rsidR="00A65A3A" w:rsidRPr="00E3564C" w:rsidRDefault="00A65A3A" w:rsidP="00B24322">
            <w:pPr>
              <w:jc w:val="right"/>
              <w:rPr>
                <w:rFonts w:ascii="Georgia" w:hAnsi="Georgia" w:cs="Arial"/>
                <w:sz w:val="20"/>
                <w:szCs w:val="20"/>
              </w:rPr>
            </w:pPr>
          </w:p>
        </w:tc>
      </w:tr>
      <w:tr w:rsidR="00ED6D7B" w:rsidRPr="009625B4" w14:paraId="130875CA" w14:textId="77777777" w:rsidTr="00CC553E">
        <w:trPr>
          <w:trHeight w:val="280"/>
        </w:trPr>
        <w:tc>
          <w:tcPr>
            <w:tcW w:w="2694" w:type="dxa"/>
            <w:tcBorders>
              <w:top w:val="nil"/>
              <w:left w:val="nil"/>
              <w:bottom w:val="nil"/>
              <w:right w:val="nil"/>
            </w:tcBorders>
            <w:shd w:val="clear" w:color="auto" w:fill="auto"/>
            <w:noWrap/>
            <w:vAlign w:val="bottom"/>
            <w:hideMark/>
          </w:tcPr>
          <w:p w14:paraId="5F221FDC" w14:textId="77777777" w:rsidR="00ED6D7B" w:rsidRPr="00E3564C" w:rsidRDefault="00ED6D7B" w:rsidP="00ED6D7B">
            <w:pPr>
              <w:rPr>
                <w:rFonts w:ascii="Georgia" w:hAnsi="Georgia" w:cs="Arial"/>
                <w:color w:val="333333"/>
                <w:sz w:val="20"/>
                <w:szCs w:val="20"/>
              </w:rPr>
            </w:pPr>
            <w:r w:rsidRPr="00E3564C">
              <w:rPr>
                <w:rFonts w:ascii="Georgia" w:hAnsi="Georgia" w:cs="Arial"/>
                <w:color w:val="333333"/>
                <w:sz w:val="20"/>
                <w:szCs w:val="20"/>
              </w:rPr>
              <w:t>Total ongoing expenses</w:t>
            </w:r>
          </w:p>
        </w:tc>
        <w:tc>
          <w:tcPr>
            <w:tcW w:w="2409" w:type="dxa"/>
            <w:tcBorders>
              <w:top w:val="single" w:sz="4" w:space="0" w:color="auto"/>
              <w:left w:val="nil"/>
              <w:bottom w:val="single" w:sz="8" w:space="0" w:color="auto"/>
              <w:right w:val="nil"/>
            </w:tcBorders>
            <w:shd w:val="clear" w:color="auto" w:fill="auto"/>
            <w:noWrap/>
            <w:vAlign w:val="center"/>
          </w:tcPr>
          <w:p w14:paraId="3B2D155C" w14:textId="692BDA29" w:rsidR="00ED6D7B" w:rsidRPr="00E3564C" w:rsidRDefault="00ED6D7B" w:rsidP="00ED6D7B">
            <w:pPr>
              <w:jc w:val="right"/>
              <w:rPr>
                <w:rFonts w:ascii="Georgia" w:hAnsi="Georgia" w:cs="Arial"/>
                <w:sz w:val="20"/>
                <w:szCs w:val="20"/>
              </w:rPr>
            </w:pPr>
            <w:r>
              <w:rPr>
                <w:rFonts w:ascii="Georgia" w:hAnsi="Georgia" w:cs="Arial"/>
                <w:sz w:val="20"/>
                <w:szCs w:val="20"/>
              </w:rPr>
              <w:t>1,312,672</w:t>
            </w:r>
          </w:p>
        </w:tc>
        <w:tc>
          <w:tcPr>
            <w:tcW w:w="2127" w:type="dxa"/>
            <w:tcBorders>
              <w:top w:val="single" w:sz="4" w:space="0" w:color="auto"/>
              <w:left w:val="nil"/>
              <w:bottom w:val="single" w:sz="8" w:space="0" w:color="auto"/>
              <w:right w:val="nil"/>
            </w:tcBorders>
            <w:shd w:val="clear" w:color="auto" w:fill="auto"/>
            <w:noWrap/>
            <w:vAlign w:val="center"/>
          </w:tcPr>
          <w:p w14:paraId="4B994D7A" w14:textId="622DE864" w:rsidR="00ED6D7B" w:rsidRPr="00E3564C" w:rsidRDefault="00ED6D7B" w:rsidP="00ED6D7B">
            <w:pPr>
              <w:jc w:val="right"/>
              <w:rPr>
                <w:rFonts w:ascii="Georgia" w:hAnsi="Georgia" w:cs="Arial"/>
                <w:sz w:val="20"/>
                <w:szCs w:val="20"/>
              </w:rPr>
            </w:pPr>
            <w:r>
              <w:rPr>
                <w:rFonts w:ascii="Georgia" w:hAnsi="Georgia" w:cs="Arial"/>
                <w:sz w:val="20"/>
                <w:szCs w:val="20"/>
              </w:rPr>
              <w:t>3,504,518</w:t>
            </w:r>
          </w:p>
        </w:tc>
        <w:tc>
          <w:tcPr>
            <w:tcW w:w="2126" w:type="dxa"/>
            <w:tcBorders>
              <w:top w:val="single" w:sz="4" w:space="0" w:color="auto"/>
              <w:left w:val="nil"/>
              <w:bottom w:val="single" w:sz="8" w:space="0" w:color="auto"/>
              <w:right w:val="nil"/>
            </w:tcBorders>
            <w:shd w:val="clear" w:color="auto" w:fill="auto"/>
            <w:noWrap/>
            <w:vAlign w:val="center"/>
          </w:tcPr>
          <w:p w14:paraId="533E201B" w14:textId="29669C5D" w:rsidR="00ED6D7B" w:rsidRPr="00E3564C" w:rsidRDefault="00ED6D7B" w:rsidP="00ED6D7B">
            <w:pPr>
              <w:jc w:val="right"/>
              <w:rPr>
                <w:rFonts w:ascii="Georgia" w:hAnsi="Georgia" w:cs="Arial"/>
                <w:sz w:val="20"/>
                <w:szCs w:val="20"/>
              </w:rPr>
            </w:pPr>
            <w:r>
              <w:rPr>
                <w:rFonts w:ascii="Georgia" w:hAnsi="Georgia" w:cs="Arial"/>
                <w:sz w:val="20"/>
                <w:szCs w:val="20"/>
              </w:rPr>
              <w:t>4,817,190</w:t>
            </w:r>
          </w:p>
        </w:tc>
      </w:tr>
      <w:tr w:rsidR="00A65A3A" w:rsidRPr="009625B4" w14:paraId="2E2A7163" w14:textId="77777777" w:rsidTr="00CC553E">
        <w:trPr>
          <w:trHeight w:val="60"/>
        </w:trPr>
        <w:tc>
          <w:tcPr>
            <w:tcW w:w="2694" w:type="dxa"/>
            <w:tcBorders>
              <w:top w:val="nil"/>
              <w:left w:val="nil"/>
              <w:bottom w:val="nil"/>
              <w:right w:val="nil"/>
            </w:tcBorders>
            <w:shd w:val="clear" w:color="auto" w:fill="auto"/>
            <w:noWrap/>
            <w:vAlign w:val="bottom"/>
            <w:hideMark/>
          </w:tcPr>
          <w:p w14:paraId="469B8972" w14:textId="77777777" w:rsidR="00A65A3A" w:rsidRPr="00E3564C" w:rsidRDefault="00A65A3A" w:rsidP="00B24322">
            <w:pPr>
              <w:rPr>
                <w:rFonts w:ascii="Calibri" w:hAnsi="Calibri" w:cs="Arial"/>
                <w:sz w:val="20"/>
                <w:szCs w:val="20"/>
              </w:rPr>
            </w:pPr>
          </w:p>
        </w:tc>
        <w:tc>
          <w:tcPr>
            <w:tcW w:w="2409" w:type="dxa"/>
            <w:tcBorders>
              <w:top w:val="nil"/>
              <w:left w:val="nil"/>
              <w:bottom w:val="nil"/>
              <w:right w:val="nil"/>
            </w:tcBorders>
            <w:shd w:val="clear" w:color="auto" w:fill="auto"/>
            <w:noWrap/>
            <w:vAlign w:val="bottom"/>
            <w:hideMark/>
          </w:tcPr>
          <w:p w14:paraId="57F4A3B1" w14:textId="77777777" w:rsidR="00A65A3A" w:rsidRPr="00E3564C" w:rsidRDefault="00A65A3A" w:rsidP="00B24322">
            <w:pPr>
              <w:rPr>
                <w:rFonts w:ascii="Calibri" w:hAnsi="Calibri" w:cs="Arial"/>
                <w:sz w:val="20"/>
                <w:szCs w:val="20"/>
              </w:rPr>
            </w:pPr>
          </w:p>
        </w:tc>
        <w:tc>
          <w:tcPr>
            <w:tcW w:w="2127" w:type="dxa"/>
            <w:tcBorders>
              <w:top w:val="nil"/>
              <w:left w:val="nil"/>
              <w:bottom w:val="nil"/>
              <w:right w:val="nil"/>
            </w:tcBorders>
            <w:shd w:val="clear" w:color="auto" w:fill="auto"/>
            <w:noWrap/>
            <w:vAlign w:val="bottom"/>
            <w:hideMark/>
          </w:tcPr>
          <w:p w14:paraId="5F38AFDD" w14:textId="77777777" w:rsidR="00A65A3A" w:rsidRPr="00E3564C" w:rsidRDefault="00A65A3A" w:rsidP="00B24322">
            <w:pPr>
              <w:rPr>
                <w:rFonts w:ascii="Calibri" w:hAnsi="Calibri" w:cs="Arial"/>
                <w:sz w:val="20"/>
                <w:szCs w:val="20"/>
              </w:rPr>
            </w:pPr>
          </w:p>
        </w:tc>
        <w:tc>
          <w:tcPr>
            <w:tcW w:w="2126" w:type="dxa"/>
            <w:tcBorders>
              <w:top w:val="nil"/>
              <w:left w:val="nil"/>
              <w:bottom w:val="nil"/>
              <w:right w:val="nil"/>
            </w:tcBorders>
            <w:shd w:val="clear" w:color="auto" w:fill="auto"/>
            <w:noWrap/>
            <w:vAlign w:val="bottom"/>
            <w:hideMark/>
          </w:tcPr>
          <w:p w14:paraId="1CBFA713" w14:textId="77777777" w:rsidR="00A65A3A" w:rsidRPr="00E3564C" w:rsidRDefault="00A65A3A" w:rsidP="00B24322">
            <w:pPr>
              <w:rPr>
                <w:rFonts w:ascii="Calibri" w:hAnsi="Calibri" w:cs="Arial"/>
                <w:sz w:val="20"/>
                <w:szCs w:val="20"/>
              </w:rPr>
            </w:pPr>
          </w:p>
        </w:tc>
      </w:tr>
      <w:tr w:rsidR="00A65A3A" w:rsidRPr="009625B4" w14:paraId="5ECAA7D2" w14:textId="77777777" w:rsidTr="00CC553E">
        <w:trPr>
          <w:trHeight w:val="264"/>
        </w:trPr>
        <w:tc>
          <w:tcPr>
            <w:tcW w:w="2694" w:type="dxa"/>
            <w:tcBorders>
              <w:top w:val="nil"/>
              <w:left w:val="nil"/>
              <w:bottom w:val="nil"/>
              <w:right w:val="nil"/>
            </w:tcBorders>
            <w:shd w:val="clear" w:color="auto" w:fill="auto"/>
            <w:noWrap/>
            <w:vAlign w:val="bottom"/>
            <w:hideMark/>
          </w:tcPr>
          <w:p w14:paraId="2D4CA248" w14:textId="77777777" w:rsidR="00A65A3A" w:rsidRPr="00E3564C" w:rsidRDefault="00A65A3A" w:rsidP="00B24322">
            <w:pPr>
              <w:rPr>
                <w:rFonts w:ascii="Georgia" w:hAnsi="Georgia" w:cs="Arial"/>
                <w:color w:val="333333"/>
                <w:sz w:val="20"/>
                <w:szCs w:val="20"/>
              </w:rPr>
            </w:pPr>
            <w:r w:rsidRPr="00E3564C">
              <w:rPr>
                <w:rFonts w:ascii="Georgia" w:hAnsi="Georgia" w:cs="Arial"/>
                <w:color w:val="333333"/>
                <w:sz w:val="20"/>
                <w:szCs w:val="20"/>
              </w:rPr>
              <w:t>Average NAV</w:t>
            </w:r>
          </w:p>
        </w:tc>
        <w:tc>
          <w:tcPr>
            <w:tcW w:w="2409" w:type="dxa"/>
            <w:tcBorders>
              <w:top w:val="nil"/>
              <w:left w:val="nil"/>
              <w:bottom w:val="nil"/>
              <w:right w:val="nil"/>
            </w:tcBorders>
            <w:shd w:val="clear" w:color="auto" w:fill="auto"/>
            <w:noWrap/>
            <w:vAlign w:val="bottom"/>
            <w:hideMark/>
          </w:tcPr>
          <w:p w14:paraId="6FFA6A49" w14:textId="77777777" w:rsidR="00A65A3A" w:rsidRPr="00E3564C" w:rsidRDefault="00A65A3A" w:rsidP="00B24322">
            <w:pPr>
              <w:rPr>
                <w:rFonts w:ascii="Georgia" w:hAnsi="Georgia" w:cs="Arial"/>
                <w:color w:val="333333"/>
                <w:sz w:val="20"/>
                <w:szCs w:val="20"/>
              </w:rPr>
            </w:pPr>
          </w:p>
        </w:tc>
        <w:tc>
          <w:tcPr>
            <w:tcW w:w="2127" w:type="dxa"/>
            <w:tcBorders>
              <w:top w:val="nil"/>
              <w:left w:val="nil"/>
              <w:bottom w:val="nil"/>
              <w:right w:val="nil"/>
            </w:tcBorders>
            <w:shd w:val="clear" w:color="auto" w:fill="auto"/>
            <w:noWrap/>
            <w:vAlign w:val="bottom"/>
            <w:hideMark/>
          </w:tcPr>
          <w:p w14:paraId="74CC7352" w14:textId="77777777" w:rsidR="00A65A3A" w:rsidRPr="00E3564C" w:rsidRDefault="00A65A3A" w:rsidP="00B24322">
            <w:pPr>
              <w:rPr>
                <w:rFonts w:ascii="Georgia" w:hAnsi="Georgia" w:cs="Arial"/>
                <w:color w:val="333333"/>
                <w:sz w:val="20"/>
                <w:szCs w:val="20"/>
              </w:rPr>
            </w:pPr>
          </w:p>
        </w:tc>
        <w:tc>
          <w:tcPr>
            <w:tcW w:w="2126" w:type="dxa"/>
            <w:tcBorders>
              <w:top w:val="nil"/>
              <w:left w:val="nil"/>
              <w:bottom w:val="nil"/>
              <w:right w:val="nil"/>
            </w:tcBorders>
            <w:shd w:val="clear" w:color="auto" w:fill="auto"/>
            <w:noWrap/>
            <w:vAlign w:val="center"/>
            <w:hideMark/>
          </w:tcPr>
          <w:p w14:paraId="6270F3EB" w14:textId="183A9453" w:rsidR="00A65A3A" w:rsidRPr="00E3564C" w:rsidRDefault="00ED6D7B" w:rsidP="00ED6D7B">
            <w:pPr>
              <w:jc w:val="right"/>
              <w:rPr>
                <w:rFonts w:ascii="Georgia" w:hAnsi="Georgia" w:cs="Arial"/>
                <w:sz w:val="20"/>
                <w:szCs w:val="20"/>
                <w:lang w:eastAsia="zh-CN"/>
              </w:rPr>
            </w:pPr>
            <w:r>
              <w:rPr>
                <w:rFonts w:ascii="Georgia" w:hAnsi="Georgia" w:cs="Arial"/>
                <w:sz w:val="20"/>
                <w:szCs w:val="20"/>
              </w:rPr>
              <w:t>438,381,263</w:t>
            </w:r>
          </w:p>
        </w:tc>
      </w:tr>
      <w:tr w:rsidR="00A65A3A" w:rsidRPr="009625B4" w14:paraId="185A595D" w14:textId="77777777" w:rsidTr="00CC553E">
        <w:trPr>
          <w:trHeight w:val="69"/>
        </w:trPr>
        <w:tc>
          <w:tcPr>
            <w:tcW w:w="2694" w:type="dxa"/>
            <w:tcBorders>
              <w:top w:val="nil"/>
              <w:left w:val="nil"/>
              <w:bottom w:val="nil"/>
              <w:right w:val="nil"/>
            </w:tcBorders>
            <w:shd w:val="clear" w:color="auto" w:fill="auto"/>
            <w:noWrap/>
            <w:vAlign w:val="bottom"/>
            <w:hideMark/>
          </w:tcPr>
          <w:p w14:paraId="1F951808" w14:textId="77777777" w:rsidR="00A65A3A" w:rsidRPr="00E3564C" w:rsidRDefault="00A65A3A" w:rsidP="00B24322">
            <w:pPr>
              <w:rPr>
                <w:rFonts w:ascii="Georgia" w:hAnsi="Georgia" w:cs="Arial"/>
                <w:color w:val="333333"/>
                <w:sz w:val="20"/>
                <w:szCs w:val="20"/>
              </w:rPr>
            </w:pPr>
          </w:p>
        </w:tc>
        <w:tc>
          <w:tcPr>
            <w:tcW w:w="2409" w:type="dxa"/>
            <w:tcBorders>
              <w:top w:val="nil"/>
              <w:left w:val="nil"/>
              <w:bottom w:val="nil"/>
              <w:right w:val="nil"/>
            </w:tcBorders>
            <w:shd w:val="clear" w:color="auto" w:fill="auto"/>
            <w:noWrap/>
            <w:vAlign w:val="bottom"/>
            <w:hideMark/>
          </w:tcPr>
          <w:p w14:paraId="35C79E3C" w14:textId="77777777" w:rsidR="00A65A3A" w:rsidRPr="00E3564C" w:rsidRDefault="00A65A3A" w:rsidP="00B24322">
            <w:pPr>
              <w:rPr>
                <w:rFonts w:ascii="Georgia" w:hAnsi="Georgia" w:cs="Arial"/>
                <w:color w:val="333333"/>
                <w:sz w:val="20"/>
                <w:szCs w:val="20"/>
              </w:rPr>
            </w:pPr>
          </w:p>
        </w:tc>
        <w:tc>
          <w:tcPr>
            <w:tcW w:w="2127" w:type="dxa"/>
            <w:tcBorders>
              <w:top w:val="nil"/>
              <w:left w:val="nil"/>
              <w:bottom w:val="nil"/>
              <w:right w:val="nil"/>
            </w:tcBorders>
            <w:shd w:val="clear" w:color="auto" w:fill="auto"/>
            <w:noWrap/>
            <w:vAlign w:val="bottom"/>
            <w:hideMark/>
          </w:tcPr>
          <w:p w14:paraId="460E2788" w14:textId="77777777" w:rsidR="00A65A3A" w:rsidRPr="00E3564C" w:rsidRDefault="00A65A3A" w:rsidP="00B24322">
            <w:pPr>
              <w:rPr>
                <w:rFonts w:ascii="Georgia" w:hAnsi="Georgia" w:cs="Arial"/>
                <w:color w:val="333333"/>
                <w:sz w:val="20"/>
                <w:szCs w:val="20"/>
              </w:rPr>
            </w:pPr>
          </w:p>
        </w:tc>
        <w:tc>
          <w:tcPr>
            <w:tcW w:w="2126" w:type="dxa"/>
            <w:tcBorders>
              <w:top w:val="nil"/>
              <w:left w:val="nil"/>
              <w:bottom w:val="nil"/>
              <w:right w:val="nil"/>
            </w:tcBorders>
            <w:shd w:val="clear" w:color="auto" w:fill="auto"/>
            <w:noWrap/>
            <w:vAlign w:val="bottom"/>
            <w:hideMark/>
          </w:tcPr>
          <w:p w14:paraId="280F6E0A" w14:textId="77777777" w:rsidR="00A65A3A" w:rsidRPr="00E3564C" w:rsidRDefault="00A65A3A" w:rsidP="00B24322">
            <w:pPr>
              <w:rPr>
                <w:rFonts w:ascii="Arial" w:hAnsi="Arial" w:cs="Arial"/>
                <w:sz w:val="20"/>
                <w:szCs w:val="20"/>
              </w:rPr>
            </w:pPr>
          </w:p>
        </w:tc>
      </w:tr>
      <w:tr w:rsidR="00A65A3A" w:rsidRPr="009625B4" w14:paraId="6F91C3C3" w14:textId="77777777" w:rsidTr="00CC553E">
        <w:trPr>
          <w:trHeight w:val="374"/>
        </w:trPr>
        <w:tc>
          <w:tcPr>
            <w:tcW w:w="7230" w:type="dxa"/>
            <w:gridSpan w:val="3"/>
            <w:tcBorders>
              <w:top w:val="nil"/>
              <w:left w:val="nil"/>
              <w:bottom w:val="nil"/>
              <w:right w:val="nil"/>
            </w:tcBorders>
            <w:shd w:val="clear" w:color="auto" w:fill="auto"/>
            <w:noWrap/>
            <w:vAlign w:val="bottom"/>
            <w:hideMark/>
          </w:tcPr>
          <w:p w14:paraId="5D22FE8E" w14:textId="77777777" w:rsidR="00A65A3A" w:rsidRPr="00E3564C" w:rsidRDefault="00A65A3A" w:rsidP="00B24322">
            <w:pPr>
              <w:rPr>
                <w:rFonts w:ascii="Georgia" w:hAnsi="Georgia" w:cs="Arial"/>
                <w:color w:val="333333"/>
                <w:sz w:val="20"/>
                <w:szCs w:val="20"/>
              </w:rPr>
            </w:pPr>
            <w:r w:rsidRPr="00E3564C">
              <w:rPr>
                <w:rFonts w:ascii="Georgia" w:hAnsi="Georgia" w:cs="Arial"/>
                <w:color w:val="333333"/>
                <w:sz w:val="20"/>
                <w:szCs w:val="20"/>
              </w:rPr>
              <w:t>Ongoing Charges (using AIC methodology)</w:t>
            </w:r>
          </w:p>
        </w:tc>
        <w:tc>
          <w:tcPr>
            <w:tcW w:w="2126" w:type="dxa"/>
            <w:tcBorders>
              <w:top w:val="nil"/>
              <w:left w:val="nil"/>
              <w:bottom w:val="single" w:sz="8" w:space="0" w:color="auto"/>
              <w:right w:val="nil"/>
            </w:tcBorders>
            <w:shd w:val="clear" w:color="auto" w:fill="auto"/>
            <w:noWrap/>
            <w:vAlign w:val="center"/>
            <w:hideMark/>
          </w:tcPr>
          <w:p w14:paraId="228C6927" w14:textId="1B3A6BBA" w:rsidR="00A65A3A" w:rsidRPr="00E3564C" w:rsidRDefault="00A65A3A" w:rsidP="00B24322">
            <w:pPr>
              <w:jc w:val="right"/>
              <w:rPr>
                <w:rFonts w:ascii="Georgia" w:hAnsi="Georgia" w:cs="Arial"/>
                <w:sz w:val="20"/>
                <w:szCs w:val="20"/>
              </w:rPr>
            </w:pPr>
            <w:r w:rsidRPr="00E3564C">
              <w:rPr>
                <w:rFonts w:ascii="Georgia" w:hAnsi="Georgia" w:cs="Arial"/>
                <w:sz w:val="20"/>
                <w:szCs w:val="20"/>
              </w:rPr>
              <w:t>1.</w:t>
            </w:r>
            <w:r w:rsidR="00ED6D7B">
              <w:rPr>
                <w:rFonts w:ascii="Georgia" w:hAnsi="Georgia" w:cs="Arial"/>
                <w:sz w:val="20"/>
                <w:szCs w:val="20"/>
              </w:rPr>
              <w:t>10</w:t>
            </w:r>
            <w:r w:rsidRPr="00E3564C">
              <w:rPr>
                <w:rFonts w:ascii="Georgia" w:hAnsi="Georgia" w:cs="Arial"/>
                <w:sz w:val="20"/>
                <w:szCs w:val="20"/>
              </w:rPr>
              <w:t>%</w:t>
            </w:r>
          </w:p>
        </w:tc>
      </w:tr>
      <w:tr w:rsidR="00A65A3A" w:rsidRPr="009625B4" w14:paraId="46682693" w14:textId="77777777" w:rsidTr="00CC553E">
        <w:trPr>
          <w:trHeight w:val="60"/>
        </w:trPr>
        <w:tc>
          <w:tcPr>
            <w:tcW w:w="2694" w:type="dxa"/>
            <w:tcBorders>
              <w:top w:val="nil"/>
              <w:left w:val="nil"/>
              <w:bottom w:val="nil"/>
              <w:right w:val="nil"/>
            </w:tcBorders>
            <w:shd w:val="clear" w:color="auto" w:fill="auto"/>
            <w:noWrap/>
            <w:vAlign w:val="bottom"/>
            <w:hideMark/>
          </w:tcPr>
          <w:p w14:paraId="460FF571" w14:textId="77777777" w:rsidR="00A65A3A" w:rsidRPr="00E3564C" w:rsidRDefault="00A65A3A" w:rsidP="00B24322">
            <w:pPr>
              <w:rPr>
                <w:rFonts w:ascii="Arial" w:hAnsi="Arial" w:cs="Arial"/>
                <w:sz w:val="20"/>
                <w:szCs w:val="20"/>
              </w:rPr>
            </w:pPr>
          </w:p>
        </w:tc>
        <w:tc>
          <w:tcPr>
            <w:tcW w:w="2409" w:type="dxa"/>
            <w:tcBorders>
              <w:top w:val="nil"/>
              <w:left w:val="nil"/>
              <w:bottom w:val="nil"/>
              <w:right w:val="nil"/>
            </w:tcBorders>
            <w:shd w:val="clear" w:color="auto" w:fill="auto"/>
            <w:noWrap/>
            <w:vAlign w:val="bottom"/>
            <w:hideMark/>
          </w:tcPr>
          <w:p w14:paraId="6D47D594" w14:textId="77777777" w:rsidR="00A65A3A" w:rsidRPr="00E3564C" w:rsidRDefault="00A65A3A" w:rsidP="00B24322">
            <w:pPr>
              <w:rPr>
                <w:rFonts w:ascii="Arial" w:hAnsi="Arial" w:cs="Arial"/>
                <w:sz w:val="20"/>
                <w:szCs w:val="20"/>
              </w:rPr>
            </w:pPr>
          </w:p>
        </w:tc>
        <w:tc>
          <w:tcPr>
            <w:tcW w:w="2127" w:type="dxa"/>
            <w:tcBorders>
              <w:top w:val="nil"/>
              <w:left w:val="nil"/>
              <w:bottom w:val="nil"/>
              <w:right w:val="nil"/>
            </w:tcBorders>
            <w:shd w:val="clear" w:color="auto" w:fill="auto"/>
            <w:noWrap/>
            <w:vAlign w:val="bottom"/>
            <w:hideMark/>
          </w:tcPr>
          <w:p w14:paraId="77D96D52" w14:textId="77777777" w:rsidR="00A65A3A" w:rsidRPr="00E3564C" w:rsidRDefault="00A65A3A" w:rsidP="00B24322">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14:paraId="6B43EBFB" w14:textId="77777777" w:rsidR="00A65A3A" w:rsidRPr="00E3564C" w:rsidRDefault="00A65A3A" w:rsidP="00B24322">
            <w:pPr>
              <w:rPr>
                <w:rFonts w:ascii="Arial" w:hAnsi="Arial" w:cs="Arial"/>
                <w:sz w:val="20"/>
                <w:szCs w:val="20"/>
              </w:rPr>
            </w:pPr>
          </w:p>
        </w:tc>
      </w:tr>
    </w:tbl>
    <w:p w14:paraId="63756B61" w14:textId="77777777" w:rsidR="00A65A3A" w:rsidRPr="00A65A3A" w:rsidRDefault="00A65A3A" w:rsidP="00A65A3A">
      <w:pPr>
        <w:rPr>
          <w:rFonts w:ascii="Georgia" w:hAnsi="Georgia" w:cs="Calibri"/>
          <w:sz w:val="20"/>
        </w:rPr>
      </w:pPr>
    </w:p>
    <w:sectPr w:rsidR="00A65A3A" w:rsidRPr="00A65A3A" w:rsidSect="00C45C8C">
      <w:headerReference w:type="default" r:id="rId50"/>
      <w:headerReference w:type="first" r:id="rId51"/>
      <w:pgSz w:w="12240" w:h="15840" w:code="1"/>
      <w:pgMar w:top="1276" w:right="1440" w:bottom="567" w:left="1440" w:header="720" w:footer="187"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0C1E" w16cex:dateUtc="2020-08-27T09:40:00Z"/>
  <w16cex:commentExtensible w16cex:durableId="22F8E05F" w16cex:dateUtc="2020-09-01T13:59:00Z"/>
  <w16cex:commentExtensible w16cex:durableId="22F8E364" w16cex:dateUtc="2020-09-01T14:12:00Z"/>
  <w16cex:commentExtensible w16cex:durableId="22EF94C0" w16cex:dateUtc="2020-08-25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6D230D" w16cid:durableId="22F20C1E"/>
  <w16cid:commentId w16cid:paraId="32EC8016" w16cid:durableId="22F8E05F"/>
  <w16cid:commentId w16cid:paraId="6545D4FA" w16cid:durableId="22F8E364"/>
  <w16cid:commentId w16cid:paraId="0086897B" w16cid:durableId="22EF94C0"/>
  <w16cid:commentId w16cid:paraId="0F759930" w16cid:durableId="22FCDC9F"/>
  <w16cid:commentId w16cid:paraId="6F64792A" w16cid:durableId="22FCDCA0"/>
  <w16cid:commentId w16cid:paraId="05FEB34A" w16cid:durableId="22FCDCA1"/>
  <w16cid:commentId w16cid:paraId="79F71342" w16cid:durableId="22FCDCA2"/>
  <w16cid:commentId w16cid:paraId="05BBD5AB" w16cid:durableId="22FCDCA3"/>
  <w16cid:commentId w16cid:paraId="4232264E" w16cid:durableId="22FCDCA4"/>
  <w16cid:commentId w16cid:paraId="29E533B1" w16cid:durableId="22FCDCA5"/>
  <w16cid:commentId w16cid:paraId="4C967FD7" w16cid:durableId="22FCDCA6"/>
  <w16cid:commentId w16cid:paraId="1CF91FFB" w16cid:durableId="22FCDCA7"/>
  <w16cid:commentId w16cid:paraId="192380AF" w16cid:durableId="22FCDC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27AB3" w14:textId="77777777" w:rsidR="00300CE3" w:rsidRDefault="00300CE3">
      <w:r>
        <w:separator/>
      </w:r>
    </w:p>
  </w:endnote>
  <w:endnote w:type="continuationSeparator" w:id="0">
    <w:p w14:paraId="2BE8E000" w14:textId="77777777" w:rsidR="00300CE3" w:rsidRDefault="00300CE3">
      <w:r>
        <w:continuationSeparator/>
      </w:r>
    </w:p>
  </w:endnote>
  <w:endnote w:type="continuationNotice" w:id="1">
    <w:p w14:paraId="5B322236" w14:textId="77777777" w:rsidR="00300CE3" w:rsidRDefault="00300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entury Gothic">
    <w:altName w:val="Calibri"/>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KPMG Extralight">
    <w:altName w:val="Arial"/>
    <w:charset w:val="00"/>
    <w:family w:val="swiss"/>
    <w:pitch w:val="variable"/>
    <w:sig w:usb0="00000007" w:usb1="00000000" w:usb2="00000000" w:usb3="00000000" w:csb0="00000093" w:csb1="00000000"/>
  </w:font>
  <w:font w:name="Tw Cen MT">
    <w:panose1 w:val="020B0602020104020603"/>
    <w:charset w:val="00"/>
    <w:family w:val="swiss"/>
    <w:pitch w:val="variable"/>
    <w:sig w:usb0="00000007" w:usb1="00000000" w:usb2="00000000" w:usb3="00000000" w:csb0="00000003" w:csb1="00000000"/>
  </w:font>
  <w:font w:name="Univers 45 Light">
    <w:altName w:val="Calibri"/>
    <w:charset w:val="00"/>
    <w:family w:val="auto"/>
    <w:pitch w:val="variable"/>
    <w:sig w:usb0="80000023" w:usb1="00000000" w:usb2="00000000" w:usb3="00000000" w:csb0="00000001" w:csb1="00000000"/>
  </w:font>
  <w:font w:name="Bembo">
    <w:charset w:val="00"/>
    <w:family w:val="roman"/>
    <w:pitch w:val="variable"/>
    <w:sig w:usb0="80000003" w:usb1="00000000" w:usb2="00000000" w:usb3="00000000" w:csb0="00000001" w:csb1="00000000"/>
  </w:font>
  <w:font w:name="Bembo-Italic">
    <w:charset w:val="00"/>
    <w:family w:val="roman"/>
    <w:pitch w:val="default"/>
    <w:sig w:usb0="00000003" w:usb1="00000000" w:usb2="00000000" w:usb3="00000000" w:csb0="00000001" w:csb1="00000000"/>
  </w:font>
  <w:font w:name="ArialMT-Light">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F3AC0" w14:textId="77777777" w:rsidR="00300CE3" w:rsidRDefault="00300CE3" w:rsidP="004131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7D9E55" w14:textId="77777777" w:rsidR="00300CE3" w:rsidRDefault="00300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537791"/>
      <w:docPartObj>
        <w:docPartGallery w:val="Page Numbers (Bottom of Page)"/>
        <w:docPartUnique/>
      </w:docPartObj>
    </w:sdtPr>
    <w:sdtEndPr>
      <w:rPr>
        <w:rFonts w:ascii="Georgia" w:hAnsi="Georgia"/>
        <w:noProof/>
        <w:sz w:val="20"/>
        <w:szCs w:val="20"/>
      </w:rPr>
    </w:sdtEndPr>
    <w:sdtContent>
      <w:p w14:paraId="709A2988" w14:textId="19639DD3" w:rsidR="00300CE3" w:rsidRPr="006B3299" w:rsidRDefault="00300CE3">
        <w:pPr>
          <w:pStyle w:val="Footer"/>
          <w:jc w:val="center"/>
          <w:rPr>
            <w:rFonts w:ascii="Georgia" w:hAnsi="Georgia"/>
            <w:sz w:val="20"/>
            <w:szCs w:val="20"/>
          </w:rPr>
        </w:pPr>
        <w:r>
          <w:fldChar w:fldCharType="begin"/>
        </w:r>
        <w:r>
          <w:instrText xml:space="preserve"> PAGE   \* MERGEFORMAT </w:instrText>
        </w:r>
        <w:r>
          <w:fldChar w:fldCharType="separate"/>
        </w:r>
        <w:r w:rsidR="00210427" w:rsidRPr="00210427">
          <w:rPr>
            <w:rFonts w:ascii="Georgia" w:hAnsi="Georgia"/>
            <w:noProof/>
            <w:sz w:val="20"/>
            <w:szCs w:val="20"/>
          </w:rPr>
          <w:t>99</w:t>
        </w:r>
        <w:r>
          <w:rPr>
            <w:rFonts w:ascii="Georgia" w:hAnsi="Georgia"/>
            <w:noProof/>
            <w:sz w:val="20"/>
            <w:szCs w:val="20"/>
          </w:rPr>
          <w:fldChar w:fldCharType="end"/>
        </w:r>
      </w:p>
    </w:sdtContent>
  </w:sdt>
  <w:p w14:paraId="65382770" w14:textId="77777777" w:rsidR="00300CE3" w:rsidRDefault="00300CE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F6B6" w14:textId="77777777" w:rsidR="00300CE3" w:rsidRPr="008E3449" w:rsidRDefault="00300CE3">
    <w:pPr>
      <w:pStyle w:val="Footer"/>
      <w:jc w:val="center"/>
      <w:rPr>
        <w:sz w:val="20"/>
      </w:rPr>
    </w:pPr>
  </w:p>
  <w:p w14:paraId="5C48922F" w14:textId="77777777" w:rsidR="00300CE3" w:rsidRDefault="00300CE3" w:rsidP="00A8709E">
    <w:pPr>
      <w:ind w:left="108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C01B7" w14:textId="77777777" w:rsidR="00300CE3" w:rsidRPr="008E3449" w:rsidRDefault="00300CE3">
    <w:pPr>
      <w:pStyle w:val="Footer"/>
      <w:jc w:val="center"/>
      <w:rPr>
        <w:sz w:val="20"/>
      </w:rPr>
    </w:pPr>
  </w:p>
  <w:p w14:paraId="0D6AB023" w14:textId="77777777" w:rsidR="00300CE3" w:rsidRDefault="00300CE3" w:rsidP="00A8709E">
    <w:pPr>
      <w:ind w:left="108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333099"/>
      <w:docPartObj>
        <w:docPartGallery w:val="Page Numbers (Bottom of Page)"/>
        <w:docPartUnique/>
      </w:docPartObj>
    </w:sdtPr>
    <w:sdtEndPr>
      <w:rPr>
        <w:rFonts w:ascii="Georgia" w:hAnsi="Georgia"/>
        <w:noProof/>
        <w:sz w:val="20"/>
        <w:szCs w:val="20"/>
      </w:rPr>
    </w:sdtEndPr>
    <w:sdtContent>
      <w:p w14:paraId="36590D90" w14:textId="2ADB144F" w:rsidR="00300CE3" w:rsidRPr="00731877" w:rsidRDefault="00300CE3">
        <w:pPr>
          <w:pStyle w:val="Footer"/>
          <w:jc w:val="center"/>
          <w:rPr>
            <w:rFonts w:ascii="Georgia" w:hAnsi="Georgia"/>
            <w:sz w:val="20"/>
            <w:szCs w:val="20"/>
          </w:rPr>
        </w:pPr>
        <w:r>
          <w:fldChar w:fldCharType="begin"/>
        </w:r>
        <w:r>
          <w:instrText xml:space="preserve"> PAGE   \* MERGEFORMAT </w:instrText>
        </w:r>
        <w:r>
          <w:fldChar w:fldCharType="separate"/>
        </w:r>
        <w:r w:rsidR="00210427" w:rsidRPr="00210427">
          <w:rPr>
            <w:rFonts w:ascii="Georgia" w:hAnsi="Georgia"/>
            <w:noProof/>
            <w:sz w:val="20"/>
            <w:szCs w:val="20"/>
          </w:rPr>
          <w:t>134</w:t>
        </w:r>
        <w:r>
          <w:rPr>
            <w:rFonts w:ascii="Georgia" w:hAnsi="Georgia"/>
            <w:noProof/>
            <w:sz w:val="20"/>
            <w:szCs w:val="20"/>
          </w:rPr>
          <w:fldChar w:fldCharType="end"/>
        </w:r>
      </w:p>
    </w:sdtContent>
  </w:sdt>
  <w:p w14:paraId="116A0EE1" w14:textId="77777777" w:rsidR="00300CE3" w:rsidRDefault="00300CE3" w:rsidP="00A8709E">
    <w:pP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6AA6C" w14:textId="77777777" w:rsidR="00300CE3" w:rsidRDefault="00300CE3">
      <w:r>
        <w:separator/>
      </w:r>
    </w:p>
  </w:footnote>
  <w:footnote w:type="continuationSeparator" w:id="0">
    <w:p w14:paraId="1FADFED8" w14:textId="77777777" w:rsidR="00300CE3" w:rsidRDefault="00300CE3">
      <w:r>
        <w:continuationSeparator/>
      </w:r>
    </w:p>
  </w:footnote>
  <w:footnote w:type="continuationNotice" w:id="1">
    <w:p w14:paraId="01A30BCE" w14:textId="77777777" w:rsidR="00300CE3" w:rsidRDefault="00300C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84AC" w14:textId="77777777" w:rsidR="00300CE3" w:rsidRDefault="00300CE3" w:rsidP="00E85EF6">
    <w:pPr>
      <w:pStyle w:val="Header"/>
      <w:tabs>
        <w:tab w:val="clear" w:pos="4320"/>
        <w:tab w:val="clear" w:pos="8640"/>
        <w:tab w:val="left" w:pos="600"/>
      </w:tabs>
    </w:pPr>
  </w:p>
  <w:p w14:paraId="185A8B09" w14:textId="77777777" w:rsidR="00300CE3" w:rsidRDefault="00300CE3" w:rsidP="00E85EF6">
    <w:pPr>
      <w:pStyle w:val="Header"/>
      <w:tabs>
        <w:tab w:val="clear" w:pos="4320"/>
        <w:tab w:val="clear" w:pos="8640"/>
        <w:tab w:val="left" w:pos="60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8F72" w14:textId="21DB4CD3" w:rsidR="00300CE3" w:rsidRPr="004629C1" w:rsidRDefault="00300CE3" w:rsidP="00D728FB">
    <w:pPr>
      <w:pStyle w:val="Heading2"/>
      <w:rPr>
        <w:color w:val="auto"/>
      </w:rPr>
    </w:pPr>
    <w:r w:rsidRPr="004629C1">
      <w:rPr>
        <w:color w:val="auto"/>
      </w:rPr>
      <w:t xml:space="preserve">Notes </w:t>
    </w:r>
    <w:r>
      <w:rPr>
        <w:color w:val="auto"/>
      </w:rPr>
      <w:t>to the Financial Statements for the year ended 30 June 2020 (continued)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9F517" w14:textId="2491C9E5" w:rsidR="00300CE3" w:rsidRPr="004629C1" w:rsidRDefault="00300CE3" w:rsidP="00FC0AF0">
    <w:pPr>
      <w:pStyle w:val="Heading2"/>
      <w:rPr>
        <w:color w:val="auto"/>
      </w:rPr>
    </w:pPr>
    <w:r w:rsidRPr="004629C1">
      <w:rPr>
        <w:color w:val="auto"/>
      </w:rPr>
      <w:t xml:space="preserve">Notes </w:t>
    </w:r>
    <w:r>
      <w:rPr>
        <w:color w:val="auto"/>
      </w:rPr>
      <w:t xml:space="preserve">to the Financial Statements for the year ended 30 June 2020 </w:t>
    </w:r>
  </w:p>
  <w:p w14:paraId="5E2E4E67" w14:textId="77777777" w:rsidR="00300CE3" w:rsidRDefault="00300C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27574" w14:textId="77777777" w:rsidR="00300CE3" w:rsidRPr="00521AEF" w:rsidRDefault="00300CE3" w:rsidP="00C45C8C">
    <w:pPr>
      <w:pBdr>
        <w:bottom w:val="single" w:sz="4" w:space="1" w:color="auto"/>
      </w:pBdr>
      <w:jc w:val="both"/>
    </w:pPr>
    <w:r w:rsidRPr="00C45C8C">
      <w:rPr>
        <w:rFonts w:ascii="Georgia" w:hAnsi="Georgia"/>
        <w:sz w:val="32"/>
      </w:rPr>
      <w:t>Glossary of Defined Terms (continued)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2B8FE" w14:textId="77777777" w:rsidR="00300CE3" w:rsidRPr="00C45C8C" w:rsidRDefault="00300CE3" w:rsidP="00C45C8C">
    <w:pPr>
      <w:pStyle w:val="Heading1"/>
      <w:pBdr>
        <w:bottom w:val="single" w:sz="4" w:space="1" w:color="auto"/>
      </w:pBdr>
      <w:spacing w:before="0" w:after="0"/>
      <w:jc w:val="both"/>
      <w:rPr>
        <w:rFonts w:ascii="Georgia" w:hAnsi="Georgia"/>
        <w:b w:val="0"/>
        <w:kern w:val="0"/>
        <w:sz w:val="32"/>
      </w:rPr>
    </w:pPr>
    <w:r w:rsidRPr="00C45C8C">
      <w:rPr>
        <w:rFonts w:ascii="Georgia" w:hAnsi="Georgia"/>
        <w:b w:val="0"/>
        <w:kern w:val="0"/>
        <w:sz w:val="32"/>
      </w:rPr>
      <w:t>Glossary of Defined Terms</w:t>
    </w:r>
  </w:p>
  <w:p w14:paraId="7CFFC5EE" w14:textId="77777777" w:rsidR="00300CE3" w:rsidRPr="00764FAB" w:rsidRDefault="00300CE3" w:rsidP="002B5802">
    <w:pPr>
      <w:pStyle w:val="Heading5"/>
      <w:ind w:right="0"/>
      <w:jc w:val="left"/>
      <w:rPr>
        <w:rFonts w:ascii="Calibri" w:hAnsi="Calibri" w:cs="Calibri"/>
        <w:iCs/>
        <w:smallCaps/>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1B8C7" w14:textId="622512EE" w:rsidR="00300CE3" w:rsidRPr="00665381" w:rsidRDefault="00300CE3" w:rsidP="006653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B820B" w14:textId="77777777" w:rsidR="00300CE3" w:rsidRPr="00764FAB" w:rsidRDefault="00300CE3" w:rsidP="002B5802">
    <w:pPr>
      <w:pStyle w:val="Heading5"/>
      <w:ind w:right="0"/>
      <w:jc w:val="left"/>
      <w:rPr>
        <w:rFonts w:ascii="Calibri" w:hAnsi="Calibri" w:cs="Calibri"/>
        <w:iCs/>
        <w:smallCap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1A34"/>
    <w:multiLevelType w:val="hybridMultilevel"/>
    <w:tmpl w:val="0A2E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D5DE5"/>
    <w:multiLevelType w:val="singleLevel"/>
    <w:tmpl w:val="0E149672"/>
    <w:lvl w:ilvl="0">
      <w:start w:val="1"/>
      <w:numFmt w:val="bullet"/>
      <w:lvlText w:val="—"/>
      <w:lvlJc w:val="left"/>
      <w:pPr>
        <w:tabs>
          <w:tab w:val="num" w:pos="766"/>
        </w:tabs>
        <w:ind w:left="766" w:hanging="340"/>
      </w:pPr>
      <w:rPr>
        <w:rFonts w:ascii="Arial" w:hAnsi="Arial" w:cs="Arial" w:hint="default"/>
        <w:color w:val="auto"/>
        <w:sz w:val="24"/>
      </w:rPr>
    </w:lvl>
  </w:abstractNum>
  <w:abstractNum w:abstractNumId="2" w15:restartNumberingAfterBreak="0">
    <w:nsid w:val="094D702E"/>
    <w:multiLevelType w:val="hybridMultilevel"/>
    <w:tmpl w:val="C2966B16"/>
    <w:lvl w:ilvl="0" w:tplc="FFE46084">
      <w:start w:val="1"/>
      <w:numFmt w:val="bullet"/>
      <w:lvlText w:val=""/>
      <w:lvlJc w:val="left"/>
      <w:pPr>
        <w:ind w:left="720" w:hanging="360"/>
      </w:pPr>
      <w:rPr>
        <w:rFonts w:ascii="Symbol" w:hAnsi="Symbol" w:hint="default"/>
        <w:color w:val="404040" w:themeColor="text1" w:themeTint="BF"/>
      </w:rPr>
    </w:lvl>
    <w:lvl w:ilvl="1" w:tplc="EC6809EE">
      <w:numFmt w:val="bullet"/>
      <w:lvlText w:val="•"/>
      <w:lvlJc w:val="left"/>
      <w:pPr>
        <w:ind w:left="1440" w:hanging="360"/>
      </w:pPr>
      <w:rPr>
        <w:rFonts w:ascii="Georgia" w:eastAsia="Times New Roman" w:hAnsi="Georgia" w:cs="Calibri" w:hint="default"/>
      </w:rPr>
    </w:lvl>
    <w:lvl w:ilvl="2" w:tplc="484E402A">
      <w:numFmt w:val="bullet"/>
      <w:lvlText w:val="-"/>
      <w:lvlJc w:val="left"/>
      <w:pPr>
        <w:ind w:left="2160" w:hanging="360"/>
      </w:pPr>
      <w:rPr>
        <w:rFonts w:ascii="Georgia" w:eastAsia="Times New Roman" w:hAnsi="Georgia"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E3A0F"/>
    <w:multiLevelType w:val="hybridMultilevel"/>
    <w:tmpl w:val="241CA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46F98"/>
    <w:multiLevelType w:val="hybridMultilevel"/>
    <w:tmpl w:val="E53E12F0"/>
    <w:lvl w:ilvl="0" w:tplc="F4C02A1E">
      <w:start w:val="1"/>
      <w:numFmt w:val="bullet"/>
      <w:lvlText w:val=""/>
      <w:lvlJc w:val="left"/>
      <w:pPr>
        <w:ind w:left="720" w:hanging="360"/>
      </w:pPr>
      <w:rPr>
        <w:rFonts w:ascii="Symbol" w:hAnsi="Symbol" w:hint="default"/>
        <w:color w:val="404040" w:themeColor="text1" w:themeTint="BF"/>
      </w:rPr>
    </w:lvl>
    <w:lvl w:ilvl="1" w:tplc="EC6809EE">
      <w:numFmt w:val="bullet"/>
      <w:lvlText w:val="•"/>
      <w:lvlJc w:val="left"/>
      <w:pPr>
        <w:ind w:left="1440" w:hanging="360"/>
      </w:pPr>
      <w:rPr>
        <w:rFonts w:ascii="Georgia" w:eastAsia="Times New Roman" w:hAnsi="Georgia" w:cs="Calibri" w:hint="default"/>
      </w:rPr>
    </w:lvl>
    <w:lvl w:ilvl="2" w:tplc="484E402A">
      <w:numFmt w:val="bullet"/>
      <w:lvlText w:val="-"/>
      <w:lvlJc w:val="left"/>
      <w:pPr>
        <w:ind w:left="2160" w:hanging="360"/>
      </w:pPr>
      <w:rPr>
        <w:rFonts w:ascii="Georgia" w:eastAsia="Times New Roman" w:hAnsi="Georgia"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A08B9"/>
    <w:multiLevelType w:val="hybridMultilevel"/>
    <w:tmpl w:val="A07428E0"/>
    <w:lvl w:ilvl="0" w:tplc="21A64C82">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E2E98"/>
    <w:multiLevelType w:val="hybridMultilevel"/>
    <w:tmpl w:val="64741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0506F3"/>
    <w:multiLevelType w:val="hybridMultilevel"/>
    <w:tmpl w:val="8B4C8AC8"/>
    <w:lvl w:ilvl="0" w:tplc="C9729D7E">
      <w:start w:val="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9344D83"/>
    <w:multiLevelType w:val="hybridMultilevel"/>
    <w:tmpl w:val="0240B1BE"/>
    <w:lvl w:ilvl="0" w:tplc="F79E1224">
      <w:start w:val="4"/>
      <w:numFmt w:val="decimal"/>
      <w:lvlText w:val="%1."/>
      <w:lvlJc w:val="left"/>
      <w:pPr>
        <w:ind w:left="720" w:hanging="360"/>
      </w:pPr>
      <w:rPr>
        <w:rFonts w:ascii="Georgia" w:hAnsi="Georgia" w:hint="default"/>
        <w:color w:val="40404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852C93"/>
    <w:multiLevelType w:val="hybridMultilevel"/>
    <w:tmpl w:val="8BB4E156"/>
    <w:lvl w:ilvl="0" w:tplc="E1A4100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9811E7"/>
    <w:multiLevelType w:val="hybridMultilevel"/>
    <w:tmpl w:val="D32026A6"/>
    <w:lvl w:ilvl="0" w:tplc="A3B623C6">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FA2780"/>
    <w:multiLevelType w:val="hybridMultilevel"/>
    <w:tmpl w:val="2136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13FFB"/>
    <w:multiLevelType w:val="multilevel"/>
    <w:tmpl w:val="753E473C"/>
    <w:styleLink w:val="List31"/>
    <w:lvl w:ilvl="0">
      <w:start w:val="2"/>
      <w:numFmt w:val="decimal"/>
      <w:lvlText w:val="%1."/>
      <w:lvlJc w:val="left"/>
      <w:pPr>
        <w:tabs>
          <w:tab w:val="num" w:pos="357"/>
        </w:tabs>
        <w:ind w:left="357" w:hanging="357"/>
      </w:pPr>
      <w:rPr>
        <w:rFonts w:ascii="Georgia" w:eastAsia="Georgia" w:hAnsi="Georgia" w:cs="Georgia"/>
        <w:color w:val="404040"/>
        <w:position w:val="0"/>
        <w:sz w:val="20"/>
        <w:szCs w:val="20"/>
        <w:u w:color="404040"/>
      </w:rPr>
    </w:lvl>
    <w:lvl w:ilvl="1">
      <w:start w:val="1"/>
      <w:numFmt w:val="lowerLetter"/>
      <w:lvlText w:val="%2."/>
      <w:lvlJc w:val="left"/>
      <w:pPr>
        <w:tabs>
          <w:tab w:val="num" w:pos="1380"/>
        </w:tabs>
        <w:ind w:left="1380" w:hanging="300"/>
      </w:pPr>
      <w:rPr>
        <w:rFonts w:ascii="Georgia" w:eastAsia="Georgia" w:hAnsi="Georgia" w:cs="Georgia"/>
        <w:color w:val="404040"/>
        <w:position w:val="0"/>
        <w:sz w:val="20"/>
        <w:szCs w:val="20"/>
        <w:u w:color="404040"/>
      </w:rPr>
    </w:lvl>
    <w:lvl w:ilvl="2">
      <w:start w:val="1"/>
      <w:numFmt w:val="lowerRoman"/>
      <w:lvlText w:val="%3."/>
      <w:lvlJc w:val="left"/>
      <w:pPr>
        <w:tabs>
          <w:tab w:val="num" w:pos="2111"/>
        </w:tabs>
        <w:ind w:left="2111" w:hanging="247"/>
      </w:pPr>
      <w:rPr>
        <w:rFonts w:ascii="Georgia" w:eastAsia="Georgia" w:hAnsi="Georgia" w:cs="Georgia"/>
        <w:color w:val="404040"/>
        <w:position w:val="0"/>
        <w:sz w:val="20"/>
        <w:szCs w:val="20"/>
        <w:u w:color="404040"/>
      </w:rPr>
    </w:lvl>
    <w:lvl w:ilvl="3">
      <w:start w:val="1"/>
      <w:numFmt w:val="decimal"/>
      <w:lvlText w:val="%4."/>
      <w:lvlJc w:val="left"/>
      <w:pPr>
        <w:tabs>
          <w:tab w:val="num" w:pos="2820"/>
        </w:tabs>
        <w:ind w:left="2820" w:hanging="300"/>
      </w:pPr>
      <w:rPr>
        <w:rFonts w:ascii="Georgia" w:eastAsia="Georgia" w:hAnsi="Georgia" w:cs="Georgia"/>
        <w:color w:val="404040"/>
        <w:position w:val="0"/>
        <w:sz w:val="20"/>
        <w:szCs w:val="20"/>
        <w:u w:color="404040"/>
      </w:rPr>
    </w:lvl>
    <w:lvl w:ilvl="4">
      <w:start w:val="1"/>
      <w:numFmt w:val="lowerLetter"/>
      <w:lvlText w:val="%5."/>
      <w:lvlJc w:val="left"/>
      <w:pPr>
        <w:tabs>
          <w:tab w:val="num" w:pos="3540"/>
        </w:tabs>
        <w:ind w:left="3540" w:hanging="300"/>
      </w:pPr>
      <w:rPr>
        <w:rFonts w:ascii="Georgia" w:eastAsia="Georgia" w:hAnsi="Georgia" w:cs="Georgia"/>
        <w:color w:val="404040"/>
        <w:position w:val="0"/>
        <w:sz w:val="20"/>
        <w:szCs w:val="20"/>
        <w:u w:color="404040"/>
      </w:rPr>
    </w:lvl>
    <w:lvl w:ilvl="5">
      <w:start w:val="1"/>
      <w:numFmt w:val="lowerRoman"/>
      <w:lvlText w:val="%6."/>
      <w:lvlJc w:val="left"/>
      <w:pPr>
        <w:tabs>
          <w:tab w:val="num" w:pos="4271"/>
        </w:tabs>
        <w:ind w:left="4271" w:hanging="247"/>
      </w:pPr>
      <w:rPr>
        <w:rFonts w:ascii="Georgia" w:eastAsia="Georgia" w:hAnsi="Georgia" w:cs="Georgia"/>
        <w:color w:val="404040"/>
        <w:position w:val="0"/>
        <w:sz w:val="20"/>
        <w:szCs w:val="20"/>
        <w:u w:color="404040"/>
      </w:rPr>
    </w:lvl>
    <w:lvl w:ilvl="6">
      <w:start w:val="1"/>
      <w:numFmt w:val="decimal"/>
      <w:lvlText w:val="%7."/>
      <w:lvlJc w:val="left"/>
      <w:pPr>
        <w:tabs>
          <w:tab w:val="num" w:pos="4980"/>
        </w:tabs>
        <w:ind w:left="4980" w:hanging="300"/>
      </w:pPr>
      <w:rPr>
        <w:rFonts w:ascii="Georgia" w:eastAsia="Georgia" w:hAnsi="Georgia" w:cs="Georgia"/>
        <w:color w:val="404040"/>
        <w:position w:val="0"/>
        <w:sz w:val="20"/>
        <w:szCs w:val="20"/>
        <w:u w:color="404040"/>
      </w:rPr>
    </w:lvl>
    <w:lvl w:ilvl="7">
      <w:start w:val="1"/>
      <w:numFmt w:val="lowerLetter"/>
      <w:lvlText w:val="%8."/>
      <w:lvlJc w:val="left"/>
      <w:pPr>
        <w:tabs>
          <w:tab w:val="num" w:pos="5700"/>
        </w:tabs>
        <w:ind w:left="5700" w:hanging="300"/>
      </w:pPr>
      <w:rPr>
        <w:rFonts w:ascii="Georgia" w:eastAsia="Georgia" w:hAnsi="Georgia" w:cs="Georgia"/>
        <w:color w:val="404040"/>
        <w:position w:val="0"/>
        <w:sz w:val="20"/>
        <w:szCs w:val="20"/>
        <w:u w:color="404040"/>
      </w:rPr>
    </w:lvl>
    <w:lvl w:ilvl="8">
      <w:start w:val="1"/>
      <w:numFmt w:val="lowerRoman"/>
      <w:lvlText w:val="%9."/>
      <w:lvlJc w:val="left"/>
      <w:pPr>
        <w:tabs>
          <w:tab w:val="num" w:pos="6431"/>
        </w:tabs>
        <w:ind w:left="6431" w:hanging="247"/>
      </w:pPr>
      <w:rPr>
        <w:rFonts w:ascii="Georgia" w:eastAsia="Georgia" w:hAnsi="Georgia" w:cs="Georgia"/>
        <w:color w:val="404040"/>
        <w:position w:val="0"/>
        <w:sz w:val="20"/>
        <w:szCs w:val="20"/>
        <w:u w:color="404040"/>
      </w:rPr>
    </w:lvl>
  </w:abstractNum>
  <w:abstractNum w:abstractNumId="13" w15:restartNumberingAfterBreak="0">
    <w:nsid w:val="52E44AED"/>
    <w:multiLevelType w:val="hybridMultilevel"/>
    <w:tmpl w:val="7D56CC6C"/>
    <w:lvl w:ilvl="0" w:tplc="C20262F4">
      <w:start w:val="1"/>
      <w:numFmt w:val="decimal"/>
      <w:lvlText w:val="%1."/>
      <w:lvlJc w:val="left"/>
      <w:pPr>
        <w:ind w:left="644" w:hanging="360"/>
      </w:pPr>
      <w:rPr>
        <w:rFonts w:ascii="Georgia" w:hAnsi="Georgi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6053CB"/>
    <w:multiLevelType w:val="hybridMultilevel"/>
    <w:tmpl w:val="14E63D2E"/>
    <w:lvl w:ilvl="0" w:tplc="A1F47B42">
      <w:start w:val="1"/>
      <w:numFmt w:val="bullet"/>
      <w:lvlText w:val="-"/>
      <w:lvlJc w:val="left"/>
      <w:pPr>
        <w:ind w:left="390" w:hanging="360"/>
      </w:pPr>
      <w:rPr>
        <w:rFonts w:ascii="Calibri" w:eastAsia="Calibri" w:hAnsi="Calibri" w:cs="Calibri" w:hint="default"/>
      </w:rPr>
    </w:lvl>
    <w:lvl w:ilvl="1" w:tplc="08090003">
      <w:start w:val="1"/>
      <w:numFmt w:val="bullet"/>
      <w:lvlText w:val="o"/>
      <w:lvlJc w:val="left"/>
      <w:pPr>
        <w:ind w:left="1110" w:hanging="360"/>
      </w:pPr>
      <w:rPr>
        <w:rFonts w:ascii="Courier New" w:hAnsi="Courier New" w:cs="Courier New" w:hint="default"/>
      </w:rPr>
    </w:lvl>
    <w:lvl w:ilvl="2" w:tplc="08090005">
      <w:start w:val="1"/>
      <w:numFmt w:val="bullet"/>
      <w:lvlText w:val=""/>
      <w:lvlJc w:val="left"/>
      <w:pPr>
        <w:ind w:left="1830" w:hanging="360"/>
      </w:pPr>
      <w:rPr>
        <w:rFonts w:ascii="Wingdings" w:hAnsi="Wingdings" w:hint="default"/>
      </w:rPr>
    </w:lvl>
    <w:lvl w:ilvl="3" w:tplc="08090001">
      <w:start w:val="1"/>
      <w:numFmt w:val="bullet"/>
      <w:lvlText w:val=""/>
      <w:lvlJc w:val="left"/>
      <w:pPr>
        <w:ind w:left="2550" w:hanging="360"/>
      </w:pPr>
      <w:rPr>
        <w:rFonts w:ascii="Symbol" w:hAnsi="Symbol" w:hint="default"/>
      </w:rPr>
    </w:lvl>
    <w:lvl w:ilvl="4" w:tplc="08090003">
      <w:start w:val="1"/>
      <w:numFmt w:val="bullet"/>
      <w:lvlText w:val="o"/>
      <w:lvlJc w:val="left"/>
      <w:pPr>
        <w:ind w:left="3270" w:hanging="360"/>
      </w:pPr>
      <w:rPr>
        <w:rFonts w:ascii="Courier New" w:hAnsi="Courier New" w:cs="Courier New" w:hint="default"/>
      </w:rPr>
    </w:lvl>
    <w:lvl w:ilvl="5" w:tplc="08090005">
      <w:start w:val="1"/>
      <w:numFmt w:val="bullet"/>
      <w:lvlText w:val=""/>
      <w:lvlJc w:val="left"/>
      <w:pPr>
        <w:ind w:left="3990" w:hanging="360"/>
      </w:pPr>
      <w:rPr>
        <w:rFonts w:ascii="Wingdings" w:hAnsi="Wingdings" w:hint="default"/>
      </w:rPr>
    </w:lvl>
    <w:lvl w:ilvl="6" w:tplc="08090001">
      <w:start w:val="1"/>
      <w:numFmt w:val="bullet"/>
      <w:lvlText w:val=""/>
      <w:lvlJc w:val="left"/>
      <w:pPr>
        <w:ind w:left="4710" w:hanging="360"/>
      </w:pPr>
      <w:rPr>
        <w:rFonts w:ascii="Symbol" w:hAnsi="Symbol" w:hint="default"/>
      </w:rPr>
    </w:lvl>
    <w:lvl w:ilvl="7" w:tplc="08090003">
      <w:start w:val="1"/>
      <w:numFmt w:val="bullet"/>
      <w:lvlText w:val="o"/>
      <w:lvlJc w:val="left"/>
      <w:pPr>
        <w:ind w:left="5430" w:hanging="360"/>
      </w:pPr>
      <w:rPr>
        <w:rFonts w:ascii="Courier New" w:hAnsi="Courier New" w:cs="Courier New" w:hint="default"/>
      </w:rPr>
    </w:lvl>
    <w:lvl w:ilvl="8" w:tplc="08090005">
      <w:start w:val="1"/>
      <w:numFmt w:val="bullet"/>
      <w:lvlText w:val=""/>
      <w:lvlJc w:val="left"/>
      <w:pPr>
        <w:ind w:left="6150" w:hanging="360"/>
      </w:pPr>
      <w:rPr>
        <w:rFonts w:ascii="Wingdings" w:hAnsi="Wingdings" w:hint="default"/>
      </w:rPr>
    </w:lvl>
  </w:abstractNum>
  <w:abstractNum w:abstractNumId="15" w15:restartNumberingAfterBreak="0">
    <w:nsid w:val="56C21EA6"/>
    <w:multiLevelType w:val="hybridMultilevel"/>
    <w:tmpl w:val="CBC033BE"/>
    <w:lvl w:ilvl="0" w:tplc="6A9A31A4">
      <w:start w:val="2"/>
      <w:numFmt w:val="decimal"/>
      <w:lvlText w:val="%1."/>
      <w:lvlJc w:val="left"/>
      <w:pPr>
        <w:ind w:left="644" w:hanging="360"/>
      </w:pPr>
      <w:rPr>
        <w:rFonts w:ascii="Georgia" w:hAnsi="Georgi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55504D"/>
    <w:multiLevelType w:val="hybridMultilevel"/>
    <w:tmpl w:val="ACAE1106"/>
    <w:lvl w:ilvl="0" w:tplc="1996F9DA">
      <w:start w:val="1"/>
      <w:numFmt w:val="bullet"/>
      <w:pStyle w:val="Bluefieldbullets"/>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D37C5"/>
    <w:multiLevelType w:val="hybridMultilevel"/>
    <w:tmpl w:val="613A8086"/>
    <w:lvl w:ilvl="0" w:tplc="220A3CE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F73D3"/>
    <w:multiLevelType w:val="hybridMultilevel"/>
    <w:tmpl w:val="FB3A7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B71E7E"/>
    <w:multiLevelType w:val="multilevel"/>
    <w:tmpl w:val="EB549814"/>
    <w:styleLink w:val="List0"/>
    <w:lvl w:ilvl="0">
      <w:start w:val="1"/>
      <w:numFmt w:val="decimal"/>
      <w:lvlText w:val="%1."/>
      <w:lvlJc w:val="left"/>
      <w:pPr>
        <w:tabs>
          <w:tab w:val="num" w:pos="454"/>
        </w:tabs>
        <w:ind w:left="454" w:hanging="360"/>
      </w:pPr>
      <w:rPr>
        <w:rFonts w:ascii="Georgia" w:eastAsia="Georgia" w:hAnsi="Georgia" w:cs="Georgia"/>
        <w:color w:val="404040"/>
        <w:position w:val="0"/>
        <w:sz w:val="20"/>
        <w:szCs w:val="20"/>
        <w:u w:color="404040"/>
      </w:rPr>
    </w:lvl>
    <w:lvl w:ilvl="1">
      <w:start w:val="1"/>
      <w:numFmt w:val="lowerLetter"/>
      <w:lvlText w:val="%2."/>
      <w:lvlJc w:val="left"/>
      <w:pPr>
        <w:tabs>
          <w:tab w:val="num" w:pos="1380"/>
        </w:tabs>
        <w:ind w:left="1380" w:hanging="300"/>
      </w:pPr>
      <w:rPr>
        <w:rFonts w:ascii="Georgia" w:eastAsia="Georgia" w:hAnsi="Georgia" w:cs="Georgia"/>
        <w:color w:val="404040"/>
        <w:position w:val="0"/>
        <w:sz w:val="20"/>
        <w:szCs w:val="20"/>
        <w:u w:color="404040"/>
      </w:rPr>
    </w:lvl>
    <w:lvl w:ilvl="2">
      <w:start w:val="1"/>
      <w:numFmt w:val="lowerRoman"/>
      <w:lvlText w:val="%3."/>
      <w:lvlJc w:val="left"/>
      <w:pPr>
        <w:tabs>
          <w:tab w:val="num" w:pos="2111"/>
        </w:tabs>
        <w:ind w:left="2111" w:hanging="247"/>
      </w:pPr>
      <w:rPr>
        <w:rFonts w:ascii="Georgia" w:eastAsia="Georgia" w:hAnsi="Georgia" w:cs="Georgia"/>
        <w:color w:val="404040"/>
        <w:position w:val="0"/>
        <w:sz w:val="20"/>
        <w:szCs w:val="20"/>
        <w:u w:color="404040"/>
      </w:rPr>
    </w:lvl>
    <w:lvl w:ilvl="3">
      <w:start w:val="1"/>
      <w:numFmt w:val="decimal"/>
      <w:lvlText w:val="%4."/>
      <w:lvlJc w:val="left"/>
      <w:pPr>
        <w:tabs>
          <w:tab w:val="num" w:pos="2820"/>
        </w:tabs>
        <w:ind w:left="2820" w:hanging="300"/>
      </w:pPr>
      <w:rPr>
        <w:rFonts w:ascii="Georgia" w:eastAsia="Georgia" w:hAnsi="Georgia" w:cs="Georgia"/>
        <w:color w:val="404040"/>
        <w:position w:val="0"/>
        <w:sz w:val="20"/>
        <w:szCs w:val="20"/>
        <w:u w:color="404040"/>
      </w:rPr>
    </w:lvl>
    <w:lvl w:ilvl="4">
      <w:start w:val="1"/>
      <w:numFmt w:val="lowerLetter"/>
      <w:lvlText w:val="%5."/>
      <w:lvlJc w:val="left"/>
      <w:pPr>
        <w:tabs>
          <w:tab w:val="num" w:pos="3540"/>
        </w:tabs>
        <w:ind w:left="3540" w:hanging="300"/>
      </w:pPr>
      <w:rPr>
        <w:rFonts w:ascii="Georgia" w:eastAsia="Georgia" w:hAnsi="Georgia" w:cs="Georgia"/>
        <w:color w:val="404040"/>
        <w:position w:val="0"/>
        <w:sz w:val="20"/>
        <w:szCs w:val="20"/>
        <w:u w:color="404040"/>
      </w:rPr>
    </w:lvl>
    <w:lvl w:ilvl="5">
      <w:start w:val="1"/>
      <w:numFmt w:val="lowerRoman"/>
      <w:lvlText w:val="%6."/>
      <w:lvlJc w:val="left"/>
      <w:pPr>
        <w:tabs>
          <w:tab w:val="num" w:pos="4271"/>
        </w:tabs>
        <w:ind w:left="4271" w:hanging="247"/>
      </w:pPr>
      <w:rPr>
        <w:rFonts w:ascii="Georgia" w:eastAsia="Georgia" w:hAnsi="Georgia" w:cs="Georgia"/>
        <w:color w:val="404040"/>
        <w:position w:val="0"/>
        <w:sz w:val="20"/>
        <w:szCs w:val="20"/>
        <w:u w:color="404040"/>
      </w:rPr>
    </w:lvl>
    <w:lvl w:ilvl="6">
      <w:start w:val="1"/>
      <w:numFmt w:val="decimal"/>
      <w:lvlText w:val="%7."/>
      <w:lvlJc w:val="left"/>
      <w:pPr>
        <w:tabs>
          <w:tab w:val="num" w:pos="4980"/>
        </w:tabs>
        <w:ind w:left="4980" w:hanging="300"/>
      </w:pPr>
      <w:rPr>
        <w:rFonts w:ascii="Georgia" w:eastAsia="Georgia" w:hAnsi="Georgia" w:cs="Georgia"/>
        <w:color w:val="404040"/>
        <w:position w:val="0"/>
        <w:sz w:val="20"/>
        <w:szCs w:val="20"/>
        <w:u w:color="404040"/>
      </w:rPr>
    </w:lvl>
    <w:lvl w:ilvl="7">
      <w:start w:val="1"/>
      <w:numFmt w:val="lowerLetter"/>
      <w:lvlText w:val="%8."/>
      <w:lvlJc w:val="left"/>
      <w:pPr>
        <w:tabs>
          <w:tab w:val="num" w:pos="5700"/>
        </w:tabs>
        <w:ind w:left="5700" w:hanging="300"/>
      </w:pPr>
      <w:rPr>
        <w:rFonts w:ascii="Georgia" w:eastAsia="Georgia" w:hAnsi="Georgia" w:cs="Georgia"/>
        <w:color w:val="404040"/>
        <w:position w:val="0"/>
        <w:sz w:val="20"/>
        <w:szCs w:val="20"/>
        <w:u w:color="404040"/>
      </w:rPr>
    </w:lvl>
    <w:lvl w:ilvl="8">
      <w:start w:val="1"/>
      <w:numFmt w:val="lowerRoman"/>
      <w:lvlText w:val="%9."/>
      <w:lvlJc w:val="left"/>
      <w:pPr>
        <w:tabs>
          <w:tab w:val="num" w:pos="6431"/>
        </w:tabs>
        <w:ind w:left="6431" w:hanging="247"/>
      </w:pPr>
      <w:rPr>
        <w:rFonts w:ascii="Georgia" w:eastAsia="Georgia" w:hAnsi="Georgia" w:cs="Georgia"/>
        <w:color w:val="404040"/>
        <w:position w:val="0"/>
        <w:sz w:val="20"/>
        <w:szCs w:val="20"/>
        <w:u w:color="404040"/>
      </w:rPr>
    </w:lvl>
  </w:abstractNum>
  <w:abstractNum w:abstractNumId="20" w15:restartNumberingAfterBreak="0">
    <w:nsid w:val="67CD0314"/>
    <w:multiLevelType w:val="hybridMultilevel"/>
    <w:tmpl w:val="7AB622DC"/>
    <w:lvl w:ilvl="0" w:tplc="08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766A43"/>
    <w:multiLevelType w:val="hybridMultilevel"/>
    <w:tmpl w:val="172A03F4"/>
    <w:lvl w:ilvl="0" w:tplc="21A64C82">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B0362"/>
    <w:multiLevelType w:val="hybridMultilevel"/>
    <w:tmpl w:val="82E86E70"/>
    <w:lvl w:ilvl="0" w:tplc="32D8EC42">
      <w:start w:val="2"/>
      <w:numFmt w:val="decimal"/>
      <w:lvlText w:val="%1."/>
      <w:lvlJc w:val="left"/>
      <w:pPr>
        <w:ind w:left="644" w:hanging="360"/>
      </w:pPr>
      <w:rPr>
        <w:rFonts w:ascii="Georgia" w:hAnsi="Georgia" w:hint="default"/>
        <w:color w:val="40404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9C5F72"/>
    <w:multiLevelType w:val="hybridMultilevel"/>
    <w:tmpl w:val="497A3F44"/>
    <w:lvl w:ilvl="0" w:tplc="C61CC2C6">
      <w:start w:val="1"/>
      <w:numFmt w:val="bullet"/>
      <w:pStyle w:val="Bluefieldbullets10p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92C634B"/>
    <w:multiLevelType w:val="hybridMultilevel"/>
    <w:tmpl w:val="1018DE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96A25FE"/>
    <w:multiLevelType w:val="hybridMultilevel"/>
    <w:tmpl w:val="34760B20"/>
    <w:lvl w:ilvl="0" w:tplc="4686EC62">
      <w:start w:val="3"/>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6"/>
  </w:num>
  <w:num w:numId="4">
    <w:abstractNumId w:val="18"/>
  </w:num>
  <w:num w:numId="5">
    <w:abstractNumId w:val="15"/>
  </w:num>
  <w:num w:numId="6">
    <w:abstractNumId w:val="22"/>
  </w:num>
  <w:num w:numId="7">
    <w:abstractNumId w:val="23"/>
  </w:num>
  <w:num w:numId="8">
    <w:abstractNumId w:val="19"/>
  </w:num>
  <w:num w:numId="9">
    <w:abstractNumId w:val="12"/>
  </w:num>
  <w:num w:numId="10">
    <w:abstractNumId w:val="7"/>
  </w:num>
  <w:num w:numId="11">
    <w:abstractNumId w:val="24"/>
  </w:num>
  <w:num w:numId="12">
    <w:abstractNumId w:val="3"/>
  </w:num>
  <w:num w:numId="13">
    <w:abstractNumId w:val="21"/>
  </w:num>
  <w:num w:numId="14">
    <w:abstractNumId w:val="5"/>
  </w:num>
  <w:num w:numId="15">
    <w:abstractNumId w:val="20"/>
  </w:num>
  <w:num w:numId="16">
    <w:abstractNumId w:val="11"/>
  </w:num>
  <w:num w:numId="17">
    <w:abstractNumId w:val="8"/>
  </w:num>
  <w:num w:numId="18">
    <w:abstractNumId w:val="10"/>
  </w:num>
  <w:num w:numId="19">
    <w:abstractNumId w:val="2"/>
  </w:num>
  <w:num w:numId="20">
    <w:abstractNumId w:val="4"/>
  </w:num>
  <w:num w:numId="21">
    <w:abstractNumId w:val="1"/>
  </w:num>
  <w:num w:numId="22">
    <w:abstractNumId w:val="14"/>
  </w:num>
  <w:num w:numId="23">
    <w:abstractNumId w:val="9"/>
  </w:num>
  <w:num w:numId="24">
    <w:abstractNumId w:val="0"/>
  </w:num>
  <w:num w:numId="25">
    <w:abstractNumId w:val="25"/>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embedSystemFonts/>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fr-FR" w:vendorID="64" w:dllVersion="6" w:nlCheck="1" w:checkStyle="0"/>
  <w:activeWritingStyle w:appName="MSWord" w:lang="en-AU" w:vendorID="64" w:dllVersion="6" w:nlCheck="1" w:checkStyle="1"/>
  <w:activeWritingStyle w:appName="MSWord" w:lang="nl-NL"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spelling="clean"/>
  <w:defaultTabStop w:val="0"/>
  <w:doNotHyphenateCaps/>
  <w:drawingGridHorizontalSpacing w:val="100"/>
  <w:displayHorizontalDrawingGridEvery w:val="0"/>
  <w:displayVerticalDrawingGridEvery w:val="0"/>
  <w:doNotShadeFormData/>
  <w:noPunctuationKerning/>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571"/>
    <w:rsid w:val="00000079"/>
    <w:rsid w:val="00000211"/>
    <w:rsid w:val="00000818"/>
    <w:rsid w:val="0000092D"/>
    <w:rsid w:val="00000E3E"/>
    <w:rsid w:val="0000109B"/>
    <w:rsid w:val="000010FB"/>
    <w:rsid w:val="00001360"/>
    <w:rsid w:val="000013A2"/>
    <w:rsid w:val="000017F1"/>
    <w:rsid w:val="00001891"/>
    <w:rsid w:val="00001A24"/>
    <w:rsid w:val="00001EA4"/>
    <w:rsid w:val="00002225"/>
    <w:rsid w:val="00002352"/>
    <w:rsid w:val="00002366"/>
    <w:rsid w:val="00002783"/>
    <w:rsid w:val="00002849"/>
    <w:rsid w:val="0000289F"/>
    <w:rsid w:val="00002955"/>
    <w:rsid w:val="00002AF8"/>
    <w:rsid w:val="00002E41"/>
    <w:rsid w:val="00002E4D"/>
    <w:rsid w:val="00002F34"/>
    <w:rsid w:val="00002F92"/>
    <w:rsid w:val="0000316A"/>
    <w:rsid w:val="0000317F"/>
    <w:rsid w:val="0000319C"/>
    <w:rsid w:val="000034C3"/>
    <w:rsid w:val="00003B9B"/>
    <w:rsid w:val="00003C8D"/>
    <w:rsid w:val="00003CD9"/>
    <w:rsid w:val="00003CE3"/>
    <w:rsid w:val="0000419E"/>
    <w:rsid w:val="000041BF"/>
    <w:rsid w:val="00004554"/>
    <w:rsid w:val="0000459B"/>
    <w:rsid w:val="00004634"/>
    <w:rsid w:val="00004665"/>
    <w:rsid w:val="00004683"/>
    <w:rsid w:val="00005A3F"/>
    <w:rsid w:val="00005A4F"/>
    <w:rsid w:val="00005EFA"/>
    <w:rsid w:val="00005F2B"/>
    <w:rsid w:val="00005F96"/>
    <w:rsid w:val="0000617D"/>
    <w:rsid w:val="00006295"/>
    <w:rsid w:val="000063FD"/>
    <w:rsid w:val="000065A3"/>
    <w:rsid w:val="000068B3"/>
    <w:rsid w:val="0000691D"/>
    <w:rsid w:val="00006EFD"/>
    <w:rsid w:val="000073AC"/>
    <w:rsid w:val="0000767D"/>
    <w:rsid w:val="00007794"/>
    <w:rsid w:val="000079EB"/>
    <w:rsid w:val="00010269"/>
    <w:rsid w:val="00010C25"/>
    <w:rsid w:val="0001140F"/>
    <w:rsid w:val="000115D2"/>
    <w:rsid w:val="00011763"/>
    <w:rsid w:val="00011832"/>
    <w:rsid w:val="00011B58"/>
    <w:rsid w:val="00011FC1"/>
    <w:rsid w:val="00012059"/>
    <w:rsid w:val="000123E8"/>
    <w:rsid w:val="00012441"/>
    <w:rsid w:val="000125DC"/>
    <w:rsid w:val="00012AF2"/>
    <w:rsid w:val="00012CDE"/>
    <w:rsid w:val="00012EA5"/>
    <w:rsid w:val="00012FEC"/>
    <w:rsid w:val="00013143"/>
    <w:rsid w:val="000131E7"/>
    <w:rsid w:val="000133BA"/>
    <w:rsid w:val="00013756"/>
    <w:rsid w:val="00013CE0"/>
    <w:rsid w:val="00013D8F"/>
    <w:rsid w:val="000140A0"/>
    <w:rsid w:val="000141CF"/>
    <w:rsid w:val="00014761"/>
    <w:rsid w:val="000147FE"/>
    <w:rsid w:val="00014B46"/>
    <w:rsid w:val="00014CFD"/>
    <w:rsid w:val="00014F89"/>
    <w:rsid w:val="000153DA"/>
    <w:rsid w:val="00015722"/>
    <w:rsid w:val="00015A84"/>
    <w:rsid w:val="00015AC8"/>
    <w:rsid w:val="00015E71"/>
    <w:rsid w:val="0001626F"/>
    <w:rsid w:val="0001628C"/>
    <w:rsid w:val="00016507"/>
    <w:rsid w:val="0001661C"/>
    <w:rsid w:val="0001694F"/>
    <w:rsid w:val="0001698A"/>
    <w:rsid w:val="00016A5D"/>
    <w:rsid w:val="00016AD5"/>
    <w:rsid w:val="00016CA9"/>
    <w:rsid w:val="00016E63"/>
    <w:rsid w:val="0001701B"/>
    <w:rsid w:val="000172DF"/>
    <w:rsid w:val="00017BFA"/>
    <w:rsid w:val="00017CF3"/>
    <w:rsid w:val="00017E0A"/>
    <w:rsid w:val="00017F08"/>
    <w:rsid w:val="000202F7"/>
    <w:rsid w:val="00020429"/>
    <w:rsid w:val="00020B67"/>
    <w:rsid w:val="00020EFE"/>
    <w:rsid w:val="00021296"/>
    <w:rsid w:val="000212DD"/>
    <w:rsid w:val="000215AA"/>
    <w:rsid w:val="000215AE"/>
    <w:rsid w:val="000217E5"/>
    <w:rsid w:val="000219FD"/>
    <w:rsid w:val="00021CA7"/>
    <w:rsid w:val="00022BE6"/>
    <w:rsid w:val="00022DD8"/>
    <w:rsid w:val="000233B0"/>
    <w:rsid w:val="000233F2"/>
    <w:rsid w:val="000238F2"/>
    <w:rsid w:val="00023984"/>
    <w:rsid w:val="000239A0"/>
    <w:rsid w:val="00024428"/>
    <w:rsid w:val="0002449D"/>
    <w:rsid w:val="00024B5D"/>
    <w:rsid w:val="00024F5D"/>
    <w:rsid w:val="00025492"/>
    <w:rsid w:val="000256E8"/>
    <w:rsid w:val="000257CA"/>
    <w:rsid w:val="00025EAB"/>
    <w:rsid w:val="00026388"/>
    <w:rsid w:val="00026601"/>
    <w:rsid w:val="0002687E"/>
    <w:rsid w:val="000269EB"/>
    <w:rsid w:val="00026A10"/>
    <w:rsid w:val="00026D15"/>
    <w:rsid w:val="0002788C"/>
    <w:rsid w:val="00027A33"/>
    <w:rsid w:val="00027BE1"/>
    <w:rsid w:val="00027CDB"/>
    <w:rsid w:val="00027CF1"/>
    <w:rsid w:val="00030099"/>
    <w:rsid w:val="0003016D"/>
    <w:rsid w:val="0003025C"/>
    <w:rsid w:val="000302A0"/>
    <w:rsid w:val="000304DD"/>
    <w:rsid w:val="00030B29"/>
    <w:rsid w:val="00030FD6"/>
    <w:rsid w:val="00031634"/>
    <w:rsid w:val="000317C4"/>
    <w:rsid w:val="00031938"/>
    <w:rsid w:val="0003197D"/>
    <w:rsid w:val="00031A66"/>
    <w:rsid w:val="00031C74"/>
    <w:rsid w:val="00031D30"/>
    <w:rsid w:val="00031D43"/>
    <w:rsid w:val="00031F54"/>
    <w:rsid w:val="00032083"/>
    <w:rsid w:val="000320B1"/>
    <w:rsid w:val="0003239A"/>
    <w:rsid w:val="0003255E"/>
    <w:rsid w:val="000328AF"/>
    <w:rsid w:val="00032B33"/>
    <w:rsid w:val="00032F73"/>
    <w:rsid w:val="00033978"/>
    <w:rsid w:val="00033E7F"/>
    <w:rsid w:val="00033E9D"/>
    <w:rsid w:val="00034A59"/>
    <w:rsid w:val="00034C2C"/>
    <w:rsid w:val="00034EB8"/>
    <w:rsid w:val="00034EE5"/>
    <w:rsid w:val="00034FC0"/>
    <w:rsid w:val="0003546B"/>
    <w:rsid w:val="000357FB"/>
    <w:rsid w:val="00035877"/>
    <w:rsid w:val="00035AE9"/>
    <w:rsid w:val="00035AFC"/>
    <w:rsid w:val="00035C1C"/>
    <w:rsid w:val="0003684C"/>
    <w:rsid w:val="00036AAD"/>
    <w:rsid w:val="00037204"/>
    <w:rsid w:val="000372B8"/>
    <w:rsid w:val="00037678"/>
    <w:rsid w:val="00037D04"/>
    <w:rsid w:val="00040526"/>
    <w:rsid w:val="000405F6"/>
    <w:rsid w:val="000409E3"/>
    <w:rsid w:val="00040FFE"/>
    <w:rsid w:val="00041944"/>
    <w:rsid w:val="00041A8E"/>
    <w:rsid w:val="00041FAA"/>
    <w:rsid w:val="000425DB"/>
    <w:rsid w:val="00042689"/>
    <w:rsid w:val="000429E7"/>
    <w:rsid w:val="00042DED"/>
    <w:rsid w:val="0004325B"/>
    <w:rsid w:val="000432A0"/>
    <w:rsid w:val="0004352A"/>
    <w:rsid w:val="000436DB"/>
    <w:rsid w:val="000437C5"/>
    <w:rsid w:val="000440B9"/>
    <w:rsid w:val="00044562"/>
    <w:rsid w:val="00044669"/>
    <w:rsid w:val="00044C96"/>
    <w:rsid w:val="000454F5"/>
    <w:rsid w:val="000456CF"/>
    <w:rsid w:val="00045709"/>
    <w:rsid w:val="00045C35"/>
    <w:rsid w:val="00045D29"/>
    <w:rsid w:val="0004637D"/>
    <w:rsid w:val="00046970"/>
    <w:rsid w:val="00046D2E"/>
    <w:rsid w:val="00046F6F"/>
    <w:rsid w:val="00047250"/>
    <w:rsid w:val="000477F9"/>
    <w:rsid w:val="0004797A"/>
    <w:rsid w:val="00047C56"/>
    <w:rsid w:val="0005005F"/>
    <w:rsid w:val="000501EA"/>
    <w:rsid w:val="000509C1"/>
    <w:rsid w:val="00050C19"/>
    <w:rsid w:val="00050E1F"/>
    <w:rsid w:val="00051376"/>
    <w:rsid w:val="0005149F"/>
    <w:rsid w:val="00051914"/>
    <w:rsid w:val="00051F90"/>
    <w:rsid w:val="00051FFD"/>
    <w:rsid w:val="0005211A"/>
    <w:rsid w:val="00052A4C"/>
    <w:rsid w:val="00052BDC"/>
    <w:rsid w:val="00052CCB"/>
    <w:rsid w:val="00052F5F"/>
    <w:rsid w:val="00053614"/>
    <w:rsid w:val="000536D3"/>
    <w:rsid w:val="00053D18"/>
    <w:rsid w:val="0005443C"/>
    <w:rsid w:val="000547F8"/>
    <w:rsid w:val="0005498A"/>
    <w:rsid w:val="00054AA8"/>
    <w:rsid w:val="00054BD0"/>
    <w:rsid w:val="00054C6C"/>
    <w:rsid w:val="00054CF6"/>
    <w:rsid w:val="0005562D"/>
    <w:rsid w:val="00055715"/>
    <w:rsid w:val="00055815"/>
    <w:rsid w:val="00055BF8"/>
    <w:rsid w:val="00055C37"/>
    <w:rsid w:val="00055D6D"/>
    <w:rsid w:val="00056055"/>
    <w:rsid w:val="00056892"/>
    <w:rsid w:val="00056CF4"/>
    <w:rsid w:val="00056E05"/>
    <w:rsid w:val="00056E4B"/>
    <w:rsid w:val="00057095"/>
    <w:rsid w:val="000571A2"/>
    <w:rsid w:val="0005787C"/>
    <w:rsid w:val="000605A2"/>
    <w:rsid w:val="000605DE"/>
    <w:rsid w:val="0006066E"/>
    <w:rsid w:val="00060776"/>
    <w:rsid w:val="00060929"/>
    <w:rsid w:val="00060AF5"/>
    <w:rsid w:val="00060E1F"/>
    <w:rsid w:val="00061223"/>
    <w:rsid w:val="000618BD"/>
    <w:rsid w:val="00061A96"/>
    <w:rsid w:val="00061AA1"/>
    <w:rsid w:val="00061BCA"/>
    <w:rsid w:val="00061BFF"/>
    <w:rsid w:val="00061F2E"/>
    <w:rsid w:val="00061F95"/>
    <w:rsid w:val="000623CC"/>
    <w:rsid w:val="00062413"/>
    <w:rsid w:val="00062A74"/>
    <w:rsid w:val="00062AED"/>
    <w:rsid w:val="0006380D"/>
    <w:rsid w:val="00063E08"/>
    <w:rsid w:val="00063FE6"/>
    <w:rsid w:val="00064439"/>
    <w:rsid w:val="00064860"/>
    <w:rsid w:val="0006494D"/>
    <w:rsid w:val="00064B7A"/>
    <w:rsid w:val="00064C21"/>
    <w:rsid w:val="000657FF"/>
    <w:rsid w:val="00065A68"/>
    <w:rsid w:val="00065E5B"/>
    <w:rsid w:val="000661D7"/>
    <w:rsid w:val="000663E9"/>
    <w:rsid w:val="000665BD"/>
    <w:rsid w:val="00066627"/>
    <w:rsid w:val="000667E4"/>
    <w:rsid w:val="00066850"/>
    <w:rsid w:val="00066859"/>
    <w:rsid w:val="0006752B"/>
    <w:rsid w:val="0006761F"/>
    <w:rsid w:val="0006790F"/>
    <w:rsid w:val="00067D6A"/>
    <w:rsid w:val="00067EC8"/>
    <w:rsid w:val="0007033F"/>
    <w:rsid w:val="000709D2"/>
    <w:rsid w:val="00070B02"/>
    <w:rsid w:val="00070B30"/>
    <w:rsid w:val="00071297"/>
    <w:rsid w:val="000713AD"/>
    <w:rsid w:val="000713F5"/>
    <w:rsid w:val="00071F12"/>
    <w:rsid w:val="0007208A"/>
    <w:rsid w:val="00072300"/>
    <w:rsid w:val="000724EC"/>
    <w:rsid w:val="0007273F"/>
    <w:rsid w:val="0007291A"/>
    <w:rsid w:val="00072BAF"/>
    <w:rsid w:val="00072CC4"/>
    <w:rsid w:val="00072E55"/>
    <w:rsid w:val="00073720"/>
    <w:rsid w:val="000739C7"/>
    <w:rsid w:val="00073BC0"/>
    <w:rsid w:val="00073F2D"/>
    <w:rsid w:val="000742A5"/>
    <w:rsid w:val="00074520"/>
    <w:rsid w:val="00074567"/>
    <w:rsid w:val="000746EE"/>
    <w:rsid w:val="0007478C"/>
    <w:rsid w:val="00074AFB"/>
    <w:rsid w:val="00074B76"/>
    <w:rsid w:val="00074C4D"/>
    <w:rsid w:val="00074E68"/>
    <w:rsid w:val="00074F43"/>
    <w:rsid w:val="00074FB9"/>
    <w:rsid w:val="0007526C"/>
    <w:rsid w:val="000755A2"/>
    <w:rsid w:val="0007567D"/>
    <w:rsid w:val="000757E1"/>
    <w:rsid w:val="00075872"/>
    <w:rsid w:val="000759BB"/>
    <w:rsid w:val="000759EF"/>
    <w:rsid w:val="00076035"/>
    <w:rsid w:val="0007613A"/>
    <w:rsid w:val="0007619D"/>
    <w:rsid w:val="000765DC"/>
    <w:rsid w:val="000769D2"/>
    <w:rsid w:val="00076ACD"/>
    <w:rsid w:val="00076C4D"/>
    <w:rsid w:val="00076DCF"/>
    <w:rsid w:val="00076E8D"/>
    <w:rsid w:val="00076FE9"/>
    <w:rsid w:val="0007701E"/>
    <w:rsid w:val="000775E3"/>
    <w:rsid w:val="000776B3"/>
    <w:rsid w:val="00077AD1"/>
    <w:rsid w:val="00077DF1"/>
    <w:rsid w:val="00080371"/>
    <w:rsid w:val="00080673"/>
    <w:rsid w:val="00080BDB"/>
    <w:rsid w:val="00080C10"/>
    <w:rsid w:val="00080C35"/>
    <w:rsid w:val="00080DFE"/>
    <w:rsid w:val="00081D4C"/>
    <w:rsid w:val="0008221D"/>
    <w:rsid w:val="00082313"/>
    <w:rsid w:val="00082558"/>
    <w:rsid w:val="000825A9"/>
    <w:rsid w:val="00082771"/>
    <w:rsid w:val="00082BD1"/>
    <w:rsid w:val="00082C00"/>
    <w:rsid w:val="00082C26"/>
    <w:rsid w:val="00082FF8"/>
    <w:rsid w:val="000830DA"/>
    <w:rsid w:val="000831AD"/>
    <w:rsid w:val="00083770"/>
    <w:rsid w:val="000837C2"/>
    <w:rsid w:val="000837E8"/>
    <w:rsid w:val="00083948"/>
    <w:rsid w:val="000840CF"/>
    <w:rsid w:val="000841EA"/>
    <w:rsid w:val="00084288"/>
    <w:rsid w:val="000844AC"/>
    <w:rsid w:val="0008484B"/>
    <w:rsid w:val="00084DB8"/>
    <w:rsid w:val="00084F52"/>
    <w:rsid w:val="0008512F"/>
    <w:rsid w:val="000851A0"/>
    <w:rsid w:val="0008591F"/>
    <w:rsid w:val="00085A6E"/>
    <w:rsid w:val="00085FC4"/>
    <w:rsid w:val="00086313"/>
    <w:rsid w:val="00086451"/>
    <w:rsid w:val="00086721"/>
    <w:rsid w:val="00086829"/>
    <w:rsid w:val="00086AD7"/>
    <w:rsid w:val="00087231"/>
    <w:rsid w:val="000872BE"/>
    <w:rsid w:val="000875E7"/>
    <w:rsid w:val="0009011C"/>
    <w:rsid w:val="0009084A"/>
    <w:rsid w:val="000908A5"/>
    <w:rsid w:val="00090986"/>
    <w:rsid w:val="000909B8"/>
    <w:rsid w:val="00090F54"/>
    <w:rsid w:val="00090F5D"/>
    <w:rsid w:val="000911EC"/>
    <w:rsid w:val="000916C2"/>
    <w:rsid w:val="000917D0"/>
    <w:rsid w:val="00091D0E"/>
    <w:rsid w:val="00091E38"/>
    <w:rsid w:val="000924B5"/>
    <w:rsid w:val="00092A6A"/>
    <w:rsid w:val="00092B80"/>
    <w:rsid w:val="00092F02"/>
    <w:rsid w:val="000930DE"/>
    <w:rsid w:val="000934EB"/>
    <w:rsid w:val="00094142"/>
    <w:rsid w:val="0009418C"/>
    <w:rsid w:val="00094316"/>
    <w:rsid w:val="00094594"/>
    <w:rsid w:val="0009484C"/>
    <w:rsid w:val="0009489C"/>
    <w:rsid w:val="0009491D"/>
    <w:rsid w:val="000949B4"/>
    <w:rsid w:val="00094B3F"/>
    <w:rsid w:val="00094D8A"/>
    <w:rsid w:val="00094DFA"/>
    <w:rsid w:val="000951C3"/>
    <w:rsid w:val="000956AB"/>
    <w:rsid w:val="00095C01"/>
    <w:rsid w:val="00095E4A"/>
    <w:rsid w:val="00096222"/>
    <w:rsid w:val="00096385"/>
    <w:rsid w:val="00096625"/>
    <w:rsid w:val="00096641"/>
    <w:rsid w:val="00096B63"/>
    <w:rsid w:val="00096BB1"/>
    <w:rsid w:val="00096EBA"/>
    <w:rsid w:val="00096ED4"/>
    <w:rsid w:val="000970A4"/>
    <w:rsid w:val="0009786C"/>
    <w:rsid w:val="000978AE"/>
    <w:rsid w:val="000978F3"/>
    <w:rsid w:val="00097994"/>
    <w:rsid w:val="000979CE"/>
    <w:rsid w:val="00097D19"/>
    <w:rsid w:val="000A0925"/>
    <w:rsid w:val="000A094A"/>
    <w:rsid w:val="000A0CC3"/>
    <w:rsid w:val="000A0D05"/>
    <w:rsid w:val="000A0DAD"/>
    <w:rsid w:val="000A0E0A"/>
    <w:rsid w:val="000A0EC2"/>
    <w:rsid w:val="000A1020"/>
    <w:rsid w:val="000A12A2"/>
    <w:rsid w:val="000A12FF"/>
    <w:rsid w:val="000A14C7"/>
    <w:rsid w:val="000A1624"/>
    <w:rsid w:val="000A18F8"/>
    <w:rsid w:val="000A1D55"/>
    <w:rsid w:val="000A1EF9"/>
    <w:rsid w:val="000A21A3"/>
    <w:rsid w:val="000A21C7"/>
    <w:rsid w:val="000A28E3"/>
    <w:rsid w:val="000A2A94"/>
    <w:rsid w:val="000A3062"/>
    <w:rsid w:val="000A33A6"/>
    <w:rsid w:val="000A33F6"/>
    <w:rsid w:val="000A3548"/>
    <w:rsid w:val="000A3693"/>
    <w:rsid w:val="000A383A"/>
    <w:rsid w:val="000A385E"/>
    <w:rsid w:val="000A38B4"/>
    <w:rsid w:val="000A3948"/>
    <w:rsid w:val="000A41F8"/>
    <w:rsid w:val="000A4298"/>
    <w:rsid w:val="000A4303"/>
    <w:rsid w:val="000A4819"/>
    <w:rsid w:val="000A4978"/>
    <w:rsid w:val="000A4C47"/>
    <w:rsid w:val="000A4C71"/>
    <w:rsid w:val="000A5091"/>
    <w:rsid w:val="000A50EE"/>
    <w:rsid w:val="000A5131"/>
    <w:rsid w:val="000A5386"/>
    <w:rsid w:val="000A5A2C"/>
    <w:rsid w:val="000A6B9C"/>
    <w:rsid w:val="000A6CFA"/>
    <w:rsid w:val="000A71A2"/>
    <w:rsid w:val="000A73DC"/>
    <w:rsid w:val="000A7719"/>
    <w:rsid w:val="000A7E75"/>
    <w:rsid w:val="000B011C"/>
    <w:rsid w:val="000B015E"/>
    <w:rsid w:val="000B01B9"/>
    <w:rsid w:val="000B04BE"/>
    <w:rsid w:val="000B0866"/>
    <w:rsid w:val="000B09E9"/>
    <w:rsid w:val="000B09F7"/>
    <w:rsid w:val="000B0FC8"/>
    <w:rsid w:val="000B11F4"/>
    <w:rsid w:val="000B1603"/>
    <w:rsid w:val="000B1627"/>
    <w:rsid w:val="000B1C8A"/>
    <w:rsid w:val="000B23D3"/>
    <w:rsid w:val="000B2A70"/>
    <w:rsid w:val="000B2B39"/>
    <w:rsid w:val="000B31FB"/>
    <w:rsid w:val="000B3256"/>
    <w:rsid w:val="000B32B3"/>
    <w:rsid w:val="000B33BC"/>
    <w:rsid w:val="000B34B7"/>
    <w:rsid w:val="000B355B"/>
    <w:rsid w:val="000B35EB"/>
    <w:rsid w:val="000B3750"/>
    <w:rsid w:val="000B3AE3"/>
    <w:rsid w:val="000B3B01"/>
    <w:rsid w:val="000B3B57"/>
    <w:rsid w:val="000B3E49"/>
    <w:rsid w:val="000B411A"/>
    <w:rsid w:val="000B41A4"/>
    <w:rsid w:val="000B49D6"/>
    <w:rsid w:val="000B4A51"/>
    <w:rsid w:val="000B4A9B"/>
    <w:rsid w:val="000B4F25"/>
    <w:rsid w:val="000B5318"/>
    <w:rsid w:val="000B53B8"/>
    <w:rsid w:val="000B55B5"/>
    <w:rsid w:val="000B59FA"/>
    <w:rsid w:val="000B5AD0"/>
    <w:rsid w:val="000B5B4E"/>
    <w:rsid w:val="000B5BF4"/>
    <w:rsid w:val="000B5D2F"/>
    <w:rsid w:val="000B5DFE"/>
    <w:rsid w:val="000B6462"/>
    <w:rsid w:val="000B6663"/>
    <w:rsid w:val="000B67DA"/>
    <w:rsid w:val="000B6C3D"/>
    <w:rsid w:val="000B6F90"/>
    <w:rsid w:val="000B704F"/>
    <w:rsid w:val="000B73C4"/>
    <w:rsid w:val="000B755E"/>
    <w:rsid w:val="000B775B"/>
    <w:rsid w:val="000B7D5F"/>
    <w:rsid w:val="000B7DD3"/>
    <w:rsid w:val="000B7F66"/>
    <w:rsid w:val="000C01F7"/>
    <w:rsid w:val="000C06E5"/>
    <w:rsid w:val="000C0773"/>
    <w:rsid w:val="000C0991"/>
    <w:rsid w:val="000C09C1"/>
    <w:rsid w:val="000C09E9"/>
    <w:rsid w:val="000C11CE"/>
    <w:rsid w:val="000C147C"/>
    <w:rsid w:val="000C1D77"/>
    <w:rsid w:val="000C214C"/>
    <w:rsid w:val="000C22D4"/>
    <w:rsid w:val="000C25E5"/>
    <w:rsid w:val="000C2F90"/>
    <w:rsid w:val="000C34EE"/>
    <w:rsid w:val="000C3601"/>
    <w:rsid w:val="000C3E0D"/>
    <w:rsid w:val="000C3E23"/>
    <w:rsid w:val="000C3EA4"/>
    <w:rsid w:val="000C4716"/>
    <w:rsid w:val="000C474B"/>
    <w:rsid w:val="000C4859"/>
    <w:rsid w:val="000C49F6"/>
    <w:rsid w:val="000C4A95"/>
    <w:rsid w:val="000C4ACE"/>
    <w:rsid w:val="000C4BF6"/>
    <w:rsid w:val="000C5707"/>
    <w:rsid w:val="000C5809"/>
    <w:rsid w:val="000C5B8E"/>
    <w:rsid w:val="000C6108"/>
    <w:rsid w:val="000C61F7"/>
    <w:rsid w:val="000C62BF"/>
    <w:rsid w:val="000C6495"/>
    <w:rsid w:val="000C6707"/>
    <w:rsid w:val="000C6890"/>
    <w:rsid w:val="000C6EF4"/>
    <w:rsid w:val="000C7544"/>
    <w:rsid w:val="000C75D5"/>
    <w:rsid w:val="000C787B"/>
    <w:rsid w:val="000C78C4"/>
    <w:rsid w:val="000C7B1A"/>
    <w:rsid w:val="000D0025"/>
    <w:rsid w:val="000D018B"/>
    <w:rsid w:val="000D0573"/>
    <w:rsid w:val="000D0BB1"/>
    <w:rsid w:val="000D0F31"/>
    <w:rsid w:val="000D10B1"/>
    <w:rsid w:val="000D11E6"/>
    <w:rsid w:val="000D182D"/>
    <w:rsid w:val="000D22DB"/>
    <w:rsid w:val="000D237A"/>
    <w:rsid w:val="000D26BA"/>
    <w:rsid w:val="000D2A93"/>
    <w:rsid w:val="000D2E52"/>
    <w:rsid w:val="000D31F9"/>
    <w:rsid w:val="000D3218"/>
    <w:rsid w:val="000D322B"/>
    <w:rsid w:val="000D324F"/>
    <w:rsid w:val="000D3422"/>
    <w:rsid w:val="000D3558"/>
    <w:rsid w:val="000D3708"/>
    <w:rsid w:val="000D3BC9"/>
    <w:rsid w:val="000D3ECA"/>
    <w:rsid w:val="000D3F2A"/>
    <w:rsid w:val="000D4242"/>
    <w:rsid w:val="000D451C"/>
    <w:rsid w:val="000D49FE"/>
    <w:rsid w:val="000D4E04"/>
    <w:rsid w:val="000D50A1"/>
    <w:rsid w:val="000D53A5"/>
    <w:rsid w:val="000D5480"/>
    <w:rsid w:val="000D5676"/>
    <w:rsid w:val="000D57A8"/>
    <w:rsid w:val="000D5B3F"/>
    <w:rsid w:val="000D5CA1"/>
    <w:rsid w:val="000D5DD6"/>
    <w:rsid w:val="000D5E2A"/>
    <w:rsid w:val="000D6357"/>
    <w:rsid w:val="000D641A"/>
    <w:rsid w:val="000D6BC5"/>
    <w:rsid w:val="000D6F1F"/>
    <w:rsid w:val="000D73A7"/>
    <w:rsid w:val="000D75A7"/>
    <w:rsid w:val="000D7633"/>
    <w:rsid w:val="000D7D9D"/>
    <w:rsid w:val="000E03A0"/>
    <w:rsid w:val="000E04EB"/>
    <w:rsid w:val="000E0596"/>
    <w:rsid w:val="000E07FF"/>
    <w:rsid w:val="000E08F3"/>
    <w:rsid w:val="000E0B41"/>
    <w:rsid w:val="000E0BEE"/>
    <w:rsid w:val="000E0F0C"/>
    <w:rsid w:val="000E12C1"/>
    <w:rsid w:val="000E15B2"/>
    <w:rsid w:val="000E1684"/>
    <w:rsid w:val="000E1B08"/>
    <w:rsid w:val="000E1DFB"/>
    <w:rsid w:val="000E2052"/>
    <w:rsid w:val="000E2761"/>
    <w:rsid w:val="000E2773"/>
    <w:rsid w:val="000E292F"/>
    <w:rsid w:val="000E2D2F"/>
    <w:rsid w:val="000E2DBB"/>
    <w:rsid w:val="000E32CD"/>
    <w:rsid w:val="000E32EC"/>
    <w:rsid w:val="000E3529"/>
    <w:rsid w:val="000E3577"/>
    <w:rsid w:val="000E357A"/>
    <w:rsid w:val="000E36B7"/>
    <w:rsid w:val="000E3AD3"/>
    <w:rsid w:val="000E42ED"/>
    <w:rsid w:val="000E464D"/>
    <w:rsid w:val="000E4972"/>
    <w:rsid w:val="000E4F76"/>
    <w:rsid w:val="000E554B"/>
    <w:rsid w:val="000E56AF"/>
    <w:rsid w:val="000E57A6"/>
    <w:rsid w:val="000E5943"/>
    <w:rsid w:val="000E5CD9"/>
    <w:rsid w:val="000E6112"/>
    <w:rsid w:val="000E639B"/>
    <w:rsid w:val="000E64D9"/>
    <w:rsid w:val="000E69E4"/>
    <w:rsid w:val="000E6A8C"/>
    <w:rsid w:val="000E6B02"/>
    <w:rsid w:val="000E6CA1"/>
    <w:rsid w:val="000E6FC5"/>
    <w:rsid w:val="000E7035"/>
    <w:rsid w:val="000E7153"/>
    <w:rsid w:val="000E7176"/>
    <w:rsid w:val="000E719F"/>
    <w:rsid w:val="000E720D"/>
    <w:rsid w:val="000E72BB"/>
    <w:rsid w:val="000E7811"/>
    <w:rsid w:val="000E7C96"/>
    <w:rsid w:val="000E7D78"/>
    <w:rsid w:val="000E7EE5"/>
    <w:rsid w:val="000E7F67"/>
    <w:rsid w:val="000F0015"/>
    <w:rsid w:val="000F0165"/>
    <w:rsid w:val="000F0348"/>
    <w:rsid w:val="000F099A"/>
    <w:rsid w:val="000F0C1F"/>
    <w:rsid w:val="000F0FD3"/>
    <w:rsid w:val="000F1187"/>
    <w:rsid w:val="000F12C9"/>
    <w:rsid w:val="000F1477"/>
    <w:rsid w:val="000F1543"/>
    <w:rsid w:val="000F156F"/>
    <w:rsid w:val="000F1998"/>
    <w:rsid w:val="000F1D44"/>
    <w:rsid w:val="000F1DD9"/>
    <w:rsid w:val="000F221D"/>
    <w:rsid w:val="000F265D"/>
    <w:rsid w:val="000F2786"/>
    <w:rsid w:val="000F2A04"/>
    <w:rsid w:val="000F2AFC"/>
    <w:rsid w:val="000F2BBA"/>
    <w:rsid w:val="000F2D84"/>
    <w:rsid w:val="000F30A8"/>
    <w:rsid w:val="000F312D"/>
    <w:rsid w:val="000F38B7"/>
    <w:rsid w:val="000F39C8"/>
    <w:rsid w:val="000F3BF1"/>
    <w:rsid w:val="000F47AE"/>
    <w:rsid w:val="000F4BA5"/>
    <w:rsid w:val="000F4C33"/>
    <w:rsid w:val="000F51A6"/>
    <w:rsid w:val="000F51FA"/>
    <w:rsid w:val="000F52E1"/>
    <w:rsid w:val="000F56C6"/>
    <w:rsid w:val="000F5CD6"/>
    <w:rsid w:val="000F5D20"/>
    <w:rsid w:val="000F62F7"/>
    <w:rsid w:val="000F67A1"/>
    <w:rsid w:val="000F6AAC"/>
    <w:rsid w:val="000F6AF3"/>
    <w:rsid w:val="000F6F19"/>
    <w:rsid w:val="000F6FD7"/>
    <w:rsid w:val="000F74CF"/>
    <w:rsid w:val="000F7500"/>
    <w:rsid w:val="000F785F"/>
    <w:rsid w:val="000F7A79"/>
    <w:rsid w:val="000F7EF9"/>
    <w:rsid w:val="000F7F77"/>
    <w:rsid w:val="001000EF"/>
    <w:rsid w:val="00100180"/>
    <w:rsid w:val="001003F0"/>
    <w:rsid w:val="00100416"/>
    <w:rsid w:val="00100533"/>
    <w:rsid w:val="00100563"/>
    <w:rsid w:val="001006C3"/>
    <w:rsid w:val="00100899"/>
    <w:rsid w:val="001008A4"/>
    <w:rsid w:val="001008D3"/>
    <w:rsid w:val="00101338"/>
    <w:rsid w:val="001016D0"/>
    <w:rsid w:val="00101779"/>
    <w:rsid w:val="00101790"/>
    <w:rsid w:val="001018D8"/>
    <w:rsid w:val="0010198D"/>
    <w:rsid w:val="00101AAD"/>
    <w:rsid w:val="00101B47"/>
    <w:rsid w:val="00101BFB"/>
    <w:rsid w:val="00102984"/>
    <w:rsid w:val="00102A07"/>
    <w:rsid w:val="00102A3D"/>
    <w:rsid w:val="00102AE6"/>
    <w:rsid w:val="00102C07"/>
    <w:rsid w:val="00102C7A"/>
    <w:rsid w:val="00102C89"/>
    <w:rsid w:val="00103005"/>
    <w:rsid w:val="0010308F"/>
    <w:rsid w:val="00103357"/>
    <w:rsid w:val="001034AB"/>
    <w:rsid w:val="001035DC"/>
    <w:rsid w:val="001036F9"/>
    <w:rsid w:val="00103B51"/>
    <w:rsid w:val="00103F97"/>
    <w:rsid w:val="00104018"/>
    <w:rsid w:val="00104DE1"/>
    <w:rsid w:val="001051DB"/>
    <w:rsid w:val="001052F3"/>
    <w:rsid w:val="001055E7"/>
    <w:rsid w:val="0010575D"/>
    <w:rsid w:val="00105808"/>
    <w:rsid w:val="00105DFD"/>
    <w:rsid w:val="00105F22"/>
    <w:rsid w:val="001065E7"/>
    <w:rsid w:val="0010666B"/>
    <w:rsid w:val="00106AE5"/>
    <w:rsid w:val="00106B0B"/>
    <w:rsid w:val="00106B2F"/>
    <w:rsid w:val="00106D17"/>
    <w:rsid w:val="00106DB6"/>
    <w:rsid w:val="0010711B"/>
    <w:rsid w:val="0010764A"/>
    <w:rsid w:val="00107819"/>
    <w:rsid w:val="00107AA1"/>
    <w:rsid w:val="00107AA9"/>
    <w:rsid w:val="001107D1"/>
    <w:rsid w:val="001109BB"/>
    <w:rsid w:val="00110BFE"/>
    <w:rsid w:val="00110D8C"/>
    <w:rsid w:val="001110FD"/>
    <w:rsid w:val="001117FC"/>
    <w:rsid w:val="001118AA"/>
    <w:rsid w:val="00111A5B"/>
    <w:rsid w:val="00111D17"/>
    <w:rsid w:val="0011234A"/>
    <w:rsid w:val="00112408"/>
    <w:rsid w:val="00112593"/>
    <w:rsid w:val="00112797"/>
    <w:rsid w:val="001129E3"/>
    <w:rsid w:val="00112ACA"/>
    <w:rsid w:val="00112D78"/>
    <w:rsid w:val="00113022"/>
    <w:rsid w:val="0011326C"/>
    <w:rsid w:val="001139B0"/>
    <w:rsid w:val="00113DDD"/>
    <w:rsid w:val="001141D2"/>
    <w:rsid w:val="0011431F"/>
    <w:rsid w:val="001143E2"/>
    <w:rsid w:val="00114901"/>
    <w:rsid w:val="001149D8"/>
    <w:rsid w:val="00114CDC"/>
    <w:rsid w:val="001155DC"/>
    <w:rsid w:val="00115741"/>
    <w:rsid w:val="00115B18"/>
    <w:rsid w:val="00115B6A"/>
    <w:rsid w:val="00115FE0"/>
    <w:rsid w:val="0011620E"/>
    <w:rsid w:val="0011652D"/>
    <w:rsid w:val="00116672"/>
    <w:rsid w:val="00116697"/>
    <w:rsid w:val="00116BC7"/>
    <w:rsid w:val="00116D54"/>
    <w:rsid w:val="00116F48"/>
    <w:rsid w:val="00117211"/>
    <w:rsid w:val="0011750C"/>
    <w:rsid w:val="001176C8"/>
    <w:rsid w:val="001177EC"/>
    <w:rsid w:val="001201C9"/>
    <w:rsid w:val="001201F9"/>
    <w:rsid w:val="001206D7"/>
    <w:rsid w:val="00120716"/>
    <w:rsid w:val="0012077C"/>
    <w:rsid w:val="001209A9"/>
    <w:rsid w:val="00120A5C"/>
    <w:rsid w:val="00120E15"/>
    <w:rsid w:val="001214C1"/>
    <w:rsid w:val="00121CE3"/>
    <w:rsid w:val="00121E7B"/>
    <w:rsid w:val="0012210A"/>
    <w:rsid w:val="001221DB"/>
    <w:rsid w:val="00122586"/>
    <w:rsid w:val="0012291E"/>
    <w:rsid w:val="00122BBE"/>
    <w:rsid w:val="00122D59"/>
    <w:rsid w:val="00122DAE"/>
    <w:rsid w:val="00122F94"/>
    <w:rsid w:val="00123196"/>
    <w:rsid w:val="0012371D"/>
    <w:rsid w:val="00124115"/>
    <w:rsid w:val="0012415F"/>
    <w:rsid w:val="001244AF"/>
    <w:rsid w:val="001244DB"/>
    <w:rsid w:val="001244F9"/>
    <w:rsid w:val="00124682"/>
    <w:rsid w:val="0012484A"/>
    <w:rsid w:val="001249ED"/>
    <w:rsid w:val="00124B25"/>
    <w:rsid w:val="00124D6E"/>
    <w:rsid w:val="00124DE1"/>
    <w:rsid w:val="00124FA4"/>
    <w:rsid w:val="0012521E"/>
    <w:rsid w:val="001254C1"/>
    <w:rsid w:val="00125D96"/>
    <w:rsid w:val="0012617F"/>
    <w:rsid w:val="00126308"/>
    <w:rsid w:val="001263F1"/>
    <w:rsid w:val="00126646"/>
    <w:rsid w:val="001268B7"/>
    <w:rsid w:val="00126B7F"/>
    <w:rsid w:val="00126D0A"/>
    <w:rsid w:val="00126EA2"/>
    <w:rsid w:val="00126EEE"/>
    <w:rsid w:val="00126F4F"/>
    <w:rsid w:val="00127165"/>
    <w:rsid w:val="001275F1"/>
    <w:rsid w:val="00127B15"/>
    <w:rsid w:val="00127C04"/>
    <w:rsid w:val="00127D12"/>
    <w:rsid w:val="00127EDE"/>
    <w:rsid w:val="00130052"/>
    <w:rsid w:val="0013012A"/>
    <w:rsid w:val="0013049C"/>
    <w:rsid w:val="00130843"/>
    <w:rsid w:val="00130877"/>
    <w:rsid w:val="00130901"/>
    <w:rsid w:val="00130987"/>
    <w:rsid w:val="00130A54"/>
    <w:rsid w:val="00130BE1"/>
    <w:rsid w:val="00130D14"/>
    <w:rsid w:val="00130D97"/>
    <w:rsid w:val="00130EF5"/>
    <w:rsid w:val="00130FA8"/>
    <w:rsid w:val="001311DF"/>
    <w:rsid w:val="00131331"/>
    <w:rsid w:val="001315C3"/>
    <w:rsid w:val="001317AD"/>
    <w:rsid w:val="0013187B"/>
    <w:rsid w:val="001319D4"/>
    <w:rsid w:val="00131A37"/>
    <w:rsid w:val="00131B71"/>
    <w:rsid w:val="00131C51"/>
    <w:rsid w:val="00131F7C"/>
    <w:rsid w:val="0013201B"/>
    <w:rsid w:val="001320B6"/>
    <w:rsid w:val="001321DA"/>
    <w:rsid w:val="001324BB"/>
    <w:rsid w:val="001327E1"/>
    <w:rsid w:val="001327FA"/>
    <w:rsid w:val="0013284D"/>
    <w:rsid w:val="00132D27"/>
    <w:rsid w:val="001331E8"/>
    <w:rsid w:val="001335F3"/>
    <w:rsid w:val="0013360D"/>
    <w:rsid w:val="0013393F"/>
    <w:rsid w:val="00133AF1"/>
    <w:rsid w:val="00133DA0"/>
    <w:rsid w:val="00134425"/>
    <w:rsid w:val="001348C1"/>
    <w:rsid w:val="001349E1"/>
    <w:rsid w:val="00134A51"/>
    <w:rsid w:val="00134A7F"/>
    <w:rsid w:val="00134E3A"/>
    <w:rsid w:val="00134E5E"/>
    <w:rsid w:val="001350DF"/>
    <w:rsid w:val="0013520F"/>
    <w:rsid w:val="001356C5"/>
    <w:rsid w:val="001356E8"/>
    <w:rsid w:val="00135F1B"/>
    <w:rsid w:val="00136223"/>
    <w:rsid w:val="0013698D"/>
    <w:rsid w:val="00137419"/>
    <w:rsid w:val="00137573"/>
    <w:rsid w:val="00137654"/>
    <w:rsid w:val="0013797F"/>
    <w:rsid w:val="001400E0"/>
    <w:rsid w:val="001401C5"/>
    <w:rsid w:val="00140237"/>
    <w:rsid w:val="0014029E"/>
    <w:rsid w:val="0014035C"/>
    <w:rsid w:val="001403D1"/>
    <w:rsid w:val="001408D7"/>
    <w:rsid w:val="00140BD0"/>
    <w:rsid w:val="00140CB2"/>
    <w:rsid w:val="001411B4"/>
    <w:rsid w:val="0014120A"/>
    <w:rsid w:val="00141249"/>
    <w:rsid w:val="001412CB"/>
    <w:rsid w:val="00141ADA"/>
    <w:rsid w:val="00141B3D"/>
    <w:rsid w:val="00141D04"/>
    <w:rsid w:val="00141D2C"/>
    <w:rsid w:val="00141D5B"/>
    <w:rsid w:val="00141D79"/>
    <w:rsid w:val="00141E68"/>
    <w:rsid w:val="001421C4"/>
    <w:rsid w:val="00142281"/>
    <w:rsid w:val="0014242B"/>
    <w:rsid w:val="0014265A"/>
    <w:rsid w:val="00142A57"/>
    <w:rsid w:val="00143054"/>
    <w:rsid w:val="0014318A"/>
    <w:rsid w:val="00143326"/>
    <w:rsid w:val="001434E5"/>
    <w:rsid w:val="001436CC"/>
    <w:rsid w:val="00144276"/>
    <w:rsid w:val="00144459"/>
    <w:rsid w:val="0014482E"/>
    <w:rsid w:val="001448BA"/>
    <w:rsid w:val="00144AC4"/>
    <w:rsid w:val="00144B27"/>
    <w:rsid w:val="00144E87"/>
    <w:rsid w:val="00144F0A"/>
    <w:rsid w:val="00144FDF"/>
    <w:rsid w:val="001453F2"/>
    <w:rsid w:val="001454B0"/>
    <w:rsid w:val="00145529"/>
    <w:rsid w:val="00145CC2"/>
    <w:rsid w:val="00145E02"/>
    <w:rsid w:val="00146061"/>
    <w:rsid w:val="00146454"/>
    <w:rsid w:val="001464C8"/>
    <w:rsid w:val="001466BA"/>
    <w:rsid w:val="00146850"/>
    <w:rsid w:val="00146D6C"/>
    <w:rsid w:val="001471B7"/>
    <w:rsid w:val="001475D5"/>
    <w:rsid w:val="001478D7"/>
    <w:rsid w:val="00147B68"/>
    <w:rsid w:val="00147C4E"/>
    <w:rsid w:val="00147F50"/>
    <w:rsid w:val="00150611"/>
    <w:rsid w:val="00150660"/>
    <w:rsid w:val="00150B61"/>
    <w:rsid w:val="00150E05"/>
    <w:rsid w:val="00150EB7"/>
    <w:rsid w:val="0015100F"/>
    <w:rsid w:val="001511B2"/>
    <w:rsid w:val="00151537"/>
    <w:rsid w:val="001519FE"/>
    <w:rsid w:val="00151C97"/>
    <w:rsid w:val="00151CB3"/>
    <w:rsid w:val="00151CD4"/>
    <w:rsid w:val="00151DDC"/>
    <w:rsid w:val="00151F5F"/>
    <w:rsid w:val="001523C8"/>
    <w:rsid w:val="00152529"/>
    <w:rsid w:val="0015258D"/>
    <w:rsid w:val="00152A2E"/>
    <w:rsid w:val="00152A81"/>
    <w:rsid w:val="00152F94"/>
    <w:rsid w:val="00153063"/>
    <w:rsid w:val="00153149"/>
    <w:rsid w:val="00153829"/>
    <w:rsid w:val="00153F81"/>
    <w:rsid w:val="0015429C"/>
    <w:rsid w:val="00154516"/>
    <w:rsid w:val="0015510D"/>
    <w:rsid w:val="00155D19"/>
    <w:rsid w:val="0015601E"/>
    <w:rsid w:val="001563E7"/>
    <w:rsid w:val="001564B0"/>
    <w:rsid w:val="00156A75"/>
    <w:rsid w:val="00156CC4"/>
    <w:rsid w:val="00156EA8"/>
    <w:rsid w:val="00157171"/>
    <w:rsid w:val="001574BE"/>
    <w:rsid w:val="00157574"/>
    <w:rsid w:val="001576DF"/>
    <w:rsid w:val="00157891"/>
    <w:rsid w:val="00157A7F"/>
    <w:rsid w:val="00157DBD"/>
    <w:rsid w:val="00157F6F"/>
    <w:rsid w:val="00157FF3"/>
    <w:rsid w:val="001604FD"/>
    <w:rsid w:val="001607A1"/>
    <w:rsid w:val="001609C3"/>
    <w:rsid w:val="00160CE5"/>
    <w:rsid w:val="001615A7"/>
    <w:rsid w:val="0016178D"/>
    <w:rsid w:val="00161AA9"/>
    <w:rsid w:val="00161B2C"/>
    <w:rsid w:val="00161FA5"/>
    <w:rsid w:val="001621EE"/>
    <w:rsid w:val="0016226E"/>
    <w:rsid w:val="001624A0"/>
    <w:rsid w:val="00162572"/>
    <w:rsid w:val="001625D3"/>
    <w:rsid w:val="00162A64"/>
    <w:rsid w:val="00163085"/>
    <w:rsid w:val="0016332A"/>
    <w:rsid w:val="00163556"/>
    <w:rsid w:val="001637A9"/>
    <w:rsid w:val="0016389C"/>
    <w:rsid w:val="00163970"/>
    <w:rsid w:val="00163AD8"/>
    <w:rsid w:val="00163E49"/>
    <w:rsid w:val="001640A0"/>
    <w:rsid w:val="001640D1"/>
    <w:rsid w:val="001644D0"/>
    <w:rsid w:val="00164A5E"/>
    <w:rsid w:val="00165378"/>
    <w:rsid w:val="001655E0"/>
    <w:rsid w:val="001656F1"/>
    <w:rsid w:val="001657AA"/>
    <w:rsid w:val="001658B8"/>
    <w:rsid w:val="00165DB3"/>
    <w:rsid w:val="0016638E"/>
    <w:rsid w:val="001663B8"/>
    <w:rsid w:val="001664C0"/>
    <w:rsid w:val="001665C5"/>
    <w:rsid w:val="001665F7"/>
    <w:rsid w:val="001667E5"/>
    <w:rsid w:val="001669C1"/>
    <w:rsid w:val="00166D45"/>
    <w:rsid w:val="0016720D"/>
    <w:rsid w:val="001673CB"/>
    <w:rsid w:val="001674DC"/>
    <w:rsid w:val="001677AC"/>
    <w:rsid w:val="00167E40"/>
    <w:rsid w:val="00170050"/>
    <w:rsid w:val="00170129"/>
    <w:rsid w:val="001705F1"/>
    <w:rsid w:val="00170EEB"/>
    <w:rsid w:val="00171135"/>
    <w:rsid w:val="0017159E"/>
    <w:rsid w:val="00171761"/>
    <w:rsid w:val="001719BD"/>
    <w:rsid w:val="00171A35"/>
    <w:rsid w:val="00171AA9"/>
    <w:rsid w:val="001726A4"/>
    <w:rsid w:val="00172AB2"/>
    <w:rsid w:val="00172E9F"/>
    <w:rsid w:val="0017321A"/>
    <w:rsid w:val="00173425"/>
    <w:rsid w:val="00173D34"/>
    <w:rsid w:val="00173E87"/>
    <w:rsid w:val="00173F13"/>
    <w:rsid w:val="00173F39"/>
    <w:rsid w:val="001745F5"/>
    <w:rsid w:val="00174855"/>
    <w:rsid w:val="001749D3"/>
    <w:rsid w:val="001749F5"/>
    <w:rsid w:val="00174B20"/>
    <w:rsid w:val="00174FFF"/>
    <w:rsid w:val="00175133"/>
    <w:rsid w:val="00175530"/>
    <w:rsid w:val="0017575A"/>
    <w:rsid w:val="00175852"/>
    <w:rsid w:val="001758B5"/>
    <w:rsid w:val="00175B3B"/>
    <w:rsid w:val="00175B62"/>
    <w:rsid w:val="001761FE"/>
    <w:rsid w:val="00176239"/>
    <w:rsid w:val="001763EF"/>
    <w:rsid w:val="00176476"/>
    <w:rsid w:val="00176598"/>
    <w:rsid w:val="00176760"/>
    <w:rsid w:val="00176B2D"/>
    <w:rsid w:val="00176D44"/>
    <w:rsid w:val="00176EFD"/>
    <w:rsid w:val="00176FF1"/>
    <w:rsid w:val="00177047"/>
    <w:rsid w:val="00177250"/>
    <w:rsid w:val="00177380"/>
    <w:rsid w:val="00177964"/>
    <w:rsid w:val="00177978"/>
    <w:rsid w:val="00177A5B"/>
    <w:rsid w:val="00177B86"/>
    <w:rsid w:val="00177BBE"/>
    <w:rsid w:val="00177D75"/>
    <w:rsid w:val="00177E2C"/>
    <w:rsid w:val="0018001D"/>
    <w:rsid w:val="0018020A"/>
    <w:rsid w:val="001802E2"/>
    <w:rsid w:val="001803EA"/>
    <w:rsid w:val="0018054E"/>
    <w:rsid w:val="001807AC"/>
    <w:rsid w:val="00180874"/>
    <w:rsid w:val="00180946"/>
    <w:rsid w:val="001809F2"/>
    <w:rsid w:val="00180AA5"/>
    <w:rsid w:val="00180BE8"/>
    <w:rsid w:val="00180C4E"/>
    <w:rsid w:val="00181422"/>
    <w:rsid w:val="00181457"/>
    <w:rsid w:val="0018148F"/>
    <w:rsid w:val="00181856"/>
    <w:rsid w:val="001819BF"/>
    <w:rsid w:val="00181D28"/>
    <w:rsid w:val="00181EE1"/>
    <w:rsid w:val="00181FA3"/>
    <w:rsid w:val="0018204A"/>
    <w:rsid w:val="0018214B"/>
    <w:rsid w:val="0018287C"/>
    <w:rsid w:val="00182C58"/>
    <w:rsid w:val="00182C68"/>
    <w:rsid w:val="00182E0C"/>
    <w:rsid w:val="00182F35"/>
    <w:rsid w:val="0018354F"/>
    <w:rsid w:val="00183A06"/>
    <w:rsid w:val="00183E45"/>
    <w:rsid w:val="00183F61"/>
    <w:rsid w:val="0018404A"/>
    <w:rsid w:val="0018451D"/>
    <w:rsid w:val="0018483D"/>
    <w:rsid w:val="00184B7C"/>
    <w:rsid w:val="00185076"/>
    <w:rsid w:val="001850F8"/>
    <w:rsid w:val="0018558F"/>
    <w:rsid w:val="0018563A"/>
    <w:rsid w:val="001857E3"/>
    <w:rsid w:val="0018582B"/>
    <w:rsid w:val="00185A30"/>
    <w:rsid w:val="00185B1F"/>
    <w:rsid w:val="00185D9C"/>
    <w:rsid w:val="00185E0F"/>
    <w:rsid w:val="0018607B"/>
    <w:rsid w:val="0018609A"/>
    <w:rsid w:val="001861BE"/>
    <w:rsid w:val="00186310"/>
    <w:rsid w:val="00186402"/>
    <w:rsid w:val="001867A2"/>
    <w:rsid w:val="00186BA0"/>
    <w:rsid w:val="00186C4C"/>
    <w:rsid w:val="00186F50"/>
    <w:rsid w:val="00187185"/>
    <w:rsid w:val="001877DF"/>
    <w:rsid w:val="00187812"/>
    <w:rsid w:val="00187B34"/>
    <w:rsid w:val="00187C0D"/>
    <w:rsid w:val="00187EE2"/>
    <w:rsid w:val="0019026B"/>
    <w:rsid w:val="001902BC"/>
    <w:rsid w:val="00190C3E"/>
    <w:rsid w:val="00190F52"/>
    <w:rsid w:val="001916A2"/>
    <w:rsid w:val="00191E8F"/>
    <w:rsid w:val="0019209D"/>
    <w:rsid w:val="00192330"/>
    <w:rsid w:val="00192751"/>
    <w:rsid w:val="00193B64"/>
    <w:rsid w:val="00193B75"/>
    <w:rsid w:val="00193BDC"/>
    <w:rsid w:val="00194140"/>
    <w:rsid w:val="00194721"/>
    <w:rsid w:val="00194844"/>
    <w:rsid w:val="001949BA"/>
    <w:rsid w:val="0019518E"/>
    <w:rsid w:val="00195593"/>
    <w:rsid w:val="001956F9"/>
    <w:rsid w:val="0019598B"/>
    <w:rsid w:val="00195B2C"/>
    <w:rsid w:val="00195ED7"/>
    <w:rsid w:val="001964B8"/>
    <w:rsid w:val="00196AEF"/>
    <w:rsid w:val="00196C0B"/>
    <w:rsid w:val="0019763C"/>
    <w:rsid w:val="001977E5"/>
    <w:rsid w:val="001A0425"/>
    <w:rsid w:val="001A0635"/>
    <w:rsid w:val="001A0763"/>
    <w:rsid w:val="001A090D"/>
    <w:rsid w:val="001A0A09"/>
    <w:rsid w:val="001A0EFA"/>
    <w:rsid w:val="001A1437"/>
    <w:rsid w:val="001A14C4"/>
    <w:rsid w:val="001A1A96"/>
    <w:rsid w:val="001A1DB0"/>
    <w:rsid w:val="001A232C"/>
    <w:rsid w:val="001A2416"/>
    <w:rsid w:val="001A24CC"/>
    <w:rsid w:val="001A2595"/>
    <w:rsid w:val="001A2672"/>
    <w:rsid w:val="001A26F9"/>
    <w:rsid w:val="001A2E23"/>
    <w:rsid w:val="001A2F20"/>
    <w:rsid w:val="001A321A"/>
    <w:rsid w:val="001A388D"/>
    <w:rsid w:val="001A3B8E"/>
    <w:rsid w:val="001A3E2D"/>
    <w:rsid w:val="001A473B"/>
    <w:rsid w:val="001A4763"/>
    <w:rsid w:val="001A4E96"/>
    <w:rsid w:val="001A4F69"/>
    <w:rsid w:val="001A57B2"/>
    <w:rsid w:val="001A5A0B"/>
    <w:rsid w:val="001A5ECF"/>
    <w:rsid w:val="001A64D8"/>
    <w:rsid w:val="001A69EE"/>
    <w:rsid w:val="001A6E8E"/>
    <w:rsid w:val="001A6F54"/>
    <w:rsid w:val="001A7017"/>
    <w:rsid w:val="001A7196"/>
    <w:rsid w:val="001A71BA"/>
    <w:rsid w:val="001A7A80"/>
    <w:rsid w:val="001A7AC8"/>
    <w:rsid w:val="001A7C04"/>
    <w:rsid w:val="001B0093"/>
    <w:rsid w:val="001B06CF"/>
    <w:rsid w:val="001B06EC"/>
    <w:rsid w:val="001B09B8"/>
    <w:rsid w:val="001B0A53"/>
    <w:rsid w:val="001B0C29"/>
    <w:rsid w:val="001B0F77"/>
    <w:rsid w:val="001B11E1"/>
    <w:rsid w:val="001B125E"/>
    <w:rsid w:val="001B1447"/>
    <w:rsid w:val="001B16F1"/>
    <w:rsid w:val="001B1D03"/>
    <w:rsid w:val="001B21B0"/>
    <w:rsid w:val="001B23CA"/>
    <w:rsid w:val="001B2492"/>
    <w:rsid w:val="001B249E"/>
    <w:rsid w:val="001B25DB"/>
    <w:rsid w:val="001B27A9"/>
    <w:rsid w:val="001B292E"/>
    <w:rsid w:val="001B2B24"/>
    <w:rsid w:val="001B2CA5"/>
    <w:rsid w:val="001B2DFB"/>
    <w:rsid w:val="001B3192"/>
    <w:rsid w:val="001B3294"/>
    <w:rsid w:val="001B3507"/>
    <w:rsid w:val="001B3A20"/>
    <w:rsid w:val="001B3CD4"/>
    <w:rsid w:val="001B4055"/>
    <w:rsid w:val="001B412B"/>
    <w:rsid w:val="001B41C6"/>
    <w:rsid w:val="001B4293"/>
    <w:rsid w:val="001B4891"/>
    <w:rsid w:val="001B48A0"/>
    <w:rsid w:val="001B5176"/>
    <w:rsid w:val="001B51C6"/>
    <w:rsid w:val="001B552C"/>
    <w:rsid w:val="001B56EC"/>
    <w:rsid w:val="001B5738"/>
    <w:rsid w:val="001B5804"/>
    <w:rsid w:val="001B5814"/>
    <w:rsid w:val="001B5850"/>
    <w:rsid w:val="001B594D"/>
    <w:rsid w:val="001B59DE"/>
    <w:rsid w:val="001B5ADA"/>
    <w:rsid w:val="001B5DE1"/>
    <w:rsid w:val="001B6004"/>
    <w:rsid w:val="001B6330"/>
    <w:rsid w:val="001B63D3"/>
    <w:rsid w:val="001B6557"/>
    <w:rsid w:val="001B6C4A"/>
    <w:rsid w:val="001B7004"/>
    <w:rsid w:val="001B79D9"/>
    <w:rsid w:val="001C0052"/>
    <w:rsid w:val="001C0AB2"/>
    <w:rsid w:val="001C1862"/>
    <w:rsid w:val="001C1AA3"/>
    <w:rsid w:val="001C1C34"/>
    <w:rsid w:val="001C1DD5"/>
    <w:rsid w:val="001C22F0"/>
    <w:rsid w:val="001C242E"/>
    <w:rsid w:val="001C24C0"/>
    <w:rsid w:val="001C278F"/>
    <w:rsid w:val="001C2EC9"/>
    <w:rsid w:val="001C317A"/>
    <w:rsid w:val="001C352A"/>
    <w:rsid w:val="001C38A4"/>
    <w:rsid w:val="001C4176"/>
    <w:rsid w:val="001C4401"/>
    <w:rsid w:val="001C4527"/>
    <w:rsid w:val="001C47BF"/>
    <w:rsid w:val="001C4A15"/>
    <w:rsid w:val="001C518E"/>
    <w:rsid w:val="001C54D7"/>
    <w:rsid w:val="001C5BD4"/>
    <w:rsid w:val="001C5CDD"/>
    <w:rsid w:val="001C6702"/>
    <w:rsid w:val="001C687D"/>
    <w:rsid w:val="001C6E68"/>
    <w:rsid w:val="001C7369"/>
    <w:rsid w:val="001C75D1"/>
    <w:rsid w:val="001D02E8"/>
    <w:rsid w:val="001D05C9"/>
    <w:rsid w:val="001D0B27"/>
    <w:rsid w:val="001D0CFC"/>
    <w:rsid w:val="001D1069"/>
    <w:rsid w:val="001D1290"/>
    <w:rsid w:val="001D1772"/>
    <w:rsid w:val="001D1782"/>
    <w:rsid w:val="001D1AEB"/>
    <w:rsid w:val="001D1AEC"/>
    <w:rsid w:val="001D1B29"/>
    <w:rsid w:val="001D1BB6"/>
    <w:rsid w:val="001D1BCE"/>
    <w:rsid w:val="001D1EB1"/>
    <w:rsid w:val="001D2080"/>
    <w:rsid w:val="001D21CC"/>
    <w:rsid w:val="001D22CC"/>
    <w:rsid w:val="001D2401"/>
    <w:rsid w:val="001D2476"/>
    <w:rsid w:val="001D2505"/>
    <w:rsid w:val="001D2756"/>
    <w:rsid w:val="001D28AC"/>
    <w:rsid w:val="001D2C4A"/>
    <w:rsid w:val="001D2DD3"/>
    <w:rsid w:val="001D2F1F"/>
    <w:rsid w:val="001D2FEB"/>
    <w:rsid w:val="001D30A3"/>
    <w:rsid w:val="001D33D0"/>
    <w:rsid w:val="001D3466"/>
    <w:rsid w:val="001D39A4"/>
    <w:rsid w:val="001D3AD3"/>
    <w:rsid w:val="001D3CFE"/>
    <w:rsid w:val="001D41C0"/>
    <w:rsid w:val="001D448D"/>
    <w:rsid w:val="001D479D"/>
    <w:rsid w:val="001D485D"/>
    <w:rsid w:val="001D488A"/>
    <w:rsid w:val="001D4D3D"/>
    <w:rsid w:val="001D511F"/>
    <w:rsid w:val="001D5380"/>
    <w:rsid w:val="001D5415"/>
    <w:rsid w:val="001D54A1"/>
    <w:rsid w:val="001D5634"/>
    <w:rsid w:val="001D564C"/>
    <w:rsid w:val="001D57D2"/>
    <w:rsid w:val="001D5F62"/>
    <w:rsid w:val="001D5F82"/>
    <w:rsid w:val="001D6018"/>
    <w:rsid w:val="001D63BC"/>
    <w:rsid w:val="001D6581"/>
    <w:rsid w:val="001D6625"/>
    <w:rsid w:val="001D678F"/>
    <w:rsid w:val="001D6904"/>
    <w:rsid w:val="001D69CE"/>
    <w:rsid w:val="001D6AC5"/>
    <w:rsid w:val="001D6DB3"/>
    <w:rsid w:val="001D73BC"/>
    <w:rsid w:val="001D73F5"/>
    <w:rsid w:val="001D7B73"/>
    <w:rsid w:val="001D7BD4"/>
    <w:rsid w:val="001D7DFC"/>
    <w:rsid w:val="001E0518"/>
    <w:rsid w:val="001E0641"/>
    <w:rsid w:val="001E07AF"/>
    <w:rsid w:val="001E0CAE"/>
    <w:rsid w:val="001E0DF2"/>
    <w:rsid w:val="001E168B"/>
    <w:rsid w:val="001E16BC"/>
    <w:rsid w:val="001E1995"/>
    <w:rsid w:val="001E19CA"/>
    <w:rsid w:val="001E1CE4"/>
    <w:rsid w:val="001E1DB5"/>
    <w:rsid w:val="001E25C4"/>
    <w:rsid w:val="001E29D8"/>
    <w:rsid w:val="001E2AD7"/>
    <w:rsid w:val="001E2B53"/>
    <w:rsid w:val="001E2D89"/>
    <w:rsid w:val="001E2FAB"/>
    <w:rsid w:val="001E2FBE"/>
    <w:rsid w:val="001E3509"/>
    <w:rsid w:val="001E3609"/>
    <w:rsid w:val="001E38A5"/>
    <w:rsid w:val="001E390B"/>
    <w:rsid w:val="001E397A"/>
    <w:rsid w:val="001E3A62"/>
    <w:rsid w:val="001E3A7A"/>
    <w:rsid w:val="001E3C6D"/>
    <w:rsid w:val="001E3F26"/>
    <w:rsid w:val="001E4109"/>
    <w:rsid w:val="001E47DC"/>
    <w:rsid w:val="001E4B05"/>
    <w:rsid w:val="001E4C3D"/>
    <w:rsid w:val="001E4D8C"/>
    <w:rsid w:val="001E5099"/>
    <w:rsid w:val="001E5235"/>
    <w:rsid w:val="001E5651"/>
    <w:rsid w:val="001E578F"/>
    <w:rsid w:val="001E5C9F"/>
    <w:rsid w:val="001E5D66"/>
    <w:rsid w:val="001E6239"/>
    <w:rsid w:val="001E6740"/>
    <w:rsid w:val="001E689C"/>
    <w:rsid w:val="001E6998"/>
    <w:rsid w:val="001E69DB"/>
    <w:rsid w:val="001E6FDC"/>
    <w:rsid w:val="001E706E"/>
    <w:rsid w:val="001E7464"/>
    <w:rsid w:val="001E750D"/>
    <w:rsid w:val="001E77A9"/>
    <w:rsid w:val="001E7842"/>
    <w:rsid w:val="001E78FF"/>
    <w:rsid w:val="001E79E6"/>
    <w:rsid w:val="001E7BD3"/>
    <w:rsid w:val="001E7CE2"/>
    <w:rsid w:val="001F0154"/>
    <w:rsid w:val="001F0974"/>
    <w:rsid w:val="001F0AB9"/>
    <w:rsid w:val="001F0C7E"/>
    <w:rsid w:val="001F1437"/>
    <w:rsid w:val="001F186F"/>
    <w:rsid w:val="001F2164"/>
    <w:rsid w:val="001F2340"/>
    <w:rsid w:val="001F2511"/>
    <w:rsid w:val="001F256A"/>
    <w:rsid w:val="001F2896"/>
    <w:rsid w:val="001F2D1F"/>
    <w:rsid w:val="001F32F7"/>
    <w:rsid w:val="001F33ED"/>
    <w:rsid w:val="001F345C"/>
    <w:rsid w:val="001F3740"/>
    <w:rsid w:val="001F3819"/>
    <w:rsid w:val="001F3A4C"/>
    <w:rsid w:val="001F4073"/>
    <w:rsid w:val="001F4129"/>
    <w:rsid w:val="001F44BE"/>
    <w:rsid w:val="001F457C"/>
    <w:rsid w:val="001F4691"/>
    <w:rsid w:val="001F47D1"/>
    <w:rsid w:val="001F4977"/>
    <w:rsid w:val="001F4B1E"/>
    <w:rsid w:val="001F4EAA"/>
    <w:rsid w:val="001F51A4"/>
    <w:rsid w:val="001F542F"/>
    <w:rsid w:val="001F5AB6"/>
    <w:rsid w:val="001F5BA7"/>
    <w:rsid w:val="001F5E33"/>
    <w:rsid w:val="001F5E76"/>
    <w:rsid w:val="001F63C4"/>
    <w:rsid w:val="001F6601"/>
    <w:rsid w:val="001F6675"/>
    <w:rsid w:val="001F683C"/>
    <w:rsid w:val="001F68E6"/>
    <w:rsid w:val="001F779B"/>
    <w:rsid w:val="001F7853"/>
    <w:rsid w:val="001F7E02"/>
    <w:rsid w:val="00200023"/>
    <w:rsid w:val="00200037"/>
    <w:rsid w:val="00200435"/>
    <w:rsid w:val="002006B8"/>
    <w:rsid w:val="00200772"/>
    <w:rsid w:val="00200A66"/>
    <w:rsid w:val="00200C2E"/>
    <w:rsid w:val="00200C6C"/>
    <w:rsid w:val="0020145E"/>
    <w:rsid w:val="00201694"/>
    <w:rsid w:val="00201723"/>
    <w:rsid w:val="002021E4"/>
    <w:rsid w:val="002023E8"/>
    <w:rsid w:val="00202767"/>
    <w:rsid w:val="00202868"/>
    <w:rsid w:val="002029C4"/>
    <w:rsid w:val="00202E00"/>
    <w:rsid w:val="0020307C"/>
    <w:rsid w:val="00203120"/>
    <w:rsid w:val="00203467"/>
    <w:rsid w:val="002034AC"/>
    <w:rsid w:val="00203512"/>
    <w:rsid w:val="002038EE"/>
    <w:rsid w:val="00203D32"/>
    <w:rsid w:val="00203DD4"/>
    <w:rsid w:val="00203E03"/>
    <w:rsid w:val="00203E3A"/>
    <w:rsid w:val="00203E58"/>
    <w:rsid w:val="00203EB5"/>
    <w:rsid w:val="00203FF4"/>
    <w:rsid w:val="0020404E"/>
    <w:rsid w:val="002040A3"/>
    <w:rsid w:val="0020415F"/>
    <w:rsid w:val="002042B2"/>
    <w:rsid w:val="002043B7"/>
    <w:rsid w:val="00204857"/>
    <w:rsid w:val="00204D66"/>
    <w:rsid w:val="00204DCD"/>
    <w:rsid w:val="0020569F"/>
    <w:rsid w:val="00205894"/>
    <w:rsid w:val="00205BF6"/>
    <w:rsid w:val="00205CB5"/>
    <w:rsid w:val="00205CC7"/>
    <w:rsid w:val="00205F57"/>
    <w:rsid w:val="0020603A"/>
    <w:rsid w:val="002066CA"/>
    <w:rsid w:val="002066D7"/>
    <w:rsid w:val="00206A39"/>
    <w:rsid w:val="00206D28"/>
    <w:rsid w:val="00206ED9"/>
    <w:rsid w:val="0020703C"/>
    <w:rsid w:val="002077C4"/>
    <w:rsid w:val="002078C5"/>
    <w:rsid w:val="00207A69"/>
    <w:rsid w:val="00207BAD"/>
    <w:rsid w:val="00207E08"/>
    <w:rsid w:val="00207E91"/>
    <w:rsid w:val="00207F5E"/>
    <w:rsid w:val="00207F8E"/>
    <w:rsid w:val="00207FE9"/>
    <w:rsid w:val="0021027C"/>
    <w:rsid w:val="00210427"/>
    <w:rsid w:val="002107C7"/>
    <w:rsid w:val="0021097C"/>
    <w:rsid w:val="00210A89"/>
    <w:rsid w:val="002110F0"/>
    <w:rsid w:val="00211457"/>
    <w:rsid w:val="00211749"/>
    <w:rsid w:val="00211813"/>
    <w:rsid w:val="00211C10"/>
    <w:rsid w:val="00211D26"/>
    <w:rsid w:val="00211EB6"/>
    <w:rsid w:val="002122A1"/>
    <w:rsid w:val="002122E3"/>
    <w:rsid w:val="0021235D"/>
    <w:rsid w:val="002123EE"/>
    <w:rsid w:val="002127E5"/>
    <w:rsid w:val="00212893"/>
    <w:rsid w:val="00212F98"/>
    <w:rsid w:val="0021306A"/>
    <w:rsid w:val="002130E0"/>
    <w:rsid w:val="0021340B"/>
    <w:rsid w:val="002135F4"/>
    <w:rsid w:val="002137DA"/>
    <w:rsid w:val="00213D1A"/>
    <w:rsid w:val="00214314"/>
    <w:rsid w:val="002143A8"/>
    <w:rsid w:val="0021440D"/>
    <w:rsid w:val="00214652"/>
    <w:rsid w:val="00214795"/>
    <w:rsid w:val="00214C95"/>
    <w:rsid w:val="00214E43"/>
    <w:rsid w:val="00215099"/>
    <w:rsid w:val="002158C1"/>
    <w:rsid w:val="0021592A"/>
    <w:rsid w:val="00215AB2"/>
    <w:rsid w:val="00215B1E"/>
    <w:rsid w:val="00216311"/>
    <w:rsid w:val="00216332"/>
    <w:rsid w:val="0021634B"/>
    <w:rsid w:val="002163F5"/>
    <w:rsid w:val="00216A36"/>
    <w:rsid w:val="00216E57"/>
    <w:rsid w:val="00216EF9"/>
    <w:rsid w:val="00217041"/>
    <w:rsid w:val="002170DA"/>
    <w:rsid w:val="00217466"/>
    <w:rsid w:val="002174E4"/>
    <w:rsid w:val="00217552"/>
    <w:rsid w:val="00217820"/>
    <w:rsid w:val="00217ADD"/>
    <w:rsid w:val="00217EE4"/>
    <w:rsid w:val="00220072"/>
    <w:rsid w:val="002204EC"/>
    <w:rsid w:val="00220A4B"/>
    <w:rsid w:val="00220A85"/>
    <w:rsid w:val="00220C18"/>
    <w:rsid w:val="00220E0E"/>
    <w:rsid w:val="00220FB0"/>
    <w:rsid w:val="00221000"/>
    <w:rsid w:val="00221005"/>
    <w:rsid w:val="00221232"/>
    <w:rsid w:val="0022125A"/>
    <w:rsid w:val="00221730"/>
    <w:rsid w:val="00221CB9"/>
    <w:rsid w:val="00221EF9"/>
    <w:rsid w:val="00221F99"/>
    <w:rsid w:val="0022203F"/>
    <w:rsid w:val="00222244"/>
    <w:rsid w:val="002226CB"/>
    <w:rsid w:val="002227D6"/>
    <w:rsid w:val="00222852"/>
    <w:rsid w:val="00222950"/>
    <w:rsid w:val="00222D6E"/>
    <w:rsid w:val="002232D9"/>
    <w:rsid w:val="00223553"/>
    <w:rsid w:val="0022360E"/>
    <w:rsid w:val="002244A0"/>
    <w:rsid w:val="0022461F"/>
    <w:rsid w:val="002247C1"/>
    <w:rsid w:val="00224868"/>
    <w:rsid w:val="002249B6"/>
    <w:rsid w:val="00224A13"/>
    <w:rsid w:val="00224A2D"/>
    <w:rsid w:val="00224AD6"/>
    <w:rsid w:val="00224CA1"/>
    <w:rsid w:val="002250A1"/>
    <w:rsid w:val="002251D0"/>
    <w:rsid w:val="0022541C"/>
    <w:rsid w:val="0022559A"/>
    <w:rsid w:val="00225740"/>
    <w:rsid w:val="00225917"/>
    <w:rsid w:val="00225AD5"/>
    <w:rsid w:val="00225BCC"/>
    <w:rsid w:val="00226233"/>
    <w:rsid w:val="00226280"/>
    <w:rsid w:val="00226626"/>
    <w:rsid w:val="00226750"/>
    <w:rsid w:val="002267B2"/>
    <w:rsid w:val="00226C77"/>
    <w:rsid w:val="00226EF0"/>
    <w:rsid w:val="0022712E"/>
    <w:rsid w:val="002273BF"/>
    <w:rsid w:val="00227624"/>
    <w:rsid w:val="00227910"/>
    <w:rsid w:val="00227C0F"/>
    <w:rsid w:val="00227C92"/>
    <w:rsid w:val="00227D0C"/>
    <w:rsid w:val="00227E6F"/>
    <w:rsid w:val="0023050D"/>
    <w:rsid w:val="002307D2"/>
    <w:rsid w:val="00230C6F"/>
    <w:rsid w:val="00230D90"/>
    <w:rsid w:val="00231214"/>
    <w:rsid w:val="002312CC"/>
    <w:rsid w:val="0023144E"/>
    <w:rsid w:val="00231C24"/>
    <w:rsid w:val="00231CCA"/>
    <w:rsid w:val="00231CD5"/>
    <w:rsid w:val="00231D45"/>
    <w:rsid w:val="00231ECB"/>
    <w:rsid w:val="002320A9"/>
    <w:rsid w:val="002325D0"/>
    <w:rsid w:val="00232776"/>
    <w:rsid w:val="002335BE"/>
    <w:rsid w:val="00233745"/>
    <w:rsid w:val="00233B33"/>
    <w:rsid w:val="002342D8"/>
    <w:rsid w:val="00234496"/>
    <w:rsid w:val="00234555"/>
    <w:rsid w:val="00234679"/>
    <w:rsid w:val="002353B2"/>
    <w:rsid w:val="0023542E"/>
    <w:rsid w:val="00235512"/>
    <w:rsid w:val="00235687"/>
    <w:rsid w:val="002356D9"/>
    <w:rsid w:val="00235A86"/>
    <w:rsid w:val="00235ED4"/>
    <w:rsid w:val="002363B4"/>
    <w:rsid w:val="00236403"/>
    <w:rsid w:val="00236862"/>
    <w:rsid w:val="002369E2"/>
    <w:rsid w:val="00236C0B"/>
    <w:rsid w:val="00236D52"/>
    <w:rsid w:val="00236E2B"/>
    <w:rsid w:val="00236F74"/>
    <w:rsid w:val="00237703"/>
    <w:rsid w:val="0023787F"/>
    <w:rsid w:val="00237A9E"/>
    <w:rsid w:val="00237D9B"/>
    <w:rsid w:val="00237F0A"/>
    <w:rsid w:val="00240214"/>
    <w:rsid w:val="00240A8E"/>
    <w:rsid w:val="00240D1A"/>
    <w:rsid w:val="00240E64"/>
    <w:rsid w:val="00241247"/>
    <w:rsid w:val="0024126D"/>
    <w:rsid w:val="002414EF"/>
    <w:rsid w:val="00241976"/>
    <w:rsid w:val="00241A24"/>
    <w:rsid w:val="00241BC8"/>
    <w:rsid w:val="00241CCA"/>
    <w:rsid w:val="00241D39"/>
    <w:rsid w:val="002422DC"/>
    <w:rsid w:val="002423E4"/>
    <w:rsid w:val="00242750"/>
    <w:rsid w:val="00242DC1"/>
    <w:rsid w:val="00242EC6"/>
    <w:rsid w:val="00243353"/>
    <w:rsid w:val="002435F6"/>
    <w:rsid w:val="00243621"/>
    <w:rsid w:val="00243AE3"/>
    <w:rsid w:val="00243B87"/>
    <w:rsid w:val="00244151"/>
    <w:rsid w:val="00244591"/>
    <w:rsid w:val="002445C2"/>
    <w:rsid w:val="0024470F"/>
    <w:rsid w:val="00244BB4"/>
    <w:rsid w:val="00244C20"/>
    <w:rsid w:val="00245076"/>
    <w:rsid w:val="00245736"/>
    <w:rsid w:val="0024589D"/>
    <w:rsid w:val="002458FE"/>
    <w:rsid w:val="00245B2E"/>
    <w:rsid w:val="00245ECD"/>
    <w:rsid w:val="00245EF1"/>
    <w:rsid w:val="00245FE0"/>
    <w:rsid w:val="0024637C"/>
    <w:rsid w:val="0024640B"/>
    <w:rsid w:val="00246546"/>
    <w:rsid w:val="0024675F"/>
    <w:rsid w:val="00246A0F"/>
    <w:rsid w:val="00246B03"/>
    <w:rsid w:val="00246F8A"/>
    <w:rsid w:val="0024702B"/>
    <w:rsid w:val="00247080"/>
    <w:rsid w:val="00247285"/>
    <w:rsid w:val="00247782"/>
    <w:rsid w:val="002479CA"/>
    <w:rsid w:val="00247B0E"/>
    <w:rsid w:val="00247B9C"/>
    <w:rsid w:val="00247BFA"/>
    <w:rsid w:val="00247E22"/>
    <w:rsid w:val="00250306"/>
    <w:rsid w:val="00250310"/>
    <w:rsid w:val="002504C6"/>
    <w:rsid w:val="00250A7E"/>
    <w:rsid w:val="00250B13"/>
    <w:rsid w:val="00250BE1"/>
    <w:rsid w:val="00251222"/>
    <w:rsid w:val="002513C5"/>
    <w:rsid w:val="002513D6"/>
    <w:rsid w:val="00251584"/>
    <w:rsid w:val="002515C3"/>
    <w:rsid w:val="002517DB"/>
    <w:rsid w:val="00251C0A"/>
    <w:rsid w:val="00251CBC"/>
    <w:rsid w:val="00251E17"/>
    <w:rsid w:val="00252074"/>
    <w:rsid w:val="002520BE"/>
    <w:rsid w:val="002522C2"/>
    <w:rsid w:val="0025237E"/>
    <w:rsid w:val="0025256B"/>
    <w:rsid w:val="00252859"/>
    <w:rsid w:val="00252B13"/>
    <w:rsid w:val="00252D56"/>
    <w:rsid w:val="00253251"/>
    <w:rsid w:val="00253649"/>
    <w:rsid w:val="00253769"/>
    <w:rsid w:val="00253B3F"/>
    <w:rsid w:val="00253D61"/>
    <w:rsid w:val="00253E27"/>
    <w:rsid w:val="00253F1C"/>
    <w:rsid w:val="002541E1"/>
    <w:rsid w:val="002542B8"/>
    <w:rsid w:val="00254473"/>
    <w:rsid w:val="00254587"/>
    <w:rsid w:val="00254992"/>
    <w:rsid w:val="00254A0C"/>
    <w:rsid w:val="00254EA6"/>
    <w:rsid w:val="00255600"/>
    <w:rsid w:val="0025595B"/>
    <w:rsid w:val="002559C2"/>
    <w:rsid w:val="00255A26"/>
    <w:rsid w:val="00255D13"/>
    <w:rsid w:val="00255FDB"/>
    <w:rsid w:val="00256374"/>
    <w:rsid w:val="00256411"/>
    <w:rsid w:val="00256451"/>
    <w:rsid w:val="0025653C"/>
    <w:rsid w:val="00256580"/>
    <w:rsid w:val="002566BF"/>
    <w:rsid w:val="00256929"/>
    <w:rsid w:val="0025693C"/>
    <w:rsid w:val="00256EFF"/>
    <w:rsid w:val="00257605"/>
    <w:rsid w:val="00257737"/>
    <w:rsid w:val="002577D3"/>
    <w:rsid w:val="00257B4D"/>
    <w:rsid w:val="00257EDF"/>
    <w:rsid w:val="002600AA"/>
    <w:rsid w:val="00260208"/>
    <w:rsid w:val="00260A00"/>
    <w:rsid w:val="00260DFD"/>
    <w:rsid w:val="00260F23"/>
    <w:rsid w:val="00261101"/>
    <w:rsid w:val="0026140B"/>
    <w:rsid w:val="002614B8"/>
    <w:rsid w:val="0026156F"/>
    <w:rsid w:val="002617CA"/>
    <w:rsid w:val="002618F9"/>
    <w:rsid w:val="00261DDF"/>
    <w:rsid w:val="00261EC2"/>
    <w:rsid w:val="0026234E"/>
    <w:rsid w:val="00262451"/>
    <w:rsid w:val="00262452"/>
    <w:rsid w:val="002626E0"/>
    <w:rsid w:val="002627DA"/>
    <w:rsid w:val="00262ADF"/>
    <w:rsid w:val="00262C00"/>
    <w:rsid w:val="00262C49"/>
    <w:rsid w:val="00262D3C"/>
    <w:rsid w:val="0026388E"/>
    <w:rsid w:val="00263C00"/>
    <w:rsid w:val="00263E35"/>
    <w:rsid w:val="002642D3"/>
    <w:rsid w:val="00264791"/>
    <w:rsid w:val="00265002"/>
    <w:rsid w:val="0026502A"/>
    <w:rsid w:val="0026527A"/>
    <w:rsid w:val="00265AD0"/>
    <w:rsid w:val="00265B73"/>
    <w:rsid w:val="00266062"/>
    <w:rsid w:val="0026626E"/>
    <w:rsid w:val="00266492"/>
    <w:rsid w:val="00266699"/>
    <w:rsid w:val="00266A48"/>
    <w:rsid w:val="00266FB0"/>
    <w:rsid w:val="00267247"/>
    <w:rsid w:val="00267487"/>
    <w:rsid w:val="00267CFD"/>
    <w:rsid w:val="002700E6"/>
    <w:rsid w:val="0027029C"/>
    <w:rsid w:val="00270307"/>
    <w:rsid w:val="0027042A"/>
    <w:rsid w:val="002705A2"/>
    <w:rsid w:val="002707AE"/>
    <w:rsid w:val="0027085B"/>
    <w:rsid w:val="002709FE"/>
    <w:rsid w:val="00270B91"/>
    <w:rsid w:val="00270EE1"/>
    <w:rsid w:val="00271566"/>
    <w:rsid w:val="00271726"/>
    <w:rsid w:val="00271B32"/>
    <w:rsid w:val="0027208B"/>
    <w:rsid w:val="0027225B"/>
    <w:rsid w:val="002722A8"/>
    <w:rsid w:val="00272646"/>
    <w:rsid w:val="002729DC"/>
    <w:rsid w:val="00272AE5"/>
    <w:rsid w:val="00272C86"/>
    <w:rsid w:val="00272F5A"/>
    <w:rsid w:val="0027389E"/>
    <w:rsid w:val="00273B1E"/>
    <w:rsid w:val="00274157"/>
    <w:rsid w:val="002743B7"/>
    <w:rsid w:val="002745B5"/>
    <w:rsid w:val="00274B11"/>
    <w:rsid w:val="00274BA8"/>
    <w:rsid w:val="00274C01"/>
    <w:rsid w:val="00274CD9"/>
    <w:rsid w:val="00274F90"/>
    <w:rsid w:val="0027561D"/>
    <w:rsid w:val="00275634"/>
    <w:rsid w:val="00275690"/>
    <w:rsid w:val="0027580B"/>
    <w:rsid w:val="00275B6C"/>
    <w:rsid w:val="00275CA2"/>
    <w:rsid w:val="00275CB1"/>
    <w:rsid w:val="0027654A"/>
    <w:rsid w:val="00276CF0"/>
    <w:rsid w:val="00276DE4"/>
    <w:rsid w:val="00276FB1"/>
    <w:rsid w:val="0027706C"/>
    <w:rsid w:val="002770F3"/>
    <w:rsid w:val="002773DB"/>
    <w:rsid w:val="002773F3"/>
    <w:rsid w:val="00277740"/>
    <w:rsid w:val="002779C4"/>
    <w:rsid w:val="00277A40"/>
    <w:rsid w:val="00277D08"/>
    <w:rsid w:val="002804B5"/>
    <w:rsid w:val="00280A8F"/>
    <w:rsid w:val="00280C5C"/>
    <w:rsid w:val="00280E4A"/>
    <w:rsid w:val="0028120F"/>
    <w:rsid w:val="00281329"/>
    <w:rsid w:val="002813A2"/>
    <w:rsid w:val="00281CBB"/>
    <w:rsid w:val="00282361"/>
    <w:rsid w:val="00282667"/>
    <w:rsid w:val="00282683"/>
    <w:rsid w:val="00282A70"/>
    <w:rsid w:val="00282BD5"/>
    <w:rsid w:val="0028309F"/>
    <w:rsid w:val="00283353"/>
    <w:rsid w:val="002834ED"/>
    <w:rsid w:val="002836EA"/>
    <w:rsid w:val="0028374C"/>
    <w:rsid w:val="00283A62"/>
    <w:rsid w:val="00283CE3"/>
    <w:rsid w:val="00284CD1"/>
    <w:rsid w:val="00284DCA"/>
    <w:rsid w:val="00284E76"/>
    <w:rsid w:val="00284ED2"/>
    <w:rsid w:val="00284FDE"/>
    <w:rsid w:val="00285015"/>
    <w:rsid w:val="0028504A"/>
    <w:rsid w:val="0028524A"/>
    <w:rsid w:val="002853F5"/>
    <w:rsid w:val="002854F7"/>
    <w:rsid w:val="0028560A"/>
    <w:rsid w:val="00285FBA"/>
    <w:rsid w:val="00286606"/>
    <w:rsid w:val="0028684D"/>
    <w:rsid w:val="00286C11"/>
    <w:rsid w:val="00287226"/>
    <w:rsid w:val="00287520"/>
    <w:rsid w:val="00287AA3"/>
    <w:rsid w:val="00287AB2"/>
    <w:rsid w:val="00287CAA"/>
    <w:rsid w:val="00287D25"/>
    <w:rsid w:val="00287D2B"/>
    <w:rsid w:val="00287EB5"/>
    <w:rsid w:val="00290410"/>
    <w:rsid w:val="00290777"/>
    <w:rsid w:val="002907E3"/>
    <w:rsid w:val="00290820"/>
    <w:rsid w:val="0029160D"/>
    <w:rsid w:val="00291CC0"/>
    <w:rsid w:val="00292249"/>
    <w:rsid w:val="00292283"/>
    <w:rsid w:val="00292297"/>
    <w:rsid w:val="0029232D"/>
    <w:rsid w:val="0029275F"/>
    <w:rsid w:val="00292764"/>
    <w:rsid w:val="00292B5E"/>
    <w:rsid w:val="00292BBC"/>
    <w:rsid w:val="00292F19"/>
    <w:rsid w:val="0029311F"/>
    <w:rsid w:val="002931CB"/>
    <w:rsid w:val="002931F9"/>
    <w:rsid w:val="002932D1"/>
    <w:rsid w:val="00293397"/>
    <w:rsid w:val="0029340F"/>
    <w:rsid w:val="00293710"/>
    <w:rsid w:val="00293784"/>
    <w:rsid w:val="002938E9"/>
    <w:rsid w:val="00293AA2"/>
    <w:rsid w:val="00293D59"/>
    <w:rsid w:val="00293EF6"/>
    <w:rsid w:val="0029423E"/>
    <w:rsid w:val="00294979"/>
    <w:rsid w:val="00294EA8"/>
    <w:rsid w:val="00294F19"/>
    <w:rsid w:val="00294FE8"/>
    <w:rsid w:val="00295110"/>
    <w:rsid w:val="002953F3"/>
    <w:rsid w:val="002957CB"/>
    <w:rsid w:val="00295897"/>
    <w:rsid w:val="00295C2F"/>
    <w:rsid w:val="00296573"/>
    <w:rsid w:val="002966E3"/>
    <w:rsid w:val="00296958"/>
    <w:rsid w:val="00296FC2"/>
    <w:rsid w:val="002972B4"/>
    <w:rsid w:val="002973C2"/>
    <w:rsid w:val="0029764C"/>
    <w:rsid w:val="002978B3"/>
    <w:rsid w:val="0029791E"/>
    <w:rsid w:val="002A0052"/>
    <w:rsid w:val="002A0843"/>
    <w:rsid w:val="002A0A6A"/>
    <w:rsid w:val="002A100E"/>
    <w:rsid w:val="002A1078"/>
    <w:rsid w:val="002A150F"/>
    <w:rsid w:val="002A1531"/>
    <w:rsid w:val="002A16EC"/>
    <w:rsid w:val="002A174A"/>
    <w:rsid w:val="002A188C"/>
    <w:rsid w:val="002A1942"/>
    <w:rsid w:val="002A19E1"/>
    <w:rsid w:val="002A1B96"/>
    <w:rsid w:val="002A1DA3"/>
    <w:rsid w:val="002A1E5E"/>
    <w:rsid w:val="002A2218"/>
    <w:rsid w:val="002A2250"/>
    <w:rsid w:val="002A234D"/>
    <w:rsid w:val="002A3084"/>
    <w:rsid w:val="002A358A"/>
    <w:rsid w:val="002A3712"/>
    <w:rsid w:val="002A37B1"/>
    <w:rsid w:val="002A383C"/>
    <w:rsid w:val="002A3991"/>
    <w:rsid w:val="002A3C17"/>
    <w:rsid w:val="002A3E71"/>
    <w:rsid w:val="002A41B6"/>
    <w:rsid w:val="002A444E"/>
    <w:rsid w:val="002A45CB"/>
    <w:rsid w:val="002A4C47"/>
    <w:rsid w:val="002A4D43"/>
    <w:rsid w:val="002A4F3B"/>
    <w:rsid w:val="002A540C"/>
    <w:rsid w:val="002A5DAA"/>
    <w:rsid w:val="002A5FBD"/>
    <w:rsid w:val="002A63AD"/>
    <w:rsid w:val="002A646E"/>
    <w:rsid w:val="002A6485"/>
    <w:rsid w:val="002A6655"/>
    <w:rsid w:val="002A6A11"/>
    <w:rsid w:val="002A6CEF"/>
    <w:rsid w:val="002A6D10"/>
    <w:rsid w:val="002A70C6"/>
    <w:rsid w:val="002A75C5"/>
    <w:rsid w:val="002A7803"/>
    <w:rsid w:val="002A78D5"/>
    <w:rsid w:val="002A7A72"/>
    <w:rsid w:val="002A7CBC"/>
    <w:rsid w:val="002A7E53"/>
    <w:rsid w:val="002B02BD"/>
    <w:rsid w:val="002B04E9"/>
    <w:rsid w:val="002B0563"/>
    <w:rsid w:val="002B0A9E"/>
    <w:rsid w:val="002B1151"/>
    <w:rsid w:val="002B15ED"/>
    <w:rsid w:val="002B1612"/>
    <w:rsid w:val="002B16B3"/>
    <w:rsid w:val="002B19F8"/>
    <w:rsid w:val="002B1CFC"/>
    <w:rsid w:val="002B1D57"/>
    <w:rsid w:val="002B1DB9"/>
    <w:rsid w:val="002B1E76"/>
    <w:rsid w:val="002B1F0E"/>
    <w:rsid w:val="002B285A"/>
    <w:rsid w:val="002B2D39"/>
    <w:rsid w:val="002B2EA6"/>
    <w:rsid w:val="002B3C75"/>
    <w:rsid w:val="002B3CC6"/>
    <w:rsid w:val="002B3D32"/>
    <w:rsid w:val="002B3FD4"/>
    <w:rsid w:val="002B4304"/>
    <w:rsid w:val="002B47B9"/>
    <w:rsid w:val="002B4965"/>
    <w:rsid w:val="002B4980"/>
    <w:rsid w:val="002B4A16"/>
    <w:rsid w:val="002B4E15"/>
    <w:rsid w:val="002B5252"/>
    <w:rsid w:val="002B545C"/>
    <w:rsid w:val="002B57C0"/>
    <w:rsid w:val="002B57E1"/>
    <w:rsid w:val="002B5802"/>
    <w:rsid w:val="002B584A"/>
    <w:rsid w:val="002B5AFF"/>
    <w:rsid w:val="002B607C"/>
    <w:rsid w:val="002B621C"/>
    <w:rsid w:val="002B622D"/>
    <w:rsid w:val="002B6390"/>
    <w:rsid w:val="002B6394"/>
    <w:rsid w:val="002B657B"/>
    <w:rsid w:val="002B698F"/>
    <w:rsid w:val="002B6A55"/>
    <w:rsid w:val="002B6ADE"/>
    <w:rsid w:val="002B6EB5"/>
    <w:rsid w:val="002B700B"/>
    <w:rsid w:val="002B709C"/>
    <w:rsid w:val="002B717D"/>
    <w:rsid w:val="002B75BE"/>
    <w:rsid w:val="002B79BD"/>
    <w:rsid w:val="002B7C80"/>
    <w:rsid w:val="002C057D"/>
    <w:rsid w:val="002C066A"/>
    <w:rsid w:val="002C07CA"/>
    <w:rsid w:val="002C0E55"/>
    <w:rsid w:val="002C0EE5"/>
    <w:rsid w:val="002C123E"/>
    <w:rsid w:val="002C198D"/>
    <w:rsid w:val="002C1A5B"/>
    <w:rsid w:val="002C1B1D"/>
    <w:rsid w:val="002C1DBC"/>
    <w:rsid w:val="002C2484"/>
    <w:rsid w:val="002C26B3"/>
    <w:rsid w:val="002C2BB5"/>
    <w:rsid w:val="002C3448"/>
    <w:rsid w:val="002C352E"/>
    <w:rsid w:val="002C357F"/>
    <w:rsid w:val="002C3695"/>
    <w:rsid w:val="002C377D"/>
    <w:rsid w:val="002C394B"/>
    <w:rsid w:val="002C3B6C"/>
    <w:rsid w:val="002C3D6C"/>
    <w:rsid w:val="002C3D6D"/>
    <w:rsid w:val="002C417F"/>
    <w:rsid w:val="002C44EB"/>
    <w:rsid w:val="002C4734"/>
    <w:rsid w:val="002C4AE5"/>
    <w:rsid w:val="002C4DC5"/>
    <w:rsid w:val="002C5289"/>
    <w:rsid w:val="002C53E0"/>
    <w:rsid w:val="002C553E"/>
    <w:rsid w:val="002C573D"/>
    <w:rsid w:val="002C5DFB"/>
    <w:rsid w:val="002C679B"/>
    <w:rsid w:val="002C67DB"/>
    <w:rsid w:val="002C685F"/>
    <w:rsid w:val="002C6B9A"/>
    <w:rsid w:val="002C6CE0"/>
    <w:rsid w:val="002C7466"/>
    <w:rsid w:val="002C757C"/>
    <w:rsid w:val="002C76E7"/>
    <w:rsid w:val="002C798D"/>
    <w:rsid w:val="002C7A3D"/>
    <w:rsid w:val="002C7A9A"/>
    <w:rsid w:val="002C7ACA"/>
    <w:rsid w:val="002C7AE2"/>
    <w:rsid w:val="002C7D12"/>
    <w:rsid w:val="002D020D"/>
    <w:rsid w:val="002D07E5"/>
    <w:rsid w:val="002D0C75"/>
    <w:rsid w:val="002D0E6D"/>
    <w:rsid w:val="002D0F3D"/>
    <w:rsid w:val="002D15F3"/>
    <w:rsid w:val="002D1B6C"/>
    <w:rsid w:val="002D1C7C"/>
    <w:rsid w:val="002D1FEA"/>
    <w:rsid w:val="002D2E6D"/>
    <w:rsid w:val="002D2F63"/>
    <w:rsid w:val="002D3249"/>
    <w:rsid w:val="002D33FE"/>
    <w:rsid w:val="002D34E2"/>
    <w:rsid w:val="002D39D7"/>
    <w:rsid w:val="002D39F4"/>
    <w:rsid w:val="002D4087"/>
    <w:rsid w:val="002D450A"/>
    <w:rsid w:val="002D4605"/>
    <w:rsid w:val="002D4AD6"/>
    <w:rsid w:val="002D4ADD"/>
    <w:rsid w:val="002D4B7D"/>
    <w:rsid w:val="002D51C8"/>
    <w:rsid w:val="002D51CB"/>
    <w:rsid w:val="002D529F"/>
    <w:rsid w:val="002D52A8"/>
    <w:rsid w:val="002D5761"/>
    <w:rsid w:val="002D58C0"/>
    <w:rsid w:val="002D59E3"/>
    <w:rsid w:val="002D5BDE"/>
    <w:rsid w:val="002D62D6"/>
    <w:rsid w:val="002D644F"/>
    <w:rsid w:val="002D64FA"/>
    <w:rsid w:val="002D6C3A"/>
    <w:rsid w:val="002D6E10"/>
    <w:rsid w:val="002D72C5"/>
    <w:rsid w:val="002D72EE"/>
    <w:rsid w:val="002D751E"/>
    <w:rsid w:val="002D76CA"/>
    <w:rsid w:val="002D7D64"/>
    <w:rsid w:val="002D7DD3"/>
    <w:rsid w:val="002D7EA5"/>
    <w:rsid w:val="002D7FD4"/>
    <w:rsid w:val="002E041B"/>
    <w:rsid w:val="002E0471"/>
    <w:rsid w:val="002E0566"/>
    <w:rsid w:val="002E068D"/>
    <w:rsid w:val="002E093F"/>
    <w:rsid w:val="002E0A41"/>
    <w:rsid w:val="002E0F12"/>
    <w:rsid w:val="002E13D5"/>
    <w:rsid w:val="002E17B2"/>
    <w:rsid w:val="002E1963"/>
    <w:rsid w:val="002E1D83"/>
    <w:rsid w:val="002E1E12"/>
    <w:rsid w:val="002E211A"/>
    <w:rsid w:val="002E252A"/>
    <w:rsid w:val="002E2685"/>
    <w:rsid w:val="002E2B84"/>
    <w:rsid w:val="002E2BF7"/>
    <w:rsid w:val="002E2DDD"/>
    <w:rsid w:val="002E2DE4"/>
    <w:rsid w:val="002E2E56"/>
    <w:rsid w:val="002E304C"/>
    <w:rsid w:val="002E33D1"/>
    <w:rsid w:val="002E33DC"/>
    <w:rsid w:val="002E35E9"/>
    <w:rsid w:val="002E3614"/>
    <w:rsid w:val="002E3794"/>
    <w:rsid w:val="002E37F6"/>
    <w:rsid w:val="002E38A5"/>
    <w:rsid w:val="002E3A2F"/>
    <w:rsid w:val="002E3C92"/>
    <w:rsid w:val="002E3DFC"/>
    <w:rsid w:val="002E402E"/>
    <w:rsid w:val="002E40F0"/>
    <w:rsid w:val="002E4114"/>
    <w:rsid w:val="002E4211"/>
    <w:rsid w:val="002E4449"/>
    <w:rsid w:val="002E4676"/>
    <w:rsid w:val="002E4F3D"/>
    <w:rsid w:val="002E563D"/>
    <w:rsid w:val="002E59DA"/>
    <w:rsid w:val="002E5C4F"/>
    <w:rsid w:val="002E5C99"/>
    <w:rsid w:val="002E5DD3"/>
    <w:rsid w:val="002E60B9"/>
    <w:rsid w:val="002E63D5"/>
    <w:rsid w:val="002E6952"/>
    <w:rsid w:val="002E6DAB"/>
    <w:rsid w:val="002E6FCE"/>
    <w:rsid w:val="002E76D8"/>
    <w:rsid w:val="002F00D6"/>
    <w:rsid w:val="002F0216"/>
    <w:rsid w:val="002F0318"/>
    <w:rsid w:val="002F07A4"/>
    <w:rsid w:val="002F08DF"/>
    <w:rsid w:val="002F09E5"/>
    <w:rsid w:val="002F0ADA"/>
    <w:rsid w:val="002F0B23"/>
    <w:rsid w:val="002F0CEF"/>
    <w:rsid w:val="002F0E18"/>
    <w:rsid w:val="002F0FD8"/>
    <w:rsid w:val="002F10D4"/>
    <w:rsid w:val="002F135A"/>
    <w:rsid w:val="002F13BC"/>
    <w:rsid w:val="002F141E"/>
    <w:rsid w:val="002F1627"/>
    <w:rsid w:val="002F1A9F"/>
    <w:rsid w:val="002F1B21"/>
    <w:rsid w:val="002F1B98"/>
    <w:rsid w:val="002F1DA4"/>
    <w:rsid w:val="002F2081"/>
    <w:rsid w:val="002F2336"/>
    <w:rsid w:val="002F2549"/>
    <w:rsid w:val="002F26A8"/>
    <w:rsid w:val="002F273D"/>
    <w:rsid w:val="002F29AF"/>
    <w:rsid w:val="002F2A33"/>
    <w:rsid w:val="002F2E0E"/>
    <w:rsid w:val="002F3603"/>
    <w:rsid w:val="002F3655"/>
    <w:rsid w:val="002F369E"/>
    <w:rsid w:val="002F37D1"/>
    <w:rsid w:val="002F3CC7"/>
    <w:rsid w:val="002F3CE1"/>
    <w:rsid w:val="002F417D"/>
    <w:rsid w:val="002F4665"/>
    <w:rsid w:val="002F4F08"/>
    <w:rsid w:val="002F5151"/>
    <w:rsid w:val="002F5327"/>
    <w:rsid w:val="002F55B4"/>
    <w:rsid w:val="002F593E"/>
    <w:rsid w:val="002F5BA1"/>
    <w:rsid w:val="002F612A"/>
    <w:rsid w:val="002F629F"/>
    <w:rsid w:val="002F6DDA"/>
    <w:rsid w:val="002F6FAA"/>
    <w:rsid w:val="002F758D"/>
    <w:rsid w:val="002F76E0"/>
    <w:rsid w:val="002F77A8"/>
    <w:rsid w:val="002F78F0"/>
    <w:rsid w:val="002F795E"/>
    <w:rsid w:val="002F7B2C"/>
    <w:rsid w:val="002F7B95"/>
    <w:rsid w:val="002F7D7A"/>
    <w:rsid w:val="002F7F17"/>
    <w:rsid w:val="002F7FFC"/>
    <w:rsid w:val="00300287"/>
    <w:rsid w:val="003004C6"/>
    <w:rsid w:val="00300744"/>
    <w:rsid w:val="00300B00"/>
    <w:rsid w:val="00300B03"/>
    <w:rsid w:val="00300C82"/>
    <w:rsid w:val="00300CE3"/>
    <w:rsid w:val="0030155C"/>
    <w:rsid w:val="0030161F"/>
    <w:rsid w:val="00301ABC"/>
    <w:rsid w:val="00301BF5"/>
    <w:rsid w:val="00301C50"/>
    <w:rsid w:val="00301E2B"/>
    <w:rsid w:val="00301EEA"/>
    <w:rsid w:val="00301F18"/>
    <w:rsid w:val="0030202E"/>
    <w:rsid w:val="00302101"/>
    <w:rsid w:val="003021F9"/>
    <w:rsid w:val="00302279"/>
    <w:rsid w:val="00302841"/>
    <w:rsid w:val="003028CE"/>
    <w:rsid w:val="003028DC"/>
    <w:rsid w:val="00302FF7"/>
    <w:rsid w:val="0030306E"/>
    <w:rsid w:val="003032B3"/>
    <w:rsid w:val="003033DD"/>
    <w:rsid w:val="00303CBD"/>
    <w:rsid w:val="00303F5A"/>
    <w:rsid w:val="0030416E"/>
    <w:rsid w:val="003041CC"/>
    <w:rsid w:val="003042D5"/>
    <w:rsid w:val="00304452"/>
    <w:rsid w:val="00304497"/>
    <w:rsid w:val="00304D22"/>
    <w:rsid w:val="00305409"/>
    <w:rsid w:val="0030556C"/>
    <w:rsid w:val="0030578D"/>
    <w:rsid w:val="00305EE0"/>
    <w:rsid w:val="00305FB3"/>
    <w:rsid w:val="0030602C"/>
    <w:rsid w:val="003060A9"/>
    <w:rsid w:val="0030627F"/>
    <w:rsid w:val="00306471"/>
    <w:rsid w:val="0030660B"/>
    <w:rsid w:val="0030683F"/>
    <w:rsid w:val="00306B2A"/>
    <w:rsid w:val="00306F3B"/>
    <w:rsid w:val="00307030"/>
    <w:rsid w:val="00307047"/>
    <w:rsid w:val="003070F3"/>
    <w:rsid w:val="00307DA8"/>
    <w:rsid w:val="00307E5C"/>
    <w:rsid w:val="00307FF5"/>
    <w:rsid w:val="003103BD"/>
    <w:rsid w:val="00310CFF"/>
    <w:rsid w:val="00310F9E"/>
    <w:rsid w:val="0031128A"/>
    <w:rsid w:val="00311BC2"/>
    <w:rsid w:val="00311CAB"/>
    <w:rsid w:val="00311DDE"/>
    <w:rsid w:val="0031225D"/>
    <w:rsid w:val="003124B3"/>
    <w:rsid w:val="00312665"/>
    <w:rsid w:val="0031294F"/>
    <w:rsid w:val="00312CE2"/>
    <w:rsid w:val="00312D26"/>
    <w:rsid w:val="00312E84"/>
    <w:rsid w:val="003132FB"/>
    <w:rsid w:val="00313B0C"/>
    <w:rsid w:val="00313D6F"/>
    <w:rsid w:val="00313EF1"/>
    <w:rsid w:val="00314055"/>
    <w:rsid w:val="003145D7"/>
    <w:rsid w:val="003149BC"/>
    <w:rsid w:val="003149CF"/>
    <w:rsid w:val="00314C2B"/>
    <w:rsid w:val="00314CBD"/>
    <w:rsid w:val="00315105"/>
    <w:rsid w:val="0031535A"/>
    <w:rsid w:val="003153B3"/>
    <w:rsid w:val="0031547F"/>
    <w:rsid w:val="0031584E"/>
    <w:rsid w:val="00315872"/>
    <w:rsid w:val="003160B9"/>
    <w:rsid w:val="00316835"/>
    <w:rsid w:val="003169BF"/>
    <w:rsid w:val="0031757E"/>
    <w:rsid w:val="00317919"/>
    <w:rsid w:val="00317C90"/>
    <w:rsid w:val="00317CBE"/>
    <w:rsid w:val="0032059E"/>
    <w:rsid w:val="0032082C"/>
    <w:rsid w:val="00320929"/>
    <w:rsid w:val="0032092E"/>
    <w:rsid w:val="00320DD0"/>
    <w:rsid w:val="00321004"/>
    <w:rsid w:val="0032128D"/>
    <w:rsid w:val="003213CA"/>
    <w:rsid w:val="0032186F"/>
    <w:rsid w:val="00321C43"/>
    <w:rsid w:val="00322388"/>
    <w:rsid w:val="00322497"/>
    <w:rsid w:val="00322681"/>
    <w:rsid w:val="0032291E"/>
    <w:rsid w:val="00322A0C"/>
    <w:rsid w:val="00322B0E"/>
    <w:rsid w:val="00322B3E"/>
    <w:rsid w:val="00323122"/>
    <w:rsid w:val="00323371"/>
    <w:rsid w:val="00323475"/>
    <w:rsid w:val="00323CEB"/>
    <w:rsid w:val="00323CFB"/>
    <w:rsid w:val="00323E08"/>
    <w:rsid w:val="00324160"/>
    <w:rsid w:val="0032444A"/>
    <w:rsid w:val="003249BC"/>
    <w:rsid w:val="00324A48"/>
    <w:rsid w:val="0032532F"/>
    <w:rsid w:val="0032575C"/>
    <w:rsid w:val="00325ACE"/>
    <w:rsid w:val="00325C6B"/>
    <w:rsid w:val="00325FDB"/>
    <w:rsid w:val="00326180"/>
    <w:rsid w:val="003263AE"/>
    <w:rsid w:val="00326955"/>
    <w:rsid w:val="00326C73"/>
    <w:rsid w:val="0032707F"/>
    <w:rsid w:val="00327713"/>
    <w:rsid w:val="00327CDC"/>
    <w:rsid w:val="00330076"/>
    <w:rsid w:val="003301B7"/>
    <w:rsid w:val="00330296"/>
    <w:rsid w:val="003305B7"/>
    <w:rsid w:val="00330617"/>
    <w:rsid w:val="00330659"/>
    <w:rsid w:val="003309B4"/>
    <w:rsid w:val="003309D3"/>
    <w:rsid w:val="0033100D"/>
    <w:rsid w:val="003311C7"/>
    <w:rsid w:val="003311DD"/>
    <w:rsid w:val="00331400"/>
    <w:rsid w:val="00331950"/>
    <w:rsid w:val="00331A37"/>
    <w:rsid w:val="00331AEF"/>
    <w:rsid w:val="00331B93"/>
    <w:rsid w:val="00331EC1"/>
    <w:rsid w:val="003323E2"/>
    <w:rsid w:val="003327EA"/>
    <w:rsid w:val="003328E6"/>
    <w:rsid w:val="00332D80"/>
    <w:rsid w:val="003337AB"/>
    <w:rsid w:val="003337AE"/>
    <w:rsid w:val="00333A76"/>
    <w:rsid w:val="00333B61"/>
    <w:rsid w:val="00334127"/>
    <w:rsid w:val="00334162"/>
    <w:rsid w:val="0033461A"/>
    <w:rsid w:val="0033466E"/>
    <w:rsid w:val="003347DC"/>
    <w:rsid w:val="00334931"/>
    <w:rsid w:val="00334C7D"/>
    <w:rsid w:val="00334CF1"/>
    <w:rsid w:val="00334DB6"/>
    <w:rsid w:val="003350F4"/>
    <w:rsid w:val="00335128"/>
    <w:rsid w:val="00335197"/>
    <w:rsid w:val="003351D1"/>
    <w:rsid w:val="0033522C"/>
    <w:rsid w:val="00335290"/>
    <w:rsid w:val="00335484"/>
    <w:rsid w:val="003354B8"/>
    <w:rsid w:val="00336160"/>
    <w:rsid w:val="00336993"/>
    <w:rsid w:val="00336A7C"/>
    <w:rsid w:val="00336B47"/>
    <w:rsid w:val="00336BB5"/>
    <w:rsid w:val="003373C1"/>
    <w:rsid w:val="003376A5"/>
    <w:rsid w:val="00337730"/>
    <w:rsid w:val="0033791C"/>
    <w:rsid w:val="00337959"/>
    <w:rsid w:val="00337973"/>
    <w:rsid w:val="00337A60"/>
    <w:rsid w:val="00337AD2"/>
    <w:rsid w:val="00337BAD"/>
    <w:rsid w:val="00337E42"/>
    <w:rsid w:val="00337E86"/>
    <w:rsid w:val="00337F50"/>
    <w:rsid w:val="0034032B"/>
    <w:rsid w:val="00340AE1"/>
    <w:rsid w:val="00340DE9"/>
    <w:rsid w:val="00341003"/>
    <w:rsid w:val="0034116C"/>
    <w:rsid w:val="0034149B"/>
    <w:rsid w:val="00341535"/>
    <w:rsid w:val="00341774"/>
    <w:rsid w:val="00341D74"/>
    <w:rsid w:val="00341FD8"/>
    <w:rsid w:val="00342044"/>
    <w:rsid w:val="0034250F"/>
    <w:rsid w:val="003425B2"/>
    <w:rsid w:val="003426E9"/>
    <w:rsid w:val="003427F1"/>
    <w:rsid w:val="00343059"/>
    <w:rsid w:val="003433F8"/>
    <w:rsid w:val="003434F4"/>
    <w:rsid w:val="0034396A"/>
    <w:rsid w:val="00343C81"/>
    <w:rsid w:val="00343E89"/>
    <w:rsid w:val="00344126"/>
    <w:rsid w:val="003442E0"/>
    <w:rsid w:val="00344357"/>
    <w:rsid w:val="00344442"/>
    <w:rsid w:val="0034473B"/>
    <w:rsid w:val="0034489B"/>
    <w:rsid w:val="00344D4D"/>
    <w:rsid w:val="00345144"/>
    <w:rsid w:val="0034523E"/>
    <w:rsid w:val="003453D5"/>
    <w:rsid w:val="003454F4"/>
    <w:rsid w:val="003456E3"/>
    <w:rsid w:val="003457C4"/>
    <w:rsid w:val="003458B4"/>
    <w:rsid w:val="003458CB"/>
    <w:rsid w:val="00345AAA"/>
    <w:rsid w:val="00345B60"/>
    <w:rsid w:val="00345EEB"/>
    <w:rsid w:val="00346022"/>
    <w:rsid w:val="00346571"/>
    <w:rsid w:val="0034660A"/>
    <w:rsid w:val="00346826"/>
    <w:rsid w:val="003468A1"/>
    <w:rsid w:val="00346C1B"/>
    <w:rsid w:val="00346D1A"/>
    <w:rsid w:val="00346EC1"/>
    <w:rsid w:val="00346ED1"/>
    <w:rsid w:val="00347067"/>
    <w:rsid w:val="0034719B"/>
    <w:rsid w:val="003475E1"/>
    <w:rsid w:val="003477F1"/>
    <w:rsid w:val="00347DA3"/>
    <w:rsid w:val="00347E23"/>
    <w:rsid w:val="00350000"/>
    <w:rsid w:val="00350227"/>
    <w:rsid w:val="00350BCE"/>
    <w:rsid w:val="00350C97"/>
    <w:rsid w:val="00350E05"/>
    <w:rsid w:val="0035105E"/>
    <w:rsid w:val="00351C2D"/>
    <w:rsid w:val="00351F36"/>
    <w:rsid w:val="0035233D"/>
    <w:rsid w:val="00352579"/>
    <w:rsid w:val="003527B2"/>
    <w:rsid w:val="00352CF1"/>
    <w:rsid w:val="00352D3C"/>
    <w:rsid w:val="00352D63"/>
    <w:rsid w:val="003536E7"/>
    <w:rsid w:val="00353722"/>
    <w:rsid w:val="0035383D"/>
    <w:rsid w:val="003538A3"/>
    <w:rsid w:val="00353B07"/>
    <w:rsid w:val="00353C33"/>
    <w:rsid w:val="0035401C"/>
    <w:rsid w:val="003542AC"/>
    <w:rsid w:val="003545C5"/>
    <w:rsid w:val="00354C3E"/>
    <w:rsid w:val="00354E51"/>
    <w:rsid w:val="00355243"/>
    <w:rsid w:val="00355330"/>
    <w:rsid w:val="003553B6"/>
    <w:rsid w:val="003553F4"/>
    <w:rsid w:val="00355BDE"/>
    <w:rsid w:val="00355D28"/>
    <w:rsid w:val="00355EC7"/>
    <w:rsid w:val="00356007"/>
    <w:rsid w:val="00356117"/>
    <w:rsid w:val="003565C2"/>
    <w:rsid w:val="0035668D"/>
    <w:rsid w:val="0035670B"/>
    <w:rsid w:val="0035675D"/>
    <w:rsid w:val="003567DB"/>
    <w:rsid w:val="003567EF"/>
    <w:rsid w:val="00357390"/>
    <w:rsid w:val="003575EF"/>
    <w:rsid w:val="003576A4"/>
    <w:rsid w:val="003578A0"/>
    <w:rsid w:val="0035798A"/>
    <w:rsid w:val="003607DD"/>
    <w:rsid w:val="00360EAF"/>
    <w:rsid w:val="0036176E"/>
    <w:rsid w:val="0036183F"/>
    <w:rsid w:val="00361F29"/>
    <w:rsid w:val="00361F51"/>
    <w:rsid w:val="0036210A"/>
    <w:rsid w:val="003627EE"/>
    <w:rsid w:val="00363134"/>
    <w:rsid w:val="0036335B"/>
    <w:rsid w:val="003633EE"/>
    <w:rsid w:val="003634FA"/>
    <w:rsid w:val="0036355C"/>
    <w:rsid w:val="00363ACF"/>
    <w:rsid w:val="00363B3C"/>
    <w:rsid w:val="00363D65"/>
    <w:rsid w:val="00363EC2"/>
    <w:rsid w:val="00364404"/>
    <w:rsid w:val="0036458B"/>
    <w:rsid w:val="00364D54"/>
    <w:rsid w:val="00364FED"/>
    <w:rsid w:val="003651EC"/>
    <w:rsid w:val="003652AA"/>
    <w:rsid w:val="00365893"/>
    <w:rsid w:val="0036606F"/>
    <w:rsid w:val="0036617C"/>
    <w:rsid w:val="0036626E"/>
    <w:rsid w:val="00366642"/>
    <w:rsid w:val="0036667E"/>
    <w:rsid w:val="00366933"/>
    <w:rsid w:val="00366C02"/>
    <w:rsid w:val="00366CD9"/>
    <w:rsid w:val="003674C0"/>
    <w:rsid w:val="003678AC"/>
    <w:rsid w:val="00367937"/>
    <w:rsid w:val="00367E85"/>
    <w:rsid w:val="003701D1"/>
    <w:rsid w:val="00370233"/>
    <w:rsid w:val="003702B3"/>
    <w:rsid w:val="00371033"/>
    <w:rsid w:val="00371073"/>
    <w:rsid w:val="0037150A"/>
    <w:rsid w:val="003717A3"/>
    <w:rsid w:val="003717EA"/>
    <w:rsid w:val="00371A07"/>
    <w:rsid w:val="00371AB2"/>
    <w:rsid w:val="00371BD3"/>
    <w:rsid w:val="00371D57"/>
    <w:rsid w:val="00371DF9"/>
    <w:rsid w:val="00371E61"/>
    <w:rsid w:val="0037227F"/>
    <w:rsid w:val="0037239F"/>
    <w:rsid w:val="0037252D"/>
    <w:rsid w:val="0037264D"/>
    <w:rsid w:val="003726E0"/>
    <w:rsid w:val="003728D6"/>
    <w:rsid w:val="00372A45"/>
    <w:rsid w:val="00372DB2"/>
    <w:rsid w:val="00373358"/>
    <w:rsid w:val="0037338F"/>
    <w:rsid w:val="0037383A"/>
    <w:rsid w:val="0037385E"/>
    <w:rsid w:val="003739DA"/>
    <w:rsid w:val="00373B64"/>
    <w:rsid w:val="00373BC4"/>
    <w:rsid w:val="00373BEB"/>
    <w:rsid w:val="00374074"/>
    <w:rsid w:val="003740FE"/>
    <w:rsid w:val="003742F1"/>
    <w:rsid w:val="0037440B"/>
    <w:rsid w:val="00374A9F"/>
    <w:rsid w:val="00374EBB"/>
    <w:rsid w:val="00374FF7"/>
    <w:rsid w:val="003750FD"/>
    <w:rsid w:val="003752A7"/>
    <w:rsid w:val="003753DC"/>
    <w:rsid w:val="0037555B"/>
    <w:rsid w:val="00375FFB"/>
    <w:rsid w:val="003760FE"/>
    <w:rsid w:val="00376144"/>
    <w:rsid w:val="003762C6"/>
    <w:rsid w:val="003762E4"/>
    <w:rsid w:val="00376425"/>
    <w:rsid w:val="003766E0"/>
    <w:rsid w:val="0037674A"/>
    <w:rsid w:val="00376A29"/>
    <w:rsid w:val="00376CDD"/>
    <w:rsid w:val="0037724D"/>
    <w:rsid w:val="00377A1D"/>
    <w:rsid w:val="00377ABF"/>
    <w:rsid w:val="00377CCA"/>
    <w:rsid w:val="00377D6F"/>
    <w:rsid w:val="00377E71"/>
    <w:rsid w:val="00380293"/>
    <w:rsid w:val="00380661"/>
    <w:rsid w:val="003807B9"/>
    <w:rsid w:val="00380F49"/>
    <w:rsid w:val="00380FB8"/>
    <w:rsid w:val="0038122A"/>
    <w:rsid w:val="00381458"/>
    <w:rsid w:val="00381565"/>
    <w:rsid w:val="003815DC"/>
    <w:rsid w:val="0038161D"/>
    <w:rsid w:val="003819B8"/>
    <w:rsid w:val="00381B05"/>
    <w:rsid w:val="00381FBC"/>
    <w:rsid w:val="003820AB"/>
    <w:rsid w:val="00382341"/>
    <w:rsid w:val="00382629"/>
    <w:rsid w:val="00382683"/>
    <w:rsid w:val="003826A7"/>
    <w:rsid w:val="00382705"/>
    <w:rsid w:val="00382908"/>
    <w:rsid w:val="00382A31"/>
    <w:rsid w:val="00382B3D"/>
    <w:rsid w:val="00382D29"/>
    <w:rsid w:val="00382DDD"/>
    <w:rsid w:val="00383168"/>
    <w:rsid w:val="0038325E"/>
    <w:rsid w:val="003833AC"/>
    <w:rsid w:val="003833D3"/>
    <w:rsid w:val="00383458"/>
    <w:rsid w:val="003837F2"/>
    <w:rsid w:val="00383A5F"/>
    <w:rsid w:val="0038409D"/>
    <w:rsid w:val="00384278"/>
    <w:rsid w:val="003843EF"/>
    <w:rsid w:val="0038463E"/>
    <w:rsid w:val="0038475F"/>
    <w:rsid w:val="00384BCB"/>
    <w:rsid w:val="00384C55"/>
    <w:rsid w:val="00385306"/>
    <w:rsid w:val="003859EE"/>
    <w:rsid w:val="00385A40"/>
    <w:rsid w:val="00385F70"/>
    <w:rsid w:val="003860D1"/>
    <w:rsid w:val="00386334"/>
    <w:rsid w:val="00386848"/>
    <w:rsid w:val="003869C9"/>
    <w:rsid w:val="00386DDF"/>
    <w:rsid w:val="003871D4"/>
    <w:rsid w:val="003877D8"/>
    <w:rsid w:val="00387852"/>
    <w:rsid w:val="00387BFB"/>
    <w:rsid w:val="00387C13"/>
    <w:rsid w:val="003901A0"/>
    <w:rsid w:val="00390368"/>
    <w:rsid w:val="003906F9"/>
    <w:rsid w:val="00390BB5"/>
    <w:rsid w:val="00390C33"/>
    <w:rsid w:val="00391247"/>
    <w:rsid w:val="00391328"/>
    <w:rsid w:val="003913D5"/>
    <w:rsid w:val="003915E2"/>
    <w:rsid w:val="003917DD"/>
    <w:rsid w:val="00391A87"/>
    <w:rsid w:val="00392309"/>
    <w:rsid w:val="00392498"/>
    <w:rsid w:val="00392581"/>
    <w:rsid w:val="0039269D"/>
    <w:rsid w:val="003927D5"/>
    <w:rsid w:val="003928BD"/>
    <w:rsid w:val="00392D66"/>
    <w:rsid w:val="00392EDC"/>
    <w:rsid w:val="0039341D"/>
    <w:rsid w:val="00393793"/>
    <w:rsid w:val="00393C4B"/>
    <w:rsid w:val="00393DFF"/>
    <w:rsid w:val="00393E76"/>
    <w:rsid w:val="003941CD"/>
    <w:rsid w:val="0039426A"/>
    <w:rsid w:val="00394617"/>
    <w:rsid w:val="00394BCA"/>
    <w:rsid w:val="00394C0D"/>
    <w:rsid w:val="00394DFC"/>
    <w:rsid w:val="00394E04"/>
    <w:rsid w:val="00394E38"/>
    <w:rsid w:val="00395116"/>
    <w:rsid w:val="0039513B"/>
    <w:rsid w:val="0039514A"/>
    <w:rsid w:val="003951EF"/>
    <w:rsid w:val="00395551"/>
    <w:rsid w:val="0039557B"/>
    <w:rsid w:val="0039572B"/>
    <w:rsid w:val="00395B5E"/>
    <w:rsid w:val="00395BAA"/>
    <w:rsid w:val="00395CBA"/>
    <w:rsid w:val="00395E18"/>
    <w:rsid w:val="003960CD"/>
    <w:rsid w:val="003964D9"/>
    <w:rsid w:val="00396939"/>
    <w:rsid w:val="00396BE6"/>
    <w:rsid w:val="00396BF2"/>
    <w:rsid w:val="00396F2F"/>
    <w:rsid w:val="00396F39"/>
    <w:rsid w:val="0039709C"/>
    <w:rsid w:val="00397A4C"/>
    <w:rsid w:val="003A0348"/>
    <w:rsid w:val="003A0422"/>
    <w:rsid w:val="003A06B6"/>
    <w:rsid w:val="003A0AB2"/>
    <w:rsid w:val="003A0C3B"/>
    <w:rsid w:val="003A0D56"/>
    <w:rsid w:val="003A1226"/>
    <w:rsid w:val="003A17BB"/>
    <w:rsid w:val="003A1953"/>
    <w:rsid w:val="003A1A4B"/>
    <w:rsid w:val="003A1F8B"/>
    <w:rsid w:val="003A1F93"/>
    <w:rsid w:val="003A1FF7"/>
    <w:rsid w:val="003A22C4"/>
    <w:rsid w:val="003A2341"/>
    <w:rsid w:val="003A239A"/>
    <w:rsid w:val="003A23AC"/>
    <w:rsid w:val="003A26C7"/>
    <w:rsid w:val="003A2921"/>
    <w:rsid w:val="003A297B"/>
    <w:rsid w:val="003A2F74"/>
    <w:rsid w:val="003A2F88"/>
    <w:rsid w:val="003A31CB"/>
    <w:rsid w:val="003A3584"/>
    <w:rsid w:val="003A37D7"/>
    <w:rsid w:val="003A39C8"/>
    <w:rsid w:val="003A39D9"/>
    <w:rsid w:val="003A3A16"/>
    <w:rsid w:val="003A3D95"/>
    <w:rsid w:val="003A43BC"/>
    <w:rsid w:val="003A44E2"/>
    <w:rsid w:val="003A4616"/>
    <w:rsid w:val="003A4F4A"/>
    <w:rsid w:val="003A508B"/>
    <w:rsid w:val="003A5396"/>
    <w:rsid w:val="003A543B"/>
    <w:rsid w:val="003A5588"/>
    <w:rsid w:val="003A5A51"/>
    <w:rsid w:val="003A62AD"/>
    <w:rsid w:val="003A6493"/>
    <w:rsid w:val="003A6751"/>
    <w:rsid w:val="003A6942"/>
    <w:rsid w:val="003A6A60"/>
    <w:rsid w:val="003A6AD3"/>
    <w:rsid w:val="003A6B15"/>
    <w:rsid w:val="003A6F81"/>
    <w:rsid w:val="003A7117"/>
    <w:rsid w:val="003A74E7"/>
    <w:rsid w:val="003A7963"/>
    <w:rsid w:val="003A7E5B"/>
    <w:rsid w:val="003A7ED7"/>
    <w:rsid w:val="003B0194"/>
    <w:rsid w:val="003B0328"/>
    <w:rsid w:val="003B051D"/>
    <w:rsid w:val="003B0569"/>
    <w:rsid w:val="003B0886"/>
    <w:rsid w:val="003B0AAF"/>
    <w:rsid w:val="003B13A8"/>
    <w:rsid w:val="003B18A5"/>
    <w:rsid w:val="003B20C0"/>
    <w:rsid w:val="003B2174"/>
    <w:rsid w:val="003B2B4C"/>
    <w:rsid w:val="003B2C4A"/>
    <w:rsid w:val="003B2DBF"/>
    <w:rsid w:val="003B2E47"/>
    <w:rsid w:val="003B36CD"/>
    <w:rsid w:val="003B3C9C"/>
    <w:rsid w:val="003B41FF"/>
    <w:rsid w:val="003B45AC"/>
    <w:rsid w:val="003B4C5D"/>
    <w:rsid w:val="003B4F7F"/>
    <w:rsid w:val="003B52BB"/>
    <w:rsid w:val="003B5323"/>
    <w:rsid w:val="003B552E"/>
    <w:rsid w:val="003B5B92"/>
    <w:rsid w:val="003B5BD0"/>
    <w:rsid w:val="003B5E7C"/>
    <w:rsid w:val="003B5EF3"/>
    <w:rsid w:val="003B6210"/>
    <w:rsid w:val="003B62BC"/>
    <w:rsid w:val="003B63E2"/>
    <w:rsid w:val="003B65B6"/>
    <w:rsid w:val="003B6610"/>
    <w:rsid w:val="003B6A03"/>
    <w:rsid w:val="003B6B4E"/>
    <w:rsid w:val="003B6E59"/>
    <w:rsid w:val="003B7998"/>
    <w:rsid w:val="003B79A1"/>
    <w:rsid w:val="003B7B9A"/>
    <w:rsid w:val="003B7C88"/>
    <w:rsid w:val="003B7CBC"/>
    <w:rsid w:val="003B7E08"/>
    <w:rsid w:val="003C00FC"/>
    <w:rsid w:val="003C0459"/>
    <w:rsid w:val="003C0678"/>
    <w:rsid w:val="003C0A52"/>
    <w:rsid w:val="003C0BAC"/>
    <w:rsid w:val="003C0E87"/>
    <w:rsid w:val="003C1217"/>
    <w:rsid w:val="003C172F"/>
    <w:rsid w:val="003C1990"/>
    <w:rsid w:val="003C1C15"/>
    <w:rsid w:val="003C1EF5"/>
    <w:rsid w:val="003C1F22"/>
    <w:rsid w:val="003C1F3B"/>
    <w:rsid w:val="003C2944"/>
    <w:rsid w:val="003C2F84"/>
    <w:rsid w:val="003C3340"/>
    <w:rsid w:val="003C3347"/>
    <w:rsid w:val="003C340C"/>
    <w:rsid w:val="003C3A1E"/>
    <w:rsid w:val="003C3ABC"/>
    <w:rsid w:val="003C3BEC"/>
    <w:rsid w:val="003C3DC9"/>
    <w:rsid w:val="003C3F25"/>
    <w:rsid w:val="003C3FC2"/>
    <w:rsid w:val="003C4678"/>
    <w:rsid w:val="003C4D82"/>
    <w:rsid w:val="003C4EAE"/>
    <w:rsid w:val="003C5600"/>
    <w:rsid w:val="003C5835"/>
    <w:rsid w:val="003C5981"/>
    <w:rsid w:val="003C5A03"/>
    <w:rsid w:val="003C5DC1"/>
    <w:rsid w:val="003C63A3"/>
    <w:rsid w:val="003C63AC"/>
    <w:rsid w:val="003C667E"/>
    <w:rsid w:val="003C6CB3"/>
    <w:rsid w:val="003C7094"/>
    <w:rsid w:val="003C79D9"/>
    <w:rsid w:val="003C7F38"/>
    <w:rsid w:val="003D00A5"/>
    <w:rsid w:val="003D0C4C"/>
    <w:rsid w:val="003D0EBB"/>
    <w:rsid w:val="003D0F68"/>
    <w:rsid w:val="003D1041"/>
    <w:rsid w:val="003D1579"/>
    <w:rsid w:val="003D15E4"/>
    <w:rsid w:val="003D1692"/>
    <w:rsid w:val="003D1782"/>
    <w:rsid w:val="003D1981"/>
    <w:rsid w:val="003D1AE5"/>
    <w:rsid w:val="003D1F06"/>
    <w:rsid w:val="003D203A"/>
    <w:rsid w:val="003D206F"/>
    <w:rsid w:val="003D2141"/>
    <w:rsid w:val="003D2224"/>
    <w:rsid w:val="003D24DF"/>
    <w:rsid w:val="003D2667"/>
    <w:rsid w:val="003D29D7"/>
    <w:rsid w:val="003D2A32"/>
    <w:rsid w:val="003D2A6E"/>
    <w:rsid w:val="003D2D90"/>
    <w:rsid w:val="003D2F9F"/>
    <w:rsid w:val="003D2FED"/>
    <w:rsid w:val="003D303E"/>
    <w:rsid w:val="003D3502"/>
    <w:rsid w:val="003D35B1"/>
    <w:rsid w:val="003D3842"/>
    <w:rsid w:val="003D3F57"/>
    <w:rsid w:val="003D40E2"/>
    <w:rsid w:val="003D4185"/>
    <w:rsid w:val="003D43F7"/>
    <w:rsid w:val="003D4479"/>
    <w:rsid w:val="003D4628"/>
    <w:rsid w:val="003D4FCB"/>
    <w:rsid w:val="003D50AD"/>
    <w:rsid w:val="003D562C"/>
    <w:rsid w:val="003D5772"/>
    <w:rsid w:val="003D5B49"/>
    <w:rsid w:val="003D5BCB"/>
    <w:rsid w:val="003D5C87"/>
    <w:rsid w:val="003D5F89"/>
    <w:rsid w:val="003D60D9"/>
    <w:rsid w:val="003D62FE"/>
    <w:rsid w:val="003D631D"/>
    <w:rsid w:val="003D647F"/>
    <w:rsid w:val="003D6648"/>
    <w:rsid w:val="003D68C7"/>
    <w:rsid w:val="003D6935"/>
    <w:rsid w:val="003D73E3"/>
    <w:rsid w:val="003D7531"/>
    <w:rsid w:val="003D7960"/>
    <w:rsid w:val="003D7A89"/>
    <w:rsid w:val="003D7E90"/>
    <w:rsid w:val="003E0081"/>
    <w:rsid w:val="003E01B8"/>
    <w:rsid w:val="003E01E7"/>
    <w:rsid w:val="003E0702"/>
    <w:rsid w:val="003E0A85"/>
    <w:rsid w:val="003E0B10"/>
    <w:rsid w:val="003E0DA6"/>
    <w:rsid w:val="003E0DB2"/>
    <w:rsid w:val="003E0F34"/>
    <w:rsid w:val="003E1157"/>
    <w:rsid w:val="003E1BD5"/>
    <w:rsid w:val="003E1D6F"/>
    <w:rsid w:val="003E1E75"/>
    <w:rsid w:val="003E2041"/>
    <w:rsid w:val="003E2A5C"/>
    <w:rsid w:val="003E2DA1"/>
    <w:rsid w:val="003E344E"/>
    <w:rsid w:val="003E3464"/>
    <w:rsid w:val="003E34C2"/>
    <w:rsid w:val="003E389B"/>
    <w:rsid w:val="003E3935"/>
    <w:rsid w:val="003E39E3"/>
    <w:rsid w:val="003E3B46"/>
    <w:rsid w:val="003E3DC3"/>
    <w:rsid w:val="003E3DDE"/>
    <w:rsid w:val="003E3EAD"/>
    <w:rsid w:val="003E3FD1"/>
    <w:rsid w:val="003E4443"/>
    <w:rsid w:val="003E4466"/>
    <w:rsid w:val="003E47FD"/>
    <w:rsid w:val="003E4809"/>
    <w:rsid w:val="003E4CA2"/>
    <w:rsid w:val="003E4D49"/>
    <w:rsid w:val="003E4D6A"/>
    <w:rsid w:val="003E4DA5"/>
    <w:rsid w:val="003E4F07"/>
    <w:rsid w:val="003E5283"/>
    <w:rsid w:val="003E5295"/>
    <w:rsid w:val="003E5422"/>
    <w:rsid w:val="003E585B"/>
    <w:rsid w:val="003E5D10"/>
    <w:rsid w:val="003E5E30"/>
    <w:rsid w:val="003E6037"/>
    <w:rsid w:val="003E62F8"/>
    <w:rsid w:val="003E69DD"/>
    <w:rsid w:val="003E6B69"/>
    <w:rsid w:val="003E6C2E"/>
    <w:rsid w:val="003E70D2"/>
    <w:rsid w:val="003E7262"/>
    <w:rsid w:val="003E7953"/>
    <w:rsid w:val="003E7B98"/>
    <w:rsid w:val="003E7C68"/>
    <w:rsid w:val="003E7C97"/>
    <w:rsid w:val="003F04DF"/>
    <w:rsid w:val="003F0C1A"/>
    <w:rsid w:val="003F0DD4"/>
    <w:rsid w:val="003F0F7C"/>
    <w:rsid w:val="003F1243"/>
    <w:rsid w:val="003F1567"/>
    <w:rsid w:val="003F1779"/>
    <w:rsid w:val="003F1AD1"/>
    <w:rsid w:val="003F1CA0"/>
    <w:rsid w:val="003F1D3F"/>
    <w:rsid w:val="003F2064"/>
    <w:rsid w:val="003F23DF"/>
    <w:rsid w:val="003F254B"/>
    <w:rsid w:val="003F26B7"/>
    <w:rsid w:val="003F2ED3"/>
    <w:rsid w:val="003F2FD3"/>
    <w:rsid w:val="003F30EB"/>
    <w:rsid w:val="003F30EE"/>
    <w:rsid w:val="003F3262"/>
    <w:rsid w:val="003F33DB"/>
    <w:rsid w:val="003F36BD"/>
    <w:rsid w:val="003F3C1C"/>
    <w:rsid w:val="003F3C58"/>
    <w:rsid w:val="003F3C9D"/>
    <w:rsid w:val="003F3DB5"/>
    <w:rsid w:val="003F3FE9"/>
    <w:rsid w:val="003F41E1"/>
    <w:rsid w:val="003F42B5"/>
    <w:rsid w:val="003F4404"/>
    <w:rsid w:val="003F488B"/>
    <w:rsid w:val="003F4A55"/>
    <w:rsid w:val="003F4BA2"/>
    <w:rsid w:val="003F4F7B"/>
    <w:rsid w:val="003F50BB"/>
    <w:rsid w:val="003F534F"/>
    <w:rsid w:val="003F5474"/>
    <w:rsid w:val="003F5885"/>
    <w:rsid w:val="003F5B62"/>
    <w:rsid w:val="003F5CDD"/>
    <w:rsid w:val="003F663A"/>
    <w:rsid w:val="003F663F"/>
    <w:rsid w:val="003F67FA"/>
    <w:rsid w:val="003F68BF"/>
    <w:rsid w:val="003F6BC3"/>
    <w:rsid w:val="003F6D09"/>
    <w:rsid w:val="003F6D4D"/>
    <w:rsid w:val="003F7071"/>
    <w:rsid w:val="003F745E"/>
    <w:rsid w:val="003F793D"/>
    <w:rsid w:val="003F7A1D"/>
    <w:rsid w:val="003F7B9F"/>
    <w:rsid w:val="003F7D3E"/>
    <w:rsid w:val="003F7F4F"/>
    <w:rsid w:val="00400325"/>
    <w:rsid w:val="00400484"/>
    <w:rsid w:val="004005F1"/>
    <w:rsid w:val="0040093E"/>
    <w:rsid w:val="00400940"/>
    <w:rsid w:val="004009BA"/>
    <w:rsid w:val="00400B0E"/>
    <w:rsid w:val="00400CFE"/>
    <w:rsid w:val="004011B3"/>
    <w:rsid w:val="0040122A"/>
    <w:rsid w:val="00401479"/>
    <w:rsid w:val="0040148B"/>
    <w:rsid w:val="0040191B"/>
    <w:rsid w:val="00401DEE"/>
    <w:rsid w:val="00402163"/>
    <w:rsid w:val="0040225A"/>
    <w:rsid w:val="004024B0"/>
    <w:rsid w:val="004027F2"/>
    <w:rsid w:val="00402C45"/>
    <w:rsid w:val="00402E83"/>
    <w:rsid w:val="004032FA"/>
    <w:rsid w:val="00403641"/>
    <w:rsid w:val="0040365E"/>
    <w:rsid w:val="00403664"/>
    <w:rsid w:val="00403902"/>
    <w:rsid w:val="0040416F"/>
    <w:rsid w:val="00404546"/>
    <w:rsid w:val="004048D7"/>
    <w:rsid w:val="004049DB"/>
    <w:rsid w:val="00404B8C"/>
    <w:rsid w:val="00404BEE"/>
    <w:rsid w:val="00404C0D"/>
    <w:rsid w:val="00404C1A"/>
    <w:rsid w:val="00404D8A"/>
    <w:rsid w:val="004052BF"/>
    <w:rsid w:val="00405453"/>
    <w:rsid w:val="00405536"/>
    <w:rsid w:val="004055D8"/>
    <w:rsid w:val="00405C64"/>
    <w:rsid w:val="0040610B"/>
    <w:rsid w:val="004065EC"/>
    <w:rsid w:val="004065F2"/>
    <w:rsid w:val="00406672"/>
    <w:rsid w:val="00407335"/>
    <w:rsid w:val="0040733B"/>
    <w:rsid w:val="004073D0"/>
    <w:rsid w:val="00407458"/>
    <w:rsid w:val="00407495"/>
    <w:rsid w:val="0040782E"/>
    <w:rsid w:val="004079DA"/>
    <w:rsid w:val="00407BA0"/>
    <w:rsid w:val="004100AC"/>
    <w:rsid w:val="00410261"/>
    <w:rsid w:val="00410408"/>
    <w:rsid w:val="0041051B"/>
    <w:rsid w:val="0041099B"/>
    <w:rsid w:val="00410C6B"/>
    <w:rsid w:val="004111CA"/>
    <w:rsid w:val="004114C9"/>
    <w:rsid w:val="00411506"/>
    <w:rsid w:val="004115AE"/>
    <w:rsid w:val="00411DAD"/>
    <w:rsid w:val="0041257A"/>
    <w:rsid w:val="00412721"/>
    <w:rsid w:val="00412839"/>
    <w:rsid w:val="00412A26"/>
    <w:rsid w:val="00412A97"/>
    <w:rsid w:val="0041314C"/>
    <w:rsid w:val="00413DED"/>
    <w:rsid w:val="00413E1C"/>
    <w:rsid w:val="00413F85"/>
    <w:rsid w:val="00414180"/>
    <w:rsid w:val="00414483"/>
    <w:rsid w:val="00414491"/>
    <w:rsid w:val="00414721"/>
    <w:rsid w:val="00414AD5"/>
    <w:rsid w:val="00414B28"/>
    <w:rsid w:val="00415911"/>
    <w:rsid w:val="004162CF"/>
    <w:rsid w:val="00416386"/>
    <w:rsid w:val="0041639D"/>
    <w:rsid w:val="00416467"/>
    <w:rsid w:val="00416B26"/>
    <w:rsid w:val="00416CB8"/>
    <w:rsid w:val="00416D04"/>
    <w:rsid w:val="0041706B"/>
    <w:rsid w:val="0041757A"/>
    <w:rsid w:val="00417A3F"/>
    <w:rsid w:val="00417D08"/>
    <w:rsid w:val="00417FB5"/>
    <w:rsid w:val="00417FE4"/>
    <w:rsid w:val="00420754"/>
    <w:rsid w:val="00420BC9"/>
    <w:rsid w:val="00420D16"/>
    <w:rsid w:val="00420D6B"/>
    <w:rsid w:val="004212C0"/>
    <w:rsid w:val="0042181A"/>
    <w:rsid w:val="00421C51"/>
    <w:rsid w:val="00421DC3"/>
    <w:rsid w:val="00421E8B"/>
    <w:rsid w:val="004223B4"/>
    <w:rsid w:val="004224C6"/>
    <w:rsid w:val="004224C7"/>
    <w:rsid w:val="004225A0"/>
    <w:rsid w:val="0042285B"/>
    <w:rsid w:val="00422A0B"/>
    <w:rsid w:val="00423873"/>
    <w:rsid w:val="00423A41"/>
    <w:rsid w:val="00423A71"/>
    <w:rsid w:val="00423ACE"/>
    <w:rsid w:val="004240F2"/>
    <w:rsid w:val="00424592"/>
    <w:rsid w:val="0042480B"/>
    <w:rsid w:val="004248EE"/>
    <w:rsid w:val="00424DA6"/>
    <w:rsid w:val="00424FCE"/>
    <w:rsid w:val="00424FD0"/>
    <w:rsid w:val="00425136"/>
    <w:rsid w:val="00425715"/>
    <w:rsid w:val="00425B8D"/>
    <w:rsid w:val="00425ED2"/>
    <w:rsid w:val="0042614D"/>
    <w:rsid w:val="004263FF"/>
    <w:rsid w:val="00426A5B"/>
    <w:rsid w:val="00426AA0"/>
    <w:rsid w:val="00426FB3"/>
    <w:rsid w:val="004273D7"/>
    <w:rsid w:val="00427843"/>
    <w:rsid w:val="00427983"/>
    <w:rsid w:val="00427DC3"/>
    <w:rsid w:val="0043034A"/>
    <w:rsid w:val="004305D1"/>
    <w:rsid w:val="004306B7"/>
    <w:rsid w:val="00430AEF"/>
    <w:rsid w:val="00430E02"/>
    <w:rsid w:val="00430F96"/>
    <w:rsid w:val="0043115F"/>
    <w:rsid w:val="00431BC8"/>
    <w:rsid w:val="00431BEF"/>
    <w:rsid w:val="00431C1F"/>
    <w:rsid w:val="00432072"/>
    <w:rsid w:val="0043221F"/>
    <w:rsid w:val="0043248B"/>
    <w:rsid w:val="00432621"/>
    <w:rsid w:val="00432962"/>
    <w:rsid w:val="00432B94"/>
    <w:rsid w:val="00432BC9"/>
    <w:rsid w:val="00432E74"/>
    <w:rsid w:val="00432F8D"/>
    <w:rsid w:val="004334C9"/>
    <w:rsid w:val="004337DA"/>
    <w:rsid w:val="0043394A"/>
    <w:rsid w:val="00433BBD"/>
    <w:rsid w:val="00433C6A"/>
    <w:rsid w:val="00433F03"/>
    <w:rsid w:val="004343D2"/>
    <w:rsid w:val="0043447B"/>
    <w:rsid w:val="004344A6"/>
    <w:rsid w:val="00434775"/>
    <w:rsid w:val="004347BC"/>
    <w:rsid w:val="00434B1D"/>
    <w:rsid w:val="00434B87"/>
    <w:rsid w:val="00434BA7"/>
    <w:rsid w:val="00434BCD"/>
    <w:rsid w:val="00434D31"/>
    <w:rsid w:val="00434F38"/>
    <w:rsid w:val="004351CF"/>
    <w:rsid w:val="004354AB"/>
    <w:rsid w:val="00435876"/>
    <w:rsid w:val="00435884"/>
    <w:rsid w:val="00435E65"/>
    <w:rsid w:val="00435F27"/>
    <w:rsid w:val="004360A5"/>
    <w:rsid w:val="00436390"/>
    <w:rsid w:val="004363EB"/>
    <w:rsid w:val="00436C1A"/>
    <w:rsid w:val="00436C5C"/>
    <w:rsid w:val="004377C0"/>
    <w:rsid w:val="00437845"/>
    <w:rsid w:val="00437CFC"/>
    <w:rsid w:val="0044035C"/>
    <w:rsid w:val="004406C6"/>
    <w:rsid w:val="004407FD"/>
    <w:rsid w:val="00440AC9"/>
    <w:rsid w:val="00440B54"/>
    <w:rsid w:val="00440CDD"/>
    <w:rsid w:val="004414B7"/>
    <w:rsid w:val="0044196F"/>
    <w:rsid w:val="00441C01"/>
    <w:rsid w:val="00441D43"/>
    <w:rsid w:val="00441E89"/>
    <w:rsid w:val="00442119"/>
    <w:rsid w:val="0044244D"/>
    <w:rsid w:val="004427B8"/>
    <w:rsid w:val="00442859"/>
    <w:rsid w:val="004429ED"/>
    <w:rsid w:val="0044318C"/>
    <w:rsid w:val="00443327"/>
    <w:rsid w:val="004442EB"/>
    <w:rsid w:val="004442F9"/>
    <w:rsid w:val="004446FC"/>
    <w:rsid w:val="00444749"/>
    <w:rsid w:val="00444E07"/>
    <w:rsid w:val="00444E78"/>
    <w:rsid w:val="00444FE3"/>
    <w:rsid w:val="00445126"/>
    <w:rsid w:val="00445340"/>
    <w:rsid w:val="0044543C"/>
    <w:rsid w:val="004455A2"/>
    <w:rsid w:val="004459BE"/>
    <w:rsid w:val="00445C30"/>
    <w:rsid w:val="0044653B"/>
    <w:rsid w:val="00446556"/>
    <w:rsid w:val="004470FE"/>
    <w:rsid w:val="00447255"/>
    <w:rsid w:val="00447388"/>
    <w:rsid w:val="00447519"/>
    <w:rsid w:val="004477FC"/>
    <w:rsid w:val="00447973"/>
    <w:rsid w:val="004501D7"/>
    <w:rsid w:val="00450547"/>
    <w:rsid w:val="00450E17"/>
    <w:rsid w:val="00451315"/>
    <w:rsid w:val="004515CC"/>
    <w:rsid w:val="004518CC"/>
    <w:rsid w:val="00451B34"/>
    <w:rsid w:val="00451D80"/>
    <w:rsid w:val="00451F2E"/>
    <w:rsid w:val="00451F5E"/>
    <w:rsid w:val="00452024"/>
    <w:rsid w:val="0045226D"/>
    <w:rsid w:val="0045227B"/>
    <w:rsid w:val="004522DF"/>
    <w:rsid w:val="00452373"/>
    <w:rsid w:val="00452795"/>
    <w:rsid w:val="0045293F"/>
    <w:rsid w:val="00452EF3"/>
    <w:rsid w:val="004533B3"/>
    <w:rsid w:val="0045350B"/>
    <w:rsid w:val="0045375A"/>
    <w:rsid w:val="00453774"/>
    <w:rsid w:val="00453A4E"/>
    <w:rsid w:val="00453D17"/>
    <w:rsid w:val="00453FA1"/>
    <w:rsid w:val="00454149"/>
    <w:rsid w:val="004549C6"/>
    <w:rsid w:val="00454B81"/>
    <w:rsid w:val="00454F35"/>
    <w:rsid w:val="00454F78"/>
    <w:rsid w:val="004550EE"/>
    <w:rsid w:val="0045525C"/>
    <w:rsid w:val="004559B5"/>
    <w:rsid w:val="00455A60"/>
    <w:rsid w:val="00455EC2"/>
    <w:rsid w:val="00455EE0"/>
    <w:rsid w:val="00455FA4"/>
    <w:rsid w:val="0045606C"/>
    <w:rsid w:val="0045627D"/>
    <w:rsid w:val="004565AD"/>
    <w:rsid w:val="00456745"/>
    <w:rsid w:val="00457208"/>
    <w:rsid w:val="00457426"/>
    <w:rsid w:val="00457A97"/>
    <w:rsid w:val="00457CC3"/>
    <w:rsid w:val="0046013C"/>
    <w:rsid w:val="004601A6"/>
    <w:rsid w:val="00460AC8"/>
    <w:rsid w:val="00460E2A"/>
    <w:rsid w:val="00461383"/>
    <w:rsid w:val="00461494"/>
    <w:rsid w:val="004614A0"/>
    <w:rsid w:val="00461B10"/>
    <w:rsid w:val="00462540"/>
    <w:rsid w:val="00462871"/>
    <w:rsid w:val="004629C1"/>
    <w:rsid w:val="00463283"/>
    <w:rsid w:val="004634B5"/>
    <w:rsid w:val="00463B6F"/>
    <w:rsid w:val="00463D29"/>
    <w:rsid w:val="00463E6B"/>
    <w:rsid w:val="0046409E"/>
    <w:rsid w:val="004640D6"/>
    <w:rsid w:val="004641DE"/>
    <w:rsid w:val="00464357"/>
    <w:rsid w:val="004644A8"/>
    <w:rsid w:val="00464525"/>
    <w:rsid w:val="0046455B"/>
    <w:rsid w:val="00464AF5"/>
    <w:rsid w:val="00464D79"/>
    <w:rsid w:val="00464DA3"/>
    <w:rsid w:val="00464E7E"/>
    <w:rsid w:val="00464F08"/>
    <w:rsid w:val="0046532C"/>
    <w:rsid w:val="00465721"/>
    <w:rsid w:val="00465CBE"/>
    <w:rsid w:val="00465CFB"/>
    <w:rsid w:val="00465EE6"/>
    <w:rsid w:val="00465FF7"/>
    <w:rsid w:val="0046621F"/>
    <w:rsid w:val="004663CD"/>
    <w:rsid w:val="004664C7"/>
    <w:rsid w:val="0046662A"/>
    <w:rsid w:val="0046665A"/>
    <w:rsid w:val="004666C2"/>
    <w:rsid w:val="00466776"/>
    <w:rsid w:val="00466917"/>
    <w:rsid w:val="0046693F"/>
    <w:rsid w:val="00466991"/>
    <w:rsid w:val="004671FE"/>
    <w:rsid w:val="00467365"/>
    <w:rsid w:val="00467482"/>
    <w:rsid w:val="004675F8"/>
    <w:rsid w:val="00467833"/>
    <w:rsid w:val="00467D13"/>
    <w:rsid w:val="00467D1F"/>
    <w:rsid w:val="00467E3D"/>
    <w:rsid w:val="00467FDB"/>
    <w:rsid w:val="00470175"/>
    <w:rsid w:val="004704D1"/>
    <w:rsid w:val="00470A05"/>
    <w:rsid w:val="00470A41"/>
    <w:rsid w:val="00470BB4"/>
    <w:rsid w:val="00470E24"/>
    <w:rsid w:val="0047102B"/>
    <w:rsid w:val="004710C2"/>
    <w:rsid w:val="00471151"/>
    <w:rsid w:val="00471205"/>
    <w:rsid w:val="004714E7"/>
    <w:rsid w:val="00471556"/>
    <w:rsid w:val="0047174D"/>
    <w:rsid w:val="00471B3C"/>
    <w:rsid w:val="00471DCB"/>
    <w:rsid w:val="00471F07"/>
    <w:rsid w:val="00472162"/>
    <w:rsid w:val="00472165"/>
    <w:rsid w:val="00472178"/>
    <w:rsid w:val="004723B4"/>
    <w:rsid w:val="004723C4"/>
    <w:rsid w:val="00472575"/>
    <w:rsid w:val="0047272D"/>
    <w:rsid w:val="0047290B"/>
    <w:rsid w:val="00472E29"/>
    <w:rsid w:val="00472E68"/>
    <w:rsid w:val="00472E80"/>
    <w:rsid w:val="00472EA6"/>
    <w:rsid w:val="00472F20"/>
    <w:rsid w:val="00473207"/>
    <w:rsid w:val="004734F8"/>
    <w:rsid w:val="00473857"/>
    <w:rsid w:val="004738C6"/>
    <w:rsid w:val="004745D0"/>
    <w:rsid w:val="004746FD"/>
    <w:rsid w:val="00474740"/>
    <w:rsid w:val="00475403"/>
    <w:rsid w:val="00475638"/>
    <w:rsid w:val="00475C4A"/>
    <w:rsid w:val="00475CDA"/>
    <w:rsid w:val="00475D47"/>
    <w:rsid w:val="00475D62"/>
    <w:rsid w:val="00476249"/>
    <w:rsid w:val="00476766"/>
    <w:rsid w:val="004768A1"/>
    <w:rsid w:val="004768D4"/>
    <w:rsid w:val="0047692D"/>
    <w:rsid w:val="00476AEE"/>
    <w:rsid w:val="00476C2E"/>
    <w:rsid w:val="00476CCD"/>
    <w:rsid w:val="00476EE2"/>
    <w:rsid w:val="00477389"/>
    <w:rsid w:val="004774FC"/>
    <w:rsid w:val="0047779B"/>
    <w:rsid w:val="0047799C"/>
    <w:rsid w:val="00477A7C"/>
    <w:rsid w:val="00480073"/>
    <w:rsid w:val="00480088"/>
    <w:rsid w:val="004803DD"/>
    <w:rsid w:val="004805D8"/>
    <w:rsid w:val="00480694"/>
    <w:rsid w:val="004806DC"/>
    <w:rsid w:val="00480774"/>
    <w:rsid w:val="00480915"/>
    <w:rsid w:val="00480BDB"/>
    <w:rsid w:val="00480CA5"/>
    <w:rsid w:val="00480E6D"/>
    <w:rsid w:val="00480EC0"/>
    <w:rsid w:val="0048112B"/>
    <w:rsid w:val="00481285"/>
    <w:rsid w:val="00481441"/>
    <w:rsid w:val="00481503"/>
    <w:rsid w:val="004818B6"/>
    <w:rsid w:val="00481A0B"/>
    <w:rsid w:val="00481E57"/>
    <w:rsid w:val="0048201F"/>
    <w:rsid w:val="004822BB"/>
    <w:rsid w:val="00482637"/>
    <w:rsid w:val="004827D7"/>
    <w:rsid w:val="00482B11"/>
    <w:rsid w:val="00482CDC"/>
    <w:rsid w:val="00482ED4"/>
    <w:rsid w:val="00483058"/>
    <w:rsid w:val="00483472"/>
    <w:rsid w:val="0048352C"/>
    <w:rsid w:val="004837C6"/>
    <w:rsid w:val="00483C16"/>
    <w:rsid w:val="00483CEF"/>
    <w:rsid w:val="00483DFB"/>
    <w:rsid w:val="00483E66"/>
    <w:rsid w:val="00483F08"/>
    <w:rsid w:val="00484937"/>
    <w:rsid w:val="00484D0D"/>
    <w:rsid w:val="00484F87"/>
    <w:rsid w:val="004851A0"/>
    <w:rsid w:val="00485233"/>
    <w:rsid w:val="0048588E"/>
    <w:rsid w:val="004859A4"/>
    <w:rsid w:val="00485C38"/>
    <w:rsid w:val="00485E46"/>
    <w:rsid w:val="00485EFD"/>
    <w:rsid w:val="0048609A"/>
    <w:rsid w:val="004862F5"/>
    <w:rsid w:val="00486454"/>
    <w:rsid w:val="00486798"/>
    <w:rsid w:val="0048707E"/>
    <w:rsid w:val="00487113"/>
    <w:rsid w:val="00487614"/>
    <w:rsid w:val="004877E1"/>
    <w:rsid w:val="00487829"/>
    <w:rsid w:val="00487DC0"/>
    <w:rsid w:val="00490081"/>
    <w:rsid w:val="004903BB"/>
    <w:rsid w:val="00490535"/>
    <w:rsid w:val="0049057C"/>
    <w:rsid w:val="0049061E"/>
    <w:rsid w:val="00490EFE"/>
    <w:rsid w:val="00491617"/>
    <w:rsid w:val="004918F2"/>
    <w:rsid w:val="0049198E"/>
    <w:rsid w:val="004919B1"/>
    <w:rsid w:val="004919C9"/>
    <w:rsid w:val="00491C31"/>
    <w:rsid w:val="00492347"/>
    <w:rsid w:val="0049263A"/>
    <w:rsid w:val="00492919"/>
    <w:rsid w:val="004929AE"/>
    <w:rsid w:val="00492D15"/>
    <w:rsid w:val="00492FBD"/>
    <w:rsid w:val="004931D6"/>
    <w:rsid w:val="004934E6"/>
    <w:rsid w:val="004937A7"/>
    <w:rsid w:val="00494287"/>
    <w:rsid w:val="004947A2"/>
    <w:rsid w:val="00494871"/>
    <w:rsid w:val="00494AF4"/>
    <w:rsid w:val="0049504B"/>
    <w:rsid w:val="00495314"/>
    <w:rsid w:val="00495480"/>
    <w:rsid w:val="00495636"/>
    <w:rsid w:val="0049575D"/>
    <w:rsid w:val="004958C5"/>
    <w:rsid w:val="00495C28"/>
    <w:rsid w:val="00496292"/>
    <w:rsid w:val="00496385"/>
    <w:rsid w:val="00496571"/>
    <w:rsid w:val="00496632"/>
    <w:rsid w:val="0049684D"/>
    <w:rsid w:val="004968BA"/>
    <w:rsid w:val="004970A8"/>
    <w:rsid w:val="0049712B"/>
    <w:rsid w:val="004971FE"/>
    <w:rsid w:val="004972F8"/>
    <w:rsid w:val="00497407"/>
    <w:rsid w:val="0049740D"/>
    <w:rsid w:val="00497AF9"/>
    <w:rsid w:val="004A02A2"/>
    <w:rsid w:val="004A04D9"/>
    <w:rsid w:val="004A07DC"/>
    <w:rsid w:val="004A0835"/>
    <w:rsid w:val="004A0951"/>
    <w:rsid w:val="004A0B35"/>
    <w:rsid w:val="004A0F29"/>
    <w:rsid w:val="004A13D1"/>
    <w:rsid w:val="004A14C5"/>
    <w:rsid w:val="004A1559"/>
    <w:rsid w:val="004A19C7"/>
    <w:rsid w:val="004A1C40"/>
    <w:rsid w:val="004A1DCF"/>
    <w:rsid w:val="004A21CE"/>
    <w:rsid w:val="004A251B"/>
    <w:rsid w:val="004A258A"/>
    <w:rsid w:val="004A27E8"/>
    <w:rsid w:val="004A2879"/>
    <w:rsid w:val="004A2DDF"/>
    <w:rsid w:val="004A3144"/>
    <w:rsid w:val="004A3811"/>
    <w:rsid w:val="004A38E9"/>
    <w:rsid w:val="004A3A7A"/>
    <w:rsid w:val="004A3AB0"/>
    <w:rsid w:val="004A3B82"/>
    <w:rsid w:val="004A4063"/>
    <w:rsid w:val="004A40B1"/>
    <w:rsid w:val="004A43A0"/>
    <w:rsid w:val="004A473E"/>
    <w:rsid w:val="004A4B8F"/>
    <w:rsid w:val="004A4C2B"/>
    <w:rsid w:val="004A5296"/>
    <w:rsid w:val="004A530B"/>
    <w:rsid w:val="004A5887"/>
    <w:rsid w:val="004A58E8"/>
    <w:rsid w:val="004A5ADE"/>
    <w:rsid w:val="004A5AFB"/>
    <w:rsid w:val="004A6A14"/>
    <w:rsid w:val="004A6D48"/>
    <w:rsid w:val="004A6DFB"/>
    <w:rsid w:val="004A6F3C"/>
    <w:rsid w:val="004A7D02"/>
    <w:rsid w:val="004A7F4D"/>
    <w:rsid w:val="004B05C4"/>
    <w:rsid w:val="004B0B00"/>
    <w:rsid w:val="004B0B44"/>
    <w:rsid w:val="004B0DF9"/>
    <w:rsid w:val="004B186E"/>
    <w:rsid w:val="004B189A"/>
    <w:rsid w:val="004B22C3"/>
    <w:rsid w:val="004B2776"/>
    <w:rsid w:val="004B2D48"/>
    <w:rsid w:val="004B2EAE"/>
    <w:rsid w:val="004B2EFE"/>
    <w:rsid w:val="004B302F"/>
    <w:rsid w:val="004B335E"/>
    <w:rsid w:val="004B361F"/>
    <w:rsid w:val="004B363D"/>
    <w:rsid w:val="004B3766"/>
    <w:rsid w:val="004B3916"/>
    <w:rsid w:val="004B40C1"/>
    <w:rsid w:val="004B4139"/>
    <w:rsid w:val="004B42F9"/>
    <w:rsid w:val="004B4437"/>
    <w:rsid w:val="004B4566"/>
    <w:rsid w:val="004B4845"/>
    <w:rsid w:val="004B5398"/>
    <w:rsid w:val="004B5A9E"/>
    <w:rsid w:val="004B5F0A"/>
    <w:rsid w:val="004B60EF"/>
    <w:rsid w:val="004B6116"/>
    <w:rsid w:val="004B6205"/>
    <w:rsid w:val="004B670E"/>
    <w:rsid w:val="004B6A8E"/>
    <w:rsid w:val="004B6CA0"/>
    <w:rsid w:val="004B7370"/>
    <w:rsid w:val="004B76A7"/>
    <w:rsid w:val="004B78EE"/>
    <w:rsid w:val="004B794D"/>
    <w:rsid w:val="004B79AD"/>
    <w:rsid w:val="004B7D07"/>
    <w:rsid w:val="004B7DBB"/>
    <w:rsid w:val="004B7E6D"/>
    <w:rsid w:val="004B7ED5"/>
    <w:rsid w:val="004C00E2"/>
    <w:rsid w:val="004C02A2"/>
    <w:rsid w:val="004C034A"/>
    <w:rsid w:val="004C036B"/>
    <w:rsid w:val="004C03F5"/>
    <w:rsid w:val="004C0B20"/>
    <w:rsid w:val="004C1226"/>
    <w:rsid w:val="004C14DC"/>
    <w:rsid w:val="004C16AA"/>
    <w:rsid w:val="004C1A02"/>
    <w:rsid w:val="004C1A3E"/>
    <w:rsid w:val="004C1F67"/>
    <w:rsid w:val="004C245E"/>
    <w:rsid w:val="004C283A"/>
    <w:rsid w:val="004C2CBB"/>
    <w:rsid w:val="004C3333"/>
    <w:rsid w:val="004C3D90"/>
    <w:rsid w:val="004C3EE5"/>
    <w:rsid w:val="004C4253"/>
    <w:rsid w:val="004C42C8"/>
    <w:rsid w:val="004C439E"/>
    <w:rsid w:val="004C4B1D"/>
    <w:rsid w:val="004C4EA4"/>
    <w:rsid w:val="004C513C"/>
    <w:rsid w:val="004C53B8"/>
    <w:rsid w:val="004C5BBD"/>
    <w:rsid w:val="004C5BDF"/>
    <w:rsid w:val="004C5C5D"/>
    <w:rsid w:val="004C5E06"/>
    <w:rsid w:val="004C6351"/>
    <w:rsid w:val="004C65C8"/>
    <w:rsid w:val="004C6769"/>
    <w:rsid w:val="004C6A21"/>
    <w:rsid w:val="004C6DD8"/>
    <w:rsid w:val="004C7565"/>
    <w:rsid w:val="004C76D8"/>
    <w:rsid w:val="004C77A3"/>
    <w:rsid w:val="004C7994"/>
    <w:rsid w:val="004C7A34"/>
    <w:rsid w:val="004C7BE3"/>
    <w:rsid w:val="004C7C5E"/>
    <w:rsid w:val="004D0213"/>
    <w:rsid w:val="004D057B"/>
    <w:rsid w:val="004D0722"/>
    <w:rsid w:val="004D0D70"/>
    <w:rsid w:val="004D11D1"/>
    <w:rsid w:val="004D12A3"/>
    <w:rsid w:val="004D12BD"/>
    <w:rsid w:val="004D192C"/>
    <w:rsid w:val="004D1994"/>
    <w:rsid w:val="004D1B01"/>
    <w:rsid w:val="004D1E4C"/>
    <w:rsid w:val="004D227B"/>
    <w:rsid w:val="004D25DB"/>
    <w:rsid w:val="004D2E92"/>
    <w:rsid w:val="004D2EBF"/>
    <w:rsid w:val="004D30DF"/>
    <w:rsid w:val="004D312F"/>
    <w:rsid w:val="004D368B"/>
    <w:rsid w:val="004D375B"/>
    <w:rsid w:val="004D3A4C"/>
    <w:rsid w:val="004D3B62"/>
    <w:rsid w:val="004D3D2B"/>
    <w:rsid w:val="004D46A6"/>
    <w:rsid w:val="004D4791"/>
    <w:rsid w:val="004D4AC6"/>
    <w:rsid w:val="004D5086"/>
    <w:rsid w:val="004D528C"/>
    <w:rsid w:val="004D566B"/>
    <w:rsid w:val="004D5AFD"/>
    <w:rsid w:val="004D6126"/>
    <w:rsid w:val="004D612A"/>
    <w:rsid w:val="004D6188"/>
    <w:rsid w:val="004D65D8"/>
    <w:rsid w:val="004D6639"/>
    <w:rsid w:val="004D6788"/>
    <w:rsid w:val="004D6954"/>
    <w:rsid w:val="004D6BC1"/>
    <w:rsid w:val="004D6D3E"/>
    <w:rsid w:val="004D6D7D"/>
    <w:rsid w:val="004D6EEA"/>
    <w:rsid w:val="004D7AF7"/>
    <w:rsid w:val="004D7F59"/>
    <w:rsid w:val="004E033D"/>
    <w:rsid w:val="004E03A4"/>
    <w:rsid w:val="004E055B"/>
    <w:rsid w:val="004E096E"/>
    <w:rsid w:val="004E0C8F"/>
    <w:rsid w:val="004E0FAD"/>
    <w:rsid w:val="004E10B1"/>
    <w:rsid w:val="004E1211"/>
    <w:rsid w:val="004E123F"/>
    <w:rsid w:val="004E1339"/>
    <w:rsid w:val="004E134B"/>
    <w:rsid w:val="004E14CB"/>
    <w:rsid w:val="004E1658"/>
    <w:rsid w:val="004E1BE1"/>
    <w:rsid w:val="004E1C9F"/>
    <w:rsid w:val="004E1D20"/>
    <w:rsid w:val="004E1DBF"/>
    <w:rsid w:val="004E2424"/>
    <w:rsid w:val="004E2608"/>
    <w:rsid w:val="004E29CA"/>
    <w:rsid w:val="004E2F18"/>
    <w:rsid w:val="004E3393"/>
    <w:rsid w:val="004E3434"/>
    <w:rsid w:val="004E35F4"/>
    <w:rsid w:val="004E3CE9"/>
    <w:rsid w:val="004E3F14"/>
    <w:rsid w:val="004E3FA9"/>
    <w:rsid w:val="004E3FF3"/>
    <w:rsid w:val="004E4093"/>
    <w:rsid w:val="004E40E9"/>
    <w:rsid w:val="004E4604"/>
    <w:rsid w:val="004E4843"/>
    <w:rsid w:val="004E4B0B"/>
    <w:rsid w:val="004E4BF2"/>
    <w:rsid w:val="004E4DDB"/>
    <w:rsid w:val="004E5458"/>
    <w:rsid w:val="004E5546"/>
    <w:rsid w:val="004E5EF2"/>
    <w:rsid w:val="004E6599"/>
    <w:rsid w:val="004E66A7"/>
    <w:rsid w:val="004E66C8"/>
    <w:rsid w:val="004E6946"/>
    <w:rsid w:val="004E6AE2"/>
    <w:rsid w:val="004E6B4A"/>
    <w:rsid w:val="004E6CBF"/>
    <w:rsid w:val="004E6DD2"/>
    <w:rsid w:val="004E6EF9"/>
    <w:rsid w:val="004E71FC"/>
    <w:rsid w:val="004E7CE0"/>
    <w:rsid w:val="004E7E8E"/>
    <w:rsid w:val="004F0209"/>
    <w:rsid w:val="004F059E"/>
    <w:rsid w:val="004F083F"/>
    <w:rsid w:val="004F0AAA"/>
    <w:rsid w:val="004F0C4D"/>
    <w:rsid w:val="004F0C69"/>
    <w:rsid w:val="004F0D0F"/>
    <w:rsid w:val="004F0DDD"/>
    <w:rsid w:val="004F0ED1"/>
    <w:rsid w:val="004F1356"/>
    <w:rsid w:val="004F17F5"/>
    <w:rsid w:val="004F1C32"/>
    <w:rsid w:val="004F1F19"/>
    <w:rsid w:val="004F1F48"/>
    <w:rsid w:val="004F21CB"/>
    <w:rsid w:val="004F239E"/>
    <w:rsid w:val="004F28EB"/>
    <w:rsid w:val="004F2B93"/>
    <w:rsid w:val="004F2C1E"/>
    <w:rsid w:val="004F2DA1"/>
    <w:rsid w:val="004F337B"/>
    <w:rsid w:val="004F33FB"/>
    <w:rsid w:val="004F3685"/>
    <w:rsid w:val="004F36D1"/>
    <w:rsid w:val="004F39F1"/>
    <w:rsid w:val="004F3AC6"/>
    <w:rsid w:val="004F3BFE"/>
    <w:rsid w:val="004F3C8D"/>
    <w:rsid w:val="004F3FE9"/>
    <w:rsid w:val="004F42FF"/>
    <w:rsid w:val="004F4303"/>
    <w:rsid w:val="004F44FC"/>
    <w:rsid w:val="004F4645"/>
    <w:rsid w:val="004F4973"/>
    <w:rsid w:val="004F4CD6"/>
    <w:rsid w:val="004F4E1C"/>
    <w:rsid w:val="004F5903"/>
    <w:rsid w:val="004F6324"/>
    <w:rsid w:val="004F65ED"/>
    <w:rsid w:val="004F682E"/>
    <w:rsid w:val="004F6922"/>
    <w:rsid w:val="004F69C0"/>
    <w:rsid w:val="004F6A3E"/>
    <w:rsid w:val="004F6CA7"/>
    <w:rsid w:val="004F6CB6"/>
    <w:rsid w:val="004F6E86"/>
    <w:rsid w:val="004F6FB2"/>
    <w:rsid w:val="004F7088"/>
    <w:rsid w:val="004F778F"/>
    <w:rsid w:val="004F7791"/>
    <w:rsid w:val="004F7B5A"/>
    <w:rsid w:val="004F7B86"/>
    <w:rsid w:val="004F7B9B"/>
    <w:rsid w:val="0050064D"/>
    <w:rsid w:val="0050075B"/>
    <w:rsid w:val="00500ABB"/>
    <w:rsid w:val="00500BA4"/>
    <w:rsid w:val="00501156"/>
    <w:rsid w:val="005014A8"/>
    <w:rsid w:val="0050183B"/>
    <w:rsid w:val="00501BE1"/>
    <w:rsid w:val="00501C05"/>
    <w:rsid w:val="0050233C"/>
    <w:rsid w:val="005023FF"/>
    <w:rsid w:val="0050258D"/>
    <w:rsid w:val="005025D9"/>
    <w:rsid w:val="00502950"/>
    <w:rsid w:val="00502984"/>
    <w:rsid w:val="00502A3C"/>
    <w:rsid w:val="00502A72"/>
    <w:rsid w:val="00502B7E"/>
    <w:rsid w:val="00502C62"/>
    <w:rsid w:val="00502DC0"/>
    <w:rsid w:val="00503453"/>
    <w:rsid w:val="00503680"/>
    <w:rsid w:val="0050371A"/>
    <w:rsid w:val="00503935"/>
    <w:rsid w:val="00503D5B"/>
    <w:rsid w:val="00503D60"/>
    <w:rsid w:val="00503DB9"/>
    <w:rsid w:val="00504196"/>
    <w:rsid w:val="005041E5"/>
    <w:rsid w:val="005042B7"/>
    <w:rsid w:val="005042FC"/>
    <w:rsid w:val="00504489"/>
    <w:rsid w:val="00504542"/>
    <w:rsid w:val="00504869"/>
    <w:rsid w:val="00504958"/>
    <w:rsid w:val="00504B31"/>
    <w:rsid w:val="00504D5E"/>
    <w:rsid w:val="00504DB9"/>
    <w:rsid w:val="005055B7"/>
    <w:rsid w:val="0050565C"/>
    <w:rsid w:val="005056CD"/>
    <w:rsid w:val="005057E1"/>
    <w:rsid w:val="00505D4F"/>
    <w:rsid w:val="00505D96"/>
    <w:rsid w:val="00505DE1"/>
    <w:rsid w:val="00505E28"/>
    <w:rsid w:val="00505E96"/>
    <w:rsid w:val="00506188"/>
    <w:rsid w:val="005062BB"/>
    <w:rsid w:val="00506A91"/>
    <w:rsid w:val="005073E2"/>
    <w:rsid w:val="005073FC"/>
    <w:rsid w:val="00507466"/>
    <w:rsid w:val="0050766C"/>
    <w:rsid w:val="005078C5"/>
    <w:rsid w:val="00507DB5"/>
    <w:rsid w:val="00507E18"/>
    <w:rsid w:val="005101DF"/>
    <w:rsid w:val="005102FE"/>
    <w:rsid w:val="00510336"/>
    <w:rsid w:val="005107DA"/>
    <w:rsid w:val="0051094A"/>
    <w:rsid w:val="00510B9B"/>
    <w:rsid w:val="0051104A"/>
    <w:rsid w:val="00511090"/>
    <w:rsid w:val="005111E1"/>
    <w:rsid w:val="005112F8"/>
    <w:rsid w:val="0051181C"/>
    <w:rsid w:val="005118D0"/>
    <w:rsid w:val="0051191E"/>
    <w:rsid w:val="00511962"/>
    <w:rsid w:val="00511B73"/>
    <w:rsid w:val="00512501"/>
    <w:rsid w:val="005126E3"/>
    <w:rsid w:val="00512A98"/>
    <w:rsid w:val="00512AF7"/>
    <w:rsid w:val="00512CC6"/>
    <w:rsid w:val="00512D46"/>
    <w:rsid w:val="00513079"/>
    <w:rsid w:val="0051327D"/>
    <w:rsid w:val="00513314"/>
    <w:rsid w:val="0051335A"/>
    <w:rsid w:val="005133C7"/>
    <w:rsid w:val="00513AC9"/>
    <w:rsid w:val="005146F4"/>
    <w:rsid w:val="00514C8C"/>
    <w:rsid w:val="00514EA6"/>
    <w:rsid w:val="00515038"/>
    <w:rsid w:val="005151D8"/>
    <w:rsid w:val="005154CC"/>
    <w:rsid w:val="005157E6"/>
    <w:rsid w:val="0051599A"/>
    <w:rsid w:val="00515D2D"/>
    <w:rsid w:val="005162C1"/>
    <w:rsid w:val="0051632F"/>
    <w:rsid w:val="00516410"/>
    <w:rsid w:val="00516AEE"/>
    <w:rsid w:val="005171AB"/>
    <w:rsid w:val="005171EF"/>
    <w:rsid w:val="0051732D"/>
    <w:rsid w:val="00517397"/>
    <w:rsid w:val="00517584"/>
    <w:rsid w:val="0051769D"/>
    <w:rsid w:val="005176CA"/>
    <w:rsid w:val="00517FB4"/>
    <w:rsid w:val="00520281"/>
    <w:rsid w:val="00520326"/>
    <w:rsid w:val="0052039E"/>
    <w:rsid w:val="00520518"/>
    <w:rsid w:val="00520841"/>
    <w:rsid w:val="00520960"/>
    <w:rsid w:val="0052105A"/>
    <w:rsid w:val="00521516"/>
    <w:rsid w:val="00521713"/>
    <w:rsid w:val="005217F4"/>
    <w:rsid w:val="00521AEF"/>
    <w:rsid w:val="00521D95"/>
    <w:rsid w:val="00522398"/>
    <w:rsid w:val="005224DA"/>
    <w:rsid w:val="0052257A"/>
    <w:rsid w:val="00522637"/>
    <w:rsid w:val="0052298E"/>
    <w:rsid w:val="00522DA2"/>
    <w:rsid w:val="00523394"/>
    <w:rsid w:val="0052356B"/>
    <w:rsid w:val="00523590"/>
    <w:rsid w:val="00523D5A"/>
    <w:rsid w:val="00523F64"/>
    <w:rsid w:val="00523FEA"/>
    <w:rsid w:val="00524732"/>
    <w:rsid w:val="005248FE"/>
    <w:rsid w:val="00524CCD"/>
    <w:rsid w:val="00524E75"/>
    <w:rsid w:val="00524F0E"/>
    <w:rsid w:val="00524F6A"/>
    <w:rsid w:val="005250D4"/>
    <w:rsid w:val="00525632"/>
    <w:rsid w:val="00525742"/>
    <w:rsid w:val="00525868"/>
    <w:rsid w:val="00525BE1"/>
    <w:rsid w:val="00525D19"/>
    <w:rsid w:val="0052633F"/>
    <w:rsid w:val="00526556"/>
    <w:rsid w:val="005265DC"/>
    <w:rsid w:val="0052669E"/>
    <w:rsid w:val="005268BF"/>
    <w:rsid w:val="00526B29"/>
    <w:rsid w:val="00526B67"/>
    <w:rsid w:val="00526BE0"/>
    <w:rsid w:val="00526C59"/>
    <w:rsid w:val="00526E59"/>
    <w:rsid w:val="00526F0E"/>
    <w:rsid w:val="00526F91"/>
    <w:rsid w:val="005273AE"/>
    <w:rsid w:val="0052758F"/>
    <w:rsid w:val="005277D3"/>
    <w:rsid w:val="00527908"/>
    <w:rsid w:val="00527C9F"/>
    <w:rsid w:val="00527E1C"/>
    <w:rsid w:val="00527EA4"/>
    <w:rsid w:val="00527F7A"/>
    <w:rsid w:val="00527FC5"/>
    <w:rsid w:val="0053023E"/>
    <w:rsid w:val="0053060E"/>
    <w:rsid w:val="00530AF6"/>
    <w:rsid w:val="00530C94"/>
    <w:rsid w:val="00530DD2"/>
    <w:rsid w:val="00530EA0"/>
    <w:rsid w:val="00531116"/>
    <w:rsid w:val="0053127F"/>
    <w:rsid w:val="005313FA"/>
    <w:rsid w:val="00531772"/>
    <w:rsid w:val="00531F9B"/>
    <w:rsid w:val="00532147"/>
    <w:rsid w:val="005322CC"/>
    <w:rsid w:val="005325AA"/>
    <w:rsid w:val="00532955"/>
    <w:rsid w:val="00532D55"/>
    <w:rsid w:val="0053300B"/>
    <w:rsid w:val="00533419"/>
    <w:rsid w:val="00533816"/>
    <w:rsid w:val="005338DA"/>
    <w:rsid w:val="00533AD2"/>
    <w:rsid w:val="00533F4C"/>
    <w:rsid w:val="00533FE8"/>
    <w:rsid w:val="0053437E"/>
    <w:rsid w:val="005344FE"/>
    <w:rsid w:val="00534506"/>
    <w:rsid w:val="0053471E"/>
    <w:rsid w:val="00534805"/>
    <w:rsid w:val="005348C1"/>
    <w:rsid w:val="0053492B"/>
    <w:rsid w:val="005349AC"/>
    <w:rsid w:val="00534D49"/>
    <w:rsid w:val="00534D91"/>
    <w:rsid w:val="00535052"/>
    <w:rsid w:val="00535096"/>
    <w:rsid w:val="00535156"/>
    <w:rsid w:val="00535264"/>
    <w:rsid w:val="0053549E"/>
    <w:rsid w:val="005355B1"/>
    <w:rsid w:val="0053577A"/>
    <w:rsid w:val="0053596D"/>
    <w:rsid w:val="00535DD6"/>
    <w:rsid w:val="00536135"/>
    <w:rsid w:val="0053650C"/>
    <w:rsid w:val="005368E1"/>
    <w:rsid w:val="0053698F"/>
    <w:rsid w:val="00537190"/>
    <w:rsid w:val="005371C8"/>
    <w:rsid w:val="0053762C"/>
    <w:rsid w:val="00537656"/>
    <w:rsid w:val="00537824"/>
    <w:rsid w:val="005378FB"/>
    <w:rsid w:val="00537904"/>
    <w:rsid w:val="00537A73"/>
    <w:rsid w:val="00537BA1"/>
    <w:rsid w:val="00537C71"/>
    <w:rsid w:val="00537CB3"/>
    <w:rsid w:val="00537D04"/>
    <w:rsid w:val="00537E4A"/>
    <w:rsid w:val="0054073B"/>
    <w:rsid w:val="0054086C"/>
    <w:rsid w:val="005409D2"/>
    <w:rsid w:val="00540D46"/>
    <w:rsid w:val="00540E64"/>
    <w:rsid w:val="00540FEA"/>
    <w:rsid w:val="005414C3"/>
    <w:rsid w:val="0054161D"/>
    <w:rsid w:val="00541667"/>
    <w:rsid w:val="0054171A"/>
    <w:rsid w:val="005417AD"/>
    <w:rsid w:val="005417F3"/>
    <w:rsid w:val="00541AB5"/>
    <w:rsid w:val="005420CB"/>
    <w:rsid w:val="0054223F"/>
    <w:rsid w:val="0054266E"/>
    <w:rsid w:val="00542CA8"/>
    <w:rsid w:val="005435CD"/>
    <w:rsid w:val="00543709"/>
    <w:rsid w:val="0054384B"/>
    <w:rsid w:val="005448DC"/>
    <w:rsid w:val="00544CC0"/>
    <w:rsid w:val="00544D48"/>
    <w:rsid w:val="005450FA"/>
    <w:rsid w:val="0054571D"/>
    <w:rsid w:val="00545A29"/>
    <w:rsid w:val="00545DD2"/>
    <w:rsid w:val="00545FE3"/>
    <w:rsid w:val="00546446"/>
    <w:rsid w:val="00546685"/>
    <w:rsid w:val="005470D2"/>
    <w:rsid w:val="005472BF"/>
    <w:rsid w:val="00547370"/>
    <w:rsid w:val="005474DA"/>
    <w:rsid w:val="0054788D"/>
    <w:rsid w:val="005502F9"/>
    <w:rsid w:val="005504CF"/>
    <w:rsid w:val="005505FE"/>
    <w:rsid w:val="00550638"/>
    <w:rsid w:val="005506C0"/>
    <w:rsid w:val="005508B8"/>
    <w:rsid w:val="00550AF8"/>
    <w:rsid w:val="00550CE8"/>
    <w:rsid w:val="00550F5C"/>
    <w:rsid w:val="00551F89"/>
    <w:rsid w:val="005521A7"/>
    <w:rsid w:val="005523BB"/>
    <w:rsid w:val="00552641"/>
    <w:rsid w:val="00552689"/>
    <w:rsid w:val="00553059"/>
    <w:rsid w:val="00553070"/>
    <w:rsid w:val="005530D5"/>
    <w:rsid w:val="00553148"/>
    <w:rsid w:val="005533E4"/>
    <w:rsid w:val="00553816"/>
    <w:rsid w:val="00553984"/>
    <w:rsid w:val="00554289"/>
    <w:rsid w:val="005545B7"/>
    <w:rsid w:val="00555071"/>
    <w:rsid w:val="00555109"/>
    <w:rsid w:val="00555376"/>
    <w:rsid w:val="00555AC6"/>
    <w:rsid w:val="00555BFF"/>
    <w:rsid w:val="00555F5A"/>
    <w:rsid w:val="00555F89"/>
    <w:rsid w:val="005560BA"/>
    <w:rsid w:val="005560C1"/>
    <w:rsid w:val="00556614"/>
    <w:rsid w:val="00556821"/>
    <w:rsid w:val="00556914"/>
    <w:rsid w:val="00556DAB"/>
    <w:rsid w:val="00556F34"/>
    <w:rsid w:val="00556F93"/>
    <w:rsid w:val="0055711F"/>
    <w:rsid w:val="0055795C"/>
    <w:rsid w:val="005579FC"/>
    <w:rsid w:val="00557E1E"/>
    <w:rsid w:val="00560173"/>
    <w:rsid w:val="00560287"/>
    <w:rsid w:val="005607C0"/>
    <w:rsid w:val="00560847"/>
    <w:rsid w:val="00560981"/>
    <w:rsid w:val="00560D98"/>
    <w:rsid w:val="00560DD0"/>
    <w:rsid w:val="005612A7"/>
    <w:rsid w:val="0056137F"/>
    <w:rsid w:val="005614BE"/>
    <w:rsid w:val="0056178A"/>
    <w:rsid w:val="00561CD5"/>
    <w:rsid w:val="005622FF"/>
    <w:rsid w:val="00562568"/>
    <w:rsid w:val="005626CA"/>
    <w:rsid w:val="005629CA"/>
    <w:rsid w:val="00562B2D"/>
    <w:rsid w:val="005630BC"/>
    <w:rsid w:val="00563441"/>
    <w:rsid w:val="0056344F"/>
    <w:rsid w:val="005637C0"/>
    <w:rsid w:val="00563A3C"/>
    <w:rsid w:val="00563F41"/>
    <w:rsid w:val="005640D7"/>
    <w:rsid w:val="00564923"/>
    <w:rsid w:val="00564E4F"/>
    <w:rsid w:val="005659BF"/>
    <w:rsid w:val="00565C75"/>
    <w:rsid w:val="00565C8A"/>
    <w:rsid w:val="005661B2"/>
    <w:rsid w:val="00566B75"/>
    <w:rsid w:val="00566BD8"/>
    <w:rsid w:val="00566D92"/>
    <w:rsid w:val="005672E9"/>
    <w:rsid w:val="0056742A"/>
    <w:rsid w:val="0056768C"/>
    <w:rsid w:val="00567860"/>
    <w:rsid w:val="005678CC"/>
    <w:rsid w:val="00567AE2"/>
    <w:rsid w:val="00567B8D"/>
    <w:rsid w:val="00567C5E"/>
    <w:rsid w:val="00567D58"/>
    <w:rsid w:val="00567F7B"/>
    <w:rsid w:val="00567FC5"/>
    <w:rsid w:val="00570096"/>
    <w:rsid w:val="005700F6"/>
    <w:rsid w:val="00570241"/>
    <w:rsid w:val="00570302"/>
    <w:rsid w:val="00570497"/>
    <w:rsid w:val="00570648"/>
    <w:rsid w:val="0057077D"/>
    <w:rsid w:val="00571456"/>
    <w:rsid w:val="00571527"/>
    <w:rsid w:val="00571898"/>
    <w:rsid w:val="00571969"/>
    <w:rsid w:val="00571B25"/>
    <w:rsid w:val="00571C00"/>
    <w:rsid w:val="005725AF"/>
    <w:rsid w:val="00572953"/>
    <w:rsid w:val="00572A12"/>
    <w:rsid w:val="00572CD0"/>
    <w:rsid w:val="005731C4"/>
    <w:rsid w:val="005736BC"/>
    <w:rsid w:val="005736E2"/>
    <w:rsid w:val="0057385A"/>
    <w:rsid w:val="005739FA"/>
    <w:rsid w:val="00573A8F"/>
    <w:rsid w:val="00574159"/>
    <w:rsid w:val="00574506"/>
    <w:rsid w:val="005746E7"/>
    <w:rsid w:val="00574A39"/>
    <w:rsid w:val="005751AD"/>
    <w:rsid w:val="00575543"/>
    <w:rsid w:val="005756A4"/>
    <w:rsid w:val="00575981"/>
    <w:rsid w:val="00575A6F"/>
    <w:rsid w:val="00575C61"/>
    <w:rsid w:val="00575CDA"/>
    <w:rsid w:val="00575FFC"/>
    <w:rsid w:val="00576542"/>
    <w:rsid w:val="00576E30"/>
    <w:rsid w:val="00576EDE"/>
    <w:rsid w:val="00577015"/>
    <w:rsid w:val="005770E6"/>
    <w:rsid w:val="005775DE"/>
    <w:rsid w:val="005778E3"/>
    <w:rsid w:val="00577D8D"/>
    <w:rsid w:val="00577E86"/>
    <w:rsid w:val="0058023D"/>
    <w:rsid w:val="0058066F"/>
    <w:rsid w:val="005807CB"/>
    <w:rsid w:val="005807EC"/>
    <w:rsid w:val="0058090C"/>
    <w:rsid w:val="005809F3"/>
    <w:rsid w:val="00580C0B"/>
    <w:rsid w:val="0058103C"/>
    <w:rsid w:val="0058156E"/>
    <w:rsid w:val="0058176C"/>
    <w:rsid w:val="005818C3"/>
    <w:rsid w:val="005818DF"/>
    <w:rsid w:val="00581968"/>
    <w:rsid w:val="00581BBF"/>
    <w:rsid w:val="005820EB"/>
    <w:rsid w:val="00582233"/>
    <w:rsid w:val="0058241B"/>
    <w:rsid w:val="005824B7"/>
    <w:rsid w:val="0058284A"/>
    <w:rsid w:val="005828FD"/>
    <w:rsid w:val="00582CFB"/>
    <w:rsid w:val="00582E8A"/>
    <w:rsid w:val="005831D2"/>
    <w:rsid w:val="005832BD"/>
    <w:rsid w:val="005832FA"/>
    <w:rsid w:val="00583660"/>
    <w:rsid w:val="005836B8"/>
    <w:rsid w:val="005838B8"/>
    <w:rsid w:val="00583B96"/>
    <w:rsid w:val="00583BDD"/>
    <w:rsid w:val="00583C07"/>
    <w:rsid w:val="00583C77"/>
    <w:rsid w:val="00583D0F"/>
    <w:rsid w:val="00583F57"/>
    <w:rsid w:val="00583FA0"/>
    <w:rsid w:val="0058433B"/>
    <w:rsid w:val="005844C3"/>
    <w:rsid w:val="005845DA"/>
    <w:rsid w:val="0058461A"/>
    <w:rsid w:val="00584D59"/>
    <w:rsid w:val="0058586D"/>
    <w:rsid w:val="0058603F"/>
    <w:rsid w:val="0058647B"/>
    <w:rsid w:val="00586564"/>
    <w:rsid w:val="00586633"/>
    <w:rsid w:val="00586A48"/>
    <w:rsid w:val="00586BE0"/>
    <w:rsid w:val="00586C76"/>
    <w:rsid w:val="00586D2F"/>
    <w:rsid w:val="00586F01"/>
    <w:rsid w:val="005874C7"/>
    <w:rsid w:val="00587620"/>
    <w:rsid w:val="00587AD6"/>
    <w:rsid w:val="00587BDB"/>
    <w:rsid w:val="00587D04"/>
    <w:rsid w:val="00590435"/>
    <w:rsid w:val="00590624"/>
    <w:rsid w:val="00590741"/>
    <w:rsid w:val="00590BFB"/>
    <w:rsid w:val="00590DEF"/>
    <w:rsid w:val="00590E1E"/>
    <w:rsid w:val="00590F61"/>
    <w:rsid w:val="005910D4"/>
    <w:rsid w:val="0059115B"/>
    <w:rsid w:val="005916A4"/>
    <w:rsid w:val="0059171D"/>
    <w:rsid w:val="005918B9"/>
    <w:rsid w:val="00591A51"/>
    <w:rsid w:val="00591E82"/>
    <w:rsid w:val="00591FB2"/>
    <w:rsid w:val="005921EB"/>
    <w:rsid w:val="00592680"/>
    <w:rsid w:val="00592971"/>
    <w:rsid w:val="005929B1"/>
    <w:rsid w:val="00592E74"/>
    <w:rsid w:val="00593469"/>
    <w:rsid w:val="0059364A"/>
    <w:rsid w:val="00593840"/>
    <w:rsid w:val="00593ADD"/>
    <w:rsid w:val="00593CA7"/>
    <w:rsid w:val="00593E6C"/>
    <w:rsid w:val="00593F24"/>
    <w:rsid w:val="0059415A"/>
    <w:rsid w:val="005946C0"/>
    <w:rsid w:val="005946EC"/>
    <w:rsid w:val="005947C2"/>
    <w:rsid w:val="00594AA0"/>
    <w:rsid w:val="00594E0A"/>
    <w:rsid w:val="00594E91"/>
    <w:rsid w:val="00594F44"/>
    <w:rsid w:val="00595679"/>
    <w:rsid w:val="00595687"/>
    <w:rsid w:val="0059598B"/>
    <w:rsid w:val="00595D21"/>
    <w:rsid w:val="0059619C"/>
    <w:rsid w:val="00596336"/>
    <w:rsid w:val="00596471"/>
    <w:rsid w:val="00596600"/>
    <w:rsid w:val="005968D5"/>
    <w:rsid w:val="00596DC8"/>
    <w:rsid w:val="005971AC"/>
    <w:rsid w:val="0059725E"/>
    <w:rsid w:val="00597523"/>
    <w:rsid w:val="00597619"/>
    <w:rsid w:val="00597711"/>
    <w:rsid w:val="005978BA"/>
    <w:rsid w:val="00597ABF"/>
    <w:rsid w:val="00597C4C"/>
    <w:rsid w:val="005A0046"/>
    <w:rsid w:val="005A0324"/>
    <w:rsid w:val="005A0AFA"/>
    <w:rsid w:val="005A0BA9"/>
    <w:rsid w:val="005A0C94"/>
    <w:rsid w:val="005A0DC1"/>
    <w:rsid w:val="005A0DEC"/>
    <w:rsid w:val="005A16D9"/>
    <w:rsid w:val="005A189F"/>
    <w:rsid w:val="005A1A51"/>
    <w:rsid w:val="005A1C6C"/>
    <w:rsid w:val="005A1CD0"/>
    <w:rsid w:val="005A2345"/>
    <w:rsid w:val="005A2438"/>
    <w:rsid w:val="005A2BDE"/>
    <w:rsid w:val="005A2CC5"/>
    <w:rsid w:val="005A2E9B"/>
    <w:rsid w:val="005A303B"/>
    <w:rsid w:val="005A3A69"/>
    <w:rsid w:val="005A3B84"/>
    <w:rsid w:val="005A3CAC"/>
    <w:rsid w:val="005A3EE6"/>
    <w:rsid w:val="005A41E2"/>
    <w:rsid w:val="005A4330"/>
    <w:rsid w:val="005A45D6"/>
    <w:rsid w:val="005A466F"/>
    <w:rsid w:val="005A4746"/>
    <w:rsid w:val="005A51B1"/>
    <w:rsid w:val="005A553E"/>
    <w:rsid w:val="005A5719"/>
    <w:rsid w:val="005A5E39"/>
    <w:rsid w:val="005A5EBD"/>
    <w:rsid w:val="005A643D"/>
    <w:rsid w:val="005A65CE"/>
    <w:rsid w:val="005A66EC"/>
    <w:rsid w:val="005A6953"/>
    <w:rsid w:val="005A6B5B"/>
    <w:rsid w:val="005A6F7E"/>
    <w:rsid w:val="005A735E"/>
    <w:rsid w:val="005A73F1"/>
    <w:rsid w:val="005A7BFB"/>
    <w:rsid w:val="005A7E1E"/>
    <w:rsid w:val="005A7F22"/>
    <w:rsid w:val="005B0302"/>
    <w:rsid w:val="005B04D2"/>
    <w:rsid w:val="005B0B8D"/>
    <w:rsid w:val="005B1498"/>
    <w:rsid w:val="005B175E"/>
    <w:rsid w:val="005B1B10"/>
    <w:rsid w:val="005B1E03"/>
    <w:rsid w:val="005B1EC5"/>
    <w:rsid w:val="005B2E8B"/>
    <w:rsid w:val="005B2F0C"/>
    <w:rsid w:val="005B3AC9"/>
    <w:rsid w:val="005B3AF5"/>
    <w:rsid w:val="005B3B33"/>
    <w:rsid w:val="005B3D66"/>
    <w:rsid w:val="005B42BD"/>
    <w:rsid w:val="005B42D0"/>
    <w:rsid w:val="005B42E5"/>
    <w:rsid w:val="005B44FB"/>
    <w:rsid w:val="005B46A4"/>
    <w:rsid w:val="005B4897"/>
    <w:rsid w:val="005B48B2"/>
    <w:rsid w:val="005B4B24"/>
    <w:rsid w:val="005B4B52"/>
    <w:rsid w:val="005B4FEC"/>
    <w:rsid w:val="005B51C8"/>
    <w:rsid w:val="005B5A9E"/>
    <w:rsid w:val="005B5AF6"/>
    <w:rsid w:val="005B6022"/>
    <w:rsid w:val="005B6030"/>
    <w:rsid w:val="005B6103"/>
    <w:rsid w:val="005B6F1E"/>
    <w:rsid w:val="005B732C"/>
    <w:rsid w:val="005B7590"/>
    <w:rsid w:val="005B7DB8"/>
    <w:rsid w:val="005B7DCC"/>
    <w:rsid w:val="005B7DE7"/>
    <w:rsid w:val="005B7E27"/>
    <w:rsid w:val="005C01CA"/>
    <w:rsid w:val="005C091E"/>
    <w:rsid w:val="005C097A"/>
    <w:rsid w:val="005C0CA6"/>
    <w:rsid w:val="005C1454"/>
    <w:rsid w:val="005C14EF"/>
    <w:rsid w:val="005C15F7"/>
    <w:rsid w:val="005C1790"/>
    <w:rsid w:val="005C1880"/>
    <w:rsid w:val="005C1986"/>
    <w:rsid w:val="005C1DC0"/>
    <w:rsid w:val="005C1F43"/>
    <w:rsid w:val="005C1F71"/>
    <w:rsid w:val="005C2033"/>
    <w:rsid w:val="005C2819"/>
    <w:rsid w:val="005C2A79"/>
    <w:rsid w:val="005C2B29"/>
    <w:rsid w:val="005C2FDE"/>
    <w:rsid w:val="005C3037"/>
    <w:rsid w:val="005C30D6"/>
    <w:rsid w:val="005C30FF"/>
    <w:rsid w:val="005C332D"/>
    <w:rsid w:val="005C36C0"/>
    <w:rsid w:val="005C381F"/>
    <w:rsid w:val="005C3882"/>
    <w:rsid w:val="005C3886"/>
    <w:rsid w:val="005C3AB0"/>
    <w:rsid w:val="005C3D01"/>
    <w:rsid w:val="005C3F2C"/>
    <w:rsid w:val="005C409C"/>
    <w:rsid w:val="005C4143"/>
    <w:rsid w:val="005C414F"/>
    <w:rsid w:val="005C43C9"/>
    <w:rsid w:val="005C47D9"/>
    <w:rsid w:val="005C48C5"/>
    <w:rsid w:val="005C4BEE"/>
    <w:rsid w:val="005C5323"/>
    <w:rsid w:val="005C56D5"/>
    <w:rsid w:val="005C5763"/>
    <w:rsid w:val="005C5AB6"/>
    <w:rsid w:val="005C5B28"/>
    <w:rsid w:val="005C5EFA"/>
    <w:rsid w:val="005C6332"/>
    <w:rsid w:val="005C681F"/>
    <w:rsid w:val="005C6A77"/>
    <w:rsid w:val="005C6E60"/>
    <w:rsid w:val="005C6E75"/>
    <w:rsid w:val="005C7206"/>
    <w:rsid w:val="005C7565"/>
    <w:rsid w:val="005C763F"/>
    <w:rsid w:val="005C7986"/>
    <w:rsid w:val="005C7A30"/>
    <w:rsid w:val="005C7E79"/>
    <w:rsid w:val="005C7FB7"/>
    <w:rsid w:val="005D09AB"/>
    <w:rsid w:val="005D09AD"/>
    <w:rsid w:val="005D0A27"/>
    <w:rsid w:val="005D0A7C"/>
    <w:rsid w:val="005D0ACB"/>
    <w:rsid w:val="005D0B46"/>
    <w:rsid w:val="005D0C78"/>
    <w:rsid w:val="005D0EF4"/>
    <w:rsid w:val="005D13CD"/>
    <w:rsid w:val="005D1408"/>
    <w:rsid w:val="005D1E8A"/>
    <w:rsid w:val="005D2078"/>
    <w:rsid w:val="005D2187"/>
    <w:rsid w:val="005D2333"/>
    <w:rsid w:val="005D2349"/>
    <w:rsid w:val="005D2649"/>
    <w:rsid w:val="005D27DA"/>
    <w:rsid w:val="005D2847"/>
    <w:rsid w:val="005D2F21"/>
    <w:rsid w:val="005D2FFA"/>
    <w:rsid w:val="005D3332"/>
    <w:rsid w:val="005D3650"/>
    <w:rsid w:val="005D3873"/>
    <w:rsid w:val="005D3A7D"/>
    <w:rsid w:val="005D3BE6"/>
    <w:rsid w:val="005D3C4A"/>
    <w:rsid w:val="005D4329"/>
    <w:rsid w:val="005D45DE"/>
    <w:rsid w:val="005D48E9"/>
    <w:rsid w:val="005D57D1"/>
    <w:rsid w:val="005D5879"/>
    <w:rsid w:val="005D5AB2"/>
    <w:rsid w:val="005D5B9B"/>
    <w:rsid w:val="005D5C0F"/>
    <w:rsid w:val="005D6581"/>
    <w:rsid w:val="005D6795"/>
    <w:rsid w:val="005D68B1"/>
    <w:rsid w:val="005D6935"/>
    <w:rsid w:val="005D69E3"/>
    <w:rsid w:val="005D6C88"/>
    <w:rsid w:val="005D6CC1"/>
    <w:rsid w:val="005D6D71"/>
    <w:rsid w:val="005D70DB"/>
    <w:rsid w:val="005D718E"/>
    <w:rsid w:val="005D72D3"/>
    <w:rsid w:val="005D73B6"/>
    <w:rsid w:val="005D7553"/>
    <w:rsid w:val="005D7DB8"/>
    <w:rsid w:val="005D7E01"/>
    <w:rsid w:val="005D7F27"/>
    <w:rsid w:val="005D7FB9"/>
    <w:rsid w:val="005E0207"/>
    <w:rsid w:val="005E0526"/>
    <w:rsid w:val="005E0567"/>
    <w:rsid w:val="005E0A07"/>
    <w:rsid w:val="005E158A"/>
    <w:rsid w:val="005E16E8"/>
    <w:rsid w:val="005E1D77"/>
    <w:rsid w:val="005E1DD8"/>
    <w:rsid w:val="005E2078"/>
    <w:rsid w:val="005E21F7"/>
    <w:rsid w:val="005E231B"/>
    <w:rsid w:val="005E23DD"/>
    <w:rsid w:val="005E284F"/>
    <w:rsid w:val="005E2963"/>
    <w:rsid w:val="005E2C75"/>
    <w:rsid w:val="005E3259"/>
    <w:rsid w:val="005E333A"/>
    <w:rsid w:val="005E3546"/>
    <w:rsid w:val="005E369A"/>
    <w:rsid w:val="005E3703"/>
    <w:rsid w:val="005E3834"/>
    <w:rsid w:val="005E3942"/>
    <w:rsid w:val="005E395A"/>
    <w:rsid w:val="005E39B1"/>
    <w:rsid w:val="005E39F1"/>
    <w:rsid w:val="005E41BF"/>
    <w:rsid w:val="005E43DF"/>
    <w:rsid w:val="005E4570"/>
    <w:rsid w:val="005E483E"/>
    <w:rsid w:val="005E4B3D"/>
    <w:rsid w:val="005E4D53"/>
    <w:rsid w:val="005E5249"/>
    <w:rsid w:val="005E5475"/>
    <w:rsid w:val="005E55DA"/>
    <w:rsid w:val="005E56E1"/>
    <w:rsid w:val="005E5790"/>
    <w:rsid w:val="005E57CF"/>
    <w:rsid w:val="005E588E"/>
    <w:rsid w:val="005E5D22"/>
    <w:rsid w:val="005E5EEF"/>
    <w:rsid w:val="005E5F4E"/>
    <w:rsid w:val="005E6610"/>
    <w:rsid w:val="005E677E"/>
    <w:rsid w:val="005E6F7B"/>
    <w:rsid w:val="005E713A"/>
    <w:rsid w:val="005E7396"/>
    <w:rsid w:val="005E7406"/>
    <w:rsid w:val="005E76EA"/>
    <w:rsid w:val="005E7915"/>
    <w:rsid w:val="005E7EBE"/>
    <w:rsid w:val="005F0A6C"/>
    <w:rsid w:val="005F0AC1"/>
    <w:rsid w:val="005F0BCE"/>
    <w:rsid w:val="005F0CD6"/>
    <w:rsid w:val="005F0D0E"/>
    <w:rsid w:val="005F0F18"/>
    <w:rsid w:val="005F13F7"/>
    <w:rsid w:val="005F146C"/>
    <w:rsid w:val="005F1502"/>
    <w:rsid w:val="005F16B8"/>
    <w:rsid w:val="005F1ACA"/>
    <w:rsid w:val="005F1B6E"/>
    <w:rsid w:val="005F1CF6"/>
    <w:rsid w:val="005F1E3C"/>
    <w:rsid w:val="005F20AF"/>
    <w:rsid w:val="005F21ED"/>
    <w:rsid w:val="005F2381"/>
    <w:rsid w:val="005F2433"/>
    <w:rsid w:val="005F243A"/>
    <w:rsid w:val="005F2C40"/>
    <w:rsid w:val="005F2C49"/>
    <w:rsid w:val="005F3337"/>
    <w:rsid w:val="005F36A7"/>
    <w:rsid w:val="005F3B4C"/>
    <w:rsid w:val="005F3CB4"/>
    <w:rsid w:val="005F414F"/>
    <w:rsid w:val="005F42D3"/>
    <w:rsid w:val="005F46A6"/>
    <w:rsid w:val="005F48C0"/>
    <w:rsid w:val="005F4D9B"/>
    <w:rsid w:val="005F4FEC"/>
    <w:rsid w:val="005F52CE"/>
    <w:rsid w:val="005F52D0"/>
    <w:rsid w:val="005F5C94"/>
    <w:rsid w:val="005F5D21"/>
    <w:rsid w:val="005F5F65"/>
    <w:rsid w:val="005F7157"/>
    <w:rsid w:val="005F78B0"/>
    <w:rsid w:val="005F79EC"/>
    <w:rsid w:val="005F7A3B"/>
    <w:rsid w:val="005F7BCA"/>
    <w:rsid w:val="005F7BCF"/>
    <w:rsid w:val="0060041F"/>
    <w:rsid w:val="00600704"/>
    <w:rsid w:val="00600905"/>
    <w:rsid w:val="00600C35"/>
    <w:rsid w:val="00600F26"/>
    <w:rsid w:val="00600F74"/>
    <w:rsid w:val="00601241"/>
    <w:rsid w:val="0060128C"/>
    <w:rsid w:val="006012BA"/>
    <w:rsid w:val="006013C2"/>
    <w:rsid w:val="006017D4"/>
    <w:rsid w:val="006017E0"/>
    <w:rsid w:val="00601BA5"/>
    <w:rsid w:val="00601C6F"/>
    <w:rsid w:val="00601CD1"/>
    <w:rsid w:val="00601D90"/>
    <w:rsid w:val="00602197"/>
    <w:rsid w:val="0060246A"/>
    <w:rsid w:val="006026F5"/>
    <w:rsid w:val="00602B8C"/>
    <w:rsid w:val="006030F5"/>
    <w:rsid w:val="00603133"/>
    <w:rsid w:val="006031A9"/>
    <w:rsid w:val="0060328A"/>
    <w:rsid w:val="00603481"/>
    <w:rsid w:val="006037F3"/>
    <w:rsid w:val="006038B5"/>
    <w:rsid w:val="00603A6D"/>
    <w:rsid w:val="00603CFE"/>
    <w:rsid w:val="00603FA9"/>
    <w:rsid w:val="006044C6"/>
    <w:rsid w:val="00604515"/>
    <w:rsid w:val="00604F9E"/>
    <w:rsid w:val="00605115"/>
    <w:rsid w:val="006054E2"/>
    <w:rsid w:val="00605668"/>
    <w:rsid w:val="00605815"/>
    <w:rsid w:val="00605C8E"/>
    <w:rsid w:val="00605C9F"/>
    <w:rsid w:val="00605F68"/>
    <w:rsid w:val="00605F8D"/>
    <w:rsid w:val="0060615B"/>
    <w:rsid w:val="0060618B"/>
    <w:rsid w:val="006065EF"/>
    <w:rsid w:val="00606F57"/>
    <w:rsid w:val="006074F8"/>
    <w:rsid w:val="0060764B"/>
    <w:rsid w:val="00607761"/>
    <w:rsid w:val="006078AB"/>
    <w:rsid w:val="0060796B"/>
    <w:rsid w:val="00607A79"/>
    <w:rsid w:val="00607F96"/>
    <w:rsid w:val="006102D0"/>
    <w:rsid w:val="00610338"/>
    <w:rsid w:val="0061035E"/>
    <w:rsid w:val="0061092E"/>
    <w:rsid w:val="00610B1A"/>
    <w:rsid w:val="00610D0C"/>
    <w:rsid w:val="0061118C"/>
    <w:rsid w:val="006111A5"/>
    <w:rsid w:val="00611396"/>
    <w:rsid w:val="006113C2"/>
    <w:rsid w:val="006118AB"/>
    <w:rsid w:val="00611961"/>
    <w:rsid w:val="00611A28"/>
    <w:rsid w:val="00611B18"/>
    <w:rsid w:val="00611F08"/>
    <w:rsid w:val="006123D3"/>
    <w:rsid w:val="00612751"/>
    <w:rsid w:val="006129CE"/>
    <w:rsid w:val="00612AAA"/>
    <w:rsid w:val="00612B14"/>
    <w:rsid w:val="00612B9D"/>
    <w:rsid w:val="00612BB5"/>
    <w:rsid w:val="00612EE0"/>
    <w:rsid w:val="006130D4"/>
    <w:rsid w:val="006131AC"/>
    <w:rsid w:val="0061325D"/>
    <w:rsid w:val="006132DA"/>
    <w:rsid w:val="00613C8A"/>
    <w:rsid w:val="00614202"/>
    <w:rsid w:val="006142DE"/>
    <w:rsid w:val="0061455B"/>
    <w:rsid w:val="00614590"/>
    <w:rsid w:val="00614690"/>
    <w:rsid w:val="00614801"/>
    <w:rsid w:val="00614820"/>
    <w:rsid w:val="00614842"/>
    <w:rsid w:val="00614A66"/>
    <w:rsid w:val="00614EEC"/>
    <w:rsid w:val="00615B40"/>
    <w:rsid w:val="00615E01"/>
    <w:rsid w:val="006163FD"/>
    <w:rsid w:val="00616551"/>
    <w:rsid w:val="006165FA"/>
    <w:rsid w:val="006166C5"/>
    <w:rsid w:val="006168D1"/>
    <w:rsid w:val="00616BF2"/>
    <w:rsid w:val="00616DC2"/>
    <w:rsid w:val="00616F17"/>
    <w:rsid w:val="00616F72"/>
    <w:rsid w:val="00616FB6"/>
    <w:rsid w:val="006176C0"/>
    <w:rsid w:val="00617715"/>
    <w:rsid w:val="0061793C"/>
    <w:rsid w:val="006179F2"/>
    <w:rsid w:val="00617B53"/>
    <w:rsid w:val="00617CC3"/>
    <w:rsid w:val="00617E9C"/>
    <w:rsid w:val="00617EE4"/>
    <w:rsid w:val="006202C7"/>
    <w:rsid w:val="006206FC"/>
    <w:rsid w:val="0062105C"/>
    <w:rsid w:val="00621201"/>
    <w:rsid w:val="0062120B"/>
    <w:rsid w:val="006212CC"/>
    <w:rsid w:val="0062134A"/>
    <w:rsid w:val="006217D0"/>
    <w:rsid w:val="0062188B"/>
    <w:rsid w:val="006218AB"/>
    <w:rsid w:val="0062190A"/>
    <w:rsid w:val="00621922"/>
    <w:rsid w:val="00621ECF"/>
    <w:rsid w:val="00621F38"/>
    <w:rsid w:val="00622323"/>
    <w:rsid w:val="0062289E"/>
    <w:rsid w:val="006228A8"/>
    <w:rsid w:val="00622E48"/>
    <w:rsid w:val="00622F8F"/>
    <w:rsid w:val="006231B4"/>
    <w:rsid w:val="006232D1"/>
    <w:rsid w:val="006233FA"/>
    <w:rsid w:val="00623474"/>
    <w:rsid w:val="006235F0"/>
    <w:rsid w:val="00623714"/>
    <w:rsid w:val="00623B40"/>
    <w:rsid w:val="00623C39"/>
    <w:rsid w:val="00623D4B"/>
    <w:rsid w:val="00623FA2"/>
    <w:rsid w:val="00624128"/>
    <w:rsid w:val="0062413E"/>
    <w:rsid w:val="006242CC"/>
    <w:rsid w:val="0062487E"/>
    <w:rsid w:val="006248D0"/>
    <w:rsid w:val="006249D6"/>
    <w:rsid w:val="0062533A"/>
    <w:rsid w:val="0062555A"/>
    <w:rsid w:val="006255AD"/>
    <w:rsid w:val="006256F1"/>
    <w:rsid w:val="00625713"/>
    <w:rsid w:val="00625D4C"/>
    <w:rsid w:val="00625E5E"/>
    <w:rsid w:val="0062636F"/>
    <w:rsid w:val="006263E1"/>
    <w:rsid w:val="00626578"/>
    <w:rsid w:val="006265A2"/>
    <w:rsid w:val="00626729"/>
    <w:rsid w:val="00626842"/>
    <w:rsid w:val="00626C70"/>
    <w:rsid w:val="00627043"/>
    <w:rsid w:val="00627599"/>
    <w:rsid w:val="00627A63"/>
    <w:rsid w:val="00627BA6"/>
    <w:rsid w:val="00627EC5"/>
    <w:rsid w:val="006302AB"/>
    <w:rsid w:val="00630492"/>
    <w:rsid w:val="006309DD"/>
    <w:rsid w:val="00630ABD"/>
    <w:rsid w:val="00630F3D"/>
    <w:rsid w:val="00631234"/>
    <w:rsid w:val="00631967"/>
    <w:rsid w:val="00631A56"/>
    <w:rsid w:val="00631C42"/>
    <w:rsid w:val="00631C46"/>
    <w:rsid w:val="00631E7A"/>
    <w:rsid w:val="006324F3"/>
    <w:rsid w:val="006326B8"/>
    <w:rsid w:val="0063278B"/>
    <w:rsid w:val="00632A7E"/>
    <w:rsid w:val="00632C5D"/>
    <w:rsid w:val="00632E08"/>
    <w:rsid w:val="00633058"/>
    <w:rsid w:val="00633246"/>
    <w:rsid w:val="006334BE"/>
    <w:rsid w:val="00633E86"/>
    <w:rsid w:val="00633E99"/>
    <w:rsid w:val="006345CD"/>
    <w:rsid w:val="006346D5"/>
    <w:rsid w:val="00634E8C"/>
    <w:rsid w:val="00635005"/>
    <w:rsid w:val="0063504F"/>
    <w:rsid w:val="006351C5"/>
    <w:rsid w:val="00635202"/>
    <w:rsid w:val="0063521B"/>
    <w:rsid w:val="0063593B"/>
    <w:rsid w:val="00635E80"/>
    <w:rsid w:val="00636139"/>
    <w:rsid w:val="006363DD"/>
    <w:rsid w:val="00636745"/>
    <w:rsid w:val="006367FC"/>
    <w:rsid w:val="00636B56"/>
    <w:rsid w:val="00636B6B"/>
    <w:rsid w:val="0063701A"/>
    <w:rsid w:val="006370ED"/>
    <w:rsid w:val="006372CF"/>
    <w:rsid w:val="0063735F"/>
    <w:rsid w:val="006376D5"/>
    <w:rsid w:val="0063778C"/>
    <w:rsid w:val="006377A6"/>
    <w:rsid w:val="006378F6"/>
    <w:rsid w:val="00637F62"/>
    <w:rsid w:val="006401E7"/>
    <w:rsid w:val="0064033B"/>
    <w:rsid w:val="00640453"/>
    <w:rsid w:val="00640535"/>
    <w:rsid w:val="006407FD"/>
    <w:rsid w:val="00640B0A"/>
    <w:rsid w:val="00640BE5"/>
    <w:rsid w:val="00640D71"/>
    <w:rsid w:val="00640ED1"/>
    <w:rsid w:val="006412DD"/>
    <w:rsid w:val="006415C1"/>
    <w:rsid w:val="00641A4D"/>
    <w:rsid w:val="00641F45"/>
    <w:rsid w:val="006420AC"/>
    <w:rsid w:val="00642136"/>
    <w:rsid w:val="006422FC"/>
    <w:rsid w:val="00642896"/>
    <w:rsid w:val="00642B4C"/>
    <w:rsid w:val="00642D0B"/>
    <w:rsid w:val="00642E9A"/>
    <w:rsid w:val="00642E9E"/>
    <w:rsid w:val="00642EAE"/>
    <w:rsid w:val="006433BA"/>
    <w:rsid w:val="00643471"/>
    <w:rsid w:val="00643509"/>
    <w:rsid w:val="00643728"/>
    <w:rsid w:val="00643983"/>
    <w:rsid w:val="00644AD7"/>
    <w:rsid w:val="00644AE8"/>
    <w:rsid w:val="00644EFD"/>
    <w:rsid w:val="006450B0"/>
    <w:rsid w:val="006452B3"/>
    <w:rsid w:val="0064559A"/>
    <w:rsid w:val="006458D4"/>
    <w:rsid w:val="00645EDB"/>
    <w:rsid w:val="0064625D"/>
    <w:rsid w:val="006466E1"/>
    <w:rsid w:val="00646E6D"/>
    <w:rsid w:val="00647314"/>
    <w:rsid w:val="0064773D"/>
    <w:rsid w:val="00647749"/>
    <w:rsid w:val="006477AA"/>
    <w:rsid w:val="00650443"/>
    <w:rsid w:val="00650728"/>
    <w:rsid w:val="00650A3D"/>
    <w:rsid w:val="006511E5"/>
    <w:rsid w:val="00651295"/>
    <w:rsid w:val="00651429"/>
    <w:rsid w:val="00651486"/>
    <w:rsid w:val="00651731"/>
    <w:rsid w:val="00651D42"/>
    <w:rsid w:val="00652348"/>
    <w:rsid w:val="00652A54"/>
    <w:rsid w:val="00652A7A"/>
    <w:rsid w:val="00652A96"/>
    <w:rsid w:val="00652AD3"/>
    <w:rsid w:val="00652F40"/>
    <w:rsid w:val="006530A8"/>
    <w:rsid w:val="00653471"/>
    <w:rsid w:val="00653756"/>
    <w:rsid w:val="00653A41"/>
    <w:rsid w:val="00653A57"/>
    <w:rsid w:val="00653B63"/>
    <w:rsid w:val="00653DA5"/>
    <w:rsid w:val="00653E9C"/>
    <w:rsid w:val="00654130"/>
    <w:rsid w:val="006541D1"/>
    <w:rsid w:val="00654233"/>
    <w:rsid w:val="006544A3"/>
    <w:rsid w:val="00654564"/>
    <w:rsid w:val="006546B4"/>
    <w:rsid w:val="0065474C"/>
    <w:rsid w:val="00654A4A"/>
    <w:rsid w:val="00654C74"/>
    <w:rsid w:val="00654FE9"/>
    <w:rsid w:val="00655141"/>
    <w:rsid w:val="006551B9"/>
    <w:rsid w:val="00655365"/>
    <w:rsid w:val="00655F1F"/>
    <w:rsid w:val="00655FF7"/>
    <w:rsid w:val="00656865"/>
    <w:rsid w:val="00656978"/>
    <w:rsid w:val="006570F3"/>
    <w:rsid w:val="00657678"/>
    <w:rsid w:val="0065768A"/>
    <w:rsid w:val="0065797F"/>
    <w:rsid w:val="00657DE9"/>
    <w:rsid w:val="00657E35"/>
    <w:rsid w:val="00657EF5"/>
    <w:rsid w:val="00657F38"/>
    <w:rsid w:val="006600A3"/>
    <w:rsid w:val="006604A2"/>
    <w:rsid w:val="006604EE"/>
    <w:rsid w:val="00660522"/>
    <w:rsid w:val="006605C8"/>
    <w:rsid w:val="006606B1"/>
    <w:rsid w:val="006608FB"/>
    <w:rsid w:val="0066095B"/>
    <w:rsid w:val="00660B64"/>
    <w:rsid w:val="00660D6C"/>
    <w:rsid w:val="0066159F"/>
    <w:rsid w:val="00661ACD"/>
    <w:rsid w:val="00661B38"/>
    <w:rsid w:val="006620F0"/>
    <w:rsid w:val="0066216F"/>
    <w:rsid w:val="00662972"/>
    <w:rsid w:val="00662C78"/>
    <w:rsid w:val="00662C99"/>
    <w:rsid w:val="00662EE4"/>
    <w:rsid w:val="006635CD"/>
    <w:rsid w:val="00663658"/>
    <w:rsid w:val="00663933"/>
    <w:rsid w:val="00663AE6"/>
    <w:rsid w:val="00664372"/>
    <w:rsid w:val="006652BA"/>
    <w:rsid w:val="00665381"/>
    <w:rsid w:val="006655B6"/>
    <w:rsid w:val="006655C3"/>
    <w:rsid w:val="00665AEF"/>
    <w:rsid w:val="00666225"/>
    <w:rsid w:val="00666253"/>
    <w:rsid w:val="00666657"/>
    <w:rsid w:val="006666CE"/>
    <w:rsid w:val="0066676B"/>
    <w:rsid w:val="0066687E"/>
    <w:rsid w:val="00666DB5"/>
    <w:rsid w:val="00667385"/>
    <w:rsid w:val="0066750F"/>
    <w:rsid w:val="00667630"/>
    <w:rsid w:val="00667983"/>
    <w:rsid w:val="00667989"/>
    <w:rsid w:val="00667E9D"/>
    <w:rsid w:val="00667F6F"/>
    <w:rsid w:val="006700DB"/>
    <w:rsid w:val="006706A6"/>
    <w:rsid w:val="00670AEF"/>
    <w:rsid w:val="00670D6D"/>
    <w:rsid w:val="00670F20"/>
    <w:rsid w:val="006710F5"/>
    <w:rsid w:val="00671210"/>
    <w:rsid w:val="006716C8"/>
    <w:rsid w:val="006717CA"/>
    <w:rsid w:val="0067186E"/>
    <w:rsid w:val="006718DA"/>
    <w:rsid w:val="00671A5C"/>
    <w:rsid w:val="00671D46"/>
    <w:rsid w:val="00671D87"/>
    <w:rsid w:val="00671D89"/>
    <w:rsid w:val="00671E08"/>
    <w:rsid w:val="006720F3"/>
    <w:rsid w:val="006722B1"/>
    <w:rsid w:val="0067291F"/>
    <w:rsid w:val="006729B9"/>
    <w:rsid w:val="00672AD1"/>
    <w:rsid w:val="00672B13"/>
    <w:rsid w:val="00672BBD"/>
    <w:rsid w:val="006732EB"/>
    <w:rsid w:val="00673431"/>
    <w:rsid w:val="00673A78"/>
    <w:rsid w:val="00673B4C"/>
    <w:rsid w:val="00673B57"/>
    <w:rsid w:val="00673D05"/>
    <w:rsid w:val="00673EBD"/>
    <w:rsid w:val="00673FCC"/>
    <w:rsid w:val="00674229"/>
    <w:rsid w:val="00674485"/>
    <w:rsid w:val="00674AED"/>
    <w:rsid w:val="00674EFD"/>
    <w:rsid w:val="0067578A"/>
    <w:rsid w:val="00675A00"/>
    <w:rsid w:val="00675BF7"/>
    <w:rsid w:val="00675BFC"/>
    <w:rsid w:val="0067605C"/>
    <w:rsid w:val="006760B0"/>
    <w:rsid w:val="00676297"/>
    <w:rsid w:val="006762CE"/>
    <w:rsid w:val="0067630D"/>
    <w:rsid w:val="006763D2"/>
    <w:rsid w:val="00676764"/>
    <w:rsid w:val="00676A7F"/>
    <w:rsid w:val="00676B0B"/>
    <w:rsid w:val="00676C0A"/>
    <w:rsid w:val="00676D51"/>
    <w:rsid w:val="00676F39"/>
    <w:rsid w:val="006773B4"/>
    <w:rsid w:val="00677972"/>
    <w:rsid w:val="00677A25"/>
    <w:rsid w:val="00677A98"/>
    <w:rsid w:val="00677ADF"/>
    <w:rsid w:val="00677B1B"/>
    <w:rsid w:val="00677E8D"/>
    <w:rsid w:val="00677F47"/>
    <w:rsid w:val="00677F51"/>
    <w:rsid w:val="006804D6"/>
    <w:rsid w:val="00680A7D"/>
    <w:rsid w:val="00680E3B"/>
    <w:rsid w:val="00681014"/>
    <w:rsid w:val="0068139E"/>
    <w:rsid w:val="00681917"/>
    <w:rsid w:val="00681F7A"/>
    <w:rsid w:val="0068210F"/>
    <w:rsid w:val="00682555"/>
    <w:rsid w:val="0068276F"/>
    <w:rsid w:val="00682836"/>
    <w:rsid w:val="00682902"/>
    <w:rsid w:val="0068295D"/>
    <w:rsid w:val="0068339D"/>
    <w:rsid w:val="0068360D"/>
    <w:rsid w:val="00683A15"/>
    <w:rsid w:val="00683A50"/>
    <w:rsid w:val="00683F42"/>
    <w:rsid w:val="006840E3"/>
    <w:rsid w:val="00684253"/>
    <w:rsid w:val="00684884"/>
    <w:rsid w:val="00684981"/>
    <w:rsid w:val="00684A18"/>
    <w:rsid w:val="00684D86"/>
    <w:rsid w:val="00685741"/>
    <w:rsid w:val="00685A13"/>
    <w:rsid w:val="00685C4A"/>
    <w:rsid w:val="00685D31"/>
    <w:rsid w:val="00686197"/>
    <w:rsid w:val="0068649D"/>
    <w:rsid w:val="006865DD"/>
    <w:rsid w:val="0068661F"/>
    <w:rsid w:val="006868FB"/>
    <w:rsid w:val="00686A43"/>
    <w:rsid w:val="00686DCF"/>
    <w:rsid w:val="00686E12"/>
    <w:rsid w:val="0068744A"/>
    <w:rsid w:val="00687730"/>
    <w:rsid w:val="006878C3"/>
    <w:rsid w:val="00687C66"/>
    <w:rsid w:val="006905D2"/>
    <w:rsid w:val="0069068F"/>
    <w:rsid w:val="0069086E"/>
    <w:rsid w:val="0069098B"/>
    <w:rsid w:val="00690A38"/>
    <w:rsid w:val="00690E62"/>
    <w:rsid w:val="00690EC4"/>
    <w:rsid w:val="00690F50"/>
    <w:rsid w:val="00691193"/>
    <w:rsid w:val="006912F0"/>
    <w:rsid w:val="006915F9"/>
    <w:rsid w:val="00691945"/>
    <w:rsid w:val="00691C73"/>
    <w:rsid w:val="00691CCD"/>
    <w:rsid w:val="006921B1"/>
    <w:rsid w:val="0069221C"/>
    <w:rsid w:val="006923C8"/>
    <w:rsid w:val="00692410"/>
    <w:rsid w:val="0069249E"/>
    <w:rsid w:val="00692532"/>
    <w:rsid w:val="00692707"/>
    <w:rsid w:val="0069296B"/>
    <w:rsid w:val="00692D77"/>
    <w:rsid w:val="00692E4E"/>
    <w:rsid w:val="00692F62"/>
    <w:rsid w:val="006932CC"/>
    <w:rsid w:val="006935D3"/>
    <w:rsid w:val="00693EB1"/>
    <w:rsid w:val="00693EB5"/>
    <w:rsid w:val="00693F5E"/>
    <w:rsid w:val="006943CF"/>
    <w:rsid w:val="0069479B"/>
    <w:rsid w:val="00694CE1"/>
    <w:rsid w:val="00694FFE"/>
    <w:rsid w:val="006952E7"/>
    <w:rsid w:val="006955DB"/>
    <w:rsid w:val="006956A2"/>
    <w:rsid w:val="006962AF"/>
    <w:rsid w:val="00696512"/>
    <w:rsid w:val="00696B88"/>
    <w:rsid w:val="00696CC3"/>
    <w:rsid w:val="00697020"/>
    <w:rsid w:val="00697271"/>
    <w:rsid w:val="00697739"/>
    <w:rsid w:val="006979B7"/>
    <w:rsid w:val="00697C99"/>
    <w:rsid w:val="006A0063"/>
    <w:rsid w:val="006A0068"/>
    <w:rsid w:val="006A03D6"/>
    <w:rsid w:val="006A0662"/>
    <w:rsid w:val="006A0F20"/>
    <w:rsid w:val="006A1102"/>
    <w:rsid w:val="006A14E1"/>
    <w:rsid w:val="006A164C"/>
    <w:rsid w:val="006A1B3E"/>
    <w:rsid w:val="006A1C5F"/>
    <w:rsid w:val="006A1CCC"/>
    <w:rsid w:val="006A213D"/>
    <w:rsid w:val="006A2676"/>
    <w:rsid w:val="006A2A98"/>
    <w:rsid w:val="006A2AA0"/>
    <w:rsid w:val="006A31E2"/>
    <w:rsid w:val="006A359A"/>
    <w:rsid w:val="006A3C13"/>
    <w:rsid w:val="006A3C20"/>
    <w:rsid w:val="006A3E16"/>
    <w:rsid w:val="006A3E29"/>
    <w:rsid w:val="006A3E76"/>
    <w:rsid w:val="006A4009"/>
    <w:rsid w:val="006A41D6"/>
    <w:rsid w:val="006A427E"/>
    <w:rsid w:val="006A43FF"/>
    <w:rsid w:val="006A4426"/>
    <w:rsid w:val="006A4484"/>
    <w:rsid w:val="006A4616"/>
    <w:rsid w:val="006A4762"/>
    <w:rsid w:val="006A4870"/>
    <w:rsid w:val="006A4D64"/>
    <w:rsid w:val="006A4F1F"/>
    <w:rsid w:val="006A4F8F"/>
    <w:rsid w:val="006A544D"/>
    <w:rsid w:val="006A565F"/>
    <w:rsid w:val="006A5875"/>
    <w:rsid w:val="006A590D"/>
    <w:rsid w:val="006A59A8"/>
    <w:rsid w:val="006A5A1B"/>
    <w:rsid w:val="006A5A64"/>
    <w:rsid w:val="006A5B08"/>
    <w:rsid w:val="006A5C2A"/>
    <w:rsid w:val="006A5C3F"/>
    <w:rsid w:val="006A5CC1"/>
    <w:rsid w:val="006A5E6A"/>
    <w:rsid w:val="006A5EA2"/>
    <w:rsid w:val="006A60F1"/>
    <w:rsid w:val="006A63EB"/>
    <w:rsid w:val="006A6924"/>
    <w:rsid w:val="006A6E6F"/>
    <w:rsid w:val="006A7E03"/>
    <w:rsid w:val="006B001F"/>
    <w:rsid w:val="006B00A3"/>
    <w:rsid w:val="006B053F"/>
    <w:rsid w:val="006B05AA"/>
    <w:rsid w:val="006B06CE"/>
    <w:rsid w:val="006B087C"/>
    <w:rsid w:val="006B091D"/>
    <w:rsid w:val="006B0D45"/>
    <w:rsid w:val="006B0D82"/>
    <w:rsid w:val="006B0DA7"/>
    <w:rsid w:val="006B0DB2"/>
    <w:rsid w:val="006B13FE"/>
    <w:rsid w:val="006B1C60"/>
    <w:rsid w:val="006B1E2B"/>
    <w:rsid w:val="006B1F95"/>
    <w:rsid w:val="006B20AF"/>
    <w:rsid w:val="006B20E0"/>
    <w:rsid w:val="006B2292"/>
    <w:rsid w:val="006B2469"/>
    <w:rsid w:val="006B252F"/>
    <w:rsid w:val="006B28E8"/>
    <w:rsid w:val="006B2B35"/>
    <w:rsid w:val="006B2C95"/>
    <w:rsid w:val="006B2EA4"/>
    <w:rsid w:val="006B3152"/>
    <w:rsid w:val="006B3299"/>
    <w:rsid w:val="006B35AC"/>
    <w:rsid w:val="006B3C7F"/>
    <w:rsid w:val="006B4384"/>
    <w:rsid w:val="006B4479"/>
    <w:rsid w:val="006B4546"/>
    <w:rsid w:val="006B46F8"/>
    <w:rsid w:val="006B4763"/>
    <w:rsid w:val="006B48B8"/>
    <w:rsid w:val="006B493F"/>
    <w:rsid w:val="006B4BC1"/>
    <w:rsid w:val="006B5969"/>
    <w:rsid w:val="006B5E2B"/>
    <w:rsid w:val="006B5E5C"/>
    <w:rsid w:val="006B60F7"/>
    <w:rsid w:val="006B62BC"/>
    <w:rsid w:val="006B63D9"/>
    <w:rsid w:val="006B6A47"/>
    <w:rsid w:val="006B6C9C"/>
    <w:rsid w:val="006B71C3"/>
    <w:rsid w:val="006B750E"/>
    <w:rsid w:val="006B7AAB"/>
    <w:rsid w:val="006B7DD9"/>
    <w:rsid w:val="006B7EF7"/>
    <w:rsid w:val="006C03E1"/>
    <w:rsid w:val="006C04E0"/>
    <w:rsid w:val="006C078D"/>
    <w:rsid w:val="006C0861"/>
    <w:rsid w:val="006C094D"/>
    <w:rsid w:val="006C15F8"/>
    <w:rsid w:val="006C1D1E"/>
    <w:rsid w:val="006C1F91"/>
    <w:rsid w:val="006C27DB"/>
    <w:rsid w:val="006C29EA"/>
    <w:rsid w:val="006C2EC2"/>
    <w:rsid w:val="006C3005"/>
    <w:rsid w:val="006C32C1"/>
    <w:rsid w:val="006C34C0"/>
    <w:rsid w:val="006C3536"/>
    <w:rsid w:val="006C38DC"/>
    <w:rsid w:val="006C39F7"/>
    <w:rsid w:val="006C3AE5"/>
    <w:rsid w:val="006C3C0C"/>
    <w:rsid w:val="006C3C7F"/>
    <w:rsid w:val="006C3F0F"/>
    <w:rsid w:val="006C4351"/>
    <w:rsid w:val="006C44C8"/>
    <w:rsid w:val="006C44FE"/>
    <w:rsid w:val="006C460E"/>
    <w:rsid w:val="006C47A9"/>
    <w:rsid w:val="006C4BF0"/>
    <w:rsid w:val="006C4DD7"/>
    <w:rsid w:val="006C4EA5"/>
    <w:rsid w:val="006C5546"/>
    <w:rsid w:val="006C555B"/>
    <w:rsid w:val="006C5DC3"/>
    <w:rsid w:val="006C63F5"/>
    <w:rsid w:val="006C6569"/>
    <w:rsid w:val="006C669B"/>
    <w:rsid w:val="006C69DC"/>
    <w:rsid w:val="006C6A2B"/>
    <w:rsid w:val="006C6ADE"/>
    <w:rsid w:val="006C6FE2"/>
    <w:rsid w:val="006C72C4"/>
    <w:rsid w:val="006C766A"/>
    <w:rsid w:val="006C78A2"/>
    <w:rsid w:val="006C795E"/>
    <w:rsid w:val="006C7DCD"/>
    <w:rsid w:val="006C7E08"/>
    <w:rsid w:val="006C7E72"/>
    <w:rsid w:val="006C7EC8"/>
    <w:rsid w:val="006C7FA1"/>
    <w:rsid w:val="006D08AB"/>
    <w:rsid w:val="006D0FFA"/>
    <w:rsid w:val="006D10C5"/>
    <w:rsid w:val="006D1752"/>
    <w:rsid w:val="006D1AF1"/>
    <w:rsid w:val="006D1EFE"/>
    <w:rsid w:val="006D2095"/>
    <w:rsid w:val="006D267C"/>
    <w:rsid w:val="006D2680"/>
    <w:rsid w:val="006D303E"/>
    <w:rsid w:val="006D31BB"/>
    <w:rsid w:val="006D344B"/>
    <w:rsid w:val="006D34FC"/>
    <w:rsid w:val="006D382B"/>
    <w:rsid w:val="006D3C51"/>
    <w:rsid w:val="006D3CCD"/>
    <w:rsid w:val="006D3F1D"/>
    <w:rsid w:val="006D4240"/>
    <w:rsid w:val="006D45FB"/>
    <w:rsid w:val="006D46BF"/>
    <w:rsid w:val="006D47C7"/>
    <w:rsid w:val="006D4860"/>
    <w:rsid w:val="006D4D3E"/>
    <w:rsid w:val="006D4E7B"/>
    <w:rsid w:val="006D52A6"/>
    <w:rsid w:val="006D534E"/>
    <w:rsid w:val="006D5429"/>
    <w:rsid w:val="006D57B2"/>
    <w:rsid w:val="006D57CD"/>
    <w:rsid w:val="006D5A0B"/>
    <w:rsid w:val="006D5E45"/>
    <w:rsid w:val="006D60AB"/>
    <w:rsid w:val="006D6722"/>
    <w:rsid w:val="006D6BB6"/>
    <w:rsid w:val="006D74A3"/>
    <w:rsid w:val="006D7BF2"/>
    <w:rsid w:val="006D7CC4"/>
    <w:rsid w:val="006D7CCC"/>
    <w:rsid w:val="006D7E0D"/>
    <w:rsid w:val="006D7E5C"/>
    <w:rsid w:val="006E00DD"/>
    <w:rsid w:val="006E0372"/>
    <w:rsid w:val="006E0435"/>
    <w:rsid w:val="006E0787"/>
    <w:rsid w:val="006E0807"/>
    <w:rsid w:val="006E08EE"/>
    <w:rsid w:val="006E0987"/>
    <w:rsid w:val="006E0D1F"/>
    <w:rsid w:val="006E0D8F"/>
    <w:rsid w:val="006E169E"/>
    <w:rsid w:val="006E1750"/>
    <w:rsid w:val="006E1766"/>
    <w:rsid w:val="006E177B"/>
    <w:rsid w:val="006E1B0A"/>
    <w:rsid w:val="006E1E65"/>
    <w:rsid w:val="006E203E"/>
    <w:rsid w:val="006E2502"/>
    <w:rsid w:val="006E266C"/>
    <w:rsid w:val="006E26B9"/>
    <w:rsid w:val="006E2A7D"/>
    <w:rsid w:val="006E2B54"/>
    <w:rsid w:val="006E2BAA"/>
    <w:rsid w:val="006E2BB1"/>
    <w:rsid w:val="006E2BCE"/>
    <w:rsid w:val="006E37B3"/>
    <w:rsid w:val="006E39E1"/>
    <w:rsid w:val="006E3EAB"/>
    <w:rsid w:val="006E3ED0"/>
    <w:rsid w:val="006E4219"/>
    <w:rsid w:val="006E43EF"/>
    <w:rsid w:val="006E4717"/>
    <w:rsid w:val="006E48B0"/>
    <w:rsid w:val="006E4B99"/>
    <w:rsid w:val="006E536E"/>
    <w:rsid w:val="006E566B"/>
    <w:rsid w:val="006E56E0"/>
    <w:rsid w:val="006E5784"/>
    <w:rsid w:val="006E5A4E"/>
    <w:rsid w:val="006E5A87"/>
    <w:rsid w:val="006E5C7F"/>
    <w:rsid w:val="006E6126"/>
    <w:rsid w:val="006E667B"/>
    <w:rsid w:val="006E672D"/>
    <w:rsid w:val="006E6AC6"/>
    <w:rsid w:val="006E6B7E"/>
    <w:rsid w:val="006E6E50"/>
    <w:rsid w:val="006E6FA6"/>
    <w:rsid w:val="006E7475"/>
    <w:rsid w:val="006E7FE6"/>
    <w:rsid w:val="006F0277"/>
    <w:rsid w:val="006F0548"/>
    <w:rsid w:val="006F0858"/>
    <w:rsid w:val="006F0E9C"/>
    <w:rsid w:val="006F1021"/>
    <w:rsid w:val="006F18BD"/>
    <w:rsid w:val="006F1EA6"/>
    <w:rsid w:val="006F1F5E"/>
    <w:rsid w:val="006F24C9"/>
    <w:rsid w:val="006F25A3"/>
    <w:rsid w:val="006F263B"/>
    <w:rsid w:val="006F2D86"/>
    <w:rsid w:val="006F2DAA"/>
    <w:rsid w:val="006F3888"/>
    <w:rsid w:val="006F3899"/>
    <w:rsid w:val="006F3908"/>
    <w:rsid w:val="006F392C"/>
    <w:rsid w:val="006F3A55"/>
    <w:rsid w:val="006F3E13"/>
    <w:rsid w:val="006F3E20"/>
    <w:rsid w:val="006F4092"/>
    <w:rsid w:val="006F4123"/>
    <w:rsid w:val="006F4137"/>
    <w:rsid w:val="006F447C"/>
    <w:rsid w:val="006F47D3"/>
    <w:rsid w:val="006F4C1B"/>
    <w:rsid w:val="006F4CBF"/>
    <w:rsid w:val="006F500E"/>
    <w:rsid w:val="006F50B9"/>
    <w:rsid w:val="006F5367"/>
    <w:rsid w:val="006F539F"/>
    <w:rsid w:val="006F59BB"/>
    <w:rsid w:val="006F611E"/>
    <w:rsid w:val="006F6195"/>
    <w:rsid w:val="006F61BD"/>
    <w:rsid w:val="006F679A"/>
    <w:rsid w:val="006F69F6"/>
    <w:rsid w:val="006F6FE6"/>
    <w:rsid w:val="006F739A"/>
    <w:rsid w:val="006F7D4B"/>
    <w:rsid w:val="006F7E1F"/>
    <w:rsid w:val="0070035A"/>
    <w:rsid w:val="007004B9"/>
    <w:rsid w:val="00700B7E"/>
    <w:rsid w:val="00700BE2"/>
    <w:rsid w:val="00700FE6"/>
    <w:rsid w:val="007010EE"/>
    <w:rsid w:val="00701185"/>
    <w:rsid w:val="007014AD"/>
    <w:rsid w:val="00701534"/>
    <w:rsid w:val="00701800"/>
    <w:rsid w:val="00701C15"/>
    <w:rsid w:val="007020C4"/>
    <w:rsid w:val="007022BF"/>
    <w:rsid w:val="0070236E"/>
    <w:rsid w:val="00702DBC"/>
    <w:rsid w:val="007033BD"/>
    <w:rsid w:val="007036A6"/>
    <w:rsid w:val="00703734"/>
    <w:rsid w:val="00703B61"/>
    <w:rsid w:val="00704289"/>
    <w:rsid w:val="00704423"/>
    <w:rsid w:val="00704879"/>
    <w:rsid w:val="007048E0"/>
    <w:rsid w:val="00704AA6"/>
    <w:rsid w:val="00704CE3"/>
    <w:rsid w:val="00704EA3"/>
    <w:rsid w:val="00704F2E"/>
    <w:rsid w:val="00705283"/>
    <w:rsid w:val="007052BC"/>
    <w:rsid w:val="007053BB"/>
    <w:rsid w:val="0070544D"/>
    <w:rsid w:val="0070562C"/>
    <w:rsid w:val="00705A1E"/>
    <w:rsid w:val="0070615A"/>
    <w:rsid w:val="0070688B"/>
    <w:rsid w:val="00706D11"/>
    <w:rsid w:val="00706E54"/>
    <w:rsid w:val="00706F5E"/>
    <w:rsid w:val="00707B87"/>
    <w:rsid w:val="00707E1B"/>
    <w:rsid w:val="007108BC"/>
    <w:rsid w:val="007108C4"/>
    <w:rsid w:val="007108E7"/>
    <w:rsid w:val="00711043"/>
    <w:rsid w:val="00711650"/>
    <w:rsid w:val="007118C4"/>
    <w:rsid w:val="007118DD"/>
    <w:rsid w:val="00711C9C"/>
    <w:rsid w:val="00711E3C"/>
    <w:rsid w:val="00711E5C"/>
    <w:rsid w:val="00711ED2"/>
    <w:rsid w:val="00711FAB"/>
    <w:rsid w:val="0071212D"/>
    <w:rsid w:val="0071224E"/>
    <w:rsid w:val="00712402"/>
    <w:rsid w:val="007125AE"/>
    <w:rsid w:val="0071268E"/>
    <w:rsid w:val="00712748"/>
    <w:rsid w:val="0071310A"/>
    <w:rsid w:val="00713324"/>
    <w:rsid w:val="00713341"/>
    <w:rsid w:val="007138D3"/>
    <w:rsid w:val="0071394C"/>
    <w:rsid w:val="007147F2"/>
    <w:rsid w:val="00714920"/>
    <w:rsid w:val="00714B42"/>
    <w:rsid w:val="00714F24"/>
    <w:rsid w:val="00715252"/>
    <w:rsid w:val="007154E0"/>
    <w:rsid w:val="007158B4"/>
    <w:rsid w:val="00715D5A"/>
    <w:rsid w:val="00715F5F"/>
    <w:rsid w:val="00716137"/>
    <w:rsid w:val="00716410"/>
    <w:rsid w:val="007164F8"/>
    <w:rsid w:val="00716759"/>
    <w:rsid w:val="00716B18"/>
    <w:rsid w:val="00716E2A"/>
    <w:rsid w:val="00716FEF"/>
    <w:rsid w:val="0071742E"/>
    <w:rsid w:val="007174C1"/>
    <w:rsid w:val="00717800"/>
    <w:rsid w:val="00717933"/>
    <w:rsid w:val="00717B18"/>
    <w:rsid w:val="00717F5D"/>
    <w:rsid w:val="00720056"/>
    <w:rsid w:val="007208BF"/>
    <w:rsid w:val="0072098A"/>
    <w:rsid w:val="00720ACE"/>
    <w:rsid w:val="00720C66"/>
    <w:rsid w:val="00720CC2"/>
    <w:rsid w:val="00720DDE"/>
    <w:rsid w:val="00720E50"/>
    <w:rsid w:val="00720E6B"/>
    <w:rsid w:val="0072111E"/>
    <w:rsid w:val="0072114D"/>
    <w:rsid w:val="0072123E"/>
    <w:rsid w:val="007219E7"/>
    <w:rsid w:val="00721B88"/>
    <w:rsid w:val="00721C38"/>
    <w:rsid w:val="007221D9"/>
    <w:rsid w:val="0072228B"/>
    <w:rsid w:val="007223FD"/>
    <w:rsid w:val="007225D3"/>
    <w:rsid w:val="00722E3D"/>
    <w:rsid w:val="00723056"/>
    <w:rsid w:val="007230C1"/>
    <w:rsid w:val="00723228"/>
    <w:rsid w:val="007235BA"/>
    <w:rsid w:val="007236B9"/>
    <w:rsid w:val="007238BB"/>
    <w:rsid w:val="00723AA8"/>
    <w:rsid w:val="00723AB5"/>
    <w:rsid w:val="00723ECA"/>
    <w:rsid w:val="00724079"/>
    <w:rsid w:val="00724217"/>
    <w:rsid w:val="007242D6"/>
    <w:rsid w:val="007243C0"/>
    <w:rsid w:val="007247F9"/>
    <w:rsid w:val="0072499E"/>
    <w:rsid w:val="00724A73"/>
    <w:rsid w:val="007252CB"/>
    <w:rsid w:val="00725383"/>
    <w:rsid w:val="007254FE"/>
    <w:rsid w:val="0072563E"/>
    <w:rsid w:val="0072578C"/>
    <w:rsid w:val="007259A7"/>
    <w:rsid w:val="00725C9A"/>
    <w:rsid w:val="00725D95"/>
    <w:rsid w:val="007265D6"/>
    <w:rsid w:val="00726A74"/>
    <w:rsid w:val="00726AC3"/>
    <w:rsid w:val="00726B84"/>
    <w:rsid w:val="00726D3E"/>
    <w:rsid w:val="00726E42"/>
    <w:rsid w:val="00726F86"/>
    <w:rsid w:val="00727544"/>
    <w:rsid w:val="00727705"/>
    <w:rsid w:val="007306F6"/>
    <w:rsid w:val="00730B8E"/>
    <w:rsid w:val="00730BA9"/>
    <w:rsid w:val="00730BD9"/>
    <w:rsid w:val="007311B8"/>
    <w:rsid w:val="007316B9"/>
    <w:rsid w:val="00731877"/>
    <w:rsid w:val="00731AAB"/>
    <w:rsid w:val="00731C0E"/>
    <w:rsid w:val="007320D4"/>
    <w:rsid w:val="0073269E"/>
    <w:rsid w:val="007326B1"/>
    <w:rsid w:val="00732995"/>
    <w:rsid w:val="00732B68"/>
    <w:rsid w:val="0073308D"/>
    <w:rsid w:val="007331F0"/>
    <w:rsid w:val="007333FC"/>
    <w:rsid w:val="00733491"/>
    <w:rsid w:val="00733502"/>
    <w:rsid w:val="007337E5"/>
    <w:rsid w:val="00733961"/>
    <w:rsid w:val="00733A40"/>
    <w:rsid w:val="00733B6C"/>
    <w:rsid w:val="00733CEB"/>
    <w:rsid w:val="00733EEE"/>
    <w:rsid w:val="0073414D"/>
    <w:rsid w:val="0073425D"/>
    <w:rsid w:val="007344BB"/>
    <w:rsid w:val="007346A3"/>
    <w:rsid w:val="007348B5"/>
    <w:rsid w:val="007353B5"/>
    <w:rsid w:val="00735478"/>
    <w:rsid w:val="0073556C"/>
    <w:rsid w:val="007357C2"/>
    <w:rsid w:val="007359A2"/>
    <w:rsid w:val="00735D5D"/>
    <w:rsid w:val="00735ED2"/>
    <w:rsid w:val="00735FD6"/>
    <w:rsid w:val="007360A2"/>
    <w:rsid w:val="0073658E"/>
    <w:rsid w:val="0073671E"/>
    <w:rsid w:val="00736873"/>
    <w:rsid w:val="00736907"/>
    <w:rsid w:val="0073691A"/>
    <w:rsid w:val="00736C94"/>
    <w:rsid w:val="00736F96"/>
    <w:rsid w:val="007371F9"/>
    <w:rsid w:val="007372D1"/>
    <w:rsid w:val="00737336"/>
    <w:rsid w:val="00737729"/>
    <w:rsid w:val="00737921"/>
    <w:rsid w:val="00737A2D"/>
    <w:rsid w:val="00737A62"/>
    <w:rsid w:val="00737F55"/>
    <w:rsid w:val="007400B9"/>
    <w:rsid w:val="00740216"/>
    <w:rsid w:val="007407D8"/>
    <w:rsid w:val="00740912"/>
    <w:rsid w:val="007409CD"/>
    <w:rsid w:val="00740A02"/>
    <w:rsid w:val="00740A2C"/>
    <w:rsid w:val="00740DDD"/>
    <w:rsid w:val="0074114D"/>
    <w:rsid w:val="0074127C"/>
    <w:rsid w:val="00741296"/>
    <w:rsid w:val="00741560"/>
    <w:rsid w:val="007415F3"/>
    <w:rsid w:val="007416EA"/>
    <w:rsid w:val="00741AE1"/>
    <w:rsid w:val="00741E13"/>
    <w:rsid w:val="007420C6"/>
    <w:rsid w:val="00742163"/>
    <w:rsid w:val="007423D5"/>
    <w:rsid w:val="007424F6"/>
    <w:rsid w:val="007428E1"/>
    <w:rsid w:val="0074295D"/>
    <w:rsid w:val="007429B7"/>
    <w:rsid w:val="00742AF4"/>
    <w:rsid w:val="00742FB4"/>
    <w:rsid w:val="0074311B"/>
    <w:rsid w:val="007434D5"/>
    <w:rsid w:val="007439C2"/>
    <w:rsid w:val="00743D4A"/>
    <w:rsid w:val="007440CB"/>
    <w:rsid w:val="0074449F"/>
    <w:rsid w:val="00744766"/>
    <w:rsid w:val="00744821"/>
    <w:rsid w:val="00744B0E"/>
    <w:rsid w:val="00744F83"/>
    <w:rsid w:val="007452EC"/>
    <w:rsid w:val="0074535C"/>
    <w:rsid w:val="00745498"/>
    <w:rsid w:val="00745BF3"/>
    <w:rsid w:val="00745C16"/>
    <w:rsid w:val="00745D3D"/>
    <w:rsid w:val="00745F3E"/>
    <w:rsid w:val="007461C0"/>
    <w:rsid w:val="0074622A"/>
    <w:rsid w:val="00746475"/>
    <w:rsid w:val="0074657E"/>
    <w:rsid w:val="007465A4"/>
    <w:rsid w:val="0074665F"/>
    <w:rsid w:val="007466B0"/>
    <w:rsid w:val="007467DB"/>
    <w:rsid w:val="007469A7"/>
    <w:rsid w:val="00746A52"/>
    <w:rsid w:val="00746B8E"/>
    <w:rsid w:val="00746D1F"/>
    <w:rsid w:val="00746F0D"/>
    <w:rsid w:val="00746F97"/>
    <w:rsid w:val="00746FCA"/>
    <w:rsid w:val="007472AE"/>
    <w:rsid w:val="007476AF"/>
    <w:rsid w:val="007476BC"/>
    <w:rsid w:val="00747A17"/>
    <w:rsid w:val="00747C67"/>
    <w:rsid w:val="00747F64"/>
    <w:rsid w:val="00750543"/>
    <w:rsid w:val="007505A6"/>
    <w:rsid w:val="00750733"/>
    <w:rsid w:val="00750767"/>
    <w:rsid w:val="00750AA0"/>
    <w:rsid w:val="007513C4"/>
    <w:rsid w:val="007514D7"/>
    <w:rsid w:val="007516CC"/>
    <w:rsid w:val="007517A5"/>
    <w:rsid w:val="0075192C"/>
    <w:rsid w:val="007519E4"/>
    <w:rsid w:val="00751AD3"/>
    <w:rsid w:val="00751D65"/>
    <w:rsid w:val="00751EF8"/>
    <w:rsid w:val="0075214A"/>
    <w:rsid w:val="0075264C"/>
    <w:rsid w:val="007527A6"/>
    <w:rsid w:val="007527D4"/>
    <w:rsid w:val="007529E0"/>
    <w:rsid w:val="00752C13"/>
    <w:rsid w:val="00753012"/>
    <w:rsid w:val="00753933"/>
    <w:rsid w:val="00753951"/>
    <w:rsid w:val="00753C74"/>
    <w:rsid w:val="00753CC6"/>
    <w:rsid w:val="007546C3"/>
    <w:rsid w:val="007547DE"/>
    <w:rsid w:val="00754979"/>
    <w:rsid w:val="00754C3E"/>
    <w:rsid w:val="00754F40"/>
    <w:rsid w:val="00754F7C"/>
    <w:rsid w:val="00755013"/>
    <w:rsid w:val="00755652"/>
    <w:rsid w:val="00755A55"/>
    <w:rsid w:val="00756167"/>
    <w:rsid w:val="0075618D"/>
    <w:rsid w:val="0075637E"/>
    <w:rsid w:val="0075649E"/>
    <w:rsid w:val="0075672B"/>
    <w:rsid w:val="00756B3C"/>
    <w:rsid w:val="00756B3D"/>
    <w:rsid w:val="00756C4A"/>
    <w:rsid w:val="00756E31"/>
    <w:rsid w:val="00756F84"/>
    <w:rsid w:val="00757233"/>
    <w:rsid w:val="0075732F"/>
    <w:rsid w:val="00757D71"/>
    <w:rsid w:val="00757E93"/>
    <w:rsid w:val="00760480"/>
    <w:rsid w:val="00760A0C"/>
    <w:rsid w:val="00760A31"/>
    <w:rsid w:val="00760C53"/>
    <w:rsid w:val="00760E26"/>
    <w:rsid w:val="00761876"/>
    <w:rsid w:val="00761A79"/>
    <w:rsid w:val="00761BAD"/>
    <w:rsid w:val="00761C2D"/>
    <w:rsid w:val="00761C2E"/>
    <w:rsid w:val="00761E11"/>
    <w:rsid w:val="007620D7"/>
    <w:rsid w:val="00762213"/>
    <w:rsid w:val="0076226A"/>
    <w:rsid w:val="007627F1"/>
    <w:rsid w:val="00762929"/>
    <w:rsid w:val="00762944"/>
    <w:rsid w:val="00762AC2"/>
    <w:rsid w:val="00762C5A"/>
    <w:rsid w:val="00762CAD"/>
    <w:rsid w:val="00762DE2"/>
    <w:rsid w:val="00763599"/>
    <w:rsid w:val="0076373F"/>
    <w:rsid w:val="00763A48"/>
    <w:rsid w:val="007644C2"/>
    <w:rsid w:val="00764871"/>
    <w:rsid w:val="00764D96"/>
    <w:rsid w:val="00764E6C"/>
    <w:rsid w:val="00764FAB"/>
    <w:rsid w:val="007655BE"/>
    <w:rsid w:val="00765E5A"/>
    <w:rsid w:val="00766339"/>
    <w:rsid w:val="007663C2"/>
    <w:rsid w:val="0076659C"/>
    <w:rsid w:val="00766D68"/>
    <w:rsid w:val="00767615"/>
    <w:rsid w:val="007676D4"/>
    <w:rsid w:val="00767B88"/>
    <w:rsid w:val="007703F5"/>
    <w:rsid w:val="00770CD1"/>
    <w:rsid w:val="00770D16"/>
    <w:rsid w:val="00770E0A"/>
    <w:rsid w:val="00770E84"/>
    <w:rsid w:val="00770ED1"/>
    <w:rsid w:val="00771642"/>
    <w:rsid w:val="00771670"/>
    <w:rsid w:val="0077181B"/>
    <w:rsid w:val="00771B6A"/>
    <w:rsid w:val="00771C75"/>
    <w:rsid w:val="00771FFD"/>
    <w:rsid w:val="0077201E"/>
    <w:rsid w:val="00772BD6"/>
    <w:rsid w:val="00772E12"/>
    <w:rsid w:val="00773413"/>
    <w:rsid w:val="007735BA"/>
    <w:rsid w:val="00773648"/>
    <w:rsid w:val="0077388B"/>
    <w:rsid w:val="00773A79"/>
    <w:rsid w:val="00773A7B"/>
    <w:rsid w:val="00773AEE"/>
    <w:rsid w:val="00773E91"/>
    <w:rsid w:val="00774382"/>
    <w:rsid w:val="00774413"/>
    <w:rsid w:val="00774573"/>
    <w:rsid w:val="007745D1"/>
    <w:rsid w:val="00774778"/>
    <w:rsid w:val="00774969"/>
    <w:rsid w:val="00774D13"/>
    <w:rsid w:val="007754C4"/>
    <w:rsid w:val="007755C5"/>
    <w:rsid w:val="00776024"/>
    <w:rsid w:val="00776741"/>
    <w:rsid w:val="0077676D"/>
    <w:rsid w:val="0077677F"/>
    <w:rsid w:val="00776A21"/>
    <w:rsid w:val="00776A5C"/>
    <w:rsid w:val="00776C5E"/>
    <w:rsid w:val="00777184"/>
    <w:rsid w:val="00777609"/>
    <w:rsid w:val="007779DA"/>
    <w:rsid w:val="00777B02"/>
    <w:rsid w:val="00777B05"/>
    <w:rsid w:val="00777B93"/>
    <w:rsid w:val="00780327"/>
    <w:rsid w:val="00780354"/>
    <w:rsid w:val="0078037F"/>
    <w:rsid w:val="0078038F"/>
    <w:rsid w:val="0078045C"/>
    <w:rsid w:val="00780894"/>
    <w:rsid w:val="00780A50"/>
    <w:rsid w:val="00780A68"/>
    <w:rsid w:val="00780B46"/>
    <w:rsid w:val="00780CC5"/>
    <w:rsid w:val="00780DFF"/>
    <w:rsid w:val="00781061"/>
    <w:rsid w:val="00781068"/>
    <w:rsid w:val="00781377"/>
    <w:rsid w:val="007814E5"/>
    <w:rsid w:val="007815C3"/>
    <w:rsid w:val="00782066"/>
    <w:rsid w:val="0078238F"/>
    <w:rsid w:val="00782CFA"/>
    <w:rsid w:val="00782E93"/>
    <w:rsid w:val="00783448"/>
    <w:rsid w:val="007835EB"/>
    <w:rsid w:val="0078374F"/>
    <w:rsid w:val="00784096"/>
    <w:rsid w:val="007843F7"/>
    <w:rsid w:val="00784526"/>
    <w:rsid w:val="0078467A"/>
    <w:rsid w:val="00784C19"/>
    <w:rsid w:val="00784E6A"/>
    <w:rsid w:val="00785372"/>
    <w:rsid w:val="007859CA"/>
    <w:rsid w:val="007863D7"/>
    <w:rsid w:val="00786588"/>
    <w:rsid w:val="00786A78"/>
    <w:rsid w:val="00786BB2"/>
    <w:rsid w:val="00786F04"/>
    <w:rsid w:val="00787124"/>
    <w:rsid w:val="00787128"/>
    <w:rsid w:val="007871F2"/>
    <w:rsid w:val="00787670"/>
    <w:rsid w:val="00787C4B"/>
    <w:rsid w:val="00787EA8"/>
    <w:rsid w:val="007901ED"/>
    <w:rsid w:val="00790246"/>
    <w:rsid w:val="007908FC"/>
    <w:rsid w:val="00790E5D"/>
    <w:rsid w:val="00791109"/>
    <w:rsid w:val="007914E6"/>
    <w:rsid w:val="007916DC"/>
    <w:rsid w:val="0079184C"/>
    <w:rsid w:val="007919D7"/>
    <w:rsid w:val="00792473"/>
    <w:rsid w:val="007925B9"/>
    <w:rsid w:val="007928F4"/>
    <w:rsid w:val="00792D1B"/>
    <w:rsid w:val="00792E85"/>
    <w:rsid w:val="00793053"/>
    <w:rsid w:val="007930DF"/>
    <w:rsid w:val="007938A4"/>
    <w:rsid w:val="00793B7F"/>
    <w:rsid w:val="00793E4F"/>
    <w:rsid w:val="0079442C"/>
    <w:rsid w:val="00794615"/>
    <w:rsid w:val="007946C7"/>
    <w:rsid w:val="00794B5D"/>
    <w:rsid w:val="00794C30"/>
    <w:rsid w:val="00794CD3"/>
    <w:rsid w:val="007954B3"/>
    <w:rsid w:val="007957AF"/>
    <w:rsid w:val="00795846"/>
    <w:rsid w:val="0079594A"/>
    <w:rsid w:val="0079604D"/>
    <w:rsid w:val="00796120"/>
    <w:rsid w:val="007961E0"/>
    <w:rsid w:val="007962B3"/>
    <w:rsid w:val="0079653A"/>
    <w:rsid w:val="00796760"/>
    <w:rsid w:val="00796885"/>
    <w:rsid w:val="007969E7"/>
    <w:rsid w:val="00796C70"/>
    <w:rsid w:val="00797117"/>
    <w:rsid w:val="00797545"/>
    <w:rsid w:val="00797889"/>
    <w:rsid w:val="00797ADF"/>
    <w:rsid w:val="00797B53"/>
    <w:rsid w:val="00797CF5"/>
    <w:rsid w:val="007A01C2"/>
    <w:rsid w:val="007A026F"/>
    <w:rsid w:val="007A0347"/>
    <w:rsid w:val="007A0352"/>
    <w:rsid w:val="007A0427"/>
    <w:rsid w:val="007A06E8"/>
    <w:rsid w:val="007A0875"/>
    <w:rsid w:val="007A08F8"/>
    <w:rsid w:val="007A1155"/>
    <w:rsid w:val="007A14F1"/>
    <w:rsid w:val="007A1567"/>
    <w:rsid w:val="007A1580"/>
    <w:rsid w:val="007A1C96"/>
    <w:rsid w:val="007A20E9"/>
    <w:rsid w:val="007A21BC"/>
    <w:rsid w:val="007A2797"/>
    <w:rsid w:val="007A306B"/>
    <w:rsid w:val="007A32A8"/>
    <w:rsid w:val="007A3572"/>
    <w:rsid w:val="007A3990"/>
    <w:rsid w:val="007A3D5A"/>
    <w:rsid w:val="007A3EA7"/>
    <w:rsid w:val="007A3EB2"/>
    <w:rsid w:val="007A40C5"/>
    <w:rsid w:val="007A4700"/>
    <w:rsid w:val="007A4DB2"/>
    <w:rsid w:val="007A4DD6"/>
    <w:rsid w:val="007A4EDC"/>
    <w:rsid w:val="007A52A9"/>
    <w:rsid w:val="007A5AB0"/>
    <w:rsid w:val="007A6637"/>
    <w:rsid w:val="007A691F"/>
    <w:rsid w:val="007A6B1C"/>
    <w:rsid w:val="007A6B87"/>
    <w:rsid w:val="007A6CB3"/>
    <w:rsid w:val="007A70D6"/>
    <w:rsid w:val="007A714C"/>
    <w:rsid w:val="007A734D"/>
    <w:rsid w:val="007A73F6"/>
    <w:rsid w:val="007A73F7"/>
    <w:rsid w:val="007A75D4"/>
    <w:rsid w:val="007A7862"/>
    <w:rsid w:val="007A7893"/>
    <w:rsid w:val="007A78EA"/>
    <w:rsid w:val="007B09BC"/>
    <w:rsid w:val="007B0FE8"/>
    <w:rsid w:val="007B1015"/>
    <w:rsid w:val="007B1509"/>
    <w:rsid w:val="007B18E5"/>
    <w:rsid w:val="007B1AD1"/>
    <w:rsid w:val="007B22EC"/>
    <w:rsid w:val="007B24F9"/>
    <w:rsid w:val="007B2635"/>
    <w:rsid w:val="007B2724"/>
    <w:rsid w:val="007B2924"/>
    <w:rsid w:val="007B2B24"/>
    <w:rsid w:val="007B2B7C"/>
    <w:rsid w:val="007B2C97"/>
    <w:rsid w:val="007B33CA"/>
    <w:rsid w:val="007B34D6"/>
    <w:rsid w:val="007B3576"/>
    <w:rsid w:val="007B35E3"/>
    <w:rsid w:val="007B368F"/>
    <w:rsid w:val="007B37D5"/>
    <w:rsid w:val="007B3943"/>
    <w:rsid w:val="007B396D"/>
    <w:rsid w:val="007B39B4"/>
    <w:rsid w:val="007B3C41"/>
    <w:rsid w:val="007B3C9E"/>
    <w:rsid w:val="007B41E7"/>
    <w:rsid w:val="007B4505"/>
    <w:rsid w:val="007B4517"/>
    <w:rsid w:val="007B47DD"/>
    <w:rsid w:val="007B48F9"/>
    <w:rsid w:val="007B4DA3"/>
    <w:rsid w:val="007B4E69"/>
    <w:rsid w:val="007B55CD"/>
    <w:rsid w:val="007B5606"/>
    <w:rsid w:val="007B56F1"/>
    <w:rsid w:val="007B597D"/>
    <w:rsid w:val="007B5C0E"/>
    <w:rsid w:val="007B5CC3"/>
    <w:rsid w:val="007B5D00"/>
    <w:rsid w:val="007B5F2F"/>
    <w:rsid w:val="007B61BA"/>
    <w:rsid w:val="007B668C"/>
    <w:rsid w:val="007B66C1"/>
    <w:rsid w:val="007B6E8C"/>
    <w:rsid w:val="007B70A4"/>
    <w:rsid w:val="007B7156"/>
    <w:rsid w:val="007B76F4"/>
    <w:rsid w:val="007B7F18"/>
    <w:rsid w:val="007B7F94"/>
    <w:rsid w:val="007C014B"/>
    <w:rsid w:val="007C01E9"/>
    <w:rsid w:val="007C04F4"/>
    <w:rsid w:val="007C0505"/>
    <w:rsid w:val="007C062C"/>
    <w:rsid w:val="007C0895"/>
    <w:rsid w:val="007C0EFA"/>
    <w:rsid w:val="007C13FC"/>
    <w:rsid w:val="007C159B"/>
    <w:rsid w:val="007C17AD"/>
    <w:rsid w:val="007C19A9"/>
    <w:rsid w:val="007C202A"/>
    <w:rsid w:val="007C226B"/>
    <w:rsid w:val="007C2322"/>
    <w:rsid w:val="007C2327"/>
    <w:rsid w:val="007C235E"/>
    <w:rsid w:val="007C252B"/>
    <w:rsid w:val="007C2585"/>
    <w:rsid w:val="007C2617"/>
    <w:rsid w:val="007C264A"/>
    <w:rsid w:val="007C2E18"/>
    <w:rsid w:val="007C2E2C"/>
    <w:rsid w:val="007C2FF7"/>
    <w:rsid w:val="007C30F7"/>
    <w:rsid w:val="007C3297"/>
    <w:rsid w:val="007C332A"/>
    <w:rsid w:val="007C3406"/>
    <w:rsid w:val="007C36B8"/>
    <w:rsid w:val="007C403D"/>
    <w:rsid w:val="007C40B6"/>
    <w:rsid w:val="007C4601"/>
    <w:rsid w:val="007C46F2"/>
    <w:rsid w:val="007C476D"/>
    <w:rsid w:val="007C49FF"/>
    <w:rsid w:val="007C4A69"/>
    <w:rsid w:val="007C51D2"/>
    <w:rsid w:val="007C5234"/>
    <w:rsid w:val="007C52DD"/>
    <w:rsid w:val="007C55B8"/>
    <w:rsid w:val="007C5718"/>
    <w:rsid w:val="007C5914"/>
    <w:rsid w:val="007C5FF8"/>
    <w:rsid w:val="007C665B"/>
    <w:rsid w:val="007C71A1"/>
    <w:rsid w:val="007C72E6"/>
    <w:rsid w:val="007C78E4"/>
    <w:rsid w:val="007C7940"/>
    <w:rsid w:val="007C7970"/>
    <w:rsid w:val="007C7A94"/>
    <w:rsid w:val="007C7EEE"/>
    <w:rsid w:val="007C7FC7"/>
    <w:rsid w:val="007D0009"/>
    <w:rsid w:val="007D05F6"/>
    <w:rsid w:val="007D0693"/>
    <w:rsid w:val="007D08FA"/>
    <w:rsid w:val="007D0ABB"/>
    <w:rsid w:val="007D0D97"/>
    <w:rsid w:val="007D12F1"/>
    <w:rsid w:val="007D1536"/>
    <w:rsid w:val="007D15EA"/>
    <w:rsid w:val="007D1958"/>
    <w:rsid w:val="007D1CDE"/>
    <w:rsid w:val="007D1ED5"/>
    <w:rsid w:val="007D20AC"/>
    <w:rsid w:val="007D2278"/>
    <w:rsid w:val="007D283F"/>
    <w:rsid w:val="007D28E5"/>
    <w:rsid w:val="007D2933"/>
    <w:rsid w:val="007D2C2F"/>
    <w:rsid w:val="007D2D14"/>
    <w:rsid w:val="007D2E1E"/>
    <w:rsid w:val="007D2F15"/>
    <w:rsid w:val="007D3107"/>
    <w:rsid w:val="007D363D"/>
    <w:rsid w:val="007D38DB"/>
    <w:rsid w:val="007D39FA"/>
    <w:rsid w:val="007D3AB5"/>
    <w:rsid w:val="007D3CE0"/>
    <w:rsid w:val="007D3E0E"/>
    <w:rsid w:val="007D41A2"/>
    <w:rsid w:val="007D43AC"/>
    <w:rsid w:val="007D4810"/>
    <w:rsid w:val="007D4989"/>
    <w:rsid w:val="007D49D5"/>
    <w:rsid w:val="007D4F9A"/>
    <w:rsid w:val="007D506D"/>
    <w:rsid w:val="007D50F3"/>
    <w:rsid w:val="007D57B6"/>
    <w:rsid w:val="007D5D95"/>
    <w:rsid w:val="007D5E4A"/>
    <w:rsid w:val="007D5FA4"/>
    <w:rsid w:val="007D657E"/>
    <w:rsid w:val="007D65CA"/>
    <w:rsid w:val="007D6919"/>
    <w:rsid w:val="007D6C73"/>
    <w:rsid w:val="007D6E15"/>
    <w:rsid w:val="007D7258"/>
    <w:rsid w:val="007D7596"/>
    <w:rsid w:val="007D7635"/>
    <w:rsid w:val="007D7973"/>
    <w:rsid w:val="007D79ED"/>
    <w:rsid w:val="007D7B8C"/>
    <w:rsid w:val="007E0068"/>
    <w:rsid w:val="007E01AE"/>
    <w:rsid w:val="007E05BF"/>
    <w:rsid w:val="007E07C8"/>
    <w:rsid w:val="007E07D3"/>
    <w:rsid w:val="007E09EE"/>
    <w:rsid w:val="007E0A51"/>
    <w:rsid w:val="007E0C9E"/>
    <w:rsid w:val="007E0CAD"/>
    <w:rsid w:val="007E0F03"/>
    <w:rsid w:val="007E1199"/>
    <w:rsid w:val="007E133D"/>
    <w:rsid w:val="007E1432"/>
    <w:rsid w:val="007E16AD"/>
    <w:rsid w:val="007E1CFB"/>
    <w:rsid w:val="007E240E"/>
    <w:rsid w:val="007E2491"/>
    <w:rsid w:val="007E2F4D"/>
    <w:rsid w:val="007E3166"/>
    <w:rsid w:val="007E317B"/>
    <w:rsid w:val="007E3F55"/>
    <w:rsid w:val="007E4078"/>
    <w:rsid w:val="007E40BD"/>
    <w:rsid w:val="007E424E"/>
    <w:rsid w:val="007E43F1"/>
    <w:rsid w:val="007E4739"/>
    <w:rsid w:val="007E4B27"/>
    <w:rsid w:val="007E4B99"/>
    <w:rsid w:val="007E4F82"/>
    <w:rsid w:val="007E513A"/>
    <w:rsid w:val="007E5268"/>
    <w:rsid w:val="007E533E"/>
    <w:rsid w:val="007E5657"/>
    <w:rsid w:val="007E585D"/>
    <w:rsid w:val="007E5B5B"/>
    <w:rsid w:val="007E5F3D"/>
    <w:rsid w:val="007E6031"/>
    <w:rsid w:val="007E61BD"/>
    <w:rsid w:val="007E63C8"/>
    <w:rsid w:val="007E641F"/>
    <w:rsid w:val="007E6620"/>
    <w:rsid w:val="007E6E08"/>
    <w:rsid w:val="007E6E54"/>
    <w:rsid w:val="007E703D"/>
    <w:rsid w:val="007E71B8"/>
    <w:rsid w:val="007E77BD"/>
    <w:rsid w:val="007E78D0"/>
    <w:rsid w:val="007E7949"/>
    <w:rsid w:val="007E7C1C"/>
    <w:rsid w:val="007E7D91"/>
    <w:rsid w:val="007F0145"/>
    <w:rsid w:val="007F07AD"/>
    <w:rsid w:val="007F0A5B"/>
    <w:rsid w:val="007F0BB7"/>
    <w:rsid w:val="007F0F85"/>
    <w:rsid w:val="007F1353"/>
    <w:rsid w:val="007F137B"/>
    <w:rsid w:val="007F1DA2"/>
    <w:rsid w:val="007F234E"/>
    <w:rsid w:val="007F24A2"/>
    <w:rsid w:val="007F2A60"/>
    <w:rsid w:val="007F2B20"/>
    <w:rsid w:val="007F2C47"/>
    <w:rsid w:val="007F3159"/>
    <w:rsid w:val="007F327B"/>
    <w:rsid w:val="007F37C6"/>
    <w:rsid w:val="007F3902"/>
    <w:rsid w:val="007F3A0F"/>
    <w:rsid w:val="007F3A71"/>
    <w:rsid w:val="007F3CCD"/>
    <w:rsid w:val="007F3E39"/>
    <w:rsid w:val="007F3ECE"/>
    <w:rsid w:val="007F4284"/>
    <w:rsid w:val="007F46DA"/>
    <w:rsid w:val="007F4B0B"/>
    <w:rsid w:val="007F4ED6"/>
    <w:rsid w:val="007F4EDE"/>
    <w:rsid w:val="007F4F30"/>
    <w:rsid w:val="007F5100"/>
    <w:rsid w:val="007F5747"/>
    <w:rsid w:val="007F59FA"/>
    <w:rsid w:val="007F5A70"/>
    <w:rsid w:val="007F5A88"/>
    <w:rsid w:val="007F5ACE"/>
    <w:rsid w:val="007F5B29"/>
    <w:rsid w:val="007F6595"/>
    <w:rsid w:val="007F676C"/>
    <w:rsid w:val="007F6E5F"/>
    <w:rsid w:val="007F6ECD"/>
    <w:rsid w:val="007F7625"/>
    <w:rsid w:val="007F76EA"/>
    <w:rsid w:val="007F7A28"/>
    <w:rsid w:val="007F7D3A"/>
    <w:rsid w:val="0080001F"/>
    <w:rsid w:val="008002F9"/>
    <w:rsid w:val="00800352"/>
    <w:rsid w:val="0080041A"/>
    <w:rsid w:val="008004A3"/>
    <w:rsid w:val="00800704"/>
    <w:rsid w:val="00800AFD"/>
    <w:rsid w:val="00800F2D"/>
    <w:rsid w:val="008011BF"/>
    <w:rsid w:val="008014C1"/>
    <w:rsid w:val="00801523"/>
    <w:rsid w:val="0080166F"/>
    <w:rsid w:val="008016A4"/>
    <w:rsid w:val="00801714"/>
    <w:rsid w:val="00801715"/>
    <w:rsid w:val="0080199A"/>
    <w:rsid w:val="00801DDC"/>
    <w:rsid w:val="008023E7"/>
    <w:rsid w:val="00802443"/>
    <w:rsid w:val="00802651"/>
    <w:rsid w:val="00802E01"/>
    <w:rsid w:val="008030AC"/>
    <w:rsid w:val="00803206"/>
    <w:rsid w:val="00803363"/>
    <w:rsid w:val="008036D1"/>
    <w:rsid w:val="0080370A"/>
    <w:rsid w:val="008037C3"/>
    <w:rsid w:val="00803865"/>
    <w:rsid w:val="008038BE"/>
    <w:rsid w:val="00803921"/>
    <w:rsid w:val="00803C5F"/>
    <w:rsid w:val="00803ED3"/>
    <w:rsid w:val="008040D2"/>
    <w:rsid w:val="00804B2C"/>
    <w:rsid w:val="00804F9B"/>
    <w:rsid w:val="008050EC"/>
    <w:rsid w:val="00805B6B"/>
    <w:rsid w:val="00805BA6"/>
    <w:rsid w:val="00805DA7"/>
    <w:rsid w:val="0080647C"/>
    <w:rsid w:val="00806671"/>
    <w:rsid w:val="0080689C"/>
    <w:rsid w:val="0080690A"/>
    <w:rsid w:val="008071C7"/>
    <w:rsid w:val="00807207"/>
    <w:rsid w:val="0080752E"/>
    <w:rsid w:val="00807B27"/>
    <w:rsid w:val="0081024E"/>
    <w:rsid w:val="0081042D"/>
    <w:rsid w:val="0081060C"/>
    <w:rsid w:val="00810C9D"/>
    <w:rsid w:val="00810D8C"/>
    <w:rsid w:val="00811332"/>
    <w:rsid w:val="00811995"/>
    <w:rsid w:val="00811D5C"/>
    <w:rsid w:val="00811D68"/>
    <w:rsid w:val="00811E0E"/>
    <w:rsid w:val="00811E16"/>
    <w:rsid w:val="00811ECE"/>
    <w:rsid w:val="00811FBE"/>
    <w:rsid w:val="00811FC4"/>
    <w:rsid w:val="00812034"/>
    <w:rsid w:val="00812400"/>
    <w:rsid w:val="00812673"/>
    <w:rsid w:val="00812AB3"/>
    <w:rsid w:val="00812C35"/>
    <w:rsid w:val="00812DF4"/>
    <w:rsid w:val="0081323C"/>
    <w:rsid w:val="0081337A"/>
    <w:rsid w:val="00813414"/>
    <w:rsid w:val="0081347B"/>
    <w:rsid w:val="008136DC"/>
    <w:rsid w:val="0081397B"/>
    <w:rsid w:val="00813C93"/>
    <w:rsid w:val="00814059"/>
    <w:rsid w:val="00814635"/>
    <w:rsid w:val="00814702"/>
    <w:rsid w:val="008147C8"/>
    <w:rsid w:val="00814D60"/>
    <w:rsid w:val="00814F72"/>
    <w:rsid w:val="0081518B"/>
    <w:rsid w:val="008153E8"/>
    <w:rsid w:val="008158EE"/>
    <w:rsid w:val="00815A8B"/>
    <w:rsid w:val="008161E9"/>
    <w:rsid w:val="0081642C"/>
    <w:rsid w:val="00816B29"/>
    <w:rsid w:val="00816C20"/>
    <w:rsid w:val="00816F20"/>
    <w:rsid w:val="0081722A"/>
    <w:rsid w:val="0081722C"/>
    <w:rsid w:val="008179AB"/>
    <w:rsid w:val="00817B1B"/>
    <w:rsid w:val="0082001E"/>
    <w:rsid w:val="00820070"/>
    <w:rsid w:val="0082007D"/>
    <w:rsid w:val="0082026D"/>
    <w:rsid w:val="008206DD"/>
    <w:rsid w:val="00820751"/>
    <w:rsid w:val="008208D2"/>
    <w:rsid w:val="00820D72"/>
    <w:rsid w:val="00820D89"/>
    <w:rsid w:val="00820DC3"/>
    <w:rsid w:val="00820DF8"/>
    <w:rsid w:val="00820E19"/>
    <w:rsid w:val="00820EC7"/>
    <w:rsid w:val="00821071"/>
    <w:rsid w:val="008210BF"/>
    <w:rsid w:val="0082134B"/>
    <w:rsid w:val="00821D65"/>
    <w:rsid w:val="00821F3B"/>
    <w:rsid w:val="0082263A"/>
    <w:rsid w:val="00822BC8"/>
    <w:rsid w:val="00822F64"/>
    <w:rsid w:val="00823489"/>
    <w:rsid w:val="0082369C"/>
    <w:rsid w:val="008239A2"/>
    <w:rsid w:val="00823D90"/>
    <w:rsid w:val="0082455C"/>
    <w:rsid w:val="0082518C"/>
    <w:rsid w:val="00825485"/>
    <w:rsid w:val="00825970"/>
    <w:rsid w:val="00825B31"/>
    <w:rsid w:val="00825CA3"/>
    <w:rsid w:val="00826511"/>
    <w:rsid w:val="00826618"/>
    <w:rsid w:val="008267B2"/>
    <w:rsid w:val="00826C42"/>
    <w:rsid w:val="00826CBC"/>
    <w:rsid w:val="00826DD4"/>
    <w:rsid w:val="008274B9"/>
    <w:rsid w:val="00827775"/>
    <w:rsid w:val="008278FC"/>
    <w:rsid w:val="00827BB4"/>
    <w:rsid w:val="00827BC5"/>
    <w:rsid w:val="00830126"/>
    <w:rsid w:val="00830295"/>
    <w:rsid w:val="0083087F"/>
    <w:rsid w:val="00830AFD"/>
    <w:rsid w:val="008310C3"/>
    <w:rsid w:val="00831316"/>
    <w:rsid w:val="0083163E"/>
    <w:rsid w:val="00831857"/>
    <w:rsid w:val="00831984"/>
    <w:rsid w:val="00831E1F"/>
    <w:rsid w:val="00832102"/>
    <w:rsid w:val="00832B1D"/>
    <w:rsid w:val="00832D5F"/>
    <w:rsid w:val="00832E89"/>
    <w:rsid w:val="008330EA"/>
    <w:rsid w:val="008332FC"/>
    <w:rsid w:val="008333DC"/>
    <w:rsid w:val="0083346A"/>
    <w:rsid w:val="0083371B"/>
    <w:rsid w:val="008338F5"/>
    <w:rsid w:val="00833CFB"/>
    <w:rsid w:val="00833D32"/>
    <w:rsid w:val="00833EBF"/>
    <w:rsid w:val="00833F4B"/>
    <w:rsid w:val="00834099"/>
    <w:rsid w:val="008341D6"/>
    <w:rsid w:val="00834265"/>
    <w:rsid w:val="00834830"/>
    <w:rsid w:val="00834A15"/>
    <w:rsid w:val="00834AB8"/>
    <w:rsid w:val="0083504D"/>
    <w:rsid w:val="008352A5"/>
    <w:rsid w:val="00835440"/>
    <w:rsid w:val="008354A7"/>
    <w:rsid w:val="008354E2"/>
    <w:rsid w:val="0083579F"/>
    <w:rsid w:val="00835824"/>
    <w:rsid w:val="008359E9"/>
    <w:rsid w:val="00835D00"/>
    <w:rsid w:val="00835D7C"/>
    <w:rsid w:val="0083629B"/>
    <w:rsid w:val="008365F1"/>
    <w:rsid w:val="00836A1E"/>
    <w:rsid w:val="00836BFB"/>
    <w:rsid w:val="00836E02"/>
    <w:rsid w:val="00836EE6"/>
    <w:rsid w:val="00836FB7"/>
    <w:rsid w:val="00837007"/>
    <w:rsid w:val="00837182"/>
    <w:rsid w:val="00837519"/>
    <w:rsid w:val="008376BB"/>
    <w:rsid w:val="00837D17"/>
    <w:rsid w:val="008400B2"/>
    <w:rsid w:val="00840486"/>
    <w:rsid w:val="00840A9B"/>
    <w:rsid w:val="00840DD9"/>
    <w:rsid w:val="008411DC"/>
    <w:rsid w:val="008418C9"/>
    <w:rsid w:val="0084197A"/>
    <w:rsid w:val="00841AD9"/>
    <w:rsid w:val="00841C48"/>
    <w:rsid w:val="00841CA0"/>
    <w:rsid w:val="00841E9D"/>
    <w:rsid w:val="00841EAF"/>
    <w:rsid w:val="00841EC3"/>
    <w:rsid w:val="00841ED2"/>
    <w:rsid w:val="008428CD"/>
    <w:rsid w:val="0084291C"/>
    <w:rsid w:val="00842B57"/>
    <w:rsid w:val="00842EE7"/>
    <w:rsid w:val="00842F55"/>
    <w:rsid w:val="0084314D"/>
    <w:rsid w:val="00843243"/>
    <w:rsid w:val="008434D3"/>
    <w:rsid w:val="00843748"/>
    <w:rsid w:val="00843CB5"/>
    <w:rsid w:val="00843D4B"/>
    <w:rsid w:val="00843FE9"/>
    <w:rsid w:val="0084408B"/>
    <w:rsid w:val="00844C8A"/>
    <w:rsid w:val="00844D4A"/>
    <w:rsid w:val="00844E5F"/>
    <w:rsid w:val="008453EB"/>
    <w:rsid w:val="008459D4"/>
    <w:rsid w:val="00845A39"/>
    <w:rsid w:val="00845B44"/>
    <w:rsid w:val="00845E2A"/>
    <w:rsid w:val="0084614C"/>
    <w:rsid w:val="00846458"/>
    <w:rsid w:val="008469CB"/>
    <w:rsid w:val="00846FD1"/>
    <w:rsid w:val="00847036"/>
    <w:rsid w:val="008474E3"/>
    <w:rsid w:val="0084778D"/>
    <w:rsid w:val="00847FA7"/>
    <w:rsid w:val="00850346"/>
    <w:rsid w:val="0085066D"/>
    <w:rsid w:val="00850A0C"/>
    <w:rsid w:val="00851145"/>
    <w:rsid w:val="00851363"/>
    <w:rsid w:val="0085166A"/>
    <w:rsid w:val="008516D7"/>
    <w:rsid w:val="00851867"/>
    <w:rsid w:val="008519A8"/>
    <w:rsid w:val="00851C36"/>
    <w:rsid w:val="00851C3B"/>
    <w:rsid w:val="00851E3A"/>
    <w:rsid w:val="00851EC1"/>
    <w:rsid w:val="0085214E"/>
    <w:rsid w:val="00852170"/>
    <w:rsid w:val="008523EE"/>
    <w:rsid w:val="0085240C"/>
    <w:rsid w:val="00852543"/>
    <w:rsid w:val="00852F5B"/>
    <w:rsid w:val="008531EE"/>
    <w:rsid w:val="00853287"/>
    <w:rsid w:val="0085331F"/>
    <w:rsid w:val="00853483"/>
    <w:rsid w:val="008536F8"/>
    <w:rsid w:val="00853922"/>
    <w:rsid w:val="00853D53"/>
    <w:rsid w:val="008542C1"/>
    <w:rsid w:val="00854691"/>
    <w:rsid w:val="008549AC"/>
    <w:rsid w:val="00854AE0"/>
    <w:rsid w:val="00854BA7"/>
    <w:rsid w:val="00854DBB"/>
    <w:rsid w:val="008551D4"/>
    <w:rsid w:val="00855231"/>
    <w:rsid w:val="008557E7"/>
    <w:rsid w:val="00855855"/>
    <w:rsid w:val="0085587D"/>
    <w:rsid w:val="008558F9"/>
    <w:rsid w:val="00855ABA"/>
    <w:rsid w:val="00855B68"/>
    <w:rsid w:val="00855B9F"/>
    <w:rsid w:val="00855D4E"/>
    <w:rsid w:val="008560B2"/>
    <w:rsid w:val="0085652D"/>
    <w:rsid w:val="00856C2D"/>
    <w:rsid w:val="00856C96"/>
    <w:rsid w:val="00857071"/>
    <w:rsid w:val="008571E3"/>
    <w:rsid w:val="008575D1"/>
    <w:rsid w:val="008576EF"/>
    <w:rsid w:val="0085772D"/>
    <w:rsid w:val="0085793E"/>
    <w:rsid w:val="00857AF4"/>
    <w:rsid w:val="00857B7F"/>
    <w:rsid w:val="00857DD7"/>
    <w:rsid w:val="00857E22"/>
    <w:rsid w:val="0086005F"/>
    <w:rsid w:val="008605F4"/>
    <w:rsid w:val="0086088D"/>
    <w:rsid w:val="008609C0"/>
    <w:rsid w:val="00860A53"/>
    <w:rsid w:val="00860D49"/>
    <w:rsid w:val="00860D99"/>
    <w:rsid w:val="00860F41"/>
    <w:rsid w:val="00861443"/>
    <w:rsid w:val="008614FA"/>
    <w:rsid w:val="00861555"/>
    <w:rsid w:val="008617BA"/>
    <w:rsid w:val="00861C36"/>
    <w:rsid w:val="00861E43"/>
    <w:rsid w:val="00861F19"/>
    <w:rsid w:val="008620DF"/>
    <w:rsid w:val="0086213C"/>
    <w:rsid w:val="008621FF"/>
    <w:rsid w:val="008622F4"/>
    <w:rsid w:val="0086237C"/>
    <w:rsid w:val="00862618"/>
    <w:rsid w:val="00862856"/>
    <w:rsid w:val="00862C8F"/>
    <w:rsid w:val="00862CF4"/>
    <w:rsid w:val="00862D77"/>
    <w:rsid w:val="00862F3F"/>
    <w:rsid w:val="00863234"/>
    <w:rsid w:val="008636F3"/>
    <w:rsid w:val="00863C51"/>
    <w:rsid w:val="00863D7E"/>
    <w:rsid w:val="00863F53"/>
    <w:rsid w:val="00863FF5"/>
    <w:rsid w:val="008641F6"/>
    <w:rsid w:val="00864802"/>
    <w:rsid w:val="0086486D"/>
    <w:rsid w:val="00864882"/>
    <w:rsid w:val="008649D9"/>
    <w:rsid w:val="00864DE3"/>
    <w:rsid w:val="008651BF"/>
    <w:rsid w:val="00865341"/>
    <w:rsid w:val="0086573E"/>
    <w:rsid w:val="008657C5"/>
    <w:rsid w:val="008660FC"/>
    <w:rsid w:val="00866210"/>
    <w:rsid w:val="00866307"/>
    <w:rsid w:val="008665CA"/>
    <w:rsid w:val="00866BB5"/>
    <w:rsid w:val="00867175"/>
    <w:rsid w:val="008675FE"/>
    <w:rsid w:val="00867E98"/>
    <w:rsid w:val="00867ECA"/>
    <w:rsid w:val="00870114"/>
    <w:rsid w:val="008701D7"/>
    <w:rsid w:val="00870510"/>
    <w:rsid w:val="00871278"/>
    <w:rsid w:val="008713DD"/>
    <w:rsid w:val="008716A4"/>
    <w:rsid w:val="0087181F"/>
    <w:rsid w:val="00871871"/>
    <w:rsid w:val="0087187F"/>
    <w:rsid w:val="00871C5A"/>
    <w:rsid w:val="00871C65"/>
    <w:rsid w:val="00871E7C"/>
    <w:rsid w:val="008721BA"/>
    <w:rsid w:val="0087250B"/>
    <w:rsid w:val="0087279A"/>
    <w:rsid w:val="00872996"/>
    <w:rsid w:val="00872CCD"/>
    <w:rsid w:val="00872D8A"/>
    <w:rsid w:val="00872E6E"/>
    <w:rsid w:val="00873059"/>
    <w:rsid w:val="00873278"/>
    <w:rsid w:val="0087332F"/>
    <w:rsid w:val="008733BE"/>
    <w:rsid w:val="008736D0"/>
    <w:rsid w:val="0087372F"/>
    <w:rsid w:val="0087385E"/>
    <w:rsid w:val="008739D0"/>
    <w:rsid w:val="00873A63"/>
    <w:rsid w:val="00873E8D"/>
    <w:rsid w:val="00873F05"/>
    <w:rsid w:val="00874179"/>
    <w:rsid w:val="008748A3"/>
    <w:rsid w:val="008749CE"/>
    <w:rsid w:val="00874D5B"/>
    <w:rsid w:val="00874FB3"/>
    <w:rsid w:val="00875505"/>
    <w:rsid w:val="00875742"/>
    <w:rsid w:val="00875947"/>
    <w:rsid w:val="0087595F"/>
    <w:rsid w:val="00876089"/>
    <w:rsid w:val="008760EE"/>
    <w:rsid w:val="0087667B"/>
    <w:rsid w:val="00876842"/>
    <w:rsid w:val="00876A9D"/>
    <w:rsid w:val="00876AEA"/>
    <w:rsid w:val="00876D4C"/>
    <w:rsid w:val="00876DBF"/>
    <w:rsid w:val="00876FB7"/>
    <w:rsid w:val="00877C63"/>
    <w:rsid w:val="0088030A"/>
    <w:rsid w:val="0088057B"/>
    <w:rsid w:val="00880D43"/>
    <w:rsid w:val="0088100D"/>
    <w:rsid w:val="008815ED"/>
    <w:rsid w:val="00881726"/>
    <w:rsid w:val="00881BB7"/>
    <w:rsid w:val="00881BDD"/>
    <w:rsid w:val="00881D68"/>
    <w:rsid w:val="008823F3"/>
    <w:rsid w:val="00882F69"/>
    <w:rsid w:val="008833A4"/>
    <w:rsid w:val="00883A14"/>
    <w:rsid w:val="008843D3"/>
    <w:rsid w:val="008844EA"/>
    <w:rsid w:val="00884559"/>
    <w:rsid w:val="008846AA"/>
    <w:rsid w:val="00884711"/>
    <w:rsid w:val="00884C07"/>
    <w:rsid w:val="00884F67"/>
    <w:rsid w:val="00885F39"/>
    <w:rsid w:val="0088615D"/>
    <w:rsid w:val="00886168"/>
    <w:rsid w:val="00886768"/>
    <w:rsid w:val="00886D60"/>
    <w:rsid w:val="008870EF"/>
    <w:rsid w:val="0088745D"/>
    <w:rsid w:val="008876CC"/>
    <w:rsid w:val="00887746"/>
    <w:rsid w:val="00887894"/>
    <w:rsid w:val="00887A0F"/>
    <w:rsid w:val="00887D2F"/>
    <w:rsid w:val="008900D1"/>
    <w:rsid w:val="00890396"/>
    <w:rsid w:val="008903BB"/>
    <w:rsid w:val="00890A00"/>
    <w:rsid w:val="0089115C"/>
    <w:rsid w:val="0089167E"/>
    <w:rsid w:val="00891B28"/>
    <w:rsid w:val="00891CC2"/>
    <w:rsid w:val="00891D1A"/>
    <w:rsid w:val="00891D2F"/>
    <w:rsid w:val="00891ED3"/>
    <w:rsid w:val="00892069"/>
    <w:rsid w:val="0089206D"/>
    <w:rsid w:val="008922BB"/>
    <w:rsid w:val="008928E0"/>
    <w:rsid w:val="00892E4F"/>
    <w:rsid w:val="0089342C"/>
    <w:rsid w:val="0089353E"/>
    <w:rsid w:val="0089356A"/>
    <w:rsid w:val="008935F5"/>
    <w:rsid w:val="0089379B"/>
    <w:rsid w:val="008938F5"/>
    <w:rsid w:val="00893AFE"/>
    <w:rsid w:val="00893BF0"/>
    <w:rsid w:val="00893F88"/>
    <w:rsid w:val="0089404E"/>
    <w:rsid w:val="008942CF"/>
    <w:rsid w:val="00894A5D"/>
    <w:rsid w:val="00894C8D"/>
    <w:rsid w:val="00894FC4"/>
    <w:rsid w:val="00895146"/>
    <w:rsid w:val="008953EF"/>
    <w:rsid w:val="00895405"/>
    <w:rsid w:val="00895550"/>
    <w:rsid w:val="00895BBA"/>
    <w:rsid w:val="00895D0B"/>
    <w:rsid w:val="0089614E"/>
    <w:rsid w:val="00896331"/>
    <w:rsid w:val="00896439"/>
    <w:rsid w:val="008966F6"/>
    <w:rsid w:val="008968F7"/>
    <w:rsid w:val="00896A4B"/>
    <w:rsid w:val="0089716D"/>
    <w:rsid w:val="008976E5"/>
    <w:rsid w:val="00897B92"/>
    <w:rsid w:val="00897F7C"/>
    <w:rsid w:val="008A001A"/>
    <w:rsid w:val="008A056D"/>
    <w:rsid w:val="008A0D18"/>
    <w:rsid w:val="008A0E3A"/>
    <w:rsid w:val="008A1745"/>
    <w:rsid w:val="008A19AD"/>
    <w:rsid w:val="008A1E7C"/>
    <w:rsid w:val="008A1EA6"/>
    <w:rsid w:val="008A21AE"/>
    <w:rsid w:val="008A29CD"/>
    <w:rsid w:val="008A2A2B"/>
    <w:rsid w:val="008A2D47"/>
    <w:rsid w:val="008A3186"/>
    <w:rsid w:val="008A35C9"/>
    <w:rsid w:val="008A3635"/>
    <w:rsid w:val="008A39F6"/>
    <w:rsid w:val="008A3BC5"/>
    <w:rsid w:val="008A3D3C"/>
    <w:rsid w:val="008A43AE"/>
    <w:rsid w:val="008A4930"/>
    <w:rsid w:val="008A4AFE"/>
    <w:rsid w:val="008A538F"/>
    <w:rsid w:val="008A53C8"/>
    <w:rsid w:val="008A546C"/>
    <w:rsid w:val="008A56F3"/>
    <w:rsid w:val="008A5836"/>
    <w:rsid w:val="008A5B1C"/>
    <w:rsid w:val="008A5C96"/>
    <w:rsid w:val="008A5CD0"/>
    <w:rsid w:val="008A5E7B"/>
    <w:rsid w:val="008A5E86"/>
    <w:rsid w:val="008A6566"/>
    <w:rsid w:val="008A667B"/>
    <w:rsid w:val="008A6925"/>
    <w:rsid w:val="008A6A0B"/>
    <w:rsid w:val="008A6BC7"/>
    <w:rsid w:val="008A6EA6"/>
    <w:rsid w:val="008A6F49"/>
    <w:rsid w:val="008A6F94"/>
    <w:rsid w:val="008A6FBA"/>
    <w:rsid w:val="008A7D77"/>
    <w:rsid w:val="008B0463"/>
    <w:rsid w:val="008B08EF"/>
    <w:rsid w:val="008B0F3F"/>
    <w:rsid w:val="008B168A"/>
    <w:rsid w:val="008B19DA"/>
    <w:rsid w:val="008B1C34"/>
    <w:rsid w:val="008B1CED"/>
    <w:rsid w:val="008B1DAC"/>
    <w:rsid w:val="008B22DC"/>
    <w:rsid w:val="008B2576"/>
    <w:rsid w:val="008B26E2"/>
    <w:rsid w:val="008B2835"/>
    <w:rsid w:val="008B29AB"/>
    <w:rsid w:val="008B2B06"/>
    <w:rsid w:val="008B2B0D"/>
    <w:rsid w:val="008B2C2A"/>
    <w:rsid w:val="008B2EE4"/>
    <w:rsid w:val="008B3340"/>
    <w:rsid w:val="008B37D5"/>
    <w:rsid w:val="008B39BF"/>
    <w:rsid w:val="008B3ACD"/>
    <w:rsid w:val="008B3CDF"/>
    <w:rsid w:val="008B3D5D"/>
    <w:rsid w:val="008B477E"/>
    <w:rsid w:val="008B4781"/>
    <w:rsid w:val="008B4C5E"/>
    <w:rsid w:val="008B4E94"/>
    <w:rsid w:val="008B4EB7"/>
    <w:rsid w:val="008B50FD"/>
    <w:rsid w:val="008B5234"/>
    <w:rsid w:val="008B53A2"/>
    <w:rsid w:val="008B5407"/>
    <w:rsid w:val="008B5593"/>
    <w:rsid w:val="008B57C0"/>
    <w:rsid w:val="008B6189"/>
    <w:rsid w:val="008B6530"/>
    <w:rsid w:val="008B6FA8"/>
    <w:rsid w:val="008B702E"/>
    <w:rsid w:val="008B7CD7"/>
    <w:rsid w:val="008C00AB"/>
    <w:rsid w:val="008C00F5"/>
    <w:rsid w:val="008C02A4"/>
    <w:rsid w:val="008C04AF"/>
    <w:rsid w:val="008C0586"/>
    <w:rsid w:val="008C0638"/>
    <w:rsid w:val="008C06FA"/>
    <w:rsid w:val="008C0948"/>
    <w:rsid w:val="008C09B7"/>
    <w:rsid w:val="008C0A0F"/>
    <w:rsid w:val="008C1220"/>
    <w:rsid w:val="008C1306"/>
    <w:rsid w:val="008C1491"/>
    <w:rsid w:val="008C1BFB"/>
    <w:rsid w:val="008C210D"/>
    <w:rsid w:val="008C2473"/>
    <w:rsid w:val="008C289B"/>
    <w:rsid w:val="008C2C47"/>
    <w:rsid w:val="008C2CA5"/>
    <w:rsid w:val="008C2CE3"/>
    <w:rsid w:val="008C2D11"/>
    <w:rsid w:val="008C2E08"/>
    <w:rsid w:val="008C318F"/>
    <w:rsid w:val="008C3306"/>
    <w:rsid w:val="008C3459"/>
    <w:rsid w:val="008C3745"/>
    <w:rsid w:val="008C37FF"/>
    <w:rsid w:val="008C38A9"/>
    <w:rsid w:val="008C3B1B"/>
    <w:rsid w:val="008C3ED1"/>
    <w:rsid w:val="008C3F5E"/>
    <w:rsid w:val="008C4646"/>
    <w:rsid w:val="008C47F9"/>
    <w:rsid w:val="008C4EF4"/>
    <w:rsid w:val="008C5586"/>
    <w:rsid w:val="008C5751"/>
    <w:rsid w:val="008C5833"/>
    <w:rsid w:val="008C5BC7"/>
    <w:rsid w:val="008C5DEE"/>
    <w:rsid w:val="008C60BE"/>
    <w:rsid w:val="008C6195"/>
    <w:rsid w:val="008C6270"/>
    <w:rsid w:val="008C62C1"/>
    <w:rsid w:val="008C6474"/>
    <w:rsid w:val="008C672A"/>
    <w:rsid w:val="008C6866"/>
    <w:rsid w:val="008C6A68"/>
    <w:rsid w:val="008C6BFA"/>
    <w:rsid w:val="008C6CDA"/>
    <w:rsid w:val="008C7046"/>
    <w:rsid w:val="008C70CC"/>
    <w:rsid w:val="008C7368"/>
    <w:rsid w:val="008C796A"/>
    <w:rsid w:val="008C7A4B"/>
    <w:rsid w:val="008C7D78"/>
    <w:rsid w:val="008C7F09"/>
    <w:rsid w:val="008C7F29"/>
    <w:rsid w:val="008D0099"/>
    <w:rsid w:val="008D0613"/>
    <w:rsid w:val="008D1048"/>
    <w:rsid w:val="008D10FA"/>
    <w:rsid w:val="008D126A"/>
    <w:rsid w:val="008D13EF"/>
    <w:rsid w:val="008D15CA"/>
    <w:rsid w:val="008D1A37"/>
    <w:rsid w:val="008D1F0B"/>
    <w:rsid w:val="008D20FC"/>
    <w:rsid w:val="008D24DD"/>
    <w:rsid w:val="008D260C"/>
    <w:rsid w:val="008D28E2"/>
    <w:rsid w:val="008D2ABF"/>
    <w:rsid w:val="008D2B49"/>
    <w:rsid w:val="008D2C7A"/>
    <w:rsid w:val="008D2E35"/>
    <w:rsid w:val="008D3899"/>
    <w:rsid w:val="008D39C9"/>
    <w:rsid w:val="008D3E11"/>
    <w:rsid w:val="008D3EDC"/>
    <w:rsid w:val="008D3EFE"/>
    <w:rsid w:val="008D4031"/>
    <w:rsid w:val="008D43D7"/>
    <w:rsid w:val="008D445B"/>
    <w:rsid w:val="008D469F"/>
    <w:rsid w:val="008D4800"/>
    <w:rsid w:val="008D4904"/>
    <w:rsid w:val="008D4A8D"/>
    <w:rsid w:val="008D4B2F"/>
    <w:rsid w:val="008D4D7C"/>
    <w:rsid w:val="008D4DC1"/>
    <w:rsid w:val="008D4E69"/>
    <w:rsid w:val="008D4EEF"/>
    <w:rsid w:val="008D4EFE"/>
    <w:rsid w:val="008D4F12"/>
    <w:rsid w:val="008D5536"/>
    <w:rsid w:val="008D5546"/>
    <w:rsid w:val="008D610F"/>
    <w:rsid w:val="008D6164"/>
    <w:rsid w:val="008D6726"/>
    <w:rsid w:val="008D680B"/>
    <w:rsid w:val="008D6893"/>
    <w:rsid w:val="008D6DB9"/>
    <w:rsid w:val="008D6E66"/>
    <w:rsid w:val="008D70CE"/>
    <w:rsid w:val="008D70F2"/>
    <w:rsid w:val="008D77DE"/>
    <w:rsid w:val="008D7A87"/>
    <w:rsid w:val="008E01EB"/>
    <w:rsid w:val="008E0B5A"/>
    <w:rsid w:val="008E0C2F"/>
    <w:rsid w:val="008E0DFB"/>
    <w:rsid w:val="008E1064"/>
    <w:rsid w:val="008E127A"/>
    <w:rsid w:val="008E1404"/>
    <w:rsid w:val="008E1763"/>
    <w:rsid w:val="008E1CF8"/>
    <w:rsid w:val="008E1F08"/>
    <w:rsid w:val="008E2330"/>
    <w:rsid w:val="008E26AA"/>
    <w:rsid w:val="008E299E"/>
    <w:rsid w:val="008E2A4E"/>
    <w:rsid w:val="008E2C0C"/>
    <w:rsid w:val="008E2E83"/>
    <w:rsid w:val="008E2E9D"/>
    <w:rsid w:val="008E2F90"/>
    <w:rsid w:val="008E3449"/>
    <w:rsid w:val="008E3461"/>
    <w:rsid w:val="008E354C"/>
    <w:rsid w:val="008E3603"/>
    <w:rsid w:val="008E38BE"/>
    <w:rsid w:val="008E3A87"/>
    <w:rsid w:val="008E3CFB"/>
    <w:rsid w:val="008E3D87"/>
    <w:rsid w:val="008E402B"/>
    <w:rsid w:val="008E426F"/>
    <w:rsid w:val="008E49CC"/>
    <w:rsid w:val="008E4BEA"/>
    <w:rsid w:val="008E4FFB"/>
    <w:rsid w:val="008E5058"/>
    <w:rsid w:val="008E506A"/>
    <w:rsid w:val="008E513B"/>
    <w:rsid w:val="008E52BA"/>
    <w:rsid w:val="008E5449"/>
    <w:rsid w:val="008E56AF"/>
    <w:rsid w:val="008E5845"/>
    <w:rsid w:val="008E60B7"/>
    <w:rsid w:val="008E60EE"/>
    <w:rsid w:val="008E637B"/>
    <w:rsid w:val="008E65D2"/>
    <w:rsid w:val="008E6E8A"/>
    <w:rsid w:val="008E6FC3"/>
    <w:rsid w:val="008E7167"/>
    <w:rsid w:val="008E7349"/>
    <w:rsid w:val="008E75FD"/>
    <w:rsid w:val="008E7B94"/>
    <w:rsid w:val="008E7D68"/>
    <w:rsid w:val="008F0087"/>
    <w:rsid w:val="008F0169"/>
    <w:rsid w:val="008F0184"/>
    <w:rsid w:val="008F03B3"/>
    <w:rsid w:val="008F06A0"/>
    <w:rsid w:val="008F06B7"/>
    <w:rsid w:val="008F0905"/>
    <w:rsid w:val="008F0C60"/>
    <w:rsid w:val="008F0E41"/>
    <w:rsid w:val="008F125A"/>
    <w:rsid w:val="008F169C"/>
    <w:rsid w:val="008F18EB"/>
    <w:rsid w:val="008F1AF7"/>
    <w:rsid w:val="008F1C88"/>
    <w:rsid w:val="008F1DCD"/>
    <w:rsid w:val="008F1E73"/>
    <w:rsid w:val="008F1EB9"/>
    <w:rsid w:val="008F22F2"/>
    <w:rsid w:val="008F2390"/>
    <w:rsid w:val="008F23EE"/>
    <w:rsid w:val="008F2722"/>
    <w:rsid w:val="008F2AC2"/>
    <w:rsid w:val="008F2D98"/>
    <w:rsid w:val="008F2E1A"/>
    <w:rsid w:val="008F3594"/>
    <w:rsid w:val="008F3784"/>
    <w:rsid w:val="008F38F1"/>
    <w:rsid w:val="008F41E7"/>
    <w:rsid w:val="008F44A5"/>
    <w:rsid w:val="008F4716"/>
    <w:rsid w:val="008F4812"/>
    <w:rsid w:val="008F4E3A"/>
    <w:rsid w:val="008F6154"/>
    <w:rsid w:val="008F65E2"/>
    <w:rsid w:val="008F6669"/>
    <w:rsid w:val="008F6786"/>
    <w:rsid w:val="008F6CAE"/>
    <w:rsid w:val="008F7143"/>
    <w:rsid w:val="008F723B"/>
    <w:rsid w:val="008F76D0"/>
    <w:rsid w:val="008F7AA1"/>
    <w:rsid w:val="008F7ADD"/>
    <w:rsid w:val="008F7B2D"/>
    <w:rsid w:val="008F7D84"/>
    <w:rsid w:val="008F7FB8"/>
    <w:rsid w:val="0090034C"/>
    <w:rsid w:val="009006ED"/>
    <w:rsid w:val="00900D47"/>
    <w:rsid w:val="00900DAE"/>
    <w:rsid w:val="00900E97"/>
    <w:rsid w:val="00900FA0"/>
    <w:rsid w:val="0090106B"/>
    <w:rsid w:val="0090113A"/>
    <w:rsid w:val="0090117F"/>
    <w:rsid w:val="00901397"/>
    <w:rsid w:val="00901AA3"/>
    <w:rsid w:val="00901BEA"/>
    <w:rsid w:val="00901E8E"/>
    <w:rsid w:val="00901FBF"/>
    <w:rsid w:val="00902002"/>
    <w:rsid w:val="0090247F"/>
    <w:rsid w:val="00902933"/>
    <w:rsid w:val="00902B22"/>
    <w:rsid w:val="00902C41"/>
    <w:rsid w:val="00902D77"/>
    <w:rsid w:val="00902EE2"/>
    <w:rsid w:val="00902EE3"/>
    <w:rsid w:val="00903205"/>
    <w:rsid w:val="00903624"/>
    <w:rsid w:val="00903669"/>
    <w:rsid w:val="00903A51"/>
    <w:rsid w:val="00903FA1"/>
    <w:rsid w:val="009045A0"/>
    <w:rsid w:val="009045AC"/>
    <w:rsid w:val="009049DD"/>
    <w:rsid w:val="00904A3E"/>
    <w:rsid w:val="00904A5F"/>
    <w:rsid w:val="00904B5E"/>
    <w:rsid w:val="00904DB1"/>
    <w:rsid w:val="00904E27"/>
    <w:rsid w:val="00904E51"/>
    <w:rsid w:val="009053B8"/>
    <w:rsid w:val="009055A2"/>
    <w:rsid w:val="009057BF"/>
    <w:rsid w:val="00905E8B"/>
    <w:rsid w:val="00906076"/>
    <w:rsid w:val="009065B2"/>
    <w:rsid w:val="009065E8"/>
    <w:rsid w:val="009067D6"/>
    <w:rsid w:val="00906B72"/>
    <w:rsid w:val="0090713A"/>
    <w:rsid w:val="00907174"/>
    <w:rsid w:val="009079B0"/>
    <w:rsid w:val="00907A5E"/>
    <w:rsid w:val="00910033"/>
    <w:rsid w:val="009100FC"/>
    <w:rsid w:val="0091019B"/>
    <w:rsid w:val="009106FA"/>
    <w:rsid w:val="00910999"/>
    <w:rsid w:val="00910D28"/>
    <w:rsid w:val="00910D37"/>
    <w:rsid w:val="009117D7"/>
    <w:rsid w:val="0091189E"/>
    <w:rsid w:val="009118F1"/>
    <w:rsid w:val="00912160"/>
    <w:rsid w:val="00912235"/>
    <w:rsid w:val="0091267F"/>
    <w:rsid w:val="00912764"/>
    <w:rsid w:val="00912EBF"/>
    <w:rsid w:val="00913050"/>
    <w:rsid w:val="009135A3"/>
    <w:rsid w:val="009136F5"/>
    <w:rsid w:val="0091373C"/>
    <w:rsid w:val="00913A96"/>
    <w:rsid w:val="00913B69"/>
    <w:rsid w:val="00913BE2"/>
    <w:rsid w:val="00913CEF"/>
    <w:rsid w:val="00913E1C"/>
    <w:rsid w:val="00914939"/>
    <w:rsid w:val="00914BEA"/>
    <w:rsid w:val="00914C4E"/>
    <w:rsid w:val="00914D17"/>
    <w:rsid w:val="00914E0A"/>
    <w:rsid w:val="00914E36"/>
    <w:rsid w:val="00914F16"/>
    <w:rsid w:val="00914F1B"/>
    <w:rsid w:val="00915765"/>
    <w:rsid w:val="00915829"/>
    <w:rsid w:val="00915976"/>
    <w:rsid w:val="00915E3F"/>
    <w:rsid w:val="00915E86"/>
    <w:rsid w:val="00915FAE"/>
    <w:rsid w:val="0091650A"/>
    <w:rsid w:val="00916A61"/>
    <w:rsid w:val="00916E4B"/>
    <w:rsid w:val="00917021"/>
    <w:rsid w:val="00917415"/>
    <w:rsid w:val="00917458"/>
    <w:rsid w:val="00917632"/>
    <w:rsid w:val="00917CD4"/>
    <w:rsid w:val="00917D0D"/>
    <w:rsid w:val="0092020A"/>
    <w:rsid w:val="009202B7"/>
    <w:rsid w:val="0092069E"/>
    <w:rsid w:val="009207F9"/>
    <w:rsid w:val="00920B18"/>
    <w:rsid w:val="00920D36"/>
    <w:rsid w:val="00921098"/>
    <w:rsid w:val="0092114C"/>
    <w:rsid w:val="00921648"/>
    <w:rsid w:val="00921E01"/>
    <w:rsid w:val="009221C4"/>
    <w:rsid w:val="0092239F"/>
    <w:rsid w:val="009225F9"/>
    <w:rsid w:val="009228C1"/>
    <w:rsid w:val="00922938"/>
    <w:rsid w:val="0092293D"/>
    <w:rsid w:val="00922D2F"/>
    <w:rsid w:val="009230CE"/>
    <w:rsid w:val="0092329D"/>
    <w:rsid w:val="0092433F"/>
    <w:rsid w:val="00924741"/>
    <w:rsid w:val="00924B0E"/>
    <w:rsid w:val="00924C1C"/>
    <w:rsid w:val="00925019"/>
    <w:rsid w:val="0092503F"/>
    <w:rsid w:val="009255EF"/>
    <w:rsid w:val="009258E5"/>
    <w:rsid w:val="00925C91"/>
    <w:rsid w:val="00925F72"/>
    <w:rsid w:val="0092610E"/>
    <w:rsid w:val="0092617D"/>
    <w:rsid w:val="00926317"/>
    <w:rsid w:val="0092668D"/>
    <w:rsid w:val="00926782"/>
    <w:rsid w:val="009269C8"/>
    <w:rsid w:val="00926C39"/>
    <w:rsid w:val="00926DD9"/>
    <w:rsid w:val="00926F3C"/>
    <w:rsid w:val="00926F76"/>
    <w:rsid w:val="00926FBD"/>
    <w:rsid w:val="00927041"/>
    <w:rsid w:val="0092710B"/>
    <w:rsid w:val="00927259"/>
    <w:rsid w:val="00927289"/>
    <w:rsid w:val="00927785"/>
    <w:rsid w:val="0092798A"/>
    <w:rsid w:val="00930028"/>
    <w:rsid w:val="0093015B"/>
    <w:rsid w:val="009306C8"/>
    <w:rsid w:val="0093087D"/>
    <w:rsid w:val="00930A9B"/>
    <w:rsid w:val="00930AC1"/>
    <w:rsid w:val="00930FA4"/>
    <w:rsid w:val="009310E2"/>
    <w:rsid w:val="009311EA"/>
    <w:rsid w:val="00931350"/>
    <w:rsid w:val="009313A4"/>
    <w:rsid w:val="009314AE"/>
    <w:rsid w:val="0093177B"/>
    <w:rsid w:val="009319FE"/>
    <w:rsid w:val="00931B8B"/>
    <w:rsid w:val="00932121"/>
    <w:rsid w:val="009321AA"/>
    <w:rsid w:val="00932366"/>
    <w:rsid w:val="009328E0"/>
    <w:rsid w:val="00932D76"/>
    <w:rsid w:val="00933137"/>
    <w:rsid w:val="00933250"/>
    <w:rsid w:val="009333AB"/>
    <w:rsid w:val="009335B2"/>
    <w:rsid w:val="00933790"/>
    <w:rsid w:val="00933AB8"/>
    <w:rsid w:val="00933B94"/>
    <w:rsid w:val="00933C8E"/>
    <w:rsid w:val="00933CB5"/>
    <w:rsid w:val="00933D29"/>
    <w:rsid w:val="009342BA"/>
    <w:rsid w:val="00934407"/>
    <w:rsid w:val="009349F0"/>
    <w:rsid w:val="00934B35"/>
    <w:rsid w:val="00934B40"/>
    <w:rsid w:val="00934C1D"/>
    <w:rsid w:val="00934FCA"/>
    <w:rsid w:val="0093511A"/>
    <w:rsid w:val="00935186"/>
    <w:rsid w:val="009352FA"/>
    <w:rsid w:val="00935533"/>
    <w:rsid w:val="00935593"/>
    <w:rsid w:val="009355D9"/>
    <w:rsid w:val="00935769"/>
    <w:rsid w:val="00935CE8"/>
    <w:rsid w:val="00935DAD"/>
    <w:rsid w:val="009365A1"/>
    <w:rsid w:val="00936A92"/>
    <w:rsid w:val="00936B08"/>
    <w:rsid w:val="00936F15"/>
    <w:rsid w:val="009370F8"/>
    <w:rsid w:val="0093718F"/>
    <w:rsid w:val="0093736A"/>
    <w:rsid w:val="00937A0E"/>
    <w:rsid w:val="00937FEA"/>
    <w:rsid w:val="00940119"/>
    <w:rsid w:val="009408E0"/>
    <w:rsid w:val="00940AC6"/>
    <w:rsid w:val="0094100E"/>
    <w:rsid w:val="00941175"/>
    <w:rsid w:val="009411F8"/>
    <w:rsid w:val="0094121B"/>
    <w:rsid w:val="0094125A"/>
    <w:rsid w:val="009412A5"/>
    <w:rsid w:val="00941A94"/>
    <w:rsid w:val="00941B0E"/>
    <w:rsid w:val="00941BAA"/>
    <w:rsid w:val="00941EA4"/>
    <w:rsid w:val="0094209C"/>
    <w:rsid w:val="009421A4"/>
    <w:rsid w:val="009421D4"/>
    <w:rsid w:val="00942653"/>
    <w:rsid w:val="009426EC"/>
    <w:rsid w:val="00942757"/>
    <w:rsid w:val="00942971"/>
    <w:rsid w:val="00942AD0"/>
    <w:rsid w:val="00942AF6"/>
    <w:rsid w:val="00942CF7"/>
    <w:rsid w:val="009432CE"/>
    <w:rsid w:val="009432E1"/>
    <w:rsid w:val="00943498"/>
    <w:rsid w:val="0094371A"/>
    <w:rsid w:val="009437A1"/>
    <w:rsid w:val="009437DE"/>
    <w:rsid w:val="00943AE1"/>
    <w:rsid w:val="00944AC6"/>
    <w:rsid w:val="00944B4C"/>
    <w:rsid w:val="00944E3E"/>
    <w:rsid w:val="0094513E"/>
    <w:rsid w:val="00945435"/>
    <w:rsid w:val="0094559A"/>
    <w:rsid w:val="00945665"/>
    <w:rsid w:val="00945AD2"/>
    <w:rsid w:val="00945CBF"/>
    <w:rsid w:val="00945D17"/>
    <w:rsid w:val="00945F60"/>
    <w:rsid w:val="00946004"/>
    <w:rsid w:val="009461BF"/>
    <w:rsid w:val="009463F2"/>
    <w:rsid w:val="009465F5"/>
    <w:rsid w:val="00946984"/>
    <w:rsid w:val="00947348"/>
    <w:rsid w:val="009474C0"/>
    <w:rsid w:val="00947702"/>
    <w:rsid w:val="00947857"/>
    <w:rsid w:val="009502F5"/>
    <w:rsid w:val="009505E9"/>
    <w:rsid w:val="00950797"/>
    <w:rsid w:val="00950B46"/>
    <w:rsid w:val="00950B94"/>
    <w:rsid w:val="00951355"/>
    <w:rsid w:val="009514D3"/>
    <w:rsid w:val="00951770"/>
    <w:rsid w:val="00951D5B"/>
    <w:rsid w:val="00951E39"/>
    <w:rsid w:val="00951E59"/>
    <w:rsid w:val="00951EF0"/>
    <w:rsid w:val="00951F69"/>
    <w:rsid w:val="00951FAF"/>
    <w:rsid w:val="0095209F"/>
    <w:rsid w:val="009522EB"/>
    <w:rsid w:val="009523C0"/>
    <w:rsid w:val="009526B7"/>
    <w:rsid w:val="009528ED"/>
    <w:rsid w:val="00952922"/>
    <w:rsid w:val="0095294B"/>
    <w:rsid w:val="00952A25"/>
    <w:rsid w:val="00952DDD"/>
    <w:rsid w:val="00952FF2"/>
    <w:rsid w:val="0095362F"/>
    <w:rsid w:val="00953D77"/>
    <w:rsid w:val="00954052"/>
    <w:rsid w:val="00954196"/>
    <w:rsid w:val="00954294"/>
    <w:rsid w:val="0095430F"/>
    <w:rsid w:val="00954379"/>
    <w:rsid w:val="00954649"/>
    <w:rsid w:val="00954A2B"/>
    <w:rsid w:val="00954CDE"/>
    <w:rsid w:val="00955155"/>
    <w:rsid w:val="00955203"/>
    <w:rsid w:val="00955217"/>
    <w:rsid w:val="00955B6F"/>
    <w:rsid w:val="00955B94"/>
    <w:rsid w:val="00955E6A"/>
    <w:rsid w:val="009563BC"/>
    <w:rsid w:val="00956768"/>
    <w:rsid w:val="00956AD9"/>
    <w:rsid w:val="00957031"/>
    <w:rsid w:val="009570B4"/>
    <w:rsid w:val="00957939"/>
    <w:rsid w:val="00957A8A"/>
    <w:rsid w:val="00957D8D"/>
    <w:rsid w:val="00957DB3"/>
    <w:rsid w:val="00957E6C"/>
    <w:rsid w:val="009602CF"/>
    <w:rsid w:val="0096066B"/>
    <w:rsid w:val="0096068A"/>
    <w:rsid w:val="00960B71"/>
    <w:rsid w:val="00960C9C"/>
    <w:rsid w:val="00960EE7"/>
    <w:rsid w:val="009612E3"/>
    <w:rsid w:val="009622ED"/>
    <w:rsid w:val="009625AA"/>
    <w:rsid w:val="009625B4"/>
    <w:rsid w:val="00962647"/>
    <w:rsid w:val="00962965"/>
    <w:rsid w:val="00963319"/>
    <w:rsid w:val="009633F7"/>
    <w:rsid w:val="00963755"/>
    <w:rsid w:val="0096378F"/>
    <w:rsid w:val="009640EC"/>
    <w:rsid w:val="0096430D"/>
    <w:rsid w:val="00964374"/>
    <w:rsid w:val="00964409"/>
    <w:rsid w:val="009644B4"/>
    <w:rsid w:val="00964893"/>
    <w:rsid w:val="00964FA5"/>
    <w:rsid w:val="00965187"/>
    <w:rsid w:val="0096532D"/>
    <w:rsid w:val="00965524"/>
    <w:rsid w:val="009655B0"/>
    <w:rsid w:val="00965668"/>
    <w:rsid w:val="00965B78"/>
    <w:rsid w:val="009660C4"/>
    <w:rsid w:val="00966319"/>
    <w:rsid w:val="0096638C"/>
    <w:rsid w:val="0096654A"/>
    <w:rsid w:val="00966662"/>
    <w:rsid w:val="0096694A"/>
    <w:rsid w:val="00966E8B"/>
    <w:rsid w:val="00966F50"/>
    <w:rsid w:val="009673E6"/>
    <w:rsid w:val="00967FE2"/>
    <w:rsid w:val="00970045"/>
    <w:rsid w:val="00970060"/>
    <w:rsid w:val="0097029F"/>
    <w:rsid w:val="00970501"/>
    <w:rsid w:val="00970607"/>
    <w:rsid w:val="00970848"/>
    <w:rsid w:val="00970C69"/>
    <w:rsid w:val="00970DE2"/>
    <w:rsid w:val="00970E61"/>
    <w:rsid w:val="00970E96"/>
    <w:rsid w:val="00970F7D"/>
    <w:rsid w:val="009712BA"/>
    <w:rsid w:val="009713C6"/>
    <w:rsid w:val="00971837"/>
    <w:rsid w:val="00971B63"/>
    <w:rsid w:val="00971C13"/>
    <w:rsid w:val="00971DAE"/>
    <w:rsid w:val="00972AB4"/>
    <w:rsid w:val="00972DEE"/>
    <w:rsid w:val="00972F72"/>
    <w:rsid w:val="009731C5"/>
    <w:rsid w:val="00973245"/>
    <w:rsid w:val="009736B0"/>
    <w:rsid w:val="00973794"/>
    <w:rsid w:val="00973C80"/>
    <w:rsid w:val="00973D4E"/>
    <w:rsid w:val="00973F95"/>
    <w:rsid w:val="00974034"/>
    <w:rsid w:val="0097408D"/>
    <w:rsid w:val="0097410B"/>
    <w:rsid w:val="009746B2"/>
    <w:rsid w:val="00975A57"/>
    <w:rsid w:val="009766B2"/>
    <w:rsid w:val="009767EE"/>
    <w:rsid w:val="00976885"/>
    <w:rsid w:val="00976D36"/>
    <w:rsid w:val="0097714F"/>
    <w:rsid w:val="00977558"/>
    <w:rsid w:val="009776FB"/>
    <w:rsid w:val="00977769"/>
    <w:rsid w:val="00977A36"/>
    <w:rsid w:val="00977A5F"/>
    <w:rsid w:val="00977B6C"/>
    <w:rsid w:val="00980048"/>
    <w:rsid w:val="00980240"/>
    <w:rsid w:val="009804EE"/>
    <w:rsid w:val="009807DA"/>
    <w:rsid w:val="009808AA"/>
    <w:rsid w:val="00980C83"/>
    <w:rsid w:val="00980D6A"/>
    <w:rsid w:val="00981030"/>
    <w:rsid w:val="0098147D"/>
    <w:rsid w:val="009814A6"/>
    <w:rsid w:val="0098169D"/>
    <w:rsid w:val="00981C64"/>
    <w:rsid w:val="00981CCE"/>
    <w:rsid w:val="00981FF7"/>
    <w:rsid w:val="00982006"/>
    <w:rsid w:val="0098221A"/>
    <w:rsid w:val="00982476"/>
    <w:rsid w:val="0098254A"/>
    <w:rsid w:val="00982755"/>
    <w:rsid w:val="00982BBE"/>
    <w:rsid w:val="00982CA3"/>
    <w:rsid w:val="00982D26"/>
    <w:rsid w:val="00982D53"/>
    <w:rsid w:val="00982D5F"/>
    <w:rsid w:val="00982D64"/>
    <w:rsid w:val="0098314B"/>
    <w:rsid w:val="0098317A"/>
    <w:rsid w:val="00983244"/>
    <w:rsid w:val="0098327A"/>
    <w:rsid w:val="00983E46"/>
    <w:rsid w:val="00983EE6"/>
    <w:rsid w:val="0098412A"/>
    <w:rsid w:val="0098428C"/>
    <w:rsid w:val="0098429E"/>
    <w:rsid w:val="00984600"/>
    <w:rsid w:val="009846C4"/>
    <w:rsid w:val="00984977"/>
    <w:rsid w:val="00984D28"/>
    <w:rsid w:val="0098508E"/>
    <w:rsid w:val="0098537E"/>
    <w:rsid w:val="0098551E"/>
    <w:rsid w:val="009858C8"/>
    <w:rsid w:val="00985962"/>
    <w:rsid w:val="0098607D"/>
    <w:rsid w:val="00986322"/>
    <w:rsid w:val="009866E1"/>
    <w:rsid w:val="0098672F"/>
    <w:rsid w:val="00986F7A"/>
    <w:rsid w:val="00986FEF"/>
    <w:rsid w:val="00987143"/>
    <w:rsid w:val="00987292"/>
    <w:rsid w:val="0098767A"/>
    <w:rsid w:val="00987833"/>
    <w:rsid w:val="00987ADE"/>
    <w:rsid w:val="00987F23"/>
    <w:rsid w:val="00987F62"/>
    <w:rsid w:val="009906EC"/>
    <w:rsid w:val="009907AD"/>
    <w:rsid w:val="009908CD"/>
    <w:rsid w:val="00990934"/>
    <w:rsid w:val="00990C92"/>
    <w:rsid w:val="00990CEC"/>
    <w:rsid w:val="00990EA5"/>
    <w:rsid w:val="00991046"/>
    <w:rsid w:val="009914E8"/>
    <w:rsid w:val="0099159B"/>
    <w:rsid w:val="00991746"/>
    <w:rsid w:val="00991A50"/>
    <w:rsid w:val="00991A88"/>
    <w:rsid w:val="00991AAF"/>
    <w:rsid w:val="00991AE1"/>
    <w:rsid w:val="00991EA6"/>
    <w:rsid w:val="0099208D"/>
    <w:rsid w:val="009922EF"/>
    <w:rsid w:val="00992409"/>
    <w:rsid w:val="00992E55"/>
    <w:rsid w:val="00992E82"/>
    <w:rsid w:val="0099331E"/>
    <w:rsid w:val="009933C4"/>
    <w:rsid w:val="009933DF"/>
    <w:rsid w:val="009934BA"/>
    <w:rsid w:val="009936E4"/>
    <w:rsid w:val="0099373A"/>
    <w:rsid w:val="0099397E"/>
    <w:rsid w:val="00993D64"/>
    <w:rsid w:val="00994172"/>
    <w:rsid w:val="009945F4"/>
    <w:rsid w:val="009948AF"/>
    <w:rsid w:val="00994D93"/>
    <w:rsid w:val="00995056"/>
    <w:rsid w:val="00995832"/>
    <w:rsid w:val="00995CE9"/>
    <w:rsid w:val="00995DA2"/>
    <w:rsid w:val="009963B0"/>
    <w:rsid w:val="009965DD"/>
    <w:rsid w:val="00996806"/>
    <w:rsid w:val="00996A63"/>
    <w:rsid w:val="00997004"/>
    <w:rsid w:val="009971B9"/>
    <w:rsid w:val="00997287"/>
    <w:rsid w:val="009972A5"/>
    <w:rsid w:val="00997778"/>
    <w:rsid w:val="0099781D"/>
    <w:rsid w:val="009A0099"/>
    <w:rsid w:val="009A0EC9"/>
    <w:rsid w:val="009A0EFE"/>
    <w:rsid w:val="009A107D"/>
    <w:rsid w:val="009A12AB"/>
    <w:rsid w:val="009A1728"/>
    <w:rsid w:val="009A1D4D"/>
    <w:rsid w:val="009A1ED7"/>
    <w:rsid w:val="009A2317"/>
    <w:rsid w:val="009A258E"/>
    <w:rsid w:val="009A2701"/>
    <w:rsid w:val="009A29F4"/>
    <w:rsid w:val="009A2F8D"/>
    <w:rsid w:val="009A2FC3"/>
    <w:rsid w:val="009A31B5"/>
    <w:rsid w:val="009A32AF"/>
    <w:rsid w:val="009A33FE"/>
    <w:rsid w:val="009A38DE"/>
    <w:rsid w:val="009A3AD8"/>
    <w:rsid w:val="009A3BC7"/>
    <w:rsid w:val="009A3BFA"/>
    <w:rsid w:val="009A4252"/>
    <w:rsid w:val="009A4523"/>
    <w:rsid w:val="009A4563"/>
    <w:rsid w:val="009A47B3"/>
    <w:rsid w:val="009A481A"/>
    <w:rsid w:val="009A499B"/>
    <w:rsid w:val="009A49C0"/>
    <w:rsid w:val="009A5364"/>
    <w:rsid w:val="009A544E"/>
    <w:rsid w:val="009A548F"/>
    <w:rsid w:val="009A54A0"/>
    <w:rsid w:val="009A5634"/>
    <w:rsid w:val="009A58D2"/>
    <w:rsid w:val="009A58D5"/>
    <w:rsid w:val="009A5B47"/>
    <w:rsid w:val="009A5B53"/>
    <w:rsid w:val="009A5B7F"/>
    <w:rsid w:val="009A5BD1"/>
    <w:rsid w:val="009A5EB9"/>
    <w:rsid w:val="009A60EC"/>
    <w:rsid w:val="009A613D"/>
    <w:rsid w:val="009A63CD"/>
    <w:rsid w:val="009A672D"/>
    <w:rsid w:val="009A6985"/>
    <w:rsid w:val="009A71BF"/>
    <w:rsid w:val="009A7287"/>
    <w:rsid w:val="009A750A"/>
    <w:rsid w:val="009A7603"/>
    <w:rsid w:val="009B0015"/>
    <w:rsid w:val="009B01BC"/>
    <w:rsid w:val="009B01EE"/>
    <w:rsid w:val="009B0280"/>
    <w:rsid w:val="009B09EF"/>
    <w:rsid w:val="009B0C44"/>
    <w:rsid w:val="009B0E90"/>
    <w:rsid w:val="009B117F"/>
    <w:rsid w:val="009B14E1"/>
    <w:rsid w:val="009B1545"/>
    <w:rsid w:val="009B1571"/>
    <w:rsid w:val="009B1623"/>
    <w:rsid w:val="009B172F"/>
    <w:rsid w:val="009B1AA4"/>
    <w:rsid w:val="009B1B12"/>
    <w:rsid w:val="009B2077"/>
    <w:rsid w:val="009B2ED3"/>
    <w:rsid w:val="009B3392"/>
    <w:rsid w:val="009B36CF"/>
    <w:rsid w:val="009B389D"/>
    <w:rsid w:val="009B3AF3"/>
    <w:rsid w:val="009B3F1B"/>
    <w:rsid w:val="009B3FD1"/>
    <w:rsid w:val="009B404E"/>
    <w:rsid w:val="009B4183"/>
    <w:rsid w:val="009B4303"/>
    <w:rsid w:val="009B4347"/>
    <w:rsid w:val="009B45DC"/>
    <w:rsid w:val="009B471E"/>
    <w:rsid w:val="009B47E2"/>
    <w:rsid w:val="009B47FF"/>
    <w:rsid w:val="009B4A2E"/>
    <w:rsid w:val="009B528E"/>
    <w:rsid w:val="009B537E"/>
    <w:rsid w:val="009B5529"/>
    <w:rsid w:val="009B56E5"/>
    <w:rsid w:val="009B57A9"/>
    <w:rsid w:val="009B6330"/>
    <w:rsid w:val="009B64FB"/>
    <w:rsid w:val="009B6539"/>
    <w:rsid w:val="009B6A31"/>
    <w:rsid w:val="009B6F02"/>
    <w:rsid w:val="009B7A59"/>
    <w:rsid w:val="009B7F11"/>
    <w:rsid w:val="009B7FC9"/>
    <w:rsid w:val="009C0361"/>
    <w:rsid w:val="009C0FA1"/>
    <w:rsid w:val="009C134C"/>
    <w:rsid w:val="009C148F"/>
    <w:rsid w:val="009C1754"/>
    <w:rsid w:val="009C1B68"/>
    <w:rsid w:val="009C1B7D"/>
    <w:rsid w:val="009C1D49"/>
    <w:rsid w:val="009C1E4A"/>
    <w:rsid w:val="009C2984"/>
    <w:rsid w:val="009C2B0D"/>
    <w:rsid w:val="009C2CD8"/>
    <w:rsid w:val="009C2D9C"/>
    <w:rsid w:val="009C2E3E"/>
    <w:rsid w:val="009C2EF5"/>
    <w:rsid w:val="009C35C6"/>
    <w:rsid w:val="009C3A81"/>
    <w:rsid w:val="009C3DD6"/>
    <w:rsid w:val="009C3F77"/>
    <w:rsid w:val="009C3FF9"/>
    <w:rsid w:val="009C47CB"/>
    <w:rsid w:val="009C4D7B"/>
    <w:rsid w:val="009C4F3E"/>
    <w:rsid w:val="009C5264"/>
    <w:rsid w:val="009C5BB1"/>
    <w:rsid w:val="009C5D0E"/>
    <w:rsid w:val="009C61DB"/>
    <w:rsid w:val="009C6899"/>
    <w:rsid w:val="009C69C6"/>
    <w:rsid w:val="009C7057"/>
    <w:rsid w:val="009C70F7"/>
    <w:rsid w:val="009C711A"/>
    <w:rsid w:val="009C729A"/>
    <w:rsid w:val="009C762B"/>
    <w:rsid w:val="009C76E5"/>
    <w:rsid w:val="009C7728"/>
    <w:rsid w:val="009C7747"/>
    <w:rsid w:val="009C799B"/>
    <w:rsid w:val="009C7A45"/>
    <w:rsid w:val="009C7FFB"/>
    <w:rsid w:val="009D007C"/>
    <w:rsid w:val="009D016C"/>
    <w:rsid w:val="009D0454"/>
    <w:rsid w:val="009D072C"/>
    <w:rsid w:val="009D09D3"/>
    <w:rsid w:val="009D0AF2"/>
    <w:rsid w:val="009D0C24"/>
    <w:rsid w:val="009D0E50"/>
    <w:rsid w:val="009D1293"/>
    <w:rsid w:val="009D13AD"/>
    <w:rsid w:val="009D1A89"/>
    <w:rsid w:val="009D1B30"/>
    <w:rsid w:val="009D20D5"/>
    <w:rsid w:val="009D2233"/>
    <w:rsid w:val="009D242A"/>
    <w:rsid w:val="009D2693"/>
    <w:rsid w:val="009D2A0A"/>
    <w:rsid w:val="009D2CC5"/>
    <w:rsid w:val="009D2CC9"/>
    <w:rsid w:val="009D2CF7"/>
    <w:rsid w:val="009D2E77"/>
    <w:rsid w:val="009D31F6"/>
    <w:rsid w:val="009D3505"/>
    <w:rsid w:val="009D3B34"/>
    <w:rsid w:val="009D4355"/>
    <w:rsid w:val="009D4455"/>
    <w:rsid w:val="009D4485"/>
    <w:rsid w:val="009D45A5"/>
    <w:rsid w:val="009D46C5"/>
    <w:rsid w:val="009D4A9C"/>
    <w:rsid w:val="009D4DDE"/>
    <w:rsid w:val="009D4F95"/>
    <w:rsid w:val="009D51B0"/>
    <w:rsid w:val="009D5354"/>
    <w:rsid w:val="009D53F3"/>
    <w:rsid w:val="009D5457"/>
    <w:rsid w:val="009D5659"/>
    <w:rsid w:val="009D5952"/>
    <w:rsid w:val="009D5D3D"/>
    <w:rsid w:val="009D5D46"/>
    <w:rsid w:val="009D5D4F"/>
    <w:rsid w:val="009D6067"/>
    <w:rsid w:val="009D6380"/>
    <w:rsid w:val="009D65DD"/>
    <w:rsid w:val="009D6848"/>
    <w:rsid w:val="009D6AF7"/>
    <w:rsid w:val="009D6EBD"/>
    <w:rsid w:val="009D6FB9"/>
    <w:rsid w:val="009D71B1"/>
    <w:rsid w:val="009D7549"/>
    <w:rsid w:val="009D77CE"/>
    <w:rsid w:val="009D78F7"/>
    <w:rsid w:val="009D78FA"/>
    <w:rsid w:val="009D7A09"/>
    <w:rsid w:val="009D7B28"/>
    <w:rsid w:val="009D7B72"/>
    <w:rsid w:val="009D7FC1"/>
    <w:rsid w:val="009E00CC"/>
    <w:rsid w:val="009E015D"/>
    <w:rsid w:val="009E01C5"/>
    <w:rsid w:val="009E0296"/>
    <w:rsid w:val="009E0317"/>
    <w:rsid w:val="009E0535"/>
    <w:rsid w:val="009E07C5"/>
    <w:rsid w:val="009E0A0A"/>
    <w:rsid w:val="009E0D62"/>
    <w:rsid w:val="009E0DEF"/>
    <w:rsid w:val="009E0E47"/>
    <w:rsid w:val="009E1074"/>
    <w:rsid w:val="009E1C1C"/>
    <w:rsid w:val="009E1CAA"/>
    <w:rsid w:val="009E1EBB"/>
    <w:rsid w:val="009E1EF0"/>
    <w:rsid w:val="009E1F46"/>
    <w:rsid w:val="009E2098"/>
    <w:rsid w:val="009E24AE"/>
    <w:rsid w:val="009E25E6"/>
    <w:rsid w:val="009E2808"/>
    <w:rsid w:val="009E2C27"/>
    <w:rsid w:val="009E2E16"/>
    <w:rsid w:val="009E2E52"/>
    <w:rsid w:val="009E2F49"/>
    <w:rsid w:val="009E3095"/>
    <w:rsid w:val="009E32B3"/>
    <w:rsid w:val="009E3BEF"/>
    <w:rsid w:val="009E3BFD"/>
    <w:rsid w:val="009E3D28"/>
    <w:rsid w:val="009E4283"/>
    <w:rsid w:val="009E4559"/>
    <w:rsid w:val="009E4A47"/>
    <w:rsid w:val="009E4C5B"/>
    <w:rsid w:val="009E4E96"/>
    <w:rsid w:val="009E5170"/>
    <w:rsid w:val="009E538A"/>
    <w:rsid w:val="009E567F"/>
    <w:rsid w:val="009E5BA4"/>
    <w:rsid w:val="009E5BC5"/>
    <w:rsid w:val="009E5E9D"/>
    <w:rsid w:val="009E6127"/>
    <w:rsid w:val="009E6434"/>
    <w:rsid w:val="009E666F"/>
    <w:rsid w:val="009E6768"/>
    <w:rsid w:val="009E6E3D"/>
    <w:rsid w:val="009E717A"/>
    <w:rsid w:val="009E736C"/>
    <w:rsid w:val="009E7503"/>
    <w:rsid w:val="009E7780"/>
    <w:rsid w:val="009E7B90"/>
    <w:rsid w:val="009E7CD5"/>
    <w:rsid w:val="009E7FCF"/>
    <w:rsid w:val="009F0387"/>
    <w:rsid w:val="009F1159"/>
    <w:rsid w:val="009F13BB"/>
    <w:rsid w:val="009F162E"/>
    <w:rsid w:val="009F1728"/>
    <w:rsid w:val="009F1A1C"/>
    <w:rsid w:val="009F1AAA"/>
    <w:rsid w:val="009F1B28"/>
    <w:rsid w:val="009F205D"/>
    <w:rsid w:val="009F2954"/>
    <w:rsid w:val="009F2CBC"/>
    <w:rsid w:val="009F2E98"/>
    <w:rsid w:val="009F30BE"/>
    <w:rsid w:val="009F30D1"/>
    <w:rsid w:val="009F3333"/>
    <w:rsid w:val="009F3420"/>
    <w:rsid w:val="009F34AD"/>
    <w:rsid w:val="009F383C"/>
    <w:rsid w:val="009F39AD"/>
    <w:rsid w:val="009F40B7"/>
    <w:rsid w:val="009F43E1"/>
    <w:rsid w:val="009F487D"/>
    <w:rsid w:val="009F4B54"/>
    <w:rsid w:val="009F4CF1"/>
    <w:rsid w:val="009F4D3A"/>
    <w:rsid w:val="009F51B4"/>
    <w:rsid w:val="009F5277"/>
    <w:rsid w:val="009F5E27"/>
    <w:rsid w:val="009F5FA0"/>
    <w:rsid w:val="009F601A"/>
    <w:rsid w:val="009F620B"/>
    <w:rsid w:val="009F669F"/>
    <w:rsid w:val="009F6B56"/>
    <w:rsid w:val="009F7962"/>
    <w:rsid w:val="009F7EEA"/>
    <w:rsid w:val="00A00322"/>
    <w:rsid w:val="00A00A96"/>
    <w:rsid w:val="00A010C6"/>
    <w:rsid w:val="00A0130E"/>
    <w:rsid w:val="00A01347"/>
    <w:rsid w:val="00A014F9"/>
    <w:rsid w:val="00A01555"/>
    <w:rsid w:val="00A0160D"/>
    <w:rsid w:val="00A0186C"/>
    <w:rsid w:val="00A01C82"/>
    <w:rsid w:val="00A01D35"/>
    <w:rsid w:val="00A0200C"/>
    <w:rsid w:val="00A027F3"/>
    <w:rsid w:val="00A02B53"/>
    <w:rsid w:val="00A02CA2"/>
    <w:rsid w:val="00A02E5F"/>
    <w:rsid w:val="00A02ECF"/>
    <w:rsid w:val="00A02F99"/>
    <w:rsid w:val="00A02FA2"/>
    <w:rsid w:val="00A0306A"/>
    <w:rsid w:val="00A031FE"/>
    <w:rsid w:val="00A036F0"/>
    <w:rsid w:val="00A0391A"/>
    <w:rsid w:val="00A03A45"/>
    <w:rsid w:val="00A03C28"/>
    <w:rsid w:val="00A03CC3"/>
    <w:rsid w:val="00A040BD"/>
    <w:rsid w:val="00A04AB0"/>
    <w:rsid w:val="00A04C97"/>
    <w:rsid w:val="00A04E61"/>
    <w:rsid w:val="00A05103"/>
    <w:rsid w:val="00A0561A"/>
    <w:rsid w:val="00A05674"/>
    <w:rsid w:val="00A05ACA"/>
    <w:rsid w:val="00A05F17"/>
    <w:rsid w:val="00A06083"/>
    <w:rsid w:val="00A0662A"/>
    <w:rsid w:val="00A067D6"/>
    <w:rsid w:val="00A06CE0"/>
    <w:rsid w:val="00A06D67"/>
    <w:rsid w:val="00A06FE3"/>
    <w:rsid w:val="00A07229"/>
    <w:rsid w:val="00A074B9"/>
    <w:rsid w:val="00A075F3"/>
    <w:rsid w:val="00A07646"/>
    <w:rsid w:val="00A07B29"/>
    <w:rsid w:val="00A07E36"/>
    <w:rsid w:val="00A101EA"/>
    <w:rsid w:val="00A101F7"/>
    <w:rsid w:val="00A10245"/>
    <w:rsid w:val="00A10EDB"/>
    <w:rsid w:val="00A10F39"/>
    <w:rsid w:val="00A1109D"/>
    <w:rsid w:val="00A11354"/>
    <w:rsid w:val="00A1145A"/>
    <w:rsid w:val="00A1165C"/>
    <w:rsid w:val="00A117F5"/>
    <w:rsid w:val="00A118EF"/>
    <w:rsid w:val="00A11C34"/>
    <w:rsid w:val="00A11E57"/>
    <w:rsid w:val="00A11F5D"/>
    <w:rsid w:val="00A1234E"/>
    <w:rsid w:val="00A124ED"/>
    <w:rsid w:val="00A12580"/>
    <w:rsid w:val="00A127DE"/>
    <w:rsid w:val="00A12BC3"/>
    <w:rsid w:val="00A12C14"/>
    <w:rsid w:val="00A13B7B"/>
    <w:rsid w:val="00A13E64"/>
    <w:rsid w:val="00A14284"/>
    <w:rsid w:val="00A14288"/>
    <w:rsid w:val="00A147C5"/>
    <w:rsid w:val="00A14C3A"/>
    <w:rsid w:val="00A14C6E"/>
    <w:rsid w:val="00A15129"/>
    <w:rsid w:val="00A152E3"/>
    <w:rsid w:val="00A15D78"/>
    <w:rsid w:val="00A15FB6"/>
    <w:rsid w:val="00A16268"/>
    <w:rsid w:val="00A165B3"/>
    <w:rsid w:val="00A16CC7"/>
    <w:rsid w:val="00A16E0D"/>
    <w:rsid w:val="00A16F1C"/>
    <w:rsid w:val="00A17074"/>
    <w:rsid w:val="00A170D1"/>
    <w:rsid w:val="00A17771"/>
    <w:rsid w:val="00A179B7"/>
    <w:rsid w:val="00A17A64"/>
    <w:rsid w:val="00A17A85"/>
    <w:rsid w:val="00A17A8A"/>
    <w:rsid w:val="00A17E9E"/>
    <w:rsid w:val="00A20046"/>
    <w:rsid w:val="00A204A0"/>
    <w:rsid w:val="00A20C6E"/>
    <w:rsid w:val="00A20DF4"/>
    <w:rsid w:val="00A20E50"/>
    <w:rsid w:val="00A213BC"/>
    <w:rsid w:val="00A21674"/>
    <w:rsid w:val="00A21A90"/>
    <w:rsid w:val="00A21C1D"/>
    <w:rsid w:val="00A21F9E"/>
    <w:rsid w:val="00A2201F"/>
    <w:rsid w:val="00A224C7"/>
    <w:rsid w:val="00A22768"/>
    <w:rsid w:val="00A227DF"/>
    <w:rsid w:val="00A2293B"/>
    <w:rsid w:val="00A22AF8"/>
    <w:rsid w:val="00A22D1E"/>
    <w:rsid w:val="00A23180"/>
    <w:rsid w:val="00A232D0"/>
    <w:rsid w:val="00A2335D"/>
    <w:rsid w:val="00A234F9"/>
    <w:rsid w:val="00A2366C"/>
    <w:rsid w:val="00A23979"/>
    <w:rsid w:val="00A245B8"/>
    <w:rsid w:val="00A246C3"/>
    <w:rsid w:val="00A24D00"/>
    <w:rsid w:val="00A24DA0"/>
    <w:rsid w:val="00A25126"/>
    <w:rsid w:val="00A2527E"/>
    <w:rsid w:val="00A25508"/>
    <w:rsid w:val="00A25558"/>
    <w:rsid w:val="00A25569"/>
    <w:rsid w:val="00A255DB"/>
    <w:rsid w:val="00A2598F"/>
    <w:rsid w:val="00A25ED6"/>
    <w:rsid w:val="00A25FEC"/>
    <w:rsid w:val="00A264D6"/>
    <w:rsid w:val="00A264FB"/>
    <w:rsid w:val="00A265DB"/>
    <w:rsid w:val="00A26997"/>
    <w:rsid w:val="00A26A44"/>
    <w:rsid w:val="00A26BCE"/>
    <w:rsid w:val="00A26EC8"/>
    <w:rsid w:val="00A2716B"/>
    <w:rsid w:val="00A27328"/>
    <w:rsid w:val="00A276A0"/>
    <w:rsid w:val="00A2774E"/>
    <w:rsid w:val="00A277B5"/>
    <w:rsid w:val="00A277ED"/>
    <w:rsid w:val="00A279B2"/>
    <w:rsid w:val="00A27AF9"/>
    <w:rsid w:val="00A27F95"/>
    <w:rsid w:val="00A3015E"/>
    <w:rsid w:val="00A30254"/>
    <w:rsid w:val="00A30381"/>
    <w:rsid w:val="00A3042B"/>
    <w:rsid w:val="00A3044A"/>
    <w:rsid w:val="00A30610"/>
    <w:rsid w:val="00A30633"/>
    <w:rsid w:val="00A30A82"/>
    <w:rsid w:val="00A30AEC"/>
    <w:rsid w:val="00A30B0B"/>
    <w:rsid w:val="00A30CEB"/>
    <w:rsid w:val="00A30E4B"/>
    <w:rsid w:val="00A310AF"/>
    <w:rsid w:val="00A314E5"/>
    <w:rsid w:val="00A31560"/>
    <w:rsid w:val="00A316C7"/>
    <w:rsid w:val="00A3191D"/>
    <w:rsid w:val="00A31A0E"/>
    <w:rsid w:val="00A31A5C"/>
    <w:rsid w:val="00A31AB5"/>
    <w:rsid w:val="00A31C75"/>
    <w:rsid w:val="00A31D34"/>
    <w:rsid w:val="00A31DD2"/>
    <w:rsid w:val="00A31F98"/>
    <w:rsid w:val="00A3235A"/>
    <w:rsid w:val="00A323DA"/>
    <w:rsid w:val="00A3249D"/>
    <w:rsid w:val="00A327A4"/>
    <w:rsid w:val="00A32956"/>
    <w:rsid w:val="00A32A66"/>
    <w:rsid w:val="00A32B31"/>
    <w:rsid w:val="00A3323D"/>
    <w:rsid w:val="00A3347B"/>
    <w:rsid w:val="00A335FF"/>
    <w:rsid w:val="00A337E0"/>
    <w:rsid w:val="00A338C1"/>
    <w:rsid w:val="00A33B60"/>
    <w:rsid w:val="00A33C7F"/>
    <w:rsid w:val="00A33DED"/>
    <w:rsid w:val="00A33F17"/>
    <w:rsid w:val="00A33FB8"/>
    <w:rsid w:val="00A3432C"/>
    <w:rsid w:val="00A3438D"/>
    <w:rsid w:val="00A343EB"/>
    <w:rsid w:val="00A3457A"/>
    <w:rsid w:val="00A349D3"/>
    <w:rsid w:val="00A34A73"/>
    <w:rsid w:val="00A34B03"/>
    <w:rsid w:val="00A34B0A"/>
    <w:rsid w:val="00A34F0C"/>
    <w:rsid w:val="00A34F88"/>
    <w:rsid w:val="00A35175"/>
    <w:rsid w:val="00A3561A"/>
    <w:rsid w:val="00A356CB"/>
    <w:rsid w:val="00A357BA"/>
    <w:rsid w:val="00A35879"/>
    <w:rsid w:val="00A35AC4"/>
    <w:rsid w:val="00A36089"/>
    <w:rsid w:val="00A3638B"/>
    <w:rsid w:val="00A363B6"/>
    <w:rsid w:val="00A36564"/>
    <w:rsid w:val="00A3680E"/>
    <w:rsid w:val="00A36A2F"/>
    <w:rsid w:val="00A370F1"/>
    <w:rsid w:val="00A374D5"/>
    <w:rsid w:val="00A37503"/>
    <w:rsid w:val="00A375B1"/>
    <w:rsid w:val="00A377BC"/>
    <w:rsid w:val="00A379B0"/>
    <w:rsid w:val="00A4000C"/>
    <w:rsid w:val="00A4022A"/>
    <w:rsid w:val="00A40497"/>
    <w:rsid w:val="00A4055B"/>
    <w:rsid w:val="00A405CC"/>
    <w:rsid w:val="00A408BF"/>
    <w:rsid w:val="00A40DC3"/>
    <w:rsid w:val="00A40E34"/>
    <w:rsid w:val="00A40FF4"/>
    <w:rsid w:val="00A41055"/>
    <w:rsid w:val="00A410FB"/>
    <w:rsid w:val="00A4115C"/>
    <w:rsid w:val="00A41969"/>
    <w:rsid w:val="00A41AB0"/>
    <w:rsid w:val="00A42149"/>
    <w:rsid w:val="00A42353"/>
    <w:rsid w:val="00A428ED"/>
    <w:rsid w:val="00A436C9"/>
    <w:rsid w:val="00A43954"/>
    <w:rsid w:val="00A43BBA"/>
    <w:rsid w:val="00A43D00"/>
    <w:rsid w:val="00A43D76"/>
    <w:rsid w:val="00A443CD"/>
    <w:rsid w:val="00A44FAF"/>
    <w:rsid w:val="00A451B3"/>
    <w:rsid w:val="00A455E8"/>
    <w:rsid w:val="00A457CB"/>
    <w:rsid w:val="00A45B45"/>
    <w:rsid w:val="00A45D17"/>
    <w:rsid w:val="00A45F80"/>
    <w:rsid w:val="00A46CC9"/>
    <w:rsid w:val="00A46D0B"/>
    <w:rsid w:val="00A46E68"/>
    <w:rsid w:val="00A46EC2"/>
    <w:rsid w:val="00A47990"/>
    <w:rsid w:val="00A5054C"/>
    <w:rsid w:val="00A50837"/>
    <w:rsid w:val="00A50872"/>
    <w:rsid w:val="00A50D96"/>
    <w:rsid w:val="00A50E0D"/>
    <w:rsid w:val="00A510F8"/>
    <w:rsid w:val="00A51227"/>
    <w:rsid w:val="00A51679"/>
    <w:rsid w:val="00A516F0"/>
    <w:rsid w:val="00A51956"/>
    <w:rsid w:val="00A51D0B"/>
    <w:rsid w:val="00A51E2E"/>
    <w:rsid w:val="00A51FBE"/>
    <w:rsid w:val="00A52066"/>
    <w:rsid w:val="00A52223"/>
    <w:rsid w:val="00A523F2"/>
    <w:rsid w:val="00A526C6"/>
    <w:rsid w:val="00A526D9"/>
    <w:rsid w:val="00A5295F"/>
    <w:rsid w:val="00A52B04"/>
    <w:rsid w:val="00A52DC8"/>
    <w:rsid w:val="00A52F93"/>
    <w:rsid w:val="00A5307C"/>
    <w:rsid w:val="00A5357D"/>
    <w:rsid w:val="00A53607"/>
    <w:rsid w:val="00A53611"/>
    <w:rsid w:val="00A53A1F"/>
    <w:rsid w:val="00A53B36"/>
    <w:rsid w:val="00A53D4D"/>
    <w:rsid w:val="00A540AF"/>
    <w:rsid w:val="00A5413C"/>
    <w:rsid w:val="00A54161"/>
    <w:rsid w:val="00A54B76"/>
    <w:rsid w:val="00A54B77"/>
    <w:rsid w:val="00A54C3D"/>
    <w:rsid w:val="00A54EA2"/>
    <w:rsid w:val="00A551B0"/>
    <w:rsid w:val="00A552EB"/>
    <w:rsid w:val="00A55393"/>
    <w:rsid w:val="00A5597F"/>
    <w:rsid w:val="00A55AAF"/>
    <w:rsid w:val="00A55D5F"/>
    <w:rsid w:val="00A55E73"/>
    <w:rsid w:val="00A565EF"/>
    <w:rsid w:val="00A5688D"/>
    <w:rsid w:val="00A56963"/>
    <w:rsid w:val="00A56A46"/>
    <w:rsid w:val="00A56D3D"/>
    <w:rsid w:val="00A56F0D"/>
    <w:rsid w:val="00A570A0"/>
    <w:rsid w:val="00A57284"/>
    <w:rsid w:val="00A575B0"/>
    <w:rsid w:val="00A575F6"/>
    <w:rsid w:val="00A57717"/>
    <w:rsid w:val="00A57919"/>
    <w:rsid w:val="00A57C0F"/>
    <w:rsid w:val="00A57D94"/>
    <w:rsid w:val="00A57ED6"/>
    <w:rsid w:val="00A605C7"/>
    <w:rsid w:val="00A606FB"/>
    <w:rsid w:val="00A6073C"/>
    <w:rsid w:val="00A60E2D"/>
    <w:rsid w:val="00A60EB1"/>
    <w:rsid w:val="00A612FC"/>
    <w:rsid w:val="00A61350"/>
    <w:rsid w:val="00A61714"/>
    <w:rsid w:val="00A6171B"/>
    <w:rsid w:val="00A61D9B"/>
    <w:rsid w:val="00A62714"/>
    <w:rsid w:val="00A628A9"/>
    <w:rsid w:val="00A62F41"/>
    <w:rsid w:val="00A6324F"/>
    <w:rsid w:val="00A6326C"/>
    <w:rsid w:val="00A635C0"/>
    <w:rsid w:val="00A642BD"/>
    <w:rsid w:val="00A64422"/>
    <w:rsid w:val="00A649AC"/>
    <w:rsid w:val="00A64AD4"/>
    <w:rsid w:val="00A64F80"/>
    <w:rsid w:val="00A65028"/>
    <w:rsid w:val="00A65059"/>
    <w:rsid w:val="00A65503"/>
    <w:rsid w:val="00A6582F"/>
    <w:rsid w:val="00A65865"/>
    <w:rsid w:val="00A65A3A"/>
    <w:rsid w:val="00A65C2A"/>
    <w:rsid w:val="00A65EFC"/>
    <w:rsid w:val="00A660F5"/>
    <w:rsid w:val="00A661F2"/>
    <w:rsid w:val="00A663BA"/>
    <w:rsid w:val="00A66615"/>
    <w:rsid w:val="00A6699D"/>
    <w:rsid w:val="00A66D97"/>
    <w:rsid w:val="00A67267"/>
    <w:rsid w:val="00A67526"/>
    <w:rsid w:val="00A6757C"/>
    <w:rsid w:val="00A676B5"/>
    <w:rsid w:val="00A676EB"/>
    <w:rsid w:val="00A67883"/>
    <w:rsid w:val="00A67BBC"/>
    <w:rsid w:val="00A67EB4"/>
    <w:rsid w:val="00A702D6"/>
    <w:rsid w:val="00A703F7"/>
    <w:rsid w:val="00A7051C"/>
    <w:rsid w:val="00A707A6"/>
    <w:rsid w:val="00A70BC9"/>
    <w:rsid w:val="00A70D2F"/>
    <w:rsid w:val="00A7126F"/>
    <w:rsid w:val="00A71F9D"/>
    <w:rsid w:val="00A72034"/>
    <w:rsid w:val="00A72376"/>
    <w:rsid w:val="00A7269A"/>
    <w:rsid w:val="00A72A6F"/>
    <w:rsid w:val="00A72BF4"/>
    <w:rsid w:val="00A72F94"/>
    <w:rsid w:val="00A730DE"/>
    <w:rsid w:val="00A7315A"/>
    <w:rsid w:val="00A731E5"/>
    <w:rsid w:val="00A73270"/>
    <w:rsid w:val="00A73425"/>
    <w:rsid w:val="00A734EC"/>
    <w:rsid w:val="00A73789"/>
    <w:rsid w:val="00A7387B"/>
    <w:rsid w:val="00A73BE3"/>
    <w:rsid w:val="00A73F30"/>
    <w:rsid w:val="00A7426B"/>
    <w:rsid w:val="00A74637"/>
    <w:rsid w:val="00A74646"/>
    <w:rsid w:val="00A74711"/>
    <w:rsid w:val="00A74729"/>
    <w:rsid w:val="00A747F0"/>
    <w:rsid w:val="00A74B34"/>
    <w:rsid w:val="00A74B7D"/>
    <w:rsid w:val="00A74C70"/>
    <w:rsid w:val="00A74FC0"/>
    <w:rsid w:val="00A75959"/>
    <w:rsid w:val="00A759E1"/>
    <w:rsid w:val="00A75AD8"/>
    <w:rsid w:val="00A75BCB"/>
    <w:rsid w:val="00A75EF1"/>
    <w:rsid w:val="00A7600A"/>
    <w:rsid w:val="00A765A5"/>
    <w:rsid w:val="00A76CAE"/>
    <w:rsid w:val="00A7744F"/>
    <w:rsid w:val="00A7758D"/>
    <w:rsid w:val="00A80095"/>
    <w:rsid w:val="00A80175"/>
    <w:rsid w:val="00A801DD"/>
    <w:rsid w:val="00A808E6"/>
    <w:rsid w:val="00A809CB"/>
    <w:rsid w:val="00A80A40"/>
    <w:rsid w:val="00A80E11"/>
    <w:rsid w:val="00A80E31"/>
    <w:rsid w:val="00A812B2"/>
    <w:rsid w:val="00A8185F"/>
    <w:rsid w:val="00A819B2"/>
    <w:rsid w:val="00A81A18"/>
    <w:rsid w:val="00A81BD5"/>
    <w:rsid w:val="00A81BFC"/>
    <w:rsid w:val="00A8219D"/>
    <w:rsid w:val="00A821DF"/>
    <w:rsid w:val="00A822E3"/>
    <w:rsid w:val="00A8243B"/>
    <w:rsid w:val="00A824CC"/>
    <w:rsid w:val="00A82885"/>
    <w:rsid w:val="00A82A4A"/>
    <w:rsid w:val="00A82E9F"/>
    <w:rsid w:val="00A83159"/>
    <w:rsid w:val="00A83294"/>
    <w:rsid w:val="00A83354"/>
    <w:rsid w:val="00A83371"/>
    <w:rsid w:val="00A83663"/>
    <w:rsid w:val="00A83BF5"/>
    <w:rsid w:val="00A83F39"/>
    <w:rsid w:val="00A840A8"/>
    <w:rsid w:val="00A8458F"/>
    <w:rsid w:val="00A84790"/>
    <w:rsid w:val="00A848C5"/>
    <w:rsid w:val="00A8493B"/>
    <w:rsid w:val="00A8498F"/>
    <w:rsid w:val="00A84A15"/>
    <w:rsid w:val="00A84CD4"/>
    <w:rsid w:val="00A856B6"/>
    <w:rsid w:val="00A857CF"/>
    <w:rsid w:val="00A85E2B"/>
    <w:rsid w:val="00A86031"/>
    <w:rsid w:val="00A8614B"/>
    <w:rsid w:val="00A861C0"/>
    <w:rsid w:val="00A867FA"/>
    <w:rsid w:val="00A86854"/>
    <w:rsid w:val="00A869A9"/>
    <w:rsid w:val="00A86DF7"/>
    <w:rsid w:val="00A86F35"/>
    <w:rsid w:val="00A8709E"/>
    <w:rsid w:val="00A873AB"/>
    <w:rsid w:val="00A90128"/>
    <w:rsid w:val="00A90F99"/>
    <w:rsid w:val="00A90FF6"/>
    <w:rsid w:val="00A910E7"/>
    <w:rsid w:val="00A91201"/>
    <w:rsid w:val="00A915A5"/>
    <w:rsid w:val="00A919B9"/>
    <w:rsid w:val="00A91B25"/>
    <w:rsid w:val="00A91BF4"/>
    <w:rsid w:val="00A91DD3"/>
    <w:rsid w:val="00A91EED"/>
    <w:rsid w:val="00A9214F"/>
    <w:rsid w:val="00A9216F"/>
    <w:rsid w:val="00A9250D"/>
    <w:rsid w:val="00A92834"/>
    <w:rsid w:val="00A92CFB"/>
    <w:rsid w:val="00A931F6"/>
    <w:rsid w:val="00A9344B"/>
    <w:rsid w:val="00A9358D"/>
    <w:rsid w:val="00A936D1"/>
    <w:rsid w:val="00A93998"/>
    <w:rsid w:val="00A93A25"/>
    <w:rsid w:val="00A93A97"/>
    <w:rsid w:val="00A93BC1"/>
    <w:rsid w:val="00A93BC4"/>
    <w:rsid w:val="00A93EB3"/>
    <w:rsid w:val="00A9443F"/>
    <w:rsid w:val="00A944FA"/>
    <w:rsid w:val="00A94691"/>
    <w:rsid w:val="00A94733"/>
    <w:rsid w:val="00A94A31"/>
    <w:rsid w:val="00A94DAF"/>
    <w:rsid w:val="00A94F4B"/>
    <w:rsid w:val="00A950D4"/>
    <w:rsid w:val="00A953D3"/>
    <w:rsid w:val="00A95692"/>
    <w:rsid w:val="00A95A92"/>
    <w:rsid w:val="00A960A3"/>
    <w:rsid w:val="00A965C2"/>
    <w:rsid w:val="00A96B47"/>
    <w:rsid w:val="00A9729E"/>
    <w:rsid w:val="00A97627"/>
    <w:rsid w:val="00A97644"/>
    <w:rsid w:val="00A9783C"/>
    <w:rsid w:val="00A97A01"/>
    <w:rsid w:val="00A97C96"/>
    <w:rsid w:val="00A97DA4"/>
    <w:rsid w:val="00A97DEC"/>
    <w:rsid w:val="00A97E9D"/>
    <w:rsid w:val="00A97F5C"/>
    <w:rsid w:val="00AA0019"/>
    <w:rsid w:val="00AA087D"/>
    <w:rsid w:val="00AA0C1F"/>
    <w:rsid w:val="00AA1021"/>
    <w:rsid w:val="00AA174C"/>
    <w:rsid w:val="00AA1760"/>
    <w:rsid w:val="00AA186D"/>
    <w:rsid w:val="00AA18BE"/>
    <w:rsid w:val="00AA1A40"/>
    <w:rsid w:val="00AA1BD9"/>
    <w:rsid w:val="00AA2107"/>
    <w:rsid w:val="00AA243D"/>
    <w:rsid w:val="00AA2692"/>
    <w:rsid w:val="00AA284E"/>
    <w:rsid w:val="00AA2C98"/>
    <w:rsid w:val="00AA2EEB"/>
    <w:rsid w:val="00AA2F2B"/>
    <w:rsid w:val="00AA3397"/>
    <w:rsid w:val="00AA35D2"/>
    <w:rsid w:val="00AA3A7E"/>
    <w:rsid w:val="00AA3CAD"/>
    <w:rsid w:val="00AA3E49"/>
    <w:rsid w:val="00AA4365"/>
    <w:rsid w:val="00AA43A8"/>
    <w:rsid w:val="00AA4C98"/>
    <w:rsid w:val="00AA4CE3"/>
    <w:rsid w:val="00AA5007"/>
    <w:rsid w:val="00AA5221"/>
    <w:rsid w:val="00AA5380"/>
    <w:rsid w:val="00AA5B14"/>
    <w:rsid w:val="00AA5C27"/>
    <w:rsid w:val="00AA5C35"/>
    <w:rsid w:val="00AA60B9"/>
    <w:rsid w:val="00AA630B"/>
    <w:rsid w:val="00AA6BC3"/>
    <w:rsid w:val="00AA6CD2"/>
    <w:rsid w:val="00AA6CE0"/>
    <w:rsid w:val="00AA6E68"/>
    <w:rsid w:val="00AA7180"/>
    <w:rsid w:val="00AA71AC"/>
    <w:rsid w:val="00AA7475"/>
    <w:rsid w:val="00AA757A"/>
    <w:rsid w:val="00AA7960"/>
    <w:rsid w:val="00AA7B65"/>
    <w:rsid w:val="00AA7D83"/>
    <w:rsid w:val="00AA7F43"/>
    <w:rsid w:val="00AB0035"/>
    <w:rsid w:val="00AB01FD"/>
    <w:rsid w:val="00AB04E2"/>
    <w:rsid w:val="00AB0687"/>
    <w:rsid w:val="00AB079E"/>
    <w:rsid w:val="00AB0CBA"/>
    <w:rsid w:val="00AB0EC0"/>
    <w:rsid w:val="00AB1092"/>
    <w:rsid w:val="00AB136B"/>
    <w:rsid w:val="00AB1616"/>
    <w:rsid w:val="00AB1621"/>
    <w:rsid w:val="00AB1770"/>
    <w:rsid w:val="00AB1E44"/>
    <w:rsid w:val="00AB1FB1"/>
    <w:rsid w:val="00AB22B2"/>
    <w:rsid w:val="00AB2A2A"/>
    <w:rsid w:val="00AB2C2B"/>
    <w:rsid w:val="00AB2E2F"/>
    <w:rsid w:val="00AB311A"/>
    <w:rsid w:val="00AB3169"/>
    <w:rsid w:val="00AB3457"/>
    <w:rsid w:val="00AB35B8"/>
    <w:rsid w:val="00AB37DF"/>
    <w:rsid w:val="00AB3868"/>
    <w:rsid w:val="00AB38D0"/>
    <w:rsid w:val="00AB3E51"/>
    <w:rsid w:val="00AB3F49"/>
    <w:rsid w:val="00AB4450"/>
    <w:rsid w:val="00AB489A"/>
    <w:rsid w:val="00AB4CE7"/>
    <w:rsid w:val="00AB52D0"/>
    <w:rsid w:val="00AB543F"/>
    <w:rsid w:val="00AB5561"/>
    <w:rsid w:val="00AB643D"/>
    <w:rsid w:val="00AB6553"/>
    <w:rsid w:val="00AB6BC8"/>
    <w:rsid w:val="00AB6F50"/>
    <w:rsid w:val="00AB7408"/>
    <w:rsid w:val="00AB757B"/>
    <w:rsid w:val="00AB7AB1"/>
    <w:rsid w:val="00AB7DE1"/>
    <w:rsid w:val="00AB7DFE"/>
    <w:rsid w:val="00AC0071"/>
    <w:rsid w:val="00AC0108"/>
    <w:rsid w:val="00AC01C7"/>
    <w:rsid w:val="00AC136C"/>
    <w:rsid w:val="00AC1776"/>
    <w:rsid w:val="00AC1E2B"/>
    <w:rsid w:val="00AC2B91"/>
    <w:rsid w:val="00AC2E3F"/>
    <w:rsid w:val="00AC304C"/>
    <w:rsid w:val="00AC3456"/>
    <w:rsid w:val="00AC348B"/>
    <w:rsid w:val="00AC355E"/>
    <w:rsid w:val="00AC3BCF"/>
    <w:rsid w:val="00AC4012"/>
    <w:rsid w:val="00AC4013"/>
    <w:rsid w:val="00AC432C"/>
    <w:rsid w:val="00AC4608"/>
    <w:rsid w:val="00AC4824"/>
    <w:rsid w:val="00AC4BBF"/>
    <w:rsid w:val="00AC4C41"/>
    <w:rsid w:val="00AC4E30"/>
    <w:rsid w:val="00AC50AB"/>
    <w:rsid w:val="00AC5140"/>
    <w:rsid w:val="00AC51CC"/>
    <w:rsid w:val="00AC57D4"/>
    <w:rsid w:val="00AC5E9C"/>
    <w:rsid w:val="00AC5EA2"/>
    <w:rsid w:val="00AC5EB9"/>
    <w:rsid w:val="00AC6076"/>
    <w:rsid w:val="00AC6379"/>
    <w:rsid w:val="00AC66BC"/>
    <w:rsid w:val="00AC6798"/>
    <w:rsid w:val="00AC69D1"/>
    <w:rsid w:val="00AC6E8B"/>
    <w:rsid w:val="00AC7269"/>
    <w:rsid w:val="00AC765A"/>
    <w:rsid w:val="00AC78BE"/>
    <w:rsid w:val="00AD0073"/>
    <w:rsid w:val="00AD0497"/>
    <w:rsid w:val="00AD0AAF"/>
    <w:rsid w:val="00AD0B15"/>
    <w:rsid w:val="00AD0DAF"/>
    <w:rsid w:val="00AD0FEB"/>
    <w:rsid w:val="00AD1548"/>
    <w:rsid w:val="00AD163E"/>
    <w:rsid w:val="00AD18F0"/>
    <w:rsid w:val="00AD199B"/>
    <w:rsid w:val="00AD236E"/>
    <w:rsid w:val="00AD24FC"/>
    <w:rsid w:val="00AD26C3"/>
    <w:rsid w:val="00AD2A14"/>
    <w:rsid w:val="00AD2B02"/>
    <w:rsid w:val="00AD2C21"/>
    <w:rsid w:val="00AD2C2C"/>
    <w:rsid w:val="00AD3076"/>
    <w:rsid w:val="00AD329A"/>
    <w:rsid w:val="00AD3A03"/>
    <w:rsid w:val="00AD3A2C"/>
    <w:rsid w:val="00AD3AF8"/>
    <w:rsid w:val="00AD3D96"/>
    <w:rsid w:val="00AD4155"/>
    <w:rsid w:val="00AD4740"/>
    <w:rsid w:val="00AD4922"/>
    <w:rsid w:val="00AD4B9D"/>
    <w:rsid w:val="00AD4C26"/>
    <w:rsid w:val="00AD4E9C"/>
    <w:rsid w:val="00AD4FDC"/>
    <w:rsid w:val="00AD563E"/>
    <w:rsid w:val="00AD56DC"/>
    <w:rsid w:val="00AD58B8"/>
    <w:rsid w:val="00AD5F3E"/>
    <w:rsid w:val="00AD6056"/>
    <w:rsid w:val="00AD6CA7"/>
    <w:rsid w:val="00AD71EB"/>
    <w:rsid w:val="00AD78B7"/>
    <w:rsid w:val="00AD78C6"/>
    <w:rsid w:val="00AD7D6D"/>
    <w:rsid w:val="00AD7DB8"/>
    <w:rsid w:val="00AD7DDF"/>
    <w:rsid w:val="00AD7E69"/>
    <w:rsid w:val="00AD7E87"/>
    <w:rsid w:val="00AD7F94"/>
    <w:rsid w:val="00AE00DD"/>
    <w:rsid w:val="00AE03A9"/>
    <w:rsid w:val="00AE0854"/>
    <w:rsid w:val="00AE08C8"/>
    <w:rsid w:val="00AE0D71"/>
    <w:rsid w:val="00AE0E2E"/>
    <w:rsid w:val="00AE18F1"/>
    <w:rsid w:val="00AE1A23"/>
    <w:rsid w:val="00AE2050"/>
    <w:rsid w:val="00AE234C"/>
    <w:rsid w:val="00AE261E"/>
    <w:rsid w:val="00AE278C"/>
    <w:rsid w:val="00AE2B5D"/>
    <w:rsid w:val="00AE2B6C"/>
    <w:rsid w:val="00AE2ECA"/>
    <w:rsid w:val="00AE2F24"/>
    <w:rsid w:val="00AE33D3"/>
    <w:rsid w:val="00AE34B3"/>
    <w:rsid w:val="00AE35B0"/>
    <w:rsid w:val="00AE3629"/>
    <w:rsid w:val="00AE413B"/>
    <w:rsid w:val="00AE4214"/>
    <w:rsid w:val="00AE46CC"/>
    <w:rsid w:val="00AE48D9"/>
    <w:rsid w:val="00AE4972"/>
    <w:rsid w:val="00AE4A22"/>
    <w:rsid w:val="00AE4C70"/>
    <w:rsid w:val="00AE5033"/>
    <w:rsid w:val="00AE522F"/>
    <w:rsid w:val="00AE52AE"/>
    <w:rsid w:val="00AE55C5"/>
    <w:rsid w:val="00AE577F"/>
    <w:rsid w:val="00AE5FCA"/>
    <w:rsid w:val="00AE600E"/>
    <w:rsid w:val="00AE620A"/>
    <w:rsid w:val="00AE6333"/>
    <w:rsid w:val="00AE67E1"/>
    <w:rsid w:val="00AE699D"/>
    <w:rsid w:val="00AE69D8"/>
    <w:rsid w:val="00AE703F"/>
    <w:rsid w:val="00AE735E"/>
    <w:rsid w:val="00AE764F"/>
    <w:rsid w:val="00AE7780"/>
    <w:rsid w:val="00AE7848"/>
    <w:rsid w:val="00AE7DAD"/>
    <w:rsid w:val="00AE7F60"/>
    <w:rsid w:val="00AF06ED"/>
    <w:rsid w:val="00AF092A"/>
    <w:rsid w:val="00AF1295"/>
    <w:rsid w:val="00AF1598"/>
    <w:rsid w:val="00AF1783"/>
    <w:rsid w:val="00AF1821"/>
    <w:rsid w:val="00AF278F"/>
    <w:rsid w:val="00AF2B00"/>
    <w:rsid w:val="00AF2CC5"/>
    <w:rsid w:val="00AF2D7F"/>
    <w:rsid w:val="00AF3ADB"/>
    <w:rsid w:val="00AF3D0A"/>
    <w:rsid w:val="00AF3DDA"/>
    <w:rsid w:val="00AF3E05"/>
    <w:rsid w:val="00AF4A9C"/>
    <w:rsid w:val="00AF50AD"/>
    <w:rsid w:val="00AF52B3"/>
    <w:rsid w:val="00AF549F"/>
    <w:rsid w:val="00AF555F"/>
    <w:rsid w:val="00AF56B4"/>
    <w:rsid w:val="00AF594D"/>
    <w:rsid w:val="00AF5969"/>
    <w:rsid w:val="00AF5BBB"/>
    <w:rsid w:val="00AF5CD1"/>
    <w:rsid w:val="00AF663A"/>
    <w:rsid w:val="00AF69E9"/>
    <w:rsid w:val="00AF6C3C"/>
    <w:rsid w:val="00AF73C2"/>
    <w:rsid w:val="00AF7425"/>
    <w:rsid w:val="00AF77D9"/>
    <w:rsid w:val="00B000B0"/>
    <w:rsid w:val="00B001C7"/>
    <w:rsid w:val="00B003DE"/>
    <w:rsid w:val="00B00601"/>
    <w:rsid w:val="00B006AE"/>
    <w:rsid w:val="00B008C7"/>
    <w:rsid w:val="00B00BB7"/>
    <w:rsid w:val="00B00C65"/>
    <w:rsid w:val="00B00D41"/>
    <w:rsid w:val="00B00EBF"/>
    <w:rsid w:val="00B00F8F"/>
    <w:rsid w:val="00B00FE2"/>
    <w:rsid w:val="00B0100A"/>
    <w:rsid w:val="00B01494"/>
    <w:rsid w:val="00B019F3"/>
    <w:rsid w:val="00B01BC8"/>
    <w:rsid w:val="00B01F7B"/>
    <w:rsid w:val="00B02553"/>
    <w:rsid w:val="00B026AA"/>
    <w:rsid w:val="00B02839"/>
    <w:rsid w:val="00B02916"/>
    <w:rsid w:val="00B0294C"/>
    <w:rsid w:val="00B02BD5"/>
    <w:rsid w:val="00B03040"/>
    <w:rsid w:val="00B031FB"/>
    <w:rsid w:val="00B036F0"/>
    <w:rsid w:val="00B037E8"/>
    <w:rsid w:val="00B039A2"/>
    <w:rsid w:val="00B039DC"/>
    <w:rsid w:val="00B03A22"/>
    <w:rsid w:val="00B03F31"/>
    <w:rsid w:val="00B04107"/>
    <w:rsid w:val="00B0439C"/>
    <w:rsid w:val="00B043CD"/>
    <w:rsid w:val="00B044E2"/>
    <w:rsid w:val="00B05028"/>
    <w:rsid w:val="00B05D19"/>
    <w:rsid w:val="00B06499"/>
    <w:rsid w:val="00B065BB"/>
    <w:rsid w:val="00B06889"/>
    <w:rsid w:val="00B068F5"/>
    <w:rsid w:val="00B06BC0"/>
    <w:rsid w:val="00B06D34"/>
    <w:rsid w:val="00B06E1E"/>
    <w:rsid w:val="00B06E4F"/>
    <w:rsid w:val="00B06FFD"/>
    <w:rsid w:val="00B07243"/>
    <w:rsid w:val="00B0746E"/>
    <w:rsid w:val="00B075DD"/>
    <w:rsid w:val="00B07604"/>
    <w:rsid w:val="00B07697"/>
    <w:rsid w:val="00B0778C"/>
    <w:rsid w:val="00B0781C"/>
    <w:rsid w:val="00B0789B"/>
    <w:rsid w:val="00B07A93"/>
    <w:rsid w:val="00B07F29"/>
    <w:rsid w:val="00B10246"/>
    <w:rsid w:val="00B10485"/>
    <w:rsid w:val="00B105D0"/>
    <w:rsid w:val="00B106B8"/>
    <w:rsid w:val="00B10BFC"/>
    <w:rsid w:val="00B10EB5"/>
    <w:rsid w:val="00B1139A"/>
    <w:rsid w:val="00B11919"/>
    <w:rsid w:val="00B119DE"/>
    <w:rsid w:val="00B11EC7"/>
    <w:rsid w:val="00B120BB"/>
    <w:rsid w:val="00B1214F"/>
    <w:rsid w:val="00B1255A"/>
    <w:rsid w:val="00B12596"/>
    <w:rsid w:val="00B12658"/>
    <w:rsid w:val="00B12676"/>
    <w:rsid w:val="00B12A72"/>
    <w:rsid w:val="00B12BA4"/>
    <w:rsid w:val="00B12DDE"/>
    <w:rsid w:val="00B12EB7"/>
    <w:rsid w:val="00B13068"/>
    <w:rsid w:val="00B130BF"/>
    <w:rsid w:val="00B130F6"/>
    <w:rsid w:val="00B131D0"/>
    <w:rsid w:val="00B132B0"/>
    <w:rsid w:val="00B13311"/>
    <w:rsid w:val="00B1352F"/>
    <w:rsid w:val="00B13557"/>
    <w:rsid w:val="00B1356E"/>
    <w:rsid w:val="00B1364E"/>
    <w:rsid w:val="00B13EAB"/>
    <w:rsid w:val="00B146C2"/>
    <w:rsid w:val="00B149D3"/>
    <w:rsid w:val="00B14F1C"/>
    <w:rsid w:val="00B1511E"/>
    <w:rsid w:val="00B15200"/>
    <w:rsid w:val="00B1568A"/>
    <w:rsid w:val="00B1570A"/>
    <w:rsid w:val="00B1593F"/>
    <w:rsid w:val="00B15A2F"/>
    <w:rsid w:val="00B15ABE"/>
    <w:rsid w:val="00B15BF4"/>
    <w:rsid w:val="00B15DDB"/>
    <w:rsid w:val="00B15E3D"/>
    <w:rsid w:val="00B164B3"/>
    <w:rsid w:val="00B166AD"/>
    <w:rsid w:val="00B16A24"/>
    <w:rsid w:val="00B16BEF"/>
    <w:rsid w:val="00B16D29"/>
    <w:rsid w:val="00B17257"/>
    <w:rsid w:val="00B17331"/>
    <w:rsid w:val="00B17349"/>
    <w:rsid w:val="00B176A5"/>
    <w:rsid w:val="00B17C07"/>
    <w:rsid w:val="00B2079C"/>
    <w:rsid w:val="00B20BC7"/>
    <w:rsid w:val="00B20CA1"/>
    <w:rsid w:val="00B20CF2"/>
    <w:rsid w:val="00B20DAA"/>
    <w:rsid w:val="00B20DE2"/>
    <w:rsid w:val="00B2176C"/>
    <w:rsid w:val="00B21941"/>
    <w:rsid w:val="00B21D35"/>
    <w:rsid w:val="00B22179"/>
    <w:rsid w:val="00B22491"/>
    <w:rsid w:val="00B22826"/>
    <w:rsid w:val="00B22841"/>
    <w:rsid w:val="00B22C5E"/>
    <w:rsid w:val="00B22EBD"/>
    <w:rsid w:val="00B23157"/>
    <w:rsid w:val="00B2317E"/>
    <w:rsid w:val="00B23243"/>
    <w:rsid w:val="00B232C0"/>
    <w:rsid w:val="00B2341F"/>
    <w:rsid w:val="00B238FF"/>
    <w:rsid w:val="00B24322"/>
    <w:rsid w:val="00B24585"/>
    <w:rsid w:val="00B24BAF"/>
    <w:rsid w:val="00B24F75"/>
    <w:rsid w:val="00B25185"/>
    <w:rsid w:val="00B255DA"/>
    <w:rsid w:val="00B2591D"/>
    <w:rsid w:val="00B25EE5"/>
    <w:rsid w:val="00B2605C"/>
    <w:rsid w:val="00B26399"/>
    <w:rsid w:val="00B26439"/>
    <w:rsid w:val="00B26565"/>
    <w:rsid w:val="00B2683D"/>
    <w:rsid w:val="00B26985"/>
    <w:rsid w:val="00B26A7C"/>
    <w:rsid w:val="00B27316"/>
    <w:rsid w:val="00B27A08"/>
    <w:rsid w:val="00B27A3C"/>
    <w:rsid w:val="00B27C84"/>
    <w:rsid w:val="00B30231"/>
    <w:rsid w:val="00B30C5C"/>
    <w:rsid w:val="00B30D85"/>
    <w:rsid w:val="00B30E92"/>
    <w:rsid w:val="00B30E94"/>
    <w:rsid w:val="00B310CC"/>
    <w:rsid w:val="00B31335"/>
    <w:rsid w:val="00B31578"/>
    <w:rsid w:val="00B31B3E"/>
    <w:rsid w:val="00B31B79"/>
    <w:rsid w:val="00B31CE9"/>
    <w:rsid w:val="00B31F48"/>
    <w:rsid w:val="00B32244"/>
    <w:rsid w:val="00B32265"/>
    <w:rsid w:val="00B3283B"/>
    <w:rsid w:val="00B3288F"/>
    <w:rsid w:val="00B32938"/>
    <w:rsid w:val="00B329B2"/>
    <w:rsid w:val="00B331BC"/>
    <w:rsid w:val="00B332AF"/>
    <w:rsid w:val="00B333C8"/>
    <w:rsid w:val="00B33AFD"/>
    <w:rsid w:val="00B33DF8"/>
    <w:rsid w:val="00B34239"/>
    <w:rsid w:val="00B344F7"/>
    <w:rsid w:val="00B34695"/>
    <w:rsid w:val="00B346AA"/>
    <w:rsid w:val="00B34C6B"/>
    <w:rsid w:val="00B34CD2"/>
    <w:rsid w:val="00B35343"/>
    <w:rsid w:val="00B35547"/>
    <w:rsid w:val="00B35616"/>
    <w:rsid w:val="00B35687"/>
    <w:rsid w:val="00B35940"/>
    <w:rsid w:val="00B35AB2"/>
    <w:rsid w:val="00B35DA7"/>
    <w:rsid w:val="00B361DC"/>
    <w:rsid w:val="00B3652E"/>
    <w:rsid w:val="00B365A1"/>
    <w:rsid w:val="00B3661C"/>
    <w:rsid w:val="00B36AD7"/>
    <w:rsid w:val="00B36AEB"/>
    <w:rsid w:val="00B36B26"/>
    <w:rsid w:val="00B36C78"/>
    <w:rsid w:val="00B36D03"/>
    <w:rsid w:val="00B370B8"/>
    <w:rsid w:val="00B375B3"/>
    <w:rsid w:val="00B375F1"/>
    <w:rsid w:val="00B3766E"/>
    <w:rsid w:val="00B37706"/>
    <w:rsid w:val="00B37892"/>
    <w:rsid w:val="00B37F73"/>
    <w:rsid w:val="00B401CB"/>
    <w:rsid w:val="00B40404"/>
    <w:rsid w:val="00B40411"/>
    <w:rsid w:val="00B40757"/>
    <w:rsid w:val="00B40D0F"/>
    <w:rsid w:val="00B4171A"/>
    <w:rsid w:val="00B41807"/>
    <w:rsid w:val="00B4191B"/>
    <w:rsid w:val="00B42273"/>
    <w:rsid w:val="00B423D9"/>
    <w:rsid w:val="00B4255A"/>
    <w:rsid w:val="00B42CA2"/>
    <w:rsid w:val="00B42CCD"/>
    <w:rsid w:val="00B42EA2"/>
    <w:rsid w:val="00B42F18"/>
    <w:rsid w:val="00B4323D"/>
    <w:rsid w:val="00B43DC2"/>
    <w:rsid w:val="00B440C8"/>
    <w:rsid w:val="00B44103"/>
    <w:rsid w:val="00B44519"/>
    <w:rsid w:val="00B44647"/>
    <w:rsid w:val="00B44980"/>
    <w:rsid w:val="00B44B7F"/>
    <w:rsid w:val="00B44D27"/>
    <w:rsid w:val="00B453E0"/>
    <w:rsid w:val="00B45612"/>
    <w:rsid w:val="00B45B9B"/>
    <w:rsid w:val="00B45F3C"/>
    <w:rsid w:val="00B4645F"/>
    <w:rsid w:val="00B465ED"/>
    <w:rsid w:val="00B46650"/>
    <w:rsid w:val="00B46925"/>
    <w:rsid w:val="00B4693E"/>
    <w:rsid w:val="00B46D8E"/>
    <w:rsid w:val="00B46EDB"/>
    <w:rsid w:val="00B46F5F"/>
    <w:rsid w:val="00B471D5"/>
    <w:rsid w:val="00B473E3"/>
    <w:rsid w:val="00B47487"/>
    <w:rsid w:val="00B4757F"/>
    <w:rsid w:val="00B47C5C"/>
    <w:rsid w:val="00B5031C"/>
    <w:rsid w:val="00B509BF"/>
    <w:rsid w:val="00B50A88"/>
    <w:rsid w:val="00B5139C"/>
    <w:rsid w:val="00B51683"/>
    <w:rsid w:val="00B516A9"/>
    <w:rsid w:val="00B51D61"/>
    <w:rsid w:val="00B524FC"/>
    <w:rsid w:val="00B52519"/>
    <w:rsid w:val="00B52CCE"/>
    <w:rsid w:val="00B52DAA"/>
    <w:rsid w:val="00B52EA7"/>
    <w:rsid w:val="00B533D3"/>
    <w:rsid w:val="00B533D6"/>
    <w:rsid w:val="00B5357E"/>
    <w:rsid w:val="00B53A67"/>
    <w:rsid w:val="00B53FEF"/>
    <w:rsid w:val="00B5404A"/>
    <w:rsid w:val="00B54590"/>
    <w:rsid w:val="00B54D0C"/>
    <w:rsid w:val="00B54DB3"/>
    <w:rsid w:val="00B54EC0"/>
    <w:rsid w:val="00B54F89"/>
    <w:rsid w:val="00B55320"/>
    <w:rsid w:val="00B5585B"/>
    <w:rsid w:val="00B5589D"/>
    <w:rsid w:val="00B55AE6"/>
    <w:rsid w:val="00B55C4F"/>
    <w:rsid w:val="00B55E83"/>
    <w:rsid w:val="00B56213"/>
    <w:rsid w:val="00B566CD"/>
    <w:rsid w:val="00B56A3C"/>
    <w:rsid w:val="00B56E61"/>
    <w:rsid w:val="00B56EFC"/>
    <w:rsid w:val="00B56F56"/>
    <w:rsid w:val="00B57076"/>
    <w:rsid w:val="00B57093"/>
    <w:rsid w:val="00B570C4"/>
    <w:rsid w:val="00B572F4"/>
    <w:rsid w:val="00B573BB"/>
    <w:rsid w:val="00B5796C"/>
    <w:rsid w:val="00B604FF"/>
    <w:rsid w:val="00B606B0"/>
    <w:rsid w:val="00B6076C"/>
    <w:rsid w:val="00B6095B"/>
    <w:rsid w:val="00B6095D"/>
    <w:rsid w:val="00B6099C"/>
    <w:rsid w:val="00B60C9D"/>
    <w:rsid w:val="00B61013"/>
    <w:rsid w:val="00B6104B"/>
    <w:rsid w:val="00B6122D"/>
    <w:rsid w:val="00B612E5"/>
    <w:rsid w:val="00B61413"/>
    <w:rsid w:val="00B616E5"/>
    <w:rsid w:val="00B61752"/>
    <w:rsid w:val="00B61935"/>
    <w:rsid w:val="00B61A54"/>
    <w:rsid w:val="00B61CD6"/>
    <w:rsid w:val="00B61D69"/>
    <w:rsid w:val="00B620F2"/>
    <w:rsid w:val="00B62143"/>
    <w:rsid w:val="00B622A9"/>
    <w:rsid w:val="00B624EC"/>
    <w:rsid w:val="00B6279E"/>
    <w:rsid w:val="00B62844"/>
    <w:rsid w:val="00B628F0"/>
    <w:rsid w:val="00B62A9D"/>
    <w:rsid w:val="00B63101"/>
    <w:rsid w:val="00B631CF"/>
    <w:rsid w:val="00B633D9"/>
    <w:rsid w:val="00B637ED"/>
    <w:rsid w:val="00B641EE"/>
    <w:rsid w:val="00B642E5"/>
    <w:rsid w:val="00B644E1"/>
    <w:rsid w:val="00B645A9"/>
    <w:rsid w:val="00B64B89"/>
    <w:rsid w:val="00B64E53"/>
    <w:rsid w:val="00B64FEC"/>
    <w:rsid w:val="00B6534C"/>
    <w:rsid w:val="00B654D8"/>
    <w:rsid w:val="00B6562C"/>
    <w:rsid w:val="00B658BC"/>
    <w:rsid w:val="00B65C07"/>
    <w:rsid w:val="00B65C9D"/>
    <w:rsid w:val="00B66081"/>
    <w:rsid w:val="00B661FE"/>
    <w:rsid w:val="00B663A0"/>
    <w:rsid w:val="00B663BC"/>
    <w:rsid w:val="00B66664"/>
    <w:rsid w:val="00B6668F"/>
    <w:rsid w:val="00B66BAA"/>
    <w:rsid w:val="00B66C96"/>
    <w:rsid w:val="00B675AC"/>
    <w:rsid w:val="00B6792D"/>
    <w:rsid w:val="00B67AC3"/>
    <w:rsid w:val="00B67D1E"/>
    <w:rsid w:val="00B67DFE"/>
    <w:rsid w:val="00B700BA"/>
    <w:rsid w:val="00B7047A"/>
    <w:rsid w:val="00B704E1"/>
    <w:rsid w:val="00B70596"/>
    <w:rsid w:val="00B70651"/>
    <w:rsid w:val="00B70899"/>
    <w:rsid w:val="00B70F28"/>
    <w:rsid w:val="00B70FB8"/>
    <w:rsid w:val="00B71251"/>
    <w:rsid w:val="00B718E8"/>
    <w:rsid w:val="00B71988"/>
    <w:rsid w:val="00B71A41"/>
    <w:rsid w:val="00B71C73"/>
    <w:rsid w:val="00B71DFF"/>
    <w:rsid w:val="00B71E3E"/>
    <w:rsid w:val="00B7277F"/>
    <w:rsid w:val="00B72D75"/>
    <w:rsid w:val="00B72E5F"/>
    <w:rsid w:val="00B735D5"/>
    <w:rsid w:val="00B736AB"/>
    <w:rsid w:val="00B73B3E"/>
    <w:rsid w:val="00B73D16"/>
    <w:rsid w:val="00B73FA9"/>
    <w:rsid w:val="00B7419E"/>
    <w:rsid w:val="00B74342"/>
    <w:rsid w:val="00B74375"/>
    <w:rsid w:val="00B743C4"/>
    <w:rsid w:val="00B745C4"/>
    <w:rsid w:val="00B7463A"/>
    <w:rsid w:val="00B748A6"/>
    <w:rsid w:val="00B74BC4"/>
    <w:rsid w:val="00B754F6"/>
    <w:rsid w:val="00B7581E"/>
    <w:rsid w:val="00B75C0F"/>
    <w:rsid w:val="00B75FF6"/>
    <w:rsid w:val="00B75FFE"/>
    <w:rsid w:val="00B764D6"/>
    <w:rsid w:val="00B766DA"/>
    <w:rsid w:val="00B767C4"/>
    <w:rsid w:val="00B768BB"/>
    <w:rsid w:val="00B76A39"/>
    <w:rsid w:val="00B76ABF"/>
    <w:rsid w:val="00B76B48"/>
    <w:rsid w:val="00B76EB1"/>
    <w:rsid w:val="00B76ECB"/>
    <w:rsid w:val="00B7711C"/>
    <w:rsid w:val="00B77526"/>
    <w:rsid w:val="00B778EE"/>
    <w:rsid w:val="00B77CB8"/>
    <w:rsid w:val="00B80219"/>
    <w:rsid w:val="00B80394"/>
    <w:rsid w:val="00B807EE"/>
    <w:rsid w:val="00B80CF4"/>
    <w:rsid w:val="00B8158A"/>
    <w:rsid w:val="00B81B00"/>
    <w:rsid w:val="00B81E33"/>
    <w:rsid w:val="00B81F38"/>
    <w:rsid w:val="00B8205A"/>
    <w:rsid w:val="00B82245"/>
    <w:rsid w:val="00B823B4"/>
    <w:rsid w:val="00B82DA9"/>
    <w:rsid w:val="00B835A8"/>
    <w:rsid w:val="00B838FF"/>
    <w:rsid w:val="00B8398F"/>
    <w:rsid w:val="00B83B58"/>
    <w:rsid w:val="00B844D0"/>
    <w:rsid w:val="00B84896"/>
    <w:rsid w:val="00B8490E"/>
    <w:rsid w:val="00B851EA"/>
    <w:rsid w:val="00B8539E"/>
    <w:rsid w:val="00B8590F"/>
    <w:rsid w:val="00B8644A"/>
    <w:rsid w:val="00B86691"/>
    <w:rsid w:val="00B86B42"/>
    <w:rsid w:val="00B87251"/>
    <w:rsid w:val="00B87315"/>
    <w:rsid w:val="00B87BC2"/>
    <w:rsid w:val="00B87DD5"/>
    <w:rsid w:val="00B90029"/>
    <w:rsid w:val="00B90511"/>
    <w:rsid w:val="00B907C2"/>
    <w:rsid w:val="00B90803"/>
    <w:rsid w:val="00B90AE6"/>
    <w:rsid w:val="00B90B6C"/>
    <w:rsid w:val="00B91246"/>
    <w:rsid w:val="00B91395"/>
    <w:rsid w:val="00B913EC"/>
    <w:rsid w:val="00B91AB0"/>
    <w:rsid w:val="00B91B13"/>
    <w:rsid w:val="00B91BC4"/>
    <w:rsid w:val="00B91EC2"/>
    <w:rsid w:val="00B920A5"/>
    <w:rsid w:val="00B925DD"/>
    <w:rsid w:val="00B9262B"/>
    <w:rsid w:val="00B928A0"/>
    <w:rsid w:val="00B929A6"/>
    <w:rsid w:val="00B92CA7"/>
    <w:rsid w:val="00B9302F"/>
    <w:rsid w:val="00B9307B"/>
    <w:rsid w:val="00B93130"/>
    <w:rsid w:val="00B9343D"/>
    <w:rsid w:val="00B93628"/>
    <w:rsid w:val="00B93928"/>
    <w:rsid w:val="00B93CF3"/>
    <w:rsid w:val="00B93D25"/>
    <w:rsid w:val="00B945FE"/>
    <w:rsid w:val="00B94AD3"/>
    <w:rsid w:val="00B94C8E"/>
    <w:rsid w:val="00B94CA5"/>
    <w:rsid w:val="00B955EE"/>
    <w:rsid w:val="00B958D4"/>
    <w:rsid w:val="00B96413"/>
    <w:rsid w:val="00B968D8"/>
    <w:rsid w:val="00B96B49"/>
    <w:rsid w:val="00B96CA1"/>
    <w:rsid w:val="00B96F16"/>
    <w:rsid w:val="00B96F76"/>
    <w:rsid w:val="00B9712B"/>
    <w:rsid w:val="00B974E0"/>
    <w:rsid w:val="00B97C12"/>
    <w:rsid w:val="00B97DFE"/>
    <w:rsid w:val="00B97E0E"/>
    <w:rsid w:val="00BA01D3"/>
    <w:rsid w:val="00BA1152"/>
    <w:rsid w:val="00BA117F"/>
    <w:rsid w:val="00BA14A1"/>
    <w:rsid w:val="00BA15F1"/>
    <w:rsid w:val="00BA1A40"/>
    <w:rsid w:val="00BA1BD3"/>
    <w:rsid w:val="00BA1C43"/>
    <w:rsid w:val="00BA1FD6"/>
    <w:rsid w:val="00BA2960"/>
    <w:rsid w:val="00BA2C99"/>
    <w:rsid w:val="00BA2E7D"/>
    <w:rsid w:val="00BA3108"/>
    <w:rsid w:val="00BA3D6F"/>
    <w:rsid w:val="00BA3D7B"/>
    <w:rsid w:val="00BA3E24"/>
    <w:rsid w:val="00BA421E"/>
    <w:rsid w:val="00BA4577"/>
    <w:rsid w:val="00BA4717"/>
    <w:rsid w:val="00BA4841"/>
    <w:rsid w:val="00BA49DC"/>
    <w:rsid w:val="00BA4A7F"/>
    <w:rsid w:val="00BA4BC3"/>
    <w:rsid w:val="00BA4DB0"/>
    <w:rsid w:val="00BA4DBE"/>
    <w:rsid w:val="00BA4E8C"/>
    <w:rsid w:val="00BA5994"/>
    <w:rsid w:val="00BA5C50"/>
    <w:rsid w:val="00BA5C53"/>
    <w:rsid w:val="00BA5D16"/>
    <w:rsid w:val="00BA5D31"/>
    <w:rsid w:val="00BA5E23"/>
    <w:rsid w:val="00BA6438"/>
    <w:rsid w:val="00BA656B"/>
    <w:rsid w:val="00BA6A16"/>
    <w:rsid w:val="00BA6EA0"/>
    <w:rsid w:val="00BA75F0"/>
    <w:rsid w:val="00BA7736"/>
    <w:rsid w:val="00BB04FA"/>
    <w:rsid w:val="00BB0769"/>
    <w:rsid w:val="00BB09B8"/>
    <w:rsid w:val="00BB0F5C"/>
    <w:rsid w:val="00BB1260"/>
    <w:rsid w:val="00BB12FC"/>
    <w:rsid w:val="00BB148F"/>
    <w:rsid w:val="00BB1819"/>
    <w:rsid w:val="00BB1921"/>
    <w:rsid w:val="00BB1B06"/>
    <w:rsid w:val="00BB1D31"/>
    <w:rsid w:val="00BB1F07"/>
    <w:rsid w:val="00BB2094"/>
    <w:rsid w:val="00BB20D1"/>
    <w:rsid w:val="00BB21A4"/>
    <w:rsid w:val="00BB2B2D"/>
    <w:rsid w:val="00BB2C66"/>
    <w:rsid w:val="00BB2D61"/>
    <w:rsid w:val="00BB31E1"/>
    <w:rsid w:val="00BB32C8"/>
    <w:rsid w:val="00BB37F5"/>
    <w:rsid w:val="00BB39F5"/>
    <w:rsid w:val="00BB4980"/>
    <w:rsid w:val="00BB4D13"/>
    <w:rsid w:val="00BB5609"/>
    <w:rsid w:val="00BB585C"/>
    <w:rsid w:val="00BB597E"/>
    <w:rsid w:val="00BB5DEA"/>
    <w:rsid w:val="00BB610B"/>
    <w:rsid w:val="00BB6551"/>
    <w:rsid w:val="00BB741A"/>
    <w:rsid w:val="00BB7472"/>
    <w:rsid w:val="00BB74B3"/>
    <w:rsid w:val="00BB7596"/>
    <w:rsid w:val="00BB7D05"/>
    <w:rsid w:val="00BB7E29"/>
    <w:rsid w:val="00BB7E4E"/>
    <w:rsid w:val="00BB7E8A"/>
    <w:rsid w:val="00BC009D"/>
    <w:rsid w:val="00BC07DD"/>
    <w:rsid w:val="00BC0999"/>
    <w:rsid w:val="00BC0AD9"/>
    <w:rsid w:val="00BC0C21"/>
    <w:rsid w:val="00BC0CD8"/>
    <w:rsid w:val="00BC0F51"/>
    <w:rsid w:val="00BC1228"/>
    <w:rsid w:val="00BC183E"/>
    <w:rsid w:val="00BC1CAE"/>
    <w:rsid w:val="00BC1CE0"/>
    <w:rsid w:val="00BC1D07"/>
    <w:rsid w:val="00BC2399"/>
    <w:rsid w:val="00BC2644"/>
    <w:rsid w:val="00BC2A37"/>
    <w:rsid w:val="00BC2B78"/>
    <w:rsid w:val="00BC30C7"/>
    <w:rsid w:val="00BC31DE"/>
    <w:rsid w:val="00BC3C2B"/>
    <w:rsid w:val="00BC3D6D"/>
    <w:rsid w:val="00BC3DFA"/>
    <w:rsid w:val="00BC3FC2"/>
    <w:rsid w:val="00BC4112"/>
    <w:rsid w:val="00BC4501"/>
    <w:rsid w:val="00BC4D82"/>
    <w:rsid w:val="00BC5029"/>
    <w:rsid w:val="00BC5302"/>
    <w:rsid w:val="00BC5728"/>
    <w:rsid w:val="00BC57C3"/>
    <w:rsid w:val="00BC5A1E"/>
    <w:rsid w:val="00BC5D7C"/>
    <w:rsid w:val="00BC5D89"/>
    <w:rsid w:val="00BC604A"/>
    <w:rsid w:val="00BC61F3"/>
    <w:rsid w:val="00BC63E6"/>
    <w:rsid w:val="00BC6483"/>
    <w:rsid w:val="00BC66CA"/>
    <w:rsid w:val="00BC69C4"/>
    <w:rsid w:val="00BC69CD"/>
    <w:rsid w:val="00BC7179"/>
    <w:rsid w:val="00BC781D"/>
    <w:rsid w:val="00BC79AF"/>
    <w:rsid w:val="00BC7FDF"/>
    <w:rsid w:val="00BD0064"/>
    <w:rsid w:val="00BD01B3"/>
    <w:rsid w:val="00BD0C60"/>
    <w:rsid w:val="00BD0ED4"/>
    <w:rsid w:val="00BD0FC7"/>
    <w:rsid w:val="00BD1287"/>
    <w:rsid w:val="00BD1311"/>
    <w:rsid w:val="00BD142E"/>
    <w:rsid w:val="00BD1585"/>
    <w:rsid w:val="00BD17DF"/>
    <w:rsid w:val="00BD1955"/>
    <w:rsid w:val="00BD1D65"/>
    <w:rsid w:val="00BD2087"/>
    <w:rsid w:val="00BD23AC"/>
    <w:rsid w:val="00BD2843"/>
    <w:rsid w:val="00BD2BE4"/>
    <w:rsid w:val="00BD2CC7"/>
    <w:rsid w:val="00BD2D1B"/>
    <w:rsid w:val="00BD2DEE"/>
    <w:rsid w:val="00BD2FBB"/>
    <w:rsid w:val="00BD317F"/>
    <w:rsid w:val="00BD321F"/>
    <w:rsid w:val="00BD322A"/>
    <w:rsid w:val="00BD32A4"/>
    <w:rsid w:val="00BD359A"/>
    <w:rsid w:val="00BD36E5"/>
    <w:rsid w:val="00BD37F9"/>
    <w:rsid w:val="00BD390D"/>
    <w:rsid w:val="00BD3D1C"/>
    <w:rsid w:val="00BD3EDE"/>
    <w:rsid w:val="00BD40A9"/>
    <w:rsid w:val="00BD4198"/>
    <w:rsid w:val="00BD42F1"/>
    <w:rsid w:val="00BD4428"/>
    <w:rsid w:val="00BD4694"/>
    <w:rsid w:val="00BD4B4E"/>
    <w:rsid w:val="00BD4DBD"/>
    <w:rsid w:val="00BD4F89"/>
    <w:rsid w:val="00BD5150"/>
    <w:rsid w:val="00BD5724"/>
    <w:rsid w:val="00BD5AC7"/>
    <w:rsid w:val="00BD5F22"/>
    <w:rsid w:val="00BD5FDF"/>
    <w:rsid w:val="00BD66D8"/>
    <w:rsid w:val="00BD699E"/>
    <w:rsid w:val="00BD6B50"/>
    <w:rsid w:val="00BD6FFD"/>
    <w:rsid w:val="00BD73E6"/>
    <w:rsid w:val="00BD746A"/>
    <w:rsid w:val="00BD759D"/>
    <w:rsid w:val="00BD785E"/>
    <w:rsid w:val="00BD7880"/>
    <w:rsid w:val="00BD7C56"/>
    <w:rsid w:val="00BD7DB0"/>
    <w:rsid w:val="00BE00D0"/>
    <w:rsid w:val="00BE04A0"/>
    <w:rsid w:val="00BE04BD"/>
    <w:rsid w:val="00BE052A"/>
    <w:rsid w:val="00BE0733"/>
    <w:rsid w:val="00BE0F26"/>
    <w:rsid w:val="00BE1282"/>
    <w:rsid w:val="00BE131A"/>
    <w:rsid w:val="00BE1A60"/>
    <w:rsid w:val="00BE1DE1"/>
    <w:rsid w:val="00BE200A"/>
    <w:rsid w:val="00BE24C4"/>
    <w:rsid w:val="00BE287D"/>
    <w:rsid w:val="00BE2930"/>
    <w:rsid w:val="00BE2C16"/>
    <w:rsid w:val="00BE2DE6"/>
    <w:rsid w:val="00BE3017"/>
    <w:rsid w:val="00BE301C"/>
    <w:rsid w:val="00BE30E6"/>
    <w:rsid w:val="00BE3179"/>
    <w:rsid w:val="00BE32CF"/>
    <w:rsid w:val="00BE36C5"/>
    <w:rsid w:val="00BE3745"/>
    <w:rsid w:val="00BE378E"/>
    <w:rsid w:val="00BE379A"/>
    <w:rsid w:val="00BE3D84"/>
    <w:rsid w:val="00BE3FCF"/>
    <w:rsid w:val="00BE40BB"/>
    <w:rsid w:val="00BE4288"/>
    <w:rsid w:val="00BE45DA"/>
    <w:rsid w:val="00BE4707"/>
    <w:rsid w:val="00BE4771"/>
    <w:rsid w:val="00BE53F5"/>
    <w:rsid w:val="00BE558C"/>
    <w:rsid w:val="00BE558E"/>
    <w:rsid w:val="00BE5ADF"/>
    <w:rsid w:val="00BE5D6D"/>
    <w:rsid w:val="00BE632A"/>
    <w:rsid w:val="00BE64A2"/>
    <w:rsid w:val="00BE66EC"/>
    <w:rsid w:val="00BE6700"/>
    <w:rsid w:val="00BE6A57"/>
    <w:rsid w:val="00BE6AE6"/>
    <w:rsid w:val="00BE6C0F"/>
    <w:rsid w:val="00BE7175"/>
    <w:rsid w:val="00BE7F3E"/>
    <w:rsid w:val="00BF0160"/>
    <w:rsid w:val="00BF03C4"/>
    <w:rsid w:val="00BF0509"/>
    <w:rsid w:val="00BF0AB4"/>
    <w:rsid w:val="00BF0CA0"/>
    <w:rsid w:val="00BF0E55"/>
    <w:rsid w:val="00BF16D1"/>
    <w:rsid w:val="00BF1854"/>
    <w:rsid w:val="00BF1C2C"/>
    <w:rsid w:val="00BF2045"/>
    <w:rsid w:val="00BF2699"/>
    <w:rsid w:val="00BF2753"/>
    <w:rsid w:val="00BF2B50"/>
    <w:rsid w:val="00BF3121"/>
    <w:rsid w:val="00BF353F"/>
    <w:rsid w:val="00BF364E"/>
    <w:rsid w:val="00BF3A23"/>
    <w:rsid w:val="00BF3AC2"/>
    <w:rsid w:val="00BF3B42"/>
    <w:rsid w:val="00BF3BC9"/>
    <w:rsid w:val="00BF3FBC"/>
    <w:rsid w:val="00BF40ED"/>
    <w:rsid w:val="00BF442B"/>
    <w:rsid w:val="00BF449B"/>
    <w:rsid w:val="00BF46A8"/>
    <w:rsid w:val="00BF4710"/>
    <w:rsid w:val="00BF4782"/>
    <w:rsid w:val="00BF4990"/>
    <w:rsid w:val="00BF4D16"/>
    <w:rsid w:val="00BF4DB0"/>
    <w:rsid w:val="00BF4DC9"/>
    <w:rsid w:val="00BF4FB1"/>
    <w:rsid w:val="00BF5029"/>
    <w:rsid w:val="00BF5248"/>
    <w:rsid w:val="00BF5521"/>
    <w:rsid w:val="00BF58CF"/>
    <w:rsid w:val="00BF5CC2"/>
    <w:rsid w:val="00BF5CC8"/>
    <w:rsid w:val="00BF5FF7"/>
    <w:rsid w:val="00BF66D4"/>
    <w:rsid w:val="00BF6A7B"/>
    <w:rsid w:val="00BF6C07"/>
    <w:rsid w:val="00BF6E73"/>
    <w:rsid w:val="00BF7481"/>
    <w:rsid w:val="00BF76A7"/>
    <w:rsid w:val="00BF76AA"/>
    <w:rsid w:val="00BF76CF"/>
    <w:rsid w:val="00BF7827"/>
    <w:rsid w:val="00BF7890"/>
    <w:rsid w:val="00C0018B"/>
    <w:rsid w:val="00C002CD"/>
    <w:rsid w:val="00C008BA"/>
    <w:rsid w:val="00C00996"/>
    <w:rsid w:val="00C009F1"/>
    <w:rsid w:val="00C00B61"/>
    <w:rsid w:val="00C00DAA"/>
    <w:rsid w:val="00C00E08"/>
    <w:rsid w:val="00C00E38"/>
    <w:rsid w:val="00C011C4"/>
    <w:rsid w:val="00C014BD"/>
    <w:rsid w:val="00C0151C"/>
    <w:rsid w:val="00C017F0"/>
    <w:rsid w:val="00C0191A"/>
    <w:rsid w:val="00C01C90"/>
    <w:rsid w:val="00C02104"/>
    <w:rsid w:val="00C02B60"/>
    <w:rsid w:val="00C03185"/>
    <w:rsid w:val="00C0335F"/>
    <w:rsid w:val="00C03451"/>
    <w:rsid w:val="00C038B8"/>
    <w:rsid w:val="00C03A45"/>
    <w:rsid w:val="00C03C73"/>
    <w:rsid w:val="00C03CD7"/>
    <w:rsid w:val="00C03E84"/>
    <w:rsid w:val="00C04308"/>
    <w:rsid w:val="00C043A6"/>
    <w:rsid w:val="00C043F7"/>
    <w:rsid w:val="00C044D3"/>
    <w:rsid w:val="00C0452A"/>
    <w:rsid w:val="00C04553"/>
    <w:rsid w:val="00C049AA"/>
    <w:rsid w:val="00C04ACC"/>
    <w:rsid w:val="00C04E22"/>
    <w:rsid w:val="00C052FF"/>
    <w:rsid w:val="00C059CA"/>
    <w:rsid w:val="00C061C1"/>
    <w:rsid w:val="00C06349"/>
    <w:rsid w:val="00C064CB"/>
    <w:rsid w:val="00C06634"/>
    <w:rsid w:val="00C06CC4"/>
    <w:rsid w:val="00C06DCF"/>
    <w:rsid w:val="00C06ECF"/>
    <w:rsid w:val="00C07042"/>
    <w:rsid w:val="00C0723E"/>
    <w:rsid w:val="00C07498"/>
    <w:rsid w:val="00C0753B"/>
    <w:rsid w:val="00C0763D"/>
    <w:rsid w:val="00C07997"/>
    <w:rsid w:val="00C079A9"/>
    <w:rsid w:val="00C079E1"/>
    <w:rsid w:val="00C104CB"/>
    <w:rsid w:val="00C1075A"/>
    <w:rsid w:val="00C1088C"/>
    <w:rsid w:val="00C10CE4"/>
    <w:rsid w:val="00C10EA3"/>
    <w:rsid w:val="00C112E4"/>
    <w:rsid w:val="00C11606"/>
    <w:rsid w:val="00C11778"/>
    <w:rsid w:val="00C1187A"/>
    <w:rsid w:val="00C11974"/>
    <w:rsid w:val="00C11A8F"/>
    <w:rsid w:val="00C11CA2"/>
    <w:rsid w:val="00C11DDA"/>
    <w:rsid w:val="00C11ECE"/>
    <w:rsid w:val="00C11F06"/>
    <w:rsid w:val="00C11FAE"/>
    <w:rsid w:val="00C120CB"/>
    <w:rsid w:val="00C12124"/>
    <w:rsid w:val="00C12798"/>
    <w:rsid w:val="00C12AFA"/>
    <w:rsid w:val="00C12CCC"/>
    <w:rsid w:val="00C13588"/>
    <w:rsid w:val="00C1358E"/>
    <w:rsid w:val="00C1359E"/>
    <w:rsid w:val="00C135B8"/>
    <w:rsid w:val="00C13786"/>
    <w:rsid w:val="00C13969"/>
    <w:rsid w:val="00C13C3F"/>
    <w:rsid w:val="00C13D1E"/>
    <w:rsid w:val="00C13D6E"/>
    <w:rsid w:val="00C13DA5"/>
    <w:rsid w:val="00C14172"/>
    <w:rsid w:val="00C14202"/>
    <w:rsid w:val="00C1444B"/>
    <w:rsid w:val="00C14582"/>
    <w:rsid w:val="00C14593"/>
    <w:rsid w:val="00C14B81"/>
    <w:rsid w:val="00C14BEA"/>
    <w:rsid w:val="00C1520E"/>
    <w:rsid w:val="00C156A7"/>
    <w:rsid w:val="00C1575B"/>
    <w:rsid w:val="00C157FD"/>
    <w:rsid w:val="00C15857"/>
    <w:rsid w:val="00C15C38"/>
    <w:rsid w:val="00C16018"/>
    <w:rsid w:val="00C16199"/>
    <w:rsid w:val="00C161CA"/>
    <w:rsid w:val="00C16432"/>
    <w:rsid w:val="00C165DD"/>
    <w:rsid w:val="00C16763"/>
    <w:rsid w:val="00C1678E"/>
    <w:rsid w:val="00C1679D"/>
    <w:rsid w:val="00C16BF0"/>
    <w:rsid w:val="00C17023"/>
    <w:rsid w:val="00C175D0"/>
    <w:rsid w:val="00C176D4"/>
    <w:rsid w:val="00C177A8"/>
    <w:rsid w:val="00C177FF"/>
    <w:rsid w:val="00C178B2"/>
    <w:rsid w:val="00C178DA"/>
    <w:rsid w:val="00C17A88"/>
    <w:rsid w:val="00C17BF5"/>
    <w:rsid w:val="00C17E51"/>
    <w:rsid w:val="00C20053"/>
    <w:rsid w:val="00C200A9"/>
    <w:rsid w:val="00C2018A"/>
    <w:rsid w:val="00C206A3"/>
    <w:rsid w:val="00C2090C"/>
    <w:rsid w:val="00C20D9C"/>
    <w:rsid w:val="00C20ED4"/>
    <w:rsid w:val="00C21250"/>
    <w:rsid w:val="00C21329"/>
    <w:rsid w:val="00C214C8"/>
    <w:rsid w:val="00C214E3"/>
    <w:rsid w:val="00C2180B"/>
    <w:rsid w:val="00C219A8"/>
    <w:rsid w:val="00C219C1"/>
    <w:rsid w:val="00C21E5E"/>
    <w:rsid w:val="00C22706"/>
    <w:rsid w:val="00C22789"/>
    <w:rsid w:val="00C22967"/>
    <w:rsid w:val="00C22AF3"/>
    <w:rsid w:val="00C22EBD"/>
    <w:rsid w:val="00C23269"/>
    <w:rsid w:val="00C23348"/>
    <w:rsid w:val="00C234DE"/>
    <w:rsid w:val="00C237CD"/>
    <w:rsid w:val="00C23E7D"/>
    <w:rsid w:val="00C23ED2"/>
    <w:rsid w:val="00C23FF5"/>
    <w:rsid w:val="00C24291"/>
    <w:rsid w:val="00C245C3"/>
    <w:rsid w:val="00C24851"/>
    <w:rsid w:val="00C249CF"/>
    <w:rsid w:val="00C25000"/>
    <w:rsid w:val="00C253C7"/>
    <w:rsid w:val="00C25576"/>
    <w:rsid w:val="00C25651"/>
    <w:rsid w:val="00C2582C"/>
    <w:rsid w:val="00C26414"/>
    <w:rsid w:val="00C26509"/>
    <w:rsid w:val="00C26AF7"/>
    <w:rsid w:val="00C26C6D"/>
    <w:rsid w:val="00C26E88"/>
    <w:rsid w:val="00C26FBB"/>
    <w:rsid w:val="00C27521"/>
    <w:rsid w:val="00C2766D"/>
    <w:rsid w:val="00C27D4A"/>
    <w:rsid w:val="00C27F8D"/>
    <w:rsid w:val="00C30063"/>
    <w:rsid w:val="00C30389"/>
    <w:rsid w:val="00C30602"/>
    <w:rsid w:val="00C30E13"/>
    <w:rsid w:val="00C30EE2"/>
    <w:rsid w:val="00C3139C"/>
    <w:rsid w:val="00C313F5"/>
    <w:rsid w:val="00C316B8"/>
    <w:rsid w:val="00C316C3"/>
    <w:rsid w:val="00C3184C"/>
    <w:rsid w:val="00C31B24"/>
    <w:rsid w:val="00C31D7A"/>
    <w:rsid w:val="00C31FE7"/>
    <w:rsid w:val="00C31FF9"/>
    <w:rsid w:val="00C32042"/>
    <w:rsid w:val="00C32454"/>
    <w:rsid w:val="00C32D4B"/>
    <w:rsid w:val="00C331DE"/>
    <w:rsid w:val="00C33406"/>
    <w:rsid w:val="00C33781"/>
    <w:rsid w:val="00C33E6D"/>
    <w:rsid w:val="00C33F67"/>
    <w:rsid w:val="00C34115"/>
    <w:rsid w:val="00C34254"/>
    <w:rsid w:val="00C342BE"/>
    <w:rsid w:val="00C34402"/>
    <w:rsid w:val="00C3460A"/>
    <w:rsid w:val="00C3462E"/>
    <w:rsid w:val="00C34790"/>
    <w:rsid w:val="00C347BB"/>
    <w:rsid w:val="00C34B0D"/>
    <w:rsid w:val="00C34B45"/>
    <w:rsid w:val="00C34F06"/>
    <w:rsid w:val="00C34FDA"/>
    <w:rsid w:val="00C35046"/>
    <w:rsid w:val="00C353AA"/>
    <w:rsid w:val="00C35559"/>
    <w:rsid w:val="00C35B27"/>
    <w:rsid w:val="00C35C3F"/>
    <w:rsid w:val="00C35E99"/>
    <w:rsid w:val="00C36271"/>
    <w:rsid w:val="00C36383"/>
    <w:rsid w:val="00C3654A"/>
    <w:rsid w:val="00C36871"/>
    <w:rsid w:val="00C36885"/>
    <w:rsid w:val="00C368E0"/>
    <w:rsid w:val="00C36BA0"/>
    <w:rsid w:val="00C36FF8"/>
    <w:rsid w:val="00C37203"/>
    <w:rsid w:val="00C372E2"/>
    <w:rsid w:val="00C374DA"/>
    <w:rsid w:val="00C37C3C"/>
    <w:rsid w:val="00C37CBD"/>
    <w:rsid w:val="00C403CC"/>
    <w:rsid w:val="00C403EA"/>
    <w:rsid w:val="00C40525"/>
    <w:rsid w:val="00C408ED"/>
    <w:rsid w:val="00C40A01"/>
    <w:rsid w:val="00C40D51"/>
    <w:rsid w:val="00C40EE1"/>
    <w:rsid w:val="00C41014"/>
    <w:rsid w:val="00C41114"/>
    <w:rsid w:val="00C411BF"/>
    <w:rsid w:val="00C41353"/>
    <w:rsid w:val="00C41750"/>
    <w:rsid w:val="00C41986"/>
    <w:rsid w:val="00C41F9C"/>
    <w:rsid w:val="00C420E2"/>
    <w:rsid w:val="00C42514"/>
    <w:rsid w:val="00C4263B"/>
    <w:rsid w:val="00C4272B"/>
    <w:rsid w:val="00C429C1"/>
    <w:rsid w:val="00C42CD7"/>
    <w:rsid w:val="00C4305F"/>
    <w:rsid w:val="00C43266"/>
    <w:rsid w:val="00C434E6"/>
    <w:rsid w:val="00C436CB"/>
    <w:rsid w:val="00C4382F"/>
    <w:rsid w:val="00C43A05"/>
    <w:rsid w:val="00C43B13"/>
    <w:rsid w:val="00C43DA2"/>
    <w:rsid w:val="00C43F08"/>
    <w:rsid w:val="00C441B5"/>
    <w:rsid w:val="00C442A5"/>
    <w:rsid w:val="00C4455F"/>
    <w:rsid w:val="00C4476A"/>
    <w:rsid w:val="00C448D8"/>
    <w:rsid w:val="00C45127"/>
    <w:rsid w:val="00C45343"/>
    <w:rsid w:val="00C45495"/>
    <w:rsid w:val="00C454E4"/>
    <w:rsid w:val="00C45762"/>
    <w:rsid w:val="00C45769"/>
    <w:rsid w:val="00C459A2"/>
    <w:rsid w:val="00C45ABC"/>
    <w:rsid w:val="00C45B63"/>
    <w:rsid w:val="00C45C8C"/>
    <w:rsid w:val="00C45E6D"/>
    <w:rsid w:val="00C460AB"/>
    <w:rsid w:val="00C46153"/>
    <w:rsid w:val="00C46172"/>
    <w:rsid w:val="00C46367"/>
    <w:rsid w:val="00C4678F"/>
    <w:rsid w:val="00C46A0B"/>
    <w:rsid w:val="00C46A43"/>
    <w:rsid w:val="00C46AB0"/>
    <w:rsid w:val="00C46B08"/>
    <w:rsid w:val="00C46C49"/>
    <w:rsid w:val="00C46CF4"/>
    <w:rsid w:val="00C46D27"/>
    <w:rsid w:val="00C46DAB"/>
    <w:rsid w:val="00C46F6D"/>
    <w:rsid w:val="00C47355"/>
    <w:rsid w:val="00C473AC"/>
    <w:rsid w:val="00C474FB"/>
    <w:rsid w:val="00C47E76"/>
    <w:rsid w:val="00C5001B"/>
    <w:rsid w:val="00C500F8"/>
    <w:rsid w:val="00C50246"/>
    <w:rsid w:val="00C502E5"/>
    <w:rsid w:val="00C50356"/>
    <w:rsid w:val="00C504F7"/>
    <w:rsid w:val="00C506C1"/>
    <w:rsid w:val="00C50A93"/>
    <w:rsid w:val="00C50B06"/>
    <w:rsid w:val="00C5121E"/>
    <w:rsid w:val="00C512D9"/>
    <w:rsid w:val="00C512DB"/>
    <w:rsid w:val="00C51688"/>
    <w:rsid w:val="00C516AE"/>
    <w:rsid w:val="00C51975"/>
    <w:rsid w:val="00C519C5"/>
    <w:rsid w:val="00C51C4A"/>
    <w:rsid w:val="00C51F79"/>
    <w:rsid w:val="00C51FA1"/>
    <w:rsid w:val="00C52296"/>
    <w:rsid w:val="00C525D0"/>
    <w:rsid w:val="00C52604"/>
    <w:rsid w:val="00C52889"/>
    <w:rsid w:val="00C52A26"/>
    <w:rsid w:val="00C53238"/>
    <w:rsid w:val="00C532E7"/>
    <w:rsid w:val="00C53B5E"/>
    <w:rsid w:val="00C545F3"/>
    <w:rsid w:val="00C548AB"/>
    <w:rsid w:val="00C54934"/>
    <w:rsid w:val="00C54B42"/>
    <w:rsid w:val="00C54D79"/>
    <w:rsid w:val="00C54D7A"/>
    <w:rsid w:val="00C55442"/>
    <w:rsid w:val="00C55760"/>
    <w:rsid w:val="00C55A8B"/>
    <w:rsid w:val="00C55B44"/>
    <w:rsid w:val="00C55C3D"/>
    <w:rsid w:val="00C55D92"/>
    <w:rsid w:val="00C55F92"/>
    <w:rsid w:val="00C56091"/>
    <w:rsid w:val="00C561A1"/>
    <w:rsid w:val="00C564A9"/>
    <w:rsid w:val="00C569B9"/>
    <w:rsid w:val="00C56C44"/>
    <w:rsid w:val="00C56CB0"/>
    <w:rsid w:val="00C56E3E"/>
    <w:rsid w:val="00C56EB3"/>
    <w:rsid w:val="00C56FF4"/>
    <w:rsid w:val="00C572D5"/>
    <w:rsid w:val="00C5733A"/>
    <w:rsid w:val="00C5768A"/>
    <w:rsid w:val="00C57801"/>
    <w:rsid w:val="00C579D6"/>
    <w:rsid w:val="00C579D8"/>
    <w:rsid w:val="00C57AE1"/>
    <w:rsid w:val="00C57B82"/>
    <w:rsid w:val="00C57B8D"/>
    <w:rsid w:val="00C57E03"/>
    <w:rsid w:val="00C60081"/>
    <w:rsid w:val="00C60192"/>
    <w:rsid w:val="00C60A62"/>
    <w:rsid w:val="00C60C07"/>
    <w:rsid w:val="00C60EC0"/>
    <w:rsid w:val="00C60EFE"/>
    <w:rsid w:val="00C61232"/>
    <w:rsid w:val="00C617C8"/>
    <w:rsid w:val="00C617CF"/>
    <w:rsid w:val="00C619DF"/>
    <w:rsid w:val="00C61B8D"/>
    <w:rsid w:val="00C61D39"/>
    <w:rsid w:val="00C61F13"/>
    <w:rsid w:val="00C61FAF"/>
    <w:rsid w:val="00C620C3"/>
    <w:rsid w:val="00C6230A"/>
    <w:rsid w:val="00C6272D"/>
    <w:rsid w:val="00C629AF"/>
    <w:rsid w:val="00C62E98"/>
    <w:rsid w:val="00C62EC5"/>
    <w:rsid w:val="00C632AD"/>
    <w:rsid w:val="00C6355D"/>
    <w:rsid w:val="00C635D8"/>
    <w:rsid w:val="00C6395A"/>
    <w:rsid w:val="00C63A6D"/>
    <w:rsid w:val="00C63B4A"/>
    <w:rsid w:val="00C640A0"/>
    <w:rsid w:val="00C64108"/>
    <w:rsid w:val="00C641DE"/>
    <w:rsid w:val="00C643E6"/>
    <w:rsid w:val="00C64F49"/>
    <w:rsid w:val="00C6576D"/>
    <w:rsid w:val="00C65C7C"/>
    <w:rsid w:val="00C6629F"/>
    <w:rsid w:val="00C67CD5"/>
    <w:rsid w:val="00C67D21"/>
    <w:rsid w:val="00C7048B"/>
    <w:rsid w:val="00C70CBB"/>
    <w:rsid w:val="00C7119D"/>
    <w:rsid w:val="00C7139A"/>
    <w:rsid w:val="00C7177B"/>
    <w:rsid w:val="00C72398"/>
    <w:rsid w:val="00C7266C"/>
    <w:rsid w:val="00C728ED"/>
    <w:rsid w:val="00C72CC0"/>
    <w:rsid w:val="00C734FF"/>
    <w:rsid w:val="00C7354B"/>
    <w:rsid w:val="00C7385B"/>
    <w:rsid w:val="00C73903"/>
    <w:rsid w:val="00C7433C"/>
    <w:rsid w:val="00C744A8"/>
    <w:rsid w:val="00C746DE"/>
    <w:rsid w:val="00C74B74"/>
    <w:rsid w:val="00C74D05"/>
    <w:rsid w:val="00C74F7D"/>
    <w:rsid w:val="00C75408"/>
    <w:rsid w:val="00C759C0"/>
    <w:rsid w:val="00C75BA4"/>
    <w:rsid w:val="00C75C59"/>
    <w:rsid w:val="00C75D31"/>
    <w:rsid w:val="00C75F2A"/>
    <w:rsid w:val="00C76176"/>
    <w:rsid w:val="00C7618E"/>
    <w:rsid w:val="00C76387"/>
    <w:rsid w:val="00C765CA"/>
    <w:rsid w:val="00C76674"/>
    <w:rsid w:val="00C76876"/>
    <w:rsid w:val="00C7693B"/>
    <w:rsid w:val="00C76EF1"/>
    <w:rsid w:val="00C76FBF"/>
    <w:rsid w:val="00C77143"/>
    <w:rsid w:val="00C7754A"/>
    <w:rsid w:val="00C775FE"/>
    <w:rsid w:val="00C776F3"/>
    <w:rsid w:val="00C77A24"/>
    <w:rsid w:val="00C77B0A"/>
    <w:rsid w:val="00C77B25"/>
    <w:rsid w:val="00C77B26"/>
    <w:rsid w:val="00C77FC4"/>
    <w:rsid w:val="00C801EA"/>
    <w:rsid w:val="00C806D8"/>
    <w:rsid w:val="00C8090E"/>
    <w:rsid w:val="00C80B66"/>
    <w:rsid w:val="00C80CC4"/>
    <w:rsid w:val="00C80DE8"/>
    <w:rsid w:val="00C8135C"/>
    <w:rsid w:val="00C81485"/>
    <w:rsid w:val="00C8159A"/>
    <w:rsid w:val="00C817E2"/>
    <w:rsid w:val="00C8198B"/>
    <w:rsid w:val="00C81A04"/>
    <w:rsid w:val="00C81A1C"/>
    <w:rsid w:val="00C81E5E"/>
    <w:rsid w:val="00C81F4D"/>
    <w:rsid w:val="00C821C8"/>
    <w:rsid w:val="00C821F2"/>
    <w:rsid w:val="00C8230D"/>
    <w:rsid w:val="00C82577"/>
    <w:rsid w:val="00C8288A"/>
    <w:rsid w:val="00C82F05"/>
    <w:rsid w:val="00C8316F"/>
    <w:rsid w:val="00C831C8"/>
    <w:rsid w:val="00C83395"/>
    <w:rsid w:val="00C8359B"/>
    <w:rsid w:val="00C83ADC"/>
    <w:rsid w:val="00C83BD8"/>
    <w:rsid w:val="00C83C29"/>
    <w:rsid w:val="00C8498B"/>
    <w:rsid w:val="00C84CD8"/>
    <w:rsid w:val="00C852D3"/>
    <w:rsid w:val="00C85400"/>
    <w:rsid w:val="00C8542D"/>
    <w:rsid w:val="00C85A67"/>
    <w:rsid w:val="00C85B7E"/>
    <w:rsid w:val="00C85BD4"/>
    <w:rsid w:val="00C85E9F"/>
    <w:rsid w:val="00C85FD4"/>
    <w:rsid w:val="00C85FE0"/>
    <w:rsid w:val="00C86370"/>
    <w:rsid w:val="00C86436"/>
    <w:rsid w:val="00C86448"/>
    <w:rsid w:val="00C86480"/>
    <w:rsid w:val="00C8686F"/>
    <w:rsid w:val="00C86B5B"/>
    <w:rsid w:val="00C86B60"/>
    <w:rsid w:val="00C86BCB"/>
    <w:rsid w:val="00C86DF8"/>
    <w:rsid w:val="00C8724D"/>
    <w:rsid w:val="00C872FC"/>
    <w:rsid w:val="00C87321"/>
    <w:rsid w:val="00C8747D"/>
    <w:rsid w:val="00C876BD"/>
    <w:rsid w:val="00C8792F"/>
    <w:rsid w:val="00C87A64"/>
    <w:rsid w:val="00C90664"/>
    <w:rsid w:val="00C9068C"/>
    <w:rsid w:val="00C907EC"/>
    <w:rsid w:val="00C90D15"/>
    <w:rsid w:val="00C90DC4"/>
    <w:rsid w:val="00C90E49"/>
    <w:rsid w:val="00C912AF"/>
    <w:rsid w:val="00C912C7"/>
    <w:rsid w:val="00C9145C"/>
    <w:rsid w:val="00C914C3"/>
    <w:rsid w:val="00C91680"/>
    <w:rsid w:val="00C917D2"/>
    <w:rsid w:val="00C918F5"/>
    <w:rsid w:val="00C919C7"/>
    <w:rsid w:val="00C91D1D"/>
    <w:rsid w:val="00C9253D"/>
    <w:rsid w:val="00C926BA"/>
    <w:rsid w:val="00C929F8"/>
    <w:rsid w:val="00C92A46"/>
    <w:rsid w:val="00C92FF4"/>
    <w:rsid w:val="00C93071"/>
    <w:rsid w:val="00C930FA"/>
    <w:rsid w:val="00C93219"/>
    <w:rsid w:val="00C9348C"/>
    <w:rsid w:val="00C93628"/>
    <w:rsid w:val="00C937D6"/>
    <w:rsid w:val="00C9392C"/>
    <w:rsid w:val="00C93C04"/>
    <w:rsid w:val="00C93C8D"/>
    <w:rsid w:val="00C93D19"/>
    <w:rsid w:val="00C94055"/>
    <w:rsid w:val="00C94268"/>
    <w:rsid w:val="00C944D6"/>
    <w:rsid w:val="00C94705"/>
    <w:rsid w:val="00C9494F"/>
    <w:rsid w:val="00C94EE0"/>
    <w:rsid w:val="00C94F72"/>
    <w:rsid w:val="00C95572"/>
    <w:rsid w:val="00C9558A"/>
    <w:rsid w:val="00C955ED"/>
    <w:rsid w:val="00C95703"/>
    <w:rsid w:val="00C95778"/>
    <w:rsid w:val="00C95945"/>
    <w:rsid w:val="00C9643F"/>
    <w:rsid w:val="00C96596"/>
    <w:rsid w:val="00C9670E"/>
    <w:rsid w:val="00C96B99"/>
    <w:rsid w:val="00C96BC3"/>
    <w:rsid w:val="00C9705A"/>
    <w:rsid w:val="00C9770C"/>
    <w:rsid w:val="00C97D17"/>
    <w:rsid w:val="00CA0362"/>
    <w:rsid w:val="00CA03DC"/>
    <w:rsid w:val="00CA048B"/>
    <w:rsid w:val="00CA08E0"/>
    <w:rsid w:val="00CA0DA1"/>
    <w:rsid w:val="00CA0DF5"/>
    <w:rsid w:val="00CA108A"/>
    <w:rsid w:val="00CA13AA"/>
    <w:rsid w:val="00CA1404"/>
    <w:rsid w:val="00CA14C0"/>
    <w:rsid w:val="00CA16E7"/>
    <w:rsid w:val="00CA1706"/>
    <w:rsid w:val="00CA1AB3"/>
    <w:rsid w:val="00CA2408"/>
    <w:rsid w:val="00CA24F4"/>
    <w:rsid w:val="00CA26D1"/>
    <w:rsid w:val="00CA2A3F"/>
    <w:rsid w:val="00CA2B8F"/>
    <w:rsid w:val="00CA2DA2"/>
    <w:rsid w:val="00CA33A0"/>
    <w:rsid w:val="00CA3B87"/>
    <w:rsid w:val="00CA3CA9"/>
    <w:rsid w:val="00CA3F16"/>
    <w:rsid w:val="00CA3F4A"/>
    <w:rsid w:val="00CA4089"/>
    <w:rsid w:val="00CA4223"/>
    <w:rsid w:val="00CA43B4"/>
    <w:rsid w:val="00CA449A"/>
    <w:rsid w:val="00CA466C"/>
    <w:rsid w:val="00CA4684"/>
    <w:rsid w:val="00CA4704"/>
    <w:rsid w:val="00CA48E7"/>
    <w:rsid w:val="00CA4FC9"/>
    <w:rsid w:val="00CA5738"/>
    <w:rsid w:val="00CA5854"/>
    <w:rsid w:val="00CA638C"/>
    <w:rsid w:val="00CA64C2"/>
    <w:rsid w:val="00CA6666"/>
    <w:rsid w:val="00CA6831"/>
    <w:rsid w:val="00CA6933"/>
    <w:rsid w:val="00CA698E"/>
    <w:rsid w:val="00CA6B02"/>
    <w:rsid w:val="00CA7705"/>
    <w:rsid w:val="00CA79D2"/>
    <w:rsid w:val="00CA7B23"/>
    <w:rsid w:val="00CA7CE9"/>
    <w:rsid w:val="00CB0027"/>
    <w:rsid w:val="00CB00EF"/>
    <w:rsid w:val="00CB037D"/>
    <w:rsid w:val="00CB0978"/>
    <w:rsid w:val="00CB0C03"/>
    <w:rsid w:val="00CB0D1A"/>
    <w:rsid w:val="00CB116F"/>
    <w:rsid w:val="00CB1457"/>
    <w:rsid w:val="00CB1A76"/>
    <w:rsid w:val="00CB1C9A"/>
    <w:rsid w:val="00CB1D1F"/>
    <w:rsid w:val="00CB1D69"/>
    <w:rsid w:val="00CB20B4"/>
    <w:rsid w:val="00CB22D3"/>
    <w:rsid w:val="00CB2588"/>
    <w:rsid w:val="00CB25D0"/>
    <w:rsid w:val="00CB28CC"/>
    <w:rsid w:val="00CB2D51"/>
    <w:rsid w:val="00CB2D7F"/>
    <w:rsid w:val="00CB319F"/>
    <w:rsid w:val="00CB3648"/>
    <w:rsid w:val="00CB3A55"/>
    <w:rsid w:val="00CB3AAB"/>
    <w:rsid w:val="00CB3BD6"/>
    <w:rsid w:val="00CB3DC2"/>
    <w:rsid w:val="00CB4102"/>
    <w:rsid w:val="00CB42A9"/>
    <w:rsid w:val="00CB4C1F"/>
    <w:rsid w:val="00CB4DDA"/>
    <w:rsid w:val="00CB4DE2"/>
    <w:rsid w:val="00CB4DFD"/>
    <w:rsid w:val="00CB4EB4"/>
    <w:rsid w:val="00CB579A"/>
    <w:rsid w:val="00CB5DED"/>
    <w:rsid w:val="00CB5FF0"/>
    <w:rsid w:val="00CB610A"/>
    <w:rsid w:val="00CB61D1"/>
    <w:rsid w:val="00CB6471"/>
    <w:rsid w:val="00CB6BDA"/>
    <w:rsid w:val="00CB7857"/>
    <w:rsid w:val="00CB79D6"/>
    <w:rsid w:val="00CB7D1B"/>
    <w:rsid w:val="00CB7DFB"/>
    <w:rsid w:val="00CC0161"/>
    <w:rsid w:val="00CC0C2F"/>
    <w:rsid w:val="00CC0C50"/>
    <w:rsid w:val="00CC1017"/>
    <w:rsid w:val="00CC136C"/>
    <w:rsid w:val="00CC1527"/>
    <w:rsid w:val="00CC1553"/>
    <w:rsid w:val="00CC19A6"/>
    <w:rsid w:val="00CC1BFA"/>
    <w:rsid w:val="00CC1C3E"/>
    <w:rsid w:val="00CC1FA2"/>
    <w:rsid w:val="00CC22CD"/>
    <w:rsid w:val="00CC2327"/>
    <w:rsid w:val="00CC2365"/>
    <w:rsid w:val="00CC2A35"/>
    <w:rsid w:val="00CC2CE8"/>
    <w:rsid w:val="00CC3112"/>
    <w:rsid w:val="00CC33FF"/>
    <w:rsid w:val="00CC34C5"/>
    <w:rsid w:val="00CC3643"/>
    <w:rsid w:val="00CC394A"/>
    <w:rsid w:val="00CC3D3D"/>
    <w:rsid w:val="00CC3F0E"/>
    <w:rsid w:val="00CC42E3"/>
    <w:rsid w:val="00CC4A2C"/>
    <w:rsid w:val="00CC5392"/>
    <w:rsid w:val="00CC553E"/>
    <w:rsid w:val="00CC55B6"/>
    <w:rsid w:val="00CC58B5"/>
    <w:rsid w:val="00CC597D"/>
    <w:rsid w:val="00CC6158"/>
    <w:rsid w:val="00CC61E6"/>
    <w:rsid w:val="00CC6977"/>
    <w:rsid w:val="00CC6A56"/>
    <w:rsid w:val="00CC6E9A"/>
    <w:rsid w:val="00CC7168"/>
    <w:rsid w:val="00CC7317"/>
    <w:rsid w:val="00CC74DB"/>
    <w:rsid w:val="00CC7838"/>
    <w:rsid w:val="00CC7C23"/>
    <w:rsid w:val="00CC7C6E"/>
    <w:rsid w:val="00CD02E5"/>
    <w:rsid w:val="00CD031C"/>
    <w:rsid w:val="00CD03BA"/>
    <w:rsid w:val="00CD05DF"/>
    <w:rsid w:val="00CD0B42"/>
    <w:rsid w:val="00CD0F07"/>
    <w:rsid w:val="00CD1581"/>
    <w:rsid w:val="00CD1C67"/>
    <w:rsid w:val="00CD1D5C"/>
    <w:rsid w:val="00CD1D71"/>
    <w:rsid w:val="00CD2513"/>
    <w:rsid w:val="00CD25B9"/>
    <w:rsid w:val="00CD2B5D"/>
    <w:rsid w:val="00CD2D7C"/>
    <w:rsid w:val="00CD2F41"/>
    <w:rsid w:val="00CD2F6D"/>
    <w:rsid w:val="00CD30D1"/>
    <w:rsid w:val="00CD332C"/>
    <w:rsid w:val="00CD334D"/>
    <w:rsid w:val="00CD34EE"/>
    <w:rsid w:val="00CD3B7C"/>
    <w:rsid w:val="00CD3DE9"/>
    <w:rsid w:val="00CD43B8"/>
    <w:rsid w:val="00CD4702"/>
    <w:rsid w:val="00CD57C5"/>
    <w:rsid w:val="00CD5BBB"/>
    <w:rsid w:val="00CD5CBD"/>
    <w:rsid w:val="00CD5ED3"/>
    <w:rsid w:val="00CD60F4"/>
    <w:rsid w:val="00CD64E6"/>
    <w:rsid w:val="00CD67C3"/>
    <w:rsid w:val="00CD6B50"/>
    <w:rsid w:val="00CD7360"/>
    <w:rsid w:val="00CD772A"/>
    <w:rsid w:val="00CD7852"/>
    <w:rsid w:val="00CD78CB"/>
    <w:rsid w:val="00CD79FF"/>
    <w:rsid w:val="00CD7D0F"/>
    <w:rsid w:val="00CD7F1B"/>
    <w:rsid w:val="00CE0091"/>
    <w:rsid w:val="00CE0705"/>
    <w:rsid w:val="00CE07F2"/>
    <w:rsid w:val="00CE0890"/>
    <w:rsid w:val="00CE0A8F"/>
    <w:rsid w:val="00CE0BBA"/>
    <w:rsid w:val="00CE0D01"/>
    <w:rsid w:val="00CE0EBB"/>
    <w:rsid w:val="00CE0F39"/>
    <w:rsid w:val="00CE0FEE"/>
    <w:rsid w:val="00CE11A5"/>
    <w:rsid w:val="00CE199F"/>
    <w:rsid w:val="00CE1A68"/>
    <w:rsid w:val="00CE1C96"/>
    <w:rsid w:val="00CE2657"/>
    <w:rsid w:val="00CE27D9"/>
    <w:rsid w:val="00CE2C3D"/>
    <w:rsid w:val="00CE2E8A"/>
    <w:rsid w:val="00CE2F8B"/>
    <w:rsid w:val="00CE2FD0"/>
    <w:rsid w:val="00CE3476"/>
    <w:rsid w:val="00CE3694"/>
    <w:rsid w:val="00CE3AD4"/>
    <w:rsid w:val="00CE3B2B"/>
    <w:rsid w:val="00CE3FBE"/>
    <w:rsid w:val="00CE3FFA"/>
    <w:rsid w:val="00CE4110"/>
    <w:rsid w:val="00CE41B2"/>
    <w:rsid w:val="00CE41C2"/>
    <w:rsid w:val="00CE41F5"/>
    <w:rsid w:val="00CE4637"/>
    <w:rsid w:val="00CE4774"/>
    <w:rsid w:val="00CE4EAA"/>
    <w:rsid w:val="00CE4F75"/>
    <w:rsid w:val="00CE5492"/>
    <w:rsid w:val="00CE57BE"/>
    <w:rsid w:val="00CE591A"/>
    <w:rsid w:val="00CE5AF9"/>
    <w:rsid w:val="00CE5F84"/>
    <w:rsid w:val="00CE6025"/>
    <w:rsid w:val="00CE617E"/>
    <w:rsid w:val="00CE61A2"/>
    <w:rsid w:val="00CE644B"/>
    <w:rsid w:val="00CE68BB"/>
    <w:rsid w:val="00CE6B68"/>
    <w:rsid w:val="00CE75FF"/>
    <w:rsid w:val="00CE7CC2"/>
    <w:rsid w:val="00CE7D3F"/>
    <w:rsid w:val="00CE7E13"/>
    <w:rsid w:val="00CF065F"/>
    <w:rsid w:val="00CF072C"/>
    <w:rsid w:val="00CF094F"/>
    <w:rsid w:val="00CF0CEC"/>
    <w:rsid w:val="00CF0DF4"/>
    <w:rsid w:val="00CF0E83"/>
    <w:rsid w:val="00CF0F04"/>
    <w:rsid w:val="00CF0FED"/>
    <w:rsid w:val="00CF10FF"/>
    <w:rsid w:val="00CF1308"/>
    <w:rsid w:val="00CF16D2"/>
    <w:rsid w:val="00CF1908"/>
    <w:rsid w:val="00CF190D"/>
    <w:rsid w:val="00CF1A32"/>
    <w:rsid w:val="00CF1B07"/>
    <w:rsid w:val="00CF1E30"/>
    <w:rsid w:val="00CF25AF"/>
    <w:rsid w:val="00CF27AF"/>
    <w:rsid w:val="00CF2A43"/>
    <w:rsid w:val="00CF2AB6"/>
    <w:rsid w:val="00CF2CB8"/>
    <w:rsid w:val="00CF2D86"/>
    <w:rsid w:val="00CF31AE"/>
    <w:rsid w:val="00CF31D9"/>
    <w:rsid w:val="00CF3255"/>
    <w:rsid w:val="00CF328B"/>
    <w:rsid w:val="00CF32E9"/>
    <w:rsid w:val="00CF3502"/>
    <w:rsid w:val="00CF3782"/>
    <w:rsid w:val="00CF386D"/>
    <w:rsid w:val="00CF38EA"/>
    <w:rsid w:val="00CF39F0"/>
    <w:rsid w:val="00CF3AD1"/>
    <w:rsid w:val="00CF3E63"/>
    <w:rsid w:val="00CF4047"/>
    <w:rsid w:val="00CF413D"/>
    <w:rsid w:val="00CF423C"/>
    <w:rsid w:val="00CF465B"/>
    <w:rsid w:val="00CF4A1B"/>
    <w:rsid w:val="00CF4B9F"/>
    <w:rsid w:val="00CF4C1D"/>
    <w:rsid w:val="00CF4C7D"/>
    <w:rsid w:val="00CF51EF"/>
    <w:rsid w:val="00CF5A33"/>
    <w:rsid w:val="00CF5E95"/>
    <w:rsid w:val="00CF6815"/>
    <w:rsid w:val="00CF691F"/>
    <w:rsid w:val="00CF6C6C"/>
    <w:rsid w:val="00CF6D10"/>
    <w:rsid w:val="00CF6EBB"/>
    <w:rsid w:val="00CF73EF"/>
    <w:rsid w:val="00CF7421"/>
    <w:rsid w:val="00CF74C6"/>
    <w:rsid w:val="00CF7B74"/>
    <w:rsid w:val="00CF7BB2"/>
    <w:rsid w:val="00CF7E25"/>
    <w:rsid w:val="00CF7F72"/>
    <w:rsid w:val="00D00406"/>
    <w:rsid w:val="00D007E9"/>
    <w:rsid w:val="00D0097C"/>
    <w:rsid w:val="00D00D97"/>
    <w:rsid w:val="00D00ED1"/>
    <w:rsid w:val="00D012F1"/>
    <w:rsid w:val="00D014E0"/>
    <w:rsid w:val="00D01578"/>
    <w:rsid w:val="00D015C0"/>
    <w:rsid w:val="00D01863"/>
    <w:rsid w:val="00D0199F"/>
    <w:rsid w:val="00D01DE4"/>
    <w:rsid w:val="00D02436"/>
    <w:rsid w:val="00D028DC"/>
    <w:rsid w:val="00D02B78"/>
    <w:rsid w:val="00D02FD3"/>
    <w:rsid w:val="00D030D8"/>
    <w:rsid w:val="00D034A4"/>
    <w:rsid w:val="00D03784"/>
    <w:rsid w:val="00D037D7"/>
    <w:rsid w:val="00D03D4D"/>
    <w:rsid w:val="00D04173"/>
    <w:rsid w:val="00D041C8"/>
    <w:rsid w:val="00D043D8"/>
    <w:rsid w:val="00D043F3"/>
    <w:rsid w:val="00D04515"/>
    <w:rsid w:val="00D04830"/>
    <w:rsid w:val="00D049F1"/>
    <w:rsid w:val="00D04CDF"/>
    <w:rsid w:val="00D04F1C"/>
    <w:rsid w:val="00D05111"/>
    <w:rsid w:val="00D05327"/>
    <w:rsid w:val="00D0561C"/>
    <w:rsid w:val="00D05C17"/>
    <w:rsid w:val="00D05CF6"/>
    <w:rsid w:val="00D05E08"/>
    <w:rsid w:val="00D0600E"/>
    <w:rsid w:val="00D06050"/>
    <w:rsid w:val="00D062EE"/>
    <w:rsid w:val="00D06577"/>
    <w:rsid w:val="00D066CE"/>
    <w:rsid w:val="00D066F3"/>
    <w:rsid w:val="00D06A86"/>
    <w:rsid w:val="00D06BDF"/>
    <w:rsid w:val="00D06D28"/>
    <w:rsid w:val="00D06FB1"/>
    <w:rsid w:val="00D07132"/>
    <w:rsid w:val="00D07353"/>
    <w:rsid w:val="00D074AB"/>
    <w:rsid w:val="00D0760C"/>
    <w:rsid w:val="00D078ED"/>
    <w:rsid w:val="00D07D29"/>
    <w:rsid w:val="00D07DE6"/>
    <w:rsid w:val="00D1047A"/>
    <w:rsid w:val="00D104E1"/>
    <w:rsid w:val="00D1064E"/>
    <w:rsid w:val="00D1090D"/>
    <w:rsid w:val="00D112B1"/>
    <w:rsid w:val="00D1170C"/>
    <w:rsid w:val="00D11738"/>
    <w:rsid w:val="00D11C11"/>
    <w:rsid w:val="00D12115"/>
    <w:rsid w:val="00D1244F"/>
    <w:rsid w:val="00D127DF"/>
    <w:rsid w:val="00D128F1"/>
    <w:rsid w:val="00D12DC0"/>
    <w:rsid w:val="00D12DFA"/>
    <w:rsid w:val="00D13402"/>
    <w:rsid w:val="00D13523"/>
    <w:rsid w:val="00D13F74"/>
    <w:rsid w:val="00D1421A"/>
    <w:rsid w:val="00D146C1"/>
    <w:rsid w:val="00D14887"/>
    <w:rsid w:val="00D14AED"/>
    <w:rsid w:val="00D14D2D"/>
    <w:rsid w:val="00D14E76"/>
    <w:rsid w:val="00D15006"/>
    <w:rsid w:val="00D1522E"/>
    <w:rsid w:val="00D15234"/>
    <w:rsid w:val="00D1549D"/>
    <w:rsid w:val="00D155C6"/>
    <w:rsid w:val="00D15955"/>
    <w:rsid w:val="00D15C1D"/>
    <w:rsid w:val="00D15F9E"/>
    <w:rsid w:val="00D160CB"/>
    <w:rsid w:val="00D1627E"/>
    <w:rsid w:val="00D162DA"/>
    <w:rsid w:val="00D16416"/>
    <w:rsid w:val="00D164F1"/>
    <w:rsid w:val="00D167E0"/>
    <w:rsid w:val="00D16E95"/>
    <w:rsid w:val="00D16F8B"/>
    <w:rsid w:val="00D17242"/>
    <w:rsid w:val="00D174F0"/>
    <w:rsid w:val="00D17622"/>
    <w:rsid w:val="00D17636"/>
    <w:rsid w:val="00D20137"/>
    <w:rsid w:val="00D20437"/>
    <w:rsid w:val="00D20966"/>
    <w:rsid w:val="00D20A43"/>
    <w:rsid w:val="00D20B8C"/>
    <w:rsid w:val="00D20BB6"/>
    <w:rsid w:val="00D212B3"/>
    <w:rsid w:val="00D21576"/>
    <w:rsid w:val="00D215E8"/>
    <w:rsid w:val="00D21707"/>
    <w:rsid w:val="00D21983"/>
    <w:rsid w:val="00D219CE"/>
    <w:rsid w:val="00D21DC9"/>
    <w:rsid w:val="00D22002"/>
    <w:rsid w:val="00D2240E"/>
    <w:rsid w:val="00D22411"/>
    <w:rsid w:val="00D22866"/>
    <w:rsid w:val="00D22BD6"/>
    <w:rsid w:val="00D23237"/>
    <w:rsid w:val="00D234AA"/>
    <w:rsid w:val="00D235AC"/>
    <w:rsid w:val="00D2365F"/>
    <w:rsid w:val="00D23B34"/>
    <w:rsid w:val="00D23B5B"/>
    <w:rsid w:val="00D23F15"/>
    <w:rsid w:val="00D24660"/>
    <w:rsid w:val="00D246F3"/>
    <w:rsid w:val="00D24844"/>
    <w:rsid w:val="00D25469"/>
    <w:rsid w:val="00D25837"/>
    <w:rsid w:val="00D25855"/>
    <w:rsid w:val="00D25E76"/>
    <w:rsid w:val="00D25ED8"/>
    <w:rsid w:val="00D260D0"/>
    <w:rsid w:val="00D263FD"/>
    <w:rsid w:val="00D26591"/>
    <w:rsid w:val="00D265A4"/>
    <w:rsid w:val="00D269DA"/>
    <w:rsid w:val="00D26CB6"/>
    <w:rsid w:val="00D273F5"/>
    <w:rsid w:val="00D274FE"/>
    <w:rsid w:val="00D277F3"/>
    <w:rsid w:val="00D27902"/>
    <w:rsid w:val="00D300A2"/>
    <w:rsid w:val="00D308E1"/>
    <w:rsid w:val="00D30A46"/>
    <w:rsid w:val="00D31178"/>
    <w:rsid w:val="00D3144C"/>
    <w:rsid w:val="00D31557"/>
    <w:rsid w:val="00D3175F"/>
    <w:rsid w:val="00D318E8"/>
    <w:rsid w:val="00D31C70"/>
    <w:rsid w:val="00D31EF1"/>
    <w:rsid w:val="00D321E9"/>
    <w:rsid w:val="00D32493"/>
    <w:rsid w:val="00D32541"/>
    <w:rsid w:val="00D3269C"/>
    <w:rsid w:val="00D32EF0"/>
    <w:rsid w:val="00D33105"/>
    <w:rsid w:val="00D33447"/>
    <w:rsid w:val="00D33606"/>
    <w:rsid w:val="00D339B2"/>
    <w:rsid w:val="00D33DE6"/>
    <w:rsid w:val="00D33F38"/>
    <w:rsid w:val="00D33F48"/>
    <w:rsid w:val="00D34477"/>
    <w:rsid w:val="00D344E9"/>
    <w:rsid w:val="00D345DB"/>
    <w:rsid w:val="00D347A4"/>
    <w:rsid w:val="00D35B84"/>
    <w:rsid w:val="00D35C79"/>
    <w:rsid w:val="00D35D43"/>
    <w:rsid w:val="00D36125"/>
    <w:rsid w:val="00D3615B"/>
    <w:rsid w:val="00D36905"/>
    <w:rsid w:val="00D36DD3"/>
    <w:rsid w:val="00D36E78"/>
    <w:rsid w:val="00D36FEC"/>
    <w:rsid w:val="00D37229"/>
    <w:rsid w:val="00D372BA"/>
    <w:rsid w:val="00D376B4"/>
    <w:rsid w:val="00D37A8B"/>
    <w:rsid w:val="00D37AE5"/>
    <w:rsid w:val="00D37B56"/>
    <w:rsid w:val="00D37C55"/>
    <w:rsid w:val="00D37CBF"/>
    <w:rsid w:val="00D37D21"/>
    <w:rsid w:val="00D401BC"/>
    <w:rsid w:val="00D403F8"/>
    <w:rsid w:val="00D40420"/>
    <w:rsid w:val="00D4060C"/>
    <w:rsid w:val="00D40880"/>
    <w:rsid w:val="00D4088A"/>
    <w:rsid w:val="00D40B3F"/>
    <w:rsid w:val="00D4102C"/>
    <w:rsid w:val="00D41484"/>
    <w:rsid w:val="00D41779"/>
    <w:rsid w:val="00D41C20"/>
    <w:rsid w:val="00D41E44"/>
    <w:rsid w:val="00D4237E"/>
    <w:rsid w:val="00D42409"/>
    <w:rsid w:val="00D42698"/>
    <w:rsid w:val="00D4288B"/>
    <w:rsid w:val="00D429BE"/>
    <w:rsid w:val="00D429E5"/>
    <w:rsid w:val="00D42EAC"/>
    <w:rsid w:val="00D42FA7"/>
    <w:rsid w:val="00D43125"/>
    <w:rsid w:val="00D43454"/>
    <w:rsid w:val="00D43954"/>
    <w:rsid w:val="00D43A8F"/>
    <w:rsid w:val="00D442E2"/>
    <w:rsid w:val="00D4454A"/>
    <w:rsid w:val="00D4466C"/>
    <w:rsid w:val="00D449A9"/>
    <w:rsid w:val="00D44A2A"/>
    <w:rsid w:val="00D44FC2"/>
    <w:rsid w:val="00D45463"/>
    <w:rsid w:val="00D4593B"/>
    <w:rsid w:val="00D45AC9"/>
    <w:rsid w:val="00D45BD5"/>
    <w:rsid w:val="00D45BFD"/>
    <w:rsid w:val="00D45C0A"/>
    <w:rsid w:val="00D464BB"/>
    <w:rsid w:val="00D4664A"/>
    <w:rsid w:val="00D468F5"/>
    <w:rsid w:val="00D46AF2"/>
    <w:rsid w:val="00D46D6F"/>
    <w:rsid w:val="00D470B0"/>
    <w:rsid w:val="00D47406"/>
    <w:rsid w:val="00D47537"/>
    <w:rsid w:val="00D476E3"/>
    <w:rsid w:val="00D4773A"/>
    <w:rsid w:val="00D479C4"/>
    <w:rsid w:val="00D47AC9"/>
    <w:rsid w:val="00D47F83"/>
    <w:rsid w:val="00D5010F"/>
    <w:rsid w:val="00D50279"/>
    <w:rsid w:val="00D503D5"/>
    <w:rsid w:val="00D506F3"/>
    <w:rsid w:val="00D5070B"/>
    <w:rsid w:val="00D5077C"/>
    <w:rsid w:val="00D50BE4"/>
    <w:rsid w:val="00D513B1"/>
    <w:rsid w:val="00D513D0"/>
    <w:rsid w:val="00D516FE"/>
    <w:rsid w:val="00D518A4"/>
    <w:rsid w:val="00D51CA2"/>
    <w:rsid w:val="00D51E26"/>
    <w:rsid w:val="00D523F9"/>
    <w:rsid w:val="00D5253F"/>
    <w:rsid w:val="00D529E0"/>
    <w:rsid w:val="00D52ACC"/>
    <w:rsid w:val="00D52CDA"/>
    <w:rsid w:val="00D530AD"/>
    <w:rsid w:val="00D534E6"/>
    <w:rsid w:val="00D5386D"/>
    <w:rsid w:val="00D53C5D"/>
    <w:rsid w:val="00D53CB2"/>
    <w:rsid w:val="00D53F05"/>
    <w:rsid w:val="00D542BD"/>
    <w:rsid w:val="00D54453"/>
    <w:rsid w:val="00D54697"/>
    <w:rsid w:val="00D54720"/>
    <w:rsid w:val="00D54992"/>
    <w:rsid w:val="00D54AC9"/>
    <w:rsid w:val="00D54C3E"/>
    <w:rsid w:val="00D54E78"/>
    <w:rsid w:val="00D553EF"/>
    <w:rsid w:val="00D55489"/>
    <w:rsid w:val="00D554DF"/>
    <w:rsid w:val="00D5564E"/>
    <w:rsid w:val="00D55732"/>
    <w:rsid w:val="00D55966"/>
    <w:rsid w:val="00D55B1C"/>
    <w:rsid w:val="00D55C3B"/>
    <w:rsid w:val="00D5602A"/>
    <w:rsid w:val="00D560B4"/>
    <w:rsid w:val="00D563D7"/>
    <w:rsid w:val="00D564ED"/>
    <w:rsid w:val="00D566C0"/>
    <w:rsid w:val="00D56CC4"/>
    <w:rsid w:val="00D57269"/>
    <w:rsid w:val="00D576A1"/>
    <w:rsid w:val="00D577C5"/>
    <w:rsid w:val="00D57B81"/>
    <w:rsid w:val="00D57EAD"/>
    <w:rsid w:val="00D57EDE"/>
    <w:rsid w:val="00D60181"/>
    <w:rsid w:val="00D60304"/>
    <w:rsid w:val="00D6071B"/>
    <w:rsid w:val="00D607FC"/>
    <w:rsid w:val="00D60A72"/>
    <w:rsid w:val="00D60E86"/>
    <w:rsid w:val="00D60F1F"/>
    <w:rsid w:val="00D60F2D"/>
    <w:rsid w:val="00D611AC"/>
    <w:rsid w:val="00D612C4"/>
    <w:rsid w:val="00D6149E"/>
    <w:rsid w:val="00D61E12"/>
    <w:rsid w:val="00D61F09"/>
    <w:rsid w:val="00D62178"/>
    <w:rsid w:val="00D62191"/>
    <w:rsid w:val="00D6273D"/>
    <w:rsid w:val="00D627A8"/>
    <w:rsid w:val="00D62970"/>
    <w:rsid w:val="00D62A4B"/>
    <w:rsid w:val="00D62F40"/>
    <w:rsid w:val="00D6320C"/>
    <w:rsid w:val="00D6345B"/>
    <w:rsid w:val="00D63536"/>
    <w:rsid w:val="00D635AD"/>
    <w:rsid w:val="00D63727"/>
    <w:rsid w:val="00D63847"/>
    <w:rsid w:val="00D63DC6"/>
    <w:rsid w:val="00D63F15"/>
    <w:rsid w:val="00D6496B"/>
    <w:rsid w:val="00D649C5"/>
    <w:rsid w:val="00D649DE"/>
    <w:rsid w:val="00D64BAD"/>
    <w:rsid w:val="00D64F31"/>
    <w:rsid w:val="00D64FB6"/>
    <w:rsid w:val="00D6518A"/>
    <w:rsid w:val="00D65B79"/>
    <w:rsid w:val="00D65CB4"/>
    <w:rsid w:val="00D65E96"/>
    <w:rsid w:val="00D661FE"/>
    <w:rsid w:val="00D662A3"/>
    <w:rsid w:val="00D66334"/>
    <w:rsid w:val="00D664A4"/>
    <w:rsid w:val="00D6654E"/>
    <w:rsid w:val="00D669E1"/>
    <w:rsid w:val="00D66A1F"/>
    <w:rsid w:val="00D66A64"/>
    <w:rsid w:val="00D670ED"/>
    <w:rsid w:val="00D670F5"/>
    <w:rsid w:val="00D67144"/>
    <w:rsid w:val="00D671EA"/>
    <w:rsid w:val="00D674AA"/>
    <w:rsid w:val="00D67537"/>
    <w:rsid w:val="00D67574"/>
    <w:rsid w:val="00D67786"/>
    <w:rsid w:val="00D67831"/>
    <w:rsid w:val="00D679CD"/>
    <w:rsid w:val="00D67D95"/>
    <w:rsid w:val="00D67E88"/>
    <w:rsid w:val="00D70091"/>
    <w:rsid w:val="00D7042E"/>
    <w:rsid w:val="00D707FE"/>
    <w:rsid w:val="00D71749"/>
    <w:rsid w:val="00D71B95"/>
    <w:rsid w:val="00D72063"/>
    <w:rsid w:val="00D7215F"/>
    <w:rsid w:val="00D72593"/>
    <w:rsid w:val="00D725C5"/>
    <w:rsid w:val="00D728FB"/>
    <w:rsid w:val="00D72ACB"/>
    <w:rsid w:val="00D72BFC"/>
    <w:rsid w:val="00D73351"/>
    <w:rsid w:val="00D7407C"/>
    <w:rsid w:val="00D740FA"/>
    <w:rsid w:val="00D746C3"/>
    <w:rsid w:val="00D7478C"/>
    <w:rsid w:val="00D74B51"/>
    <w:rsid w:val="00D74E1C"/>
    <w:rsid w:val="00D74FD6"/>
    <w:rsid w:val="00D75082"/>
    <w:rsid w:val="00D7545D"/>
    <w:rsid w:val="00D757E5"/>
    <w:rsid w:val="00D75E3B"/>
    <w:rsid w:val="00D75E81"/>
    <w:rsid w:val="00D76277"/>
    <w:rsid w:val="00D7628E"/>
    <w:rsid w:val="00D7634B"/>
    <w:rsid w:val="00D76BCB"/>
    <w:rsid w:val="00D76CF1"/>
    <w:rsid w:val="00D76DF7"/>
    <w:rsid w:val="00D76EB8"/>
    <w:rsid w:val="00D76FF7"/>
    <w:rsid w:val="00D77220"/>
    <w:rsid w:val="00D77291"/>
    <w:rsid w:val="00D776B9"/>
    <w:rsid w:val="00D77D3D"/>
    <w:rsid w:val="00D80115"/>
    <w:rsid w:val="00D80409"/>
    <w:rsid w:val="00D806EB"/>
    <w:rsid w:val="00D80E01"/>
    <w:rsid w:val="00D81233"/>
    <w:rsid w:val="00D81A48"/>
    <w:rsid w:val="00D81D8B"/>
    <w:rsid w:val="00D81EC4"/>
    <w:rsid w:val="00D82109"/>
    <w:rsid w:val="00D82129"/>
    <w:rsid w:val="00D82150"/>
    <w:rsid w:val="00D822AF"/>
    <w:rsid w:val="00D828FF"/>
    <w:rsid w:val="00D82AAC"/>
    <w:rsid w:val="00D82ACD"/>
    <w:rsid w:val="00D82CCC"/>
    <w:rsid w:val="00D82D0E"/>
    <w:rsid w:val="00D83357"/>
    <w:rsid w:val="00D836FB"/>
    <w:rsid w:val="00D83835"/>
    <w:rsid w:val="00D838EF"/>
    <w:rsid w:val="00D83AB2"/>
    <w:rsid w:val="00D83D3D"/>
    <w:rsid w:val="00D83E0B"/>
    <w:rsid w:val="00D83E5A"/>
    <w:rsid w:val="00D84016"/>
    <w:rsid w:val="00D84497"/>
    <w:rsid w:val="00D84608"/>
    <w:rsid w:val="00D84BC4"/>
    <w:rsid w:val="00D84E95"/>
    <w:rsid w:val="00D85904"/>
    <w:rsid w:val="00D85D83"/>
    <w:rsid w:val="00D85F83"/>
    <w:rsid w:val="00D8630F"/>
    <w:rsid w:val="00D863D7"/>
    <w:rsid w:val="00D86609"/>
    <w:rsid w:val="00D86688"/>
    <w:rsid w:val="00D866F9"/>
    <w:rsid w:val="00D86817"/>
    <w:rsid w:val="00D8686B"/>
    <w:rsid w:val="00D86942"/>
    <w:rsid w:val="00D86C36"/>
    <w:rsid w:val="00D86C94"/>
    <w:rsid w:val="00D87692"/>
    <w:rsid w:val="00D879A1"/>
    <w:rsid w:val="00D879FA"/>
    <w:rsid w:val="00D90B5E"/>
    <w:rsid w:val="00D90EFB"/>
    <w:rsid w:val="00D91095"/>
    <w:rsid w:val="00D91221"/>
    <w:rsid w:val="00D917B9"/>
    <w:rsid w:val="00D91865"/>
    <w:rsid w:val="00D9191E"/>
    <w:rsid w:val="00D91A58"/>
    <w:rsid w:val="00D91C69"/>
    <w:rsid w:val="00D920EF"/>
    <w:rsid w:val="00D9277C"/>
    <w:rsid w:val="00D927E9"/>
    <w:rsid w:val="00D92B70"/>
    <w:rsid w:val="00D92D00"/>
    <w:rsid w:val="00D938A9"/>
    <w:rsid w:val="00D939A1"/>
    <w:rsid w:val="00D939B4"/>
    <w:rsid w:val="00D93A5B"/>
    <w:rsid w:val="00D94F8A"/>
    <w:rsid w:val="00D950CC"/>
    <w:rsid w:val="00D951A6"/>
    <w:rsid w:val="00D961A0"/>
    <w:rsid w:val="00D964CE"/>
    <w:rsid w:val="00D966B7"/>
    <w:rsid w:val="00D9680E"/>
    <w:rsid w:val="00D9684D"/>
    <w:rsid w:val="00D96AC1"/>
    <w:rsid w:val="00D96BE5"/>
    <w:rsid w:val="00D96C7B"/>
    <w:rsid w:val="00D97B68"/>
    <w:rsid w:val="00D97C28"/>
    <w:rsid w:val="00D97C5D"/>
    <w:rsid w:val="00D97F2D"/>
    <w:rsid w:val="00DA00FE"/>
    <w:rsid w:val="00DA0508"/>
    <w:rsid w:val="00DA0774"/>
    <w:rsid w:val="00DA0B79"/>
    <w:rsid w:val="00DA1027"/>
    <w:rsid w:val="00DA11F7"/>
    <w:rsid w:val="00DA1203"/>
    <w:rsid w:val="00DA13E3"/>
    <w:rsid w:val="00DA147B"/>
    <w:rsid w:val="00DA1C2B"/>
    <w:rsid w:val="00DA1C9A"/>
    <w:rsid w:val="00DA1FBB"/>
    <w:rsid w:val="00DA3227"/>
    <w:rsid w:val="00DA36E9"/>
    <w:rsid w:val="00DA3851"/>
    <w:rsid w:val="00DA3AB2"/>
    <w:rsid w:val="00DA3CF9"/>
    <w:rsid w:val="00DA4013"/>
    <w:rsid w:val="00DA433C"/>
    <w:rsid w:val="00DA45EC"/>
    <w:rsid w:val="00DA46DB"/>
    <w:rsid w:val="00DA46DF"/>
    <w:rsid w:val="00DA4BFC"/>
    <w:rsid w:val="00DA5057"/>
    <w:rsid w:val="00DA5520"/>
    <w:rsid w:val="00DA5734"/>
    <w:rsid w:val="00DA5C35"/>
    <w:rsid w:val="00DA5E0C"/>
    <w:rsid w:val="00DA5F4D"/>
    <w:rsid w:val="00DA606F"/>
    <w:rsid w:val="00DA60A9"/>
    <w:rsid w:val="00DA60D6"/>
    <w:rsid w:val="00DA6255"/>
    <w:rsid w:val="00DA62EF"/>
    <w:rsid w:val="00DA653F"/>
    <w:rsid w:val="00DA68C3"/>
    <w:rsid w:val="00DA6D86"/>
    <w:rsid w:val="00DA6F2B"/>
    <w:rsid w:val="00DA7512"/>
    <w:rsid w:val="00DA771C"/>
    <w:rsid w:val="00DA792E"/>
    <w:rsid w:val="00DA7971"/>
    <w:rsid w:val="00DA7ABB"/>
    <w:rsid w:val="00DA7E86"/>
    <w:rsid w:val="00DB00AA"/>
    <w:rsid w:val="00DB0398"/>
    <w:rsid w:val="00DB0526"/>
    <w:rsid w:val="00DB076C"/>
    <w:rsid w:val="00DB07BD"/>
    <w:rsid w:val="00DB0907"/>
    <w:rsid w:val="00DB0E48"/>
    <w:rsid w:val="00DB0F0B"/>
    <w:rsid w:val="00DB0FFA"/>
    <w:rsid w:val="00DB12FD"/>
    <w:rsid w:val="00DB1645"/>
    <w:rsid w:val="00DB1EFA"/>
    <w:rsid w:val="00DB200D"/>
    <w:rsid w:val="00DB26E3"/>
    <w:rsid w:val="00DB296F"/>
    <w:rsid w:val="00DB2D52"/>
    <w:rsid w:val="00DB3591"/>
    <w:rsid w:val="00DB380F"/>
    <w:rsid w:val="00DB39EE"/>
    <w:rsid w:val="00DB3CBF"/>
    <w:rsid w:val="00DB3FBD"/>
    <w:rsid w:val="00DB422D"/>
    <w:rsid w:val="00DB42E2"/>
    <w:rsid w:val="00DB4365"/>
    <w:rsid w:val="00DB4410"/>
    <w:rsid w:val="00DB453E"/>
    <w:rsid w:val="00DB474D"/>
    <w:rsid w:val="00DB4CAF"/>
    <w:rsid w:val="00DB4CD7"/>
    <w:rsid w:val="00DB4D3C"/>
    <w:rsid w:val="00DB5081"/>
    <w:rsid w:val="00DB520B"/>
    <w:rsid w:val="00DB59B3"/>
    <w:rsid w:val="00DB5CC9"/>
    <w:rsid w:val="00DB5D87"/>
    <w:rsid w:val="00DB5DCB"/>
    <w:rsid w:val="00DB5EEE"/>
    <w:rsid w:val="00DB5F3E"/>
    <w:rsid w:val="00DB639D"/>
    <w:rsid w:val="00DB6899"/>
    <w:rsid w:val="00DB6A94"/>
    <w:rsid w:val="00DB6D2D"/>
    <w:rsid w:val="00DB6D37"/>
    <w:rsid w:val="00DB6DD7"/>
    <w:rsid w:val="00DB6FE3"/>
    <w:rsid w:val="00DB713A"/>
    <w:rsid w:val="00DB749D"/>
    <w:rsid w:val="00DB7B78"/>
    <w:rsid w:val="00DB7E05"/>
    <w:rsid w:val="00DB7FDF"/>
    <w:rsid w:val="00DC023A"/>
    <w:rsid w:val="00DC0336"/>
    <w:rsid w:val="00DC03AD"/>
    <w:rsid w:val="00DC16B3"/>
    <w:rsid w:val="00DC19FB"/>
    <w:rsid w:val="00DC23C4"/>
    <w:rsid w:val="00DC283A"/>
    <w:rsid w:val="00DC2929"/>
    <w:rsid w:val="00DC294C"/>
    <w:rsid w:val="00DC3300"/>
    <w:rsid w:val="00DC35C1"/>
    <w:rsid w:val="00DC37E2"/>
    <w:rsid w:val="00DC38D4"/>
    <w:rsid w:val="00DC3FA6"/>
    <w:rsid w:val="00DC48FB"/>
    <w:rsid w:val="00DC528B"/>
    <w:rsid w:val="00DC542D"/>
    <w:rsid w:val="00DC5BF8"/>
    <w:rsid w:val="00DC5DB5"/>
    <w:rsid w:val="00DC6176"/>
    <w:rsid w:val="00DC6559"/>
    <w:rsid w:val="00DC65CC"/>
    <w:rsid w:val="00DC692E"/>
    <w:rsid w:val="00DC6B52"/>
    <w:rsid w:val="00DC6EFD"/>
    <w:rsid w:val="00DC6F0F"/>
    <w:rsid w:val="00DC7214"/>
    <w:rsid w:val="00DC74BD"/>
    <w:rsid w:val="00DC76EB"/>
    <w:rsid w:val="00DD066B"/>
    <w:rsid w:val="00DD06E3"/>
    <w:rsid w:val="00DD0AEE"/>
    <w:rsid w:val="00DD1412"/>
    <w:rsid w:val="00DD19E3"/>
    <w:rsid w:val="00DD1C17"/>
    <w:rsid w:val="00DD1F53"/>
    <w:rsid w:val="00DD20B8"/>
    <w:rsid w:val="00DD26E7"/>
    <w:rsid w:val="00DD2919"/>
    <w:rsid w:val="00DD2B04"/>
    <w:rsid w:val="00DD2C71"/>
    <w:rsid w:val="00DD2CD2"/>
    <w:rsid w:val="00DD2E46"/>
    <w:rsid w:val="00DD37AD"/>
    <w:rsid w:val="00DD398F"/>
    <w:rsid w:val="00DD39B1"/>
    <w:rsid w:val="00DD3A60"/>
    <w:rsid w:val="00DD3AAD"/>
    <w:rsid w:val="00DD3AD7"/>
    <w:rsid w:val="00DD3C77"/>
    <w:rsid w:val="00DD3C86"/>
    <w:rsid w:val="00DD3D8A"/>
    <w:rsid w:val="00DD3F60"/>
    <w:rsid w:val="00DD42D8"/>
    <w:rsid w:val="00DD44B9"/>
    <w:rsid w:val="00DD4DFA"/>
    <w:rsid w:val="00DD50E3"/>
    <w:rsid w:val="00DD51E9"/>
    <w:rsid w:val="00DD55E8"/>
    <w:rsid w:val="00DD570F"/>
    <w:rsid w:val="00DD5734"/>
    <w:rsid w:val="00DD5B0A"/>
    <w:rsid w:val="00DD5D1B"/>
    <w:rsid w:val="00DD5EBB"/>
    <w:rsid w:val="00DD61A3"/>
    <w:rsid w:val="00DD6571"/>
    <w:rsid w:val="00DD6909"/>
    <w:rsid w:val="00DD6E49"/>
    <w:rsid w:val="00DD70D1"/>
    <w:rsid w:val="00DD72C2"/>
    <w:rsid w:val="00DD740E"/>
    <w:rsid w:val="00DD7482"/>
    <w:rsid w:val="00DD7767"/>
    <w:rsid w:val="00DD7926"/>
    <w:rsid w:val="00DE05C1"/>
    <w:rsid w:val="00DE079A"/>
    <w:rsid w:val="00DE093A"/>
    <w:rsid w:val="00DE0A4A"/>
    <w:rsid w:val="00DE0BA2"/>
    <w:rsid w:val="00DE141B"/>
    <w:rsid w:val="00DE15CB"/>
    <w:rsid w:val="00DE1791"/>
    <w:rsid w:val="00DE19C7"/>
    <w:rsid w:val="00DE1A18"/>
    <w:rsid w:val="00DE1B9F"/>
    <w:rsid w:val="00DE1D9E"/>
    <w:rsid w:val="00DE1F8D"/>
    <w:rsid w:val="00DE2020"/>
    <w:rsid w:val="00DE296E"/>
    <w:rsid w:val="00DE2A5B"/>
    <w:rsid w:val="00DE2C05"/>
    <w:rsid w:val="00DE2E75"/>
    <w:rsid w:val="00DE2F91"/>
    <w:rsid w:val="00DE3415"/>
    <w:rsid w:val="00DE34FC"/>
    <w:rsid w:val="00DE3A4B"/>
    <w:rsid w:val="00DE3A6F"/>
    <w:rsid w:val="00DE3B78"/>
    <w:rsid w:val="00DE3B8C"/>
    <w:rsid w:val="00DE3B97"/>
    <w:rsid w:val="00DE3F4F"/>
    <w:rsid w:val="00DE3F50"/>
    <w:rsid w:val="00DE4620"/>
    <w:rsid w:val="00DE473E"/>
    <w:rsid w:val="00DE4C45"/>
    <w:rsid w:val="00DE4EA8"/>
    <w:rsid w:val="00DE58B0"/>
    <w:rsid w:val="00DE5BEE"/>
    <w:rsid w:val="00DE6143"/>
    <w:rsid w:val="00DE6247"/>
    <w:rsid w:val="00DE66F5"/>
    <w:rsid w:val="00DE674C"/>
    <w:rsid w:val="00DE6DDB"/>
    <w:rsid w:val="00DE6F22"/>
    <w:rsid w:val="00DE703D"/>
    <w:rsid w:val="00DE7297"/>
    <w:rsid w:val="00DE7547"/>
    <w:rsid w:val="00DE76CA"/>
    <w:rsid w:val="00DE77A2"/>
    <w:rsid w:val="00DE77B4"/>
    <w:rsid w:val="00DE7C8E"/>
    <w:rsid w:val="00DE7E81"/>
    <w:rsid w:val="00DF02B7"/>
    <w:rsid w:val="00DF0318"/>
    <w:rsid w:val="00DF0809"/>
    <w:rsid w:val="00DF088B"/>
    <w:rsid w:val="00DF0BDC"/>
    <w:rsid w:val="00DF0DC2"/>
    <w:rsid w:val="00DF1ACA"/>
    <w:rsid w:val="00DF1B0E"/>
    <w:rsid w:val="00DF1F83"/>
    <w:rsid w:val="00DF2722"/>
    <w:rsid w:val="00DF275A"/>
    <w:rsid w:val="00DF36B1"/>
    <w:rsid w:val="00DF37E1"/>
    <w:rsid w:val="00DF37F8"/>
    <w:rsid w:val="00DF383A"/>
    <w:rsid w:val="00DF38AF"/>
    <w:rsid w:val="00DF3A89"/>
    <w:rsid w:val="00DF497D"/>
    <w:rsid w:val="00DF4C3A"/>
    <w:rsid w:val="00DF4CE5"/>
    <w:rsid w:val="00DF501E"/>
    <w:rsid w:val="00DF50A7"/>
    <w:rsid w:val="00DF5524"/>
    <w:rsid w:val="00DF5873"/>
    <w:rsid w:val="00DF5A17"/>
    <w:rsid w:val="00DF5BFF"/>
    <w:rsid w:val="00DF6013"/>
    <w:rsid w:val="00DF6087"/>
    <w:rsid w:val="00DF64D0"/>
    <w:rsid w:val="00DF68BC"/>
    <w:rsid w:val="00DF6B9C"/>
    <w:rsid w:val="00DF6C72"/>
    <w:rsid w:val="00DF7296"/>
    <w:rsid w:val="00DF7304"/>
    <w:rsid w:val="00DF7545"/>
    <w:rsid w:val="00DF75A4"/>
    <w:rsid w:val="00DF75EE"/>
    <w:rsid w:val="00DF76EF"/>
    <w:rsid w:val="00DF783A"/>
    <w:rsid w:val="00DF7E1F"/>
    <w:rsid w:val="00E00048"/>
    <w:rsid w:val="00E005A9"/>
    <w:rsid w:val="00E006E2"/>
    <w:rsid w:val="00E0075C"/>
    <w:rsid w:val="00E007A3"/>
    <w:rsid w:val="00E008DF"/>
    <w:rsid w:val="00E00E4A"/>
    <w:rsid w:val="00E014CE"/>
    <w:rsid w:val="00E0166F"/>
    <w:rsid w:val="00E0168A"/>
    <w:rsid w:val="00E019A0"/>
    <w:rsid w:val="00E01A1C"/>
    <w:rsid w:val="00E01ABE"/>
    <w:rsid w:val="00E01FCC"/>
    <w:rsid w:val="00E02141"/>
    <w:rsid w:val="00E021BC"/>
    <w:rsid w:val="00E02332"/>
    <w:rsid w:val="00E02851"/>
    <w:rsid w:val="00E02A41"/>
    <w:rsid w:val="00E02B7D"/>
    <w:rsid w:val="00E03134"/>
    <w:rsid w:val="00E0340D"/>
    <w:rsid w:val="00E03B87"/>
    <w:rsid w:val="00E042ED"/>
    <w:rsid w:val="00E04325"/>
    <w:rsid w:val="00E043D7"/>
    <w:rsid w:val="00E044AA"/>
    <w:rsid w:val="00E04541"/>
    <w:rsid w:val="00E0466E"/>
    <w:rsid w:val="00E04705"/>
    <w:rsid w:val="00E04BE4"/>
    <w:rsid w:val="00E04CD4"/>
    <w:rsid w:val="00E04E30"/>
    <w:rsid w:val="00E05216"/>
    <w:rsid w:val="00E05290"/>
    <w:rsid w:val="00E054A8"/>
    <w:rsid w:val="00E0626D"/>
    <w:rsid w:val="00E06275"/>
    <w:rsid w:val="00E06394"/>
    <w:rsid w:val="00E0690F"/>
    <w:rsid w:val="00E069AF"/>
    <w:rsid w:val="00E06F76"/>
    <w:rsid w:val="00E07095"/>
    <w:rsid w:val="00E0719E"/>
    <w:rsid w:val="00E07471"/>
    <w:rsid w:val="00E078B7"/>
    <w:rsid w:val="00E079FE"/>
    <w:rsid w:val="00E07AD5"/>
    <w:rsid w:val="00E07EEA"/>
    <w:rsid w:val="00E1017F"/>
    <w:rsid w:val="00E106E1"/>
    <w:rsid w:val="00E10ED3"/>
    <w:rsid w:val="00E10F74"/>
    <w:rsid w:val="00E110BF"/>
    <w:rsid w:val="00E110DA"/>
    <w:rsid w:val="00E111E1"/>
    <w:rsid w:val="00E113DE"/>
    <w:rsid w:val="00E11703"/>
    <w:rsid w:val="00E1198C"/>
    <w:rsid w:val="00E119EE"/>
    <w:rsid w:val="00E11A22"/>
    <w:rsid w:val="00E11AB8"/>
    <w:rsid w:val="00E11BFA"/>
    <w:rsid w:val="00E11F08"/>
    <w:rsid w:val="00E1225E"/>
    <w:rsid w:val="00E12642"/>
    <w:rsid w:val="00E127F4"/>
    <w:rsid w:val="00E12FD5"/>
    <w:rsid w:val="00E1307A"/>
    <w:rsid w:val="00E13143"/>
    <w:rsid w:val="00E133E6"/>
    <w:rsid w:val="00E1355D"/>
    <w:rsid w:val="00E13705"/>
    <w:rsid w:val="00E13738"/>
    <w:rsid w:val="00E13B03"/>
    <w:rsid w:val="00E1403B"/>
    <w:rsid w:val="00E144D4"/>
    <w:rsid w:val="00E14634"/>
    <w:rsid w:val="00E14C6C"/>
    <w:rsid w:val="00E14DE6"/>
    <w:rsid w:val="00E14FC2"/>
    <w:rsid w:val="00E15188"/>
    <w:rsid w:val="00E15799"/>
    <w:rsid w:val="00E15C05"/>
    <w:rsid w:val="00E15E26"/>
    <w:rsid w:val="00E15F61"/>
    <w:rsid w:val="00E160EC"/>
    <w:rsid w:val="00E162FE"/>
    <w:rsid w:val="00E166FB"/>
    <w:rsid w:val="00E168A9"/>
    <w:rsid w:val="00E16FA9"/>
    <w:rsid w:val="00E17047"/>
    <w:rsid w:val="00E17053"/>
    <w:rsid w:val="00E17530"/>
    <w:rsid w:val="00E1756C"/>
    <w:rsid w:val="00E17659"/>
    <w:rsid w:val="00E177F7"/>
    <w:rsid w:val="00E1788A"/>
    <w:rsid w:val="00E1798B"/>
    <w:rsid w:val="00E17A1C"/>
    <w:rsid w:val="00E17E42"/>
    <w:rsid w:val="00E203B7"/>
    <w:rsid w:val="00E205FE"/>
    <w:rsid w:val="00E2078B"/>
    <w:rsid w:val="00E20D08"/>
    <w:rsid w:val="00E210B2"/>
    <w:rsid w:val="00E213FA"/>
    <w:rsid w:val="00E21AE9"/>
    <w:rsid w:val="00E22869"/>
    <w:rsid w:val="00E22CEE"/>
    <w:rsid w:val="00E22EF5"/>
    <w:rsid w:val="00E2302B"/>
    <w:rsid w:val="00E2314E"/>
    <w:rsid w:val="00E231E8"/>
    <w:rsid w:val="00E23549"/>
    <w:rsid w:val="00E23616"/>
    <w:rsid w:val="00E23F99"/>
    <w:rsid w:val="00E23FBA"/>
    <w:rsid w:val="00E2410D"/>
    <w:rsid w:val="00E2430A"/>
    <w:rsid w:val="00E244C6"/>
    <w:rsid w:val="00E24628"/>
    <w:rsid w:val="00E2482A"/>
    <w:rsid w:val="00E24977"/>
    <w:rsid w:val="00E24B69"/>
    <w:rsid w:val="00E24BEA"/>
    <w:rsid w:val="00E2500F"/>
    <w:rsid w:val="00E251E2"/>
    <w:rsid w:val="00E252A7"/>
    <w:rsid w:val="00E2543C"/>
    <w:rsid w:val="00E254BC"/>
    <w:rsid w:val="00E256E0"/>
    <w:rsid w:val="00E257EA"/>
    <w:rsid w:val="00E25C1B"/>
    <w:rsid w:val="00E25C75"/>
    <w:rsid w:val="00E26299"/>
    <w:rsid w:val="00E2675C"/>
    <w:rsid w:val="00E2677E"/>
    <w:rsid w:val="00E26ABC"/>
    <w:rsid w:val="00E275C4"/>
    <w:rsid w:val="00E2776D"/>
    <w:rsid w:val="00E277B6"/>
    <w:rsid w:val="00E3041B"/>
    <w:rsid w:val="00E30436"/>
    <w:rsid w:val="00E304BD"/>
    <w:rsid w:val="00E3075F"/>
    <w:rsid w:val="00E30956"/>
    <w:rsid w:val="00E30B3E"/>
    <w:rsid w:val="00E30C27"/>
    <w:rsid w:val="00E30C5C"/>
    <w:rsid w:val="00E310B3"/>
    <w:rsid w:val="00E3119F"/>
    <w:rsid w:val="00E31507"/>
    <w:rsid w:val="00E3169C"/>
    <w:rsid w:val="00E31827"/>
    <w:rsid w:val="00E3182E"/>
    <w:rsid w:val="00E3186E"/>
    <w:rsid w:val="00E31C35"/>
    <w:rsid w:val="00E31E20"/>
    <w:rsid w:val="00E31EE1"/>
    <w:rsid w:val="00E31F7C"/>
    <w:rsid w:val="00E32381"/>
    <w:rsid w:val="00E326B3"/>
    <w:rsid w:val="00E32DCD"/>
    <w:rsid w:val="00E32F4A"/>
    <w:rsid w:val="00E330EC"/>
    <w:rsid w:val="00E33150"/>
    <w:rsid w:val="00E331E3"/>
    <w:rsid w:val="00E33896"/>
    <w:rsid w:val="00E33D3A"/>
    <w:rsid w:val="00E344C2"/>
    <w:rsid w:val="00E34593"/>
    <w:rsid w:val="00E34778"/>
    <w:rsid w:val="00E347DF"/>
    <w:rsid w:val="00E34B06"/>
    <w:rsid w:val="00E34B0B"/>
    <w:rsid w:val="00E34D61"/>
    <w:rsid w:val="00E34F30"/>
    <w:rsid w:val="00E35141"/>
    <w:rsid w:val="00E35155"/>
    <w:rsid w:val="00E3564C"/>
    <w:rsid w:val="00E357A3"/>
    <w:rsid w:val="00E35CB0"/>
    <w:rsid w:val="00E35F0C"/>
    <w:rsid w:val="00E35F76"/>
    <w:rsid w:val="00E36046"/>
    <w:rsid w:val="00E3644E"/>
    <w:rsid w:val="00E36466"/>
    <w:rsid w:val="00E36541"/>
    <w:rsid w:val="00E36550"/>
    <w:rsid w:val="00E374DA"/>
    <w:rsid w:val="00E375DE"/>
    <w:rsid w:val="00E37A3C"/>
    <w:rsid w:val="00E37B1C"/>
    <w:rsid w:val="00E37E86"/>
    <w:rsid w:val="00E40010"/>
    <w:rsid w:val="00E40544"/>
    <w:rsid w:val="00E405B5"/>
    <w:rsid w:val="00E4062E"/>
    <w:rsid w:val="00E40857"/>
    <w:rsid w:val="00E40986"/>
    <w:rsid w:val="00E40A92"/>
    <w:rsid w:val="00E40A97"/>
    <w:rsid w:val="00E40ABB"/>
    <w:rsid w:val="00E40B7C"/>
    <w:rsid w:val="00E40F69"/>
    <w:rsid w:val="00E4150B"/>
    <w:rsid w:val="00E41692"/>
    <w:rsid w:val="00E418BD"/>
    <w:rsid w:val="00E41967"/>
    <w:rsid w:val="00E41A1C"/>
    <w:rsid w:val="00E4228E"/>
    <w:rsid w:val="00E422EA"/>
    <w:rsid w:val="00E4275E"/>
    <w:rsid w:val="00E4277C"/>
    <w:rsid w:val="00E429A4"/>
    <w:rsid w:val="00E42A95"/>
    <w:rsid w:val="00E42D50"/>
    <w:rsid w:val="00E431D2"/>
    <w:rsid w:val="00E431F6"/>
    <w:rsid w:val="00E43371"/>
    <w:rsid w:val="00E4386B"/>
    <w:rsid w:val="00E43F4D"/>
    <w:rsid w:val="00E44139"/>
    <w:rsid w:val="00E44922"/>
    <w:rsid w:val="00E4541D"/>
    <w:rsid w:val="00E45519"/>
    <w:rsid w:val="00E455AD"/>
    <w:rsid w:val="00E45A32"/>
    <w:rsid w:val="00E461F2"/>
    <w:rsid w:val="00E46604"/>
    <w:rsid w:val="00E46777"/>
    <w:rsid w:val="00E46876"/>
    <w:rsid w:val="00E468F8"/>
    <w:rsid w:val="00E46E1B"/>
    <w:rsid w:val="00E46E93"/>
    <w:rsid w:val="00E46F33"/>
    <w:rsid w:val="00E476B3"/>
    <w:rsid w:val="00E4776E"/>
    <w:rsid w:val="00E477E1"/>
    <w:rsid w:val="00E47AB2"/>
    <w:rsid w:val="00E47EB7"/>
    <w:rsid w:val="00E47F8A"/>
    <w:rsid w:val="00E500CD"/>
    <w:rsid w:val="00E50899"/>
    <w:rsid w:val="00E50A05"/>
    <w:rsid w:val="00E50D2A"/>
    <w:rsid w:val="00E51028"/>
    <w:rsid w:val="00E51851"/>
    <w:rsid w:val="00E5199D"/>
    <w:rsid w:val="00E51E76"/>
    <w:rsid w:val="00E521FC"/>
    <w:rsid w:val="00E524F8"/>
    <w:rsid w:val="00E52D13"/>
    <w:rsid w:val="00E52D62"/>
    <w:rsid w:val="00E5342A"/>
    <w:rsid w:val="00E538B2"/>
    <w:rsid w:val="00E53D20"/>
    <w:rsid w:val="00E53E76"/>
    <w:rsid w:val="00E5411C"/>
    <w:rsid w:val="00E5421A"/>
    <w:rsid w:val="00E542FB"/>
    <w:rsid w:val="00E544D4"/>
    <w:rsid w:val="00E54599"/>
    <w:rsid w:val="00E545B1"/>
    <w:rsid w:val="00E54837"/>
    <w:rsid w:val="00E54B78"/>
    <w:rsid w:val="00E54C90"/>
    <w:rsid w:val="00E54E6E"/>
    <w:rsid w:val="00E5551D"/>
    <w:rsid w:val="00E55F25"/>
    <w:rsid w:val="00E55F7A"/>
    <w:rsid w:val="00E56003"/>
    <w:rsid w:val="00E5610A"/>
    <w:rsid w:val="00E56346"/>
    <w:rsid w:val="00E5668A"/>
    <w:rsid w:val="00E5685D"/>
    <w:rsid w:val="00E56C24"/>
    <w:rsid w:val="00E56D7E"/>
    <w:rsid w:val="00E56E5E"/>
    <w:rsid w:val="00E57009"/>
    <w:rsid w:val="00E57349"/>
    <w:rsid w:val="00E579F6"/>
    <w:rsid w:val="00E57E1A"/>
    <w:rsid w:val="00E600A2"/>
    <w:rsid w:val="00E605A3"/>
    <w:rsid w:val="00E60AC6"/>
    <w:rsid w:val="00E60E5D"/>
    <w:rsid w:val="00E6100A"/>
    <w:rsid w:val="00E61051"/>
    <w:rsid w:val="00E613A1"/>
    <w:rsid w:val="00E61463"/>
    <w:rsid w:val="00E619BC"/>
    <w:rsid w:val="00E61B92"/>
    <w:rsid w:val="00E61BBD"/>
    <w:rsid w:val="00E61C3E"/>
    <w:rsid w:val="00E61EA4"/>
    <w:rsid w:val="00E61FAB"/>
    <w:rsid w:val="00E6208B"/>
    <w:rsid w:val="00E621A2"/>
    <w:rsid w:val="00E6223B"/>
    <w:rsid w:val="00E6262A"/>
    <w:rsid w:val="00E62664"/>
    <w:rsid w:val="00E62ED1"/>
    <w:rsid w:val="00E62FF3"/>
    <w:rsid w:val="00E6308C"/>
    <w:rsid w:val="00E63415"/>
    <w:rsid w:val="00E635A5"/>
    <w:rsid w:val="00E6373E"/>
    <w:rsid w:val="00E641C7"/>
    <w:rsid w:val="00E641DF"/>
    <w:rsid w:val="00E64292"/>
    <w:rsid w:val="00E64AE8"/>
    <w:rsid w:val="00E64D31"/>
    <w:rsid w:val="00E65197"/>
    <w:rsid w:val="00E65D16"/>
    <w:rsid w:val="00E65EC5"/>
    <w:rsid w:val="00E65EDC"/>
    <w:rsid w:val="00E65EEC"/>
    <w:rsid w:val="00E6609B"/>
    <w:rsid w:val="00E660CD"/>
    <w:rsid w:val="00E663CB"/>
    <w:rsid w:val="00E6651F"/>
    <w:rsid w:val="00E6663A"/>
    <w:rsid w:val="00E671B1"/>
    <w:rsid w:val="00E672CE"/>
    <w:rsid w:val="00E6788B"/>
    <w:rsid w:val="00E679AE"/>
    <w:rsid w:val="00E67A47"/>
    <w:rsid w:val="00E67CD1"/>
    <w:rsid w:val="00E67EAD"/>
    <w:rsid w:val="00E67FBE"/>
    <w:rsid w:val="00E70D8A"/>
    <w:rsid w:val="00E70DE2"/>
    <w:rsid w:val="00E70E24"/>
    <w:rsid w:val="00E710D7"/>
    <w:rsid w:val="00E71652"/>
    <w:rsid w:val="00E718F4"/>
    <w:rsid w:val="00E71A25"/>
    <w:rsid w:val="00E71B71"/>
    <w:rsid w:val="00E71BF4"/>
    <w:rsid w:val="00E71CEE"/>
    <w:rsid w:val="00E71EA2"/>
    <w:rsid w:val="00E71EC5"/>
    <w:rsid w:val="00E72030"/>
    <w:rsid w:val="00E72128"/>
    <w:rsid w:val="00E723D1"/>
    <w:rsid w:val="00E7242B"/>
    <w:rsid w:val="00E7267C"/>
    <w:rsid w:val="00E72ADA"/>
    <w:rsid w:val="00E72C02"/>
    <w:rsid w:val="00E72C86"/>
    <w:rsid w:val="00E72E4F"/>
    <w:rsid w:val="00E730B3"/>
    <w:rsid w:val="00E73412"/>
    <w:rsid w:val="00E73D4E"/>
    <w:rsid w:val="00E74003"/>
    <w:rsid w:val="00E7471B"/>
    <w:rsid w:val="00E747CD"/>
    <w:rsid w:val="00E749E4"/>
    <w:rsid w:val="00E7529D"/>
    <w:rsid w:val="00E7537B"/>
    <w:rsid w:val="00E7553B"/>
    <w:rsid w:val="00E75B0E"/>
    <w:rsid w:val="00E75ED9"/>
    <w:rsid w:val="00E75FC7"/>
    <w:rsid w:val="00E76062"/>
    <w:rsid w:val="00E7608F"/>
    <w:rsid w:val="00E76230"/>
    <w:rsid w:val="00E76A7D"/>
    <w:rsid w:val="00E76AD0"/>
    <w:rsid w:val="00E777B8"/>
    <w:rsid w:val="00E777E5"/>
    <w:rsid w:val="00E77841"/>
    <w:rsid w:val="00E77949"/>
    <w:rsid w:val="00E77E98"/>
    <w:rsid w:val="00E80053"/>
    <w:rsid w:val="00E8150C"/>
    <w:rsid w:val="00E81908"/>
    <w:rsid w:val="00E81FDC"/>
    <w:rsid w:val="00E82005"/>
    <w:rsid w:val="00E8202F"/>
    <w:rsid w:val="00E820BC"/>
    <w:rsid w:val="00E820CF"/>
    <w:rsid w:val="00E821B1"/>
    <w:rsid w:val="00E82475"/>
    <w:rsid w:val="00E82560"/>
    <w:rsid w:val="00E827CC"/>
    <w:rsid w:val="00E82A38"/>
    <w:rsid w:val="00E82EB8"/>
    <w:rsid w:val="00E82F3B"/>
    <w:rsid w:val="00E83139"/>
    <w:rsid w:val="00E83411"/>
    <w:rsid w:val="00E836A2"/>
    <w:rsid w:val="00E8391B"/>
    <w:rsid w:val="00E83B3F"/>
    <w:rsid w:val="00E83BE1"/>
    <w:rsid w:val="00E84022"/>
    <w:rsid w:val="00E842EA"/>
    <w:rsid w:val="00E84594"/>
    <w:rsid w:val="00E84C91"/>
    <w:rsid w:val="00E84D3A"/>
    <w:rsid w:val="00E84E77"/>
    <w:rsid w:val="00E8538A"/>
    <w:rsid w:val="00E854DC"/>
    <w:rsid w:val="00E856DD"/>
    <w:rsid w:val="00E856E5"/>
    <w:rsid w:val="00E8582D"/>
    <w:rsid w:val="00E8596B"/>
    <w:rsid w:val="00E85EF6"/>
    <w:rsid w:val="00E8601F"/>
    <w:rsid w:val="00E86310"/>
    <w:rsid w:val="00E8681A"/>
    <w:rsid w:val="00E86957"/>
    <w:rsid w:val="00E86B68"/>
    <w:rsid w:val="00E86B72"/>
    <w:rsid w:val="00E86BED"/>
    <w:rsid w:val="00E86BF2"/>
    <w:rsid w:val="00E86CC8"/>
    <w:rsid w:val="00E87015"/>
    <w:rsid w:val="00E87452"/>
    <w:rsid w:val="00E876BB"/>
    <w:rsid w:val="00E876F2"/>
    <w:rsid w:val="00E877A4"/>
    <w:rsid w:val="00E8791B"/>
    <w:rsid w:val="00E87BC6"/>
    <w:rsid w:val="00E87E03"/>
    <w:rsid w:val="00E87F7D"/>
    <w:rsid w:val="00E90313"/>
    <w:rsid w:val="00E9037D"/>
    <w:rsid w:val="00E90429"/>
    <w:rsid w:val="00E905F6"/>
    <w:rsid w:val="00E90839"/>
    <w:rsid w:val="00E908DD"/>
    <w:rsid w:val="00E909AD"/>
    <w:rsid w:val="00E90A27"/>
    <w:rsid w:val="00E90B96"/>
    <w:rsid w:val="00E90D7C"/>
    <w:rsid w:val="00E90F48"/>
    <w:rsid w:val="00E90FA5"/>
    <w:rsid w:val="00E9130F"/>
    <w:rsid w:val="00E918D8"/>
    <w:rsid w:val="00E918DD"/>
    <w:rsid w:val="00E91AD3"/>
    <w:rsid w:val="00E91AFF"/>
    <w:rsid w:val="00E91CFF"/>
    <w:rsid w:val="00E91E69"/>
    <w:rsid w:val="00E91E6E"/>
    <w:rsid w:val="00E9296B"/>
    <w:rsid w:val="00E92AD3"/>
    <w:rsid w:val="00E92B19"/>
    <w:rsid w:val="00E93271"/>
    <w:rsid w:val="00E93305"/>
    <w:rsid w:val="00E93411"/>
    <w:rsid w:val="00E935FA"/>
    <w:rsid w:val="00E939F5"/>
    <w:rsid w:val="00E93B6C"/>
    <w:rsid w:val="00E93CAD"/>
    <w:rsid w:val="00E93E17"/>
    <w:rsid w:val="00E93FA7"/>
    <w:rsid w:val="00E94937"/>
    <w:rsid w:val="00E94AD1"/>
    <w:rsid w:val="00E94E67"/>
    <w:rsid w:val="00E958C1"/>
    <w:rsid w:val="00E95936"/>
    <w:rsid w:val="00E95D0C"/>
    <w:rsid w:val="00E96519"/>
    <w:rsid w:val="00E96975"/>
    <w:rsid w:val="00E96CF2"/>
    <w:rsid w:val="00E970AF"/>
    <w:rsid w:val="00E97171"/>
    <w:rsid w:val="00E9733E"/>
    <w:rsid w:val="00E97621"/>
    <w:rsid w:val="00E97629"/>
    <w:rsid w:val="00E97747"/>
    <w:rsid w:val="00E978EB"/>
    <w:rsid w:val="00E97B05"/>
    <w:rsid w:val="00E97C80"/>
    <w:rsid w:val="00E97E3E"/>
    <w:rsid w:val="00EA088D"/>
    <w:rsid w:val="00EA09B7"/>
    <w:rsid w:val="00EA0AC6"/>
    <w:rsid w:val="00EA0D2E"/>
    <w:rsid w:val="00EA1CD4"/>
    <w:rsid w:val="00EA20A7"/>
    <w:rsid w:val="00EA20B6"/>
    <w:rsid w:val="00EA23B1"/>
    <w:rsid w:val="00EA2419"/>
    <w:rsid w:val="00EA261A"/>
    <w:rsid w:val="00EA26F1"/>
    <w:rsid w:val="00EA27A9"/>
    <w:rsid w:val="00EA27E4"/>
    <w:rsid w:val="00EA27FD"/>
    <w:rsid w:val="00EA2BC4"/>
    <w:rsid w:val="00EA2DCB"/>
    <w:rsid w:val="00EA2E92"/>
    <w:rsid w:val="00EA2ECB"/>
    <w:rsid w:val="00EA2F47"/>
    <w:rsid w:val="00EA3056"/>
    <w:rsid w:val="00EA30CA"/>
    <w:rsid w:val="00EA31F9"/>
    <w:rsid w:val="00EA34C3"/>
    <w:rsid w:val="00EA359C"/>
    <w:rsid w:val="00EA3A6C"/>
    <w:rsid w:val="00EA3E8D"/>
    <w:rsid w:val="00EA3F11"/>
    <w:rsid w:val="00EA47F1"/>
    <w:rsid w:val="00EA4808"/>
    <w:rsid w:val="00EA4A4A"/>
    <w:rsid w:val="00EA4B84"/>
    <w:rsid w:val="00EA4CE3"/>
    <w:rsid w:val="00EA4D03"/>
    <w:rsid w:val="00EA4EFC"/>
    <w:rsid w:val="00EA4F11"/>
    <w:rsid w:val="00EA4F63"/>
    <w:rsid w:val="00EA508E"/>
    <w:rsid w:val="00EA5246"/>
    <w:rsid w:val="00EA5427"/>
    <w:rsid w:val="00EA57F9"/>
    <w:rsid w:val="00EA580F"/>
    <w:rsid w:val="00EA5AB5"/>
    <w:rsid w:val="00EA5BDA"/>
    <w:rsid w:val="00EA5BFA"/>
    <w:rsid w:val="00EA5D3C"/>
    <w:rsid w:val="00EA5F3C"/>
    <w:rsid w:val="00EA5F4D"/>
    <w:rsid w:val="00EA613B"/>
    <w:rsid w:val="00EA642A"/>
    <w:rsid w:val="00EA6537"/>
    <w:rsid w:val="00EA6E43"/>
    <w:rsid w:val="00EA6EE2"/>
    <w:rsid w:val="00EA7731"/>
    <w:rsid w:val="00EA7BCF"/>
    <w:rsid w:val="00EA7E0C"/>
    <w:rsid w:val="00EA7FBF"/>
    <w:rsid w:val="00EB023D"/>
    <w:rsid w:val="00EB1A5F"/>
    <w:rsid w:val="00EB1AE6"/>
    <w:rsid w:val="00EB1F47"/>
    <w:rsid w:val="00EB23B2"/>
    <w:rsid w:val="00EB2771"/>
    <w:rsid w:val="00EB27F5"/>
    <w:rsid w:val="00EB30AA"/>
    <w:rsid w:val="00EB30E3"/>
    <w:rsid w:val="00EB31C5"/>
    <w:rsid w:val="00EB3F81"/>
    <w:rsid w:val="00EB4078"/>
    <w:rsid w:val="00EB485D"/>
    <w:rsid w:val="00EB489E"/>
    <w:rsid w:val="00EB48D9"/>
    <w:rsid w:val="00EB4A97"/>
    <w:rsid w:val="00EB4AAE"/>
    <w:rsid w:val="00EB4AE5"/>
    <w:rsid w:val="00EB4B06"/>
    <w:rsid w:val="00EB4E77"/>
    <w:rsid w:val="00EB53E9"/>
    <w:rsid w:val="00EB5567"/>
    <w:rsid w:val="00EB55C1"/>
    <w:rsid w:val="00EB56C3"/>
    <w:rsid w:val="00EB578E"/>
    <w:rsid w:val="00EB5A47"/>
    <w:rsid w:val="00EB60EB"/>
    <w:rsid w:val="00EB6210"/>
    <w:rsid w:val="00EB6226"/>
    <w:rsid w:val="00EB62FB"/>
    <w:rsid w:val="00EB63D8"/>
    <w:rsid w:val="00EB63ED"/>
    <w:rsid w:val="00EB6571"/>
    <w:rsid w:val="00EB6993"/>
    <w:rsid w:val="00EB6C76"/>
    <w:rsid w:val="00EB6F76"/>
    <w:rsid w:val="00EB6FF8"/>
    <w:rsid w:val="00EB70EB"/>
    <w:rsid w:val="00EB7877"/>
    <w:rsid w:val="00EB79E6"/>
    <w:rsid w:val="00EB7C2B"/>
    <w:rsid w:val="00EB7E58"/>
    <w:rsid w:val="00EC0019"/>
    <w:rsid w:val="00EC021A"/>
    <w:rsid w:val="00EC023A"/>
    <w:rsid w:val="00EC03B0"/>
    <w:rsid w:val="00EC049B"/>
    <w:rsid w:val="00EC065C"/>
    <w:rsid w:val="00EC0C38"/>
    <w:rsid w:val="00EC1138"/>
    <w:rsid w:val="00EC14B4"/>
    <w:rsid w:val="00EC189C"/>
    <w:rsid w:val="00EC1CE5"/>
    <w:rsid w:val="00EC21AF"/>
    <w:rsid w:val="00EC22FE"/>
    <w:rsid w:val="00EC23F1"/>
    <w:rsid w:val="00EC246B"/>
    <w:rsid w:val="00EC28B4"/>
    <w:rsid w:val="00EC29D4"/>
    <w:rsid w:val="00EC2C6F"/>
    <w:rsid w:val="00EC2DB6"/>
    <w:rsid w:val="00EC2F0E"/>
    <w:rsid w:val="00EC2F76"/>
    <w:rsid w:val="00EC316D"/>
    <w:rsid w:val="00EC31FB"/>
    <w:rsid w:val="00EC3222"/>
    <w:rsid w:val="00EC354E"/>
    <w:rsid w:val="00EC36C1"/>
    <w:rsid w:val="00EC3B06"/>
    <w:rsid w:val="00EC3BAB"/>
    <w:rsid w:val="00EC3E05"/>
    <w:rsid w:val="00EC4257"/>
    <w:rsid w:val="00EC4CA2"/>
    <w:rsid w:val="00EC4D37"/>
    <w:rsid w:val="00EC53F1"/>
    <w:rsid w:val="00EC54B1"/>
    <w:rsid w:val="00EC593D"/>
    <w:rsid w:val="00EC5AD8"/>
    <w:rsid w:val="00EC5C64"/>
    <w:rsid w:val="00EC61A8"/>
    <w:rsid w:val="00EC65E2"/>
    <w:rsid w:val="00EC67F4"/>
    <w:rsid w:val="00EC6A92"/>
    <w:rsid w:val="00EC6B38"/>
    <w:rsid w:val="00EC6BDD"/>
    <w:rsid w:val="00EC6CD8"/>
    <w:rsid w:val="00EC7701"/>
    <w:rsid w:val="00EC795F"/>
    <w:rsid w:val="00EC7A36"/>
    <w:rsid w:val="00EC7DC0"/>
    <w:rsid w:val="00EC7E02"/>
    <w:rsid w:val="00ED0420"/>
    <w:rsid w:val="00ED048C"/>
    <w:rsid w:val="00ED0978"/>
    <w:rsid w:val="00ED0A33"/>
    <w:rsid w:val="00ED0BE3"/>
    <w:rsid w:val="00ED0F82"/>
    <w:rsid w:val="00ED1090"/>
    <w:rsid w:val="00ED1143"/>
    <w:rsid w:val="00ED1632"/>
    <w:rsid w:val="00ED184B"/>
    <w:rsid w:val="00ED1892"/>
    <w:rsid w:val="00ED1B1F"/>
    <w:rsid w:val="00ED1E56"/>
    <w:rsid w:val="00ED210A"/>
    <w:rsid w:val="00ED2198"/>
    <w:rsid w:val="00ED24EA"/>
    <w:rsid w:val="00ED252A"/>
    <w:rsid w:val="00ED281A"/>
    <w:rsid w:val="00ED2B9C"/>
    <w:rsid w:val="00ED2F2C"/>
    <w:rsid w:val="00ED3374"/>
    <w:rsid w:val="00ED3946"/>
    <w:rsid w:val="00ED3E46"/>
    <w:rsid w:val="00ED4161"/>
    <w:rsid w:val="00ED4287"/>
    <w:rsid w:val="00ED46E4"/>
    <w:rsid w:val="00ED4F8B"/>
    <w:rsid w:val="00ED51B8"/>
    <w:rsid w:val="00ED528F"/>
    <w:rsid w:val="00ED533D"/>
    <w:rsid w:val="00ED55A0"/>
    <w:rsid w:val="00ED59BE"/>
    <w:rsid w:val="00ED5D79"/>
    <w:rsid w:val="00ED5DEA"/>
    <w:rsid w:val="00ED5E8A"/>
    <w:rsid w:val="00ED6054"/>
    <w:rsid w:val="00ED61F5"/>
    <w:rsid w:val="00ED620B"/>
    <w:rsid w:val="00ED635A"/>
    <w:rsid w:val="00ED6531"/>
    <w:rsid w:val="00ED669B"/>
    <w:rsid w:val="00ED6734"/>
    <w:rsid w:val="00ED677C"/>
    <w:rsid w:val="00ED67AB"/>
    <w:rsid w:val="00ED689B"/>
    <w:rsid w:val="00ED691A"/>
    <w:rsid w:val="00ED69F5"/>
    <w:rsid w:val="00ED6A8A"/>
    <w:rsid w:val="00ED6C28"/>
    <w:rsid w:val="00ED6C3A"/>
    <w:rsid w:val="00ED6D7B"/>
    <w:rsid w:val="00ED71B2"/>
    <w:rsid w:val="00ED7358"/>
    <w:rsid w:val="00ED77E8"/>
    <w:rsid w:val="00EE002A"/>
    <w:rsid w:val="00EE0511"/>
    <w:rsid w:val="00EE07D7"/>
    <w:rsid w:val="00EE09DF"/>
    <w:rsid w:val="00EE0B54"/>
    <w:rsid w:val="00EE0FA1"/>
    <w:rsid w:val="00EE11C7"/>
    <w:rsid w:val="00EE13F1"/>
    <w:rsid w:val="00EE1EB1"/>
    <w:rsid w:val="00EE21DA"/>
    <w:rsid w:val="00EE23D3"/>
    <w:rsid w:val="00EE2446"/>
    <w:rsid w:val="00EE2489"/>
    <w:rsid w:val="00EE257F"/>
    <w:rsid w:val="00EE2706"/>
    <w:rsid w:val="00EE2F0C"/>
    <w:rsid w:val="00EE2F31"/>
    <w:rsid w:val="00EE310E"/>
    <w:rsid w:val="00EE3131"/>
    <w:rsid w:val="00EE3136"/>
    <w:rsid w:val="00EE3178"/>
    <w:rsid w:val="00EE37E3"/>
    <w:rsid w:val="00EE3A2A"/>
    <w:rsid w:val="00EE3A3D"/>
    <w:rsid w:val="00EE3D47"/>
    <w:rsid w:val="00EE3F07"/>
    <w:rsid w:val="00EE3FD7"/>
    <w:rsid w:val="00EE417F"/>
    <w:rsid w:val="00EE4A2E"/>
    <w:rsid w:val="00EE4F42"/>
    <w:rsid w:val="00EE5126"/>
    <w:rsid w:val="00EE5400"/>
    <w:rsid w:val="00EE540B"/>
    <w:rsid w:val="00EE58B1"/>
    <w:rsid w:val="00EE5C9C"/>
    <w:rsid w:val="00EE5D06"/>
    <w:rsid w:val="00EE606C"/>
    <w:rsid w:val="00EE6109"/>
    <w:rsid w:val="00EE6145"/>
    <w:rsid w:val="00EE6481"/>
    <w:rsid w:val="00EE64CA"/>
    <w:rsid w:val="00EE6B65"/>
    <w:rsid w:val="00EE6C03"/>
    <w:rsid w:val="00EE6D24"/>
    <w:rsid w:val="00EE6E0D"/>
    <w:rsid w:val="00EE74A8"/>
    <w:rsid w:val="00EE74C9"/>
    <w:rsid w:val="00EE76E9"/>
    <w:rsid w:val="00EE7A12"/>
    <w:rsid w:val="00EE7BD6"/>
    <w:rsid w:val="00EE7C37"/>
    <w:rsid w:val="00EF0B57"/>
    <w:rsid w:val="00EF0B6A"/>
    <w:rsid w:val="00EF0CBC"/>
    <w:rsid w:val="00EF0DAE"/>
    <w:rsid w:val="00EF1284"/>
    <w:rsid w:val="00EF1C75"/>
    <w:rsid w:val="00EF2211"/>
    <w:rsid w:val="00EF2307"/>
    <w:rsid w:val="00EF233E"/>
    <w:rsid w:val="00EF23B3"/>
    <w:rsid w:val="00EF241C"/>
    <w:rsid w:val="00EF2590"/>
    <w:rsid w:val="00EF28EC"/>
    <w:rsid w:val="00EF3195"/>
    <w:rsid w:val="00EF35F3"/>
    <w:rsid w:val="00EF3660"/>
    <w:rsid w:val="00EF3786"/>
    <w:rsid w:val="00EF3839"/>
    <w:rsid w:val="00EF3FCD"/>
    <w:rsid w:val="00EF40B3"/>
    <w:rsid w:val="00EF46D8"/>
    <w:rsid w:val="00EF495B"/>
    <w:rsid w:val="00EF4B2B"/>
    <w:rsid w:val="00EF4B9E"/>
    <w:rsid w:val="00EF4C56"/>
    <w:rsid w:val="00EF5903"/>
    <w:rsid w:val="00EF59BC"/>
    <w:rsid w:val="00EF5DEA"/>
    <w:rsid w:val="00EF617A"/>
    <w:rsid w:val="00EF660C"/>
    <w:rsid w:val="00EF66D5"/>
    <w:rsid w:val="00EF69A2"/>
    <w:rsid w:val="00EF6C33"/>
    <w:rsid w:val="00EF6C6C"/>
    <w:rsid w:val="00EF6D72"/>
    <w:rsid w:val="00EF6E0F"/>
    <w:rsid w:val="00EF704D"/>
    <w:rsid w:val="00EF750A"/>
    <w:rsid w:val="00EF7613"/>
    <w:rsid w:val="00EF7762"/>
    <w:rsid w:val="00EF7808"/>
    <w:rsid w:val="00EF7956"/>
    <w:rsid w:val="00EF79C0"/>
    <w:rsid w:val="00EF79C2"/>
    <w:rsid w:val="00EF7AD2"/>
    <w:rsid w:val="00EF7D11"/>
    <w:rsid w:val="00EF7F35"/>
    <w:rsid w:val="00F0028C"/>
    <w:rsid w:val="00F0051B"/>
    <w:rsid w:val="00F00644"/>
    <w:rsid w:val="00F00ACC"/>
    <w:rsid w:val="00F00AFE"/>
    <w:rsid w:val="00F00C98"/>
    <w:rsid w:val="00F01374"/>
    <w:rsid w:val="00F013E3"/>
    <w:rsid w:val="00F0184D"/>
    <w:rsid w:val="00F01864"/>
    <w:rsid w:val="00F018A8"/>
    <w:rsid w:val="00F01916"/>
    <w:rsid w:val="00F019A1"/>
    <w:rsid w:val="00F01A38"/>
    <w:rsid w:val="00F020A9"/>
    <w:rsid w:val="00F02207"/>
    <w:rsid w:val="00F02825"/>
    <w:rsid w:val="00F02A22"/>
    <w:rsid w:val="00F02DEF"/>
    <w:rsid w:val="00F02E8B"/>
    <w:rsid w:val="00F03116"/>
    <w:rsid w:val="00F0311A"/>
    <w:rsid w:val="00F03139"/>
    <w:rsid w:val="00F034BB"/>
    <w:rsid w:val="00F03C9D"/>
    <w:rsid w:val="00F04291"/>
    <w:rsid w:val="00F04ED4"/>
    <w:rsid w:val="00F0509C"/>
    <w:rsid w:val="00F0531C"/>
    <w:rsid w:val="00F0538D"/>
    <w:rsid w:val="00F053DC"/>
    <w:rsid w:val="00F0641F"/>
    <w:rsid w:val="00F06531"/>
    <w:rsid w:val="00F06785"/>
    <w:rsid w:val="00F06991"/>
    <w:rsid w:val="00F06ADA"/>
    <w:rsid w:val="00F06B5E"/>
    <w:rsid w:val="00F0703B"/>
    <w:rsid w:val="00F0716E"/>
    <w:rsid w:val="00F074F0"/>
    <w:rsid w:val="00F076D3"/>
    <w:rsid w:val="00F078B3"/>
    <w:rsid w:val="00F07ABF"/>
    <w:rsid w:val="00F07C3C"/>
    <w:rsid w:val="00F07EA6"/>
    <w:rsid w:val="00F10109"/>
    <w:rsid w:val="00F101D6"/>
    <w:rsid w:val="00F1039D"/>
    <w:rsid w:val="00F104A5"/>
    <w:rsid w:val="00F1085E"/>
    <w:rsid w:val="00F10C71"/>
    <w:rsid w:val="00F10DED"/>
    <w:rsid w:val="00F10F3C"/>
    <w:rsid w:val="00F10F40"/>
    <w:rsid w:val="00F1106E"/>
    <w:rsid w:val="00F1109F"/>
    <w:rsid w:val="00F11234"/>
    <w:rsid w:val="00F11307"/>
    <w:rsid w:val="00F11827"/>
    <w:rsid w:val="00F11AFC"/>
    <w:rsid w:val="00F11C08"/>
    <w:rsid w:val="00F11D87"/>
    <w:rsid w:val="00F11D91"/>
    <w:rsid w:val="00F120EA"/>
    <w:rsid w:val="00F12286"/>
    <w:rsid w:val="00F12332"/>
    <w:rsid w:val="00F123E0"/>
    <w:rsid w:val="00F12437"/>
    <w:rsid w:val="00F13155"/>
    <w:rsid w:val="00F13910"/>
    <w:rsid w:val="00F140D7"/>
    <w:rsid w:val="00F144F2"/>
    <w:rsid w:val="00F14D28"/>
    <w:rsid w:val="00F14E28"/>
    <w:rsid w:val="00F14E57"/>
    <w:rsid w:val="00F14F72"/>
    <w:rsid w:val="00F15070"/>
    <w:rsid w:val="00F15992"/>
    <w:rsid w:val="00F15EC7"/>
    <w:rsid w:val="00F162E7"/>
    <w:rsid w:val="00F16729"/>
    <w:rsid w:val="00F1688A"/>
    <w:rsid w:val="00F16B19"/>
    <w:rsid w:val="00F16EE4"/>
    <w:rsid w:val="00F16F51"/>
    <w:rsid w:val="00F16FCC"/>
    <w:rsid w:val="00F1729C"/>
    <w:rsid w:val="00F172DA"/>
    <w:rsid w:val="00F177F2"/>
    <w:rsid w:val="00F17830"/>
    <w:rsid w:val="00F1796F"/>
    <w:rsid w:val="00F17C93"/>
    <w:rsid w:val="00F17DD1"/>
    <w:rsid w:val="00F17E26"/>
    <w:rsid w:val="00F17FC6"/>
    <w:rsid w:val="00F201BA"/>
    <w:rsid w:val="00F202A2"/>
    <w:rsid w:val="00F2040D"/>
    <w:rsid w:val="00F20A2B"/>
    <w:rsid w:val="00F20D0A"/>
    <w:rsid w:val="00F20D72"/>
    <w:rsid w:val="00F21851"/>
    <w:rsid w:val="00F22390"/>
    <w:rsid w:val="00F22560"/>
    <w:rsid w:val="00F22782"/>
    <w:rsid w:val="00F228C5"/>
    <w:rsid w:val="00F22968"/>
    <w:rsid w:val="00F22B56"/>
    <w:rsid w:val="00F22B8C"/>
    <w:rsid w:val="00F22CE4"/>
    <w:rsid w:val="00F22D9B"/>
    <w:rsid w:val="00F22EC5"/>
    <w:rsid w:val="00F23089"/>
    <w:rsid w:val="00F230AE"/>
    <w:rsid w:val="00F230D1"/>
    <w:rsid w:val="00F23272"/>
    <w:rsid w:val="00F2329C"/>
    <w:rsid w:val="00F23752"/>
    <w:rsid w:val="00F238CC"/>
    <w:rsid w:val="00F239E1"/>
    <w:rsid w:val="00F23C72"/>
    <w:rsid w:val="00F23CA0"/>
    <w:rsid w:val="00F23DE1"/>
    <w:rsid w:val="00F2406C"/>
    <w:rsid w:val="00F24A51"/>
    <w:rsid w:val="00F24BF9"/>
    <w:rsid w:val="00F24EF9"/>
    <w:rsid w:val="00F2516B"/>
    <w:rsid w:val="00F254B2"/>
    <w:rsid w:val="00F2550D"/>
    <w:rsid w:val="00F25531"/>
    <w:rsid w:val="00F2571D"/>
    <w:rsid w:val="00F2580E"/>
    <w:rsid w:val="00F25860"/>
    <w:rsid w:val="00F26037"/>
    <w:rsid w:val="00F26490"/>
    <w:rsid w:val="00F26719"/>
    <w:rsid w:val="00F26817"/>
    <w:rsid w:val="00F2686C"/>
    <w:rsid w:val="00F268C0"/>
    <w:rsid w:val="00F26BE6"/>
    <w:rsid w:val="00F26C5D"/>
    <w:rsid w:val="00F26D96"/>
    <w:rsid w:val="00F27152"/>
    <w:rsid w:val="00F2735E"/>
    <w:rsid w:val="00F2751F"/>
    <w:rsid w:val="00F30123"/>
    <w:rsid w:val="00F30614"/>
    <w:rsid w:val="00F306FD"/>
    <w:rsid w:val="00F30906"/>
    <w:rsid w:val="00F30A29"/>
    <w:rsid w:val="00F30BA4"/>
    <w:rsid w:val="00F30D13"/>
    <w:rsid w:val="00F30F0A"/>
    <w:rsid w:val="00F30F4A"/>
    <w:rsid w:val="00F30F6A"/>
    <w:rsid w:val="00F30FA3"/>
    <w:rsid w:val="00F31774"/>
    <w:rsid w:val="00F3195F"/>
    <w:rsid w:val="00F320D4"/>
    <w:rsid w:val="00F3247A"/>
    <w:rsid w:val="00F325EF"/>
    <w:rsid w:val="00F325FC"/>
    <w:rsid w:val="00F32797"/>
    <w:rsid w:val="00F32FE0"/>
    <w:rsid w:val="00F3318B"/>
    <w:rsid w:val="00F334D9"/>
    <w:rsid w:val="00F3374A"/>
    <w:rsid w:val="00F3374D"/>
    <w:rsid w:val="00F33ABE"/>
    <w:rsid w:val="00F340C9"/>
    <w:rsid w:val="00F340E2"/>
    <w:rsid w:val="00F3421F"/>
    <w:rsid w:val="00F34240"/>
    <w:rsid w:val="00F344A7"/>
    <w:rsid w:val="00F3451B"/>
    <w:rsid w:val="00F345DB"/>
    <w:rsid w:val="00F34EFC"/>
    <w:rsid w:val="00F34FD8"/>
    <w:rsid w:val="00F3570D"/>
    <w:rsid w:val="00F35858"/>
    <w:rsid w:val="00F35BD2"/>
    <w:rsid w:val="00F35E1E"/>
    <w:rsid w:val="00F36235"/>
    <w:rsid w:val="00F3653E"/>
    <w:rsid w:val="00F36990"/>
    <w:rsid w:val="00F36C8A"/>
    <w:rsid w:val="00F37085"/>
    <w:rsid w:val="00F3749F"/>
    <w:rsid w:val="00F3799D"/>
    <w:rsid w:val="00F37B88"/>
    <w:rsid w:val="00F37C32"/>
    <w:rsid w:val="00F37C50"/>
    <w:rsid w:val="00F4044C"/>
    <w:rsid w:val="00F40529"/>
    <w:rsid w:val="00F4070C"/>
    <w:rsid w:val="00F40822"/>
    <w:rsid w:val="00F41098"/>
    <w:rsid w:val="00F41130"/>
    <w:rsid w:val="00F4156E"/>
    <w:rsid w:val="00F4182A"/>
    <w:rsid w:val="00F424C1"/>
    <w:rsid w:val="00F4259E"/>
    <w:rsid w:val="00F425AB"/>
    <w:rsid w:val="00F42D41"/>
    <w:rsid w:val="00F43245"/>
    <w:rsid w:val="00F432FF"/>
    <w:rsid w:val="00F4335D"/>
    <w:rsid w:val="00F43A35"/>
    <w:rsid w:val="00F43A50"/>
    <w:rsid w:val="00F43C62"/>
    <w:rsid w:val="00F43F19"/>
    <w:rsid w:val="00F43F41"/>
    <w:rsid w:val="00F44033"/>
    <w:rsid w:val="00F440F9"/>
    <w:rsid w:val="00F445F0"/>
    <w:rsid w:val="00F44671"/>
    <w:rsid w:val="00F4483A"/>
    <w:rsid w:val="00F44A56"/>
    <w:rsid w:val="00F453D9"/>
    <w:rsid w:val="00F45443"/>
    <w:rsid w:val="00F4578D"/>
    <w:rsid w:val="00F45B5E"/>
    <w:rsid w:val="00F45C45"/>
    <w:rsid w:val="00F45D48"/>
    <w:rsid w:val="00F45DB7"/>
    <w:rsid w:val="00F46216"/>
    <w:rsid w:val="00F46359"/>
    <w:rsid w:val="00F4651B"/>
    <w:rsid w:val="00F469AF"/>
    <w:rsid w:val="00F46C39"/>
    <w:rsid w:val="00F470AC"/>
    <w:rsid w:val="00F4713A"/>
    <w:rsid w:val="00F47150"/>
    <w:rsid w:val="00F472D8"/>
    <w:rsid w:val="00F47B05"/>
    <w:rsid w:val="00F47B55"/>
    <w:rsid w:val="00F47D13"/>
    <w:rsid w:val="00F47E17"/>
    <w:rsid w:val="00F47F13"/>
    <w:rsid w:val="00F50248"/>
    <w:rsid w:val="00F502A0"/>
    <w:rsid w:val="00F502B2"/>
    <w:rsid w:val="00F502F8"/>
    <w:rsid w:val="00F50936"/>
    <w:rsid w:val="00F50A61"/>
    <w:rsid w:val="00F51358"/>
    <w:rsid w:val="00F51CD6"/>
    <w:rsid w:val="00F51EE3"/>
    <w:rsid w:val="00F51EFC"/>
    <w:rsid w:val="00F520BF"/>
    <w:rsid w:val="00F52233"/>
    <w:rsid w:val="00F52347"/>
    <w:rsid w:val="00F528F9"/>
    <w:rsid w:val="00F5295F"/>
    <w:rsid w:val="00F52991"/>
    <w:rsid w:val="00F52C44"/>
    <w:rsid w:val="00F52DE1"/>
    <w:rsid w:val="00F53176"/>
    <w:rsid w:val="00F53264"/>
    <w:rsid w:val="00F533CD"/>
    <w:rsid w:val="00F5350E"/>
    <w:rsid w:val="00F536C7"/>
    <w:rsid w:val="00F53745"/>
    <w:rsid w:val="00F539B8"/>
    <w:rsid w:val="00F53E2B"/>
    <w:rsid w:val="00F53EDC"/>
    <w:rsid w:val="00F54104"/>
    <w:rsid w:val="00F5420A"/>
    <w:rsid w:val="00F5461A"/>
    <w:rsid w:val="00F54662"/>
    <w:rsid w:val="00F548DF"/>
    <w:rsid w:val="00F54DD2"/>
    <w:rsid w:val="00F54E09"/>
    <w:rsid w:val="00F55284"/>
    <w:rsid w:val="00F55795"/>
    <w:rsid w:val="00F557FD"/>
    <w:rsid w:val="00F55A33"/>
    <w:rsid w:val="00F55A4B"/>
    <w:rsid w:val="00F56231"/>
    <w:rsid w:val="00F564FE"/>
    <w:rsid w:val="00F567C5"/>
    <w:rsid w:val="00F567FF"/>
    <w:rsid w:val="00F56CF8"/>
    <w:rsid w:val="00F57015"/>
    <w:rsid w:val="00F574BA"/>
    <w:rsid w:val="00F57898"/>
    <w:rsid w:val="00F57CB8"/>
    <w:rsid w:val="00F57E29"/>
    <w:rsid w:val="00F603A8"/>
    <w:rsid w:val="00F60C6A"/>
    <w:rsid w:val="00F60E91"/>
    <w:rsid w:val="00F60EE4"/>
    <w:rsid w:val="00F6131D"/>
    <w:rsid w:val="00F613B3"/>
    <w:rsid w:val="00F61791"/>
    <w:rsid w:val="00F61A7F"/>
    <w:rsid w:val="00F61DC1"/>
    <w:rsid w:val="00F62250"/>
    <w:rsid w:val="00F6247A"/>
    <w:rsid w:val="00F62791"/>
    <w:rsid w:val="00F62966"/>
    <w:rsid w:val="00F636A5"/>
    <w:rsid w:val="00F63BA0"/>
    <w:rsid w:val="00F63BA9"/>
    <w:rsid w:val="00F63DB5"/>
    <w:rsid w:val="00F64057"/>
    <w:rsid w:val="00F6422A"/>
    <w:rsid w:val="00F64421"/>
    <w:rsid w:val="00F645CF"/>
    <w:rsid w:val="00F6499A"/>
    <w:rsid w:val="00F64CC5"/>
    <w:rsid w:val="00F651CD"/>
    <w:rsid w:val="00F65330"/>
    <w:rsid w:val="00F6555A"/>
    <w:rsid w:val="00F656EE"/>
    <w:rsid w:val="00F65AAD"/>
    <w:rsid w:val="00F666BF"/>
    <w:rsid w:val="00F6691A"/>
    <w:rsid w:val="00F66F62"/>
    <w:rsid w:val="00F67448"/>
    <w:rsid w:val="00F67472"/>
    <w:rsid w:val="00F67886"/>
    <w:rsid w:val="00F67D27"/>
    <w:rsid w:val="00F67E77"/>
    <w:rsid w:val="00F67FEA"/>
    <w:rsid w:val="00F704D4"/>
    <w:rsid w:val="00F706C5"/>
    <w:rsid w:val="00F706E7"/>
    <w:rsid w:val="00F70741"/>
    <w:rsid w:val="00F707DE"/>
    <w:rsid w:val="00F70907"/>
    <w:rsid w:val="00F70CD0"/>
    <w:rsid w:val="00F70E0D"/>
    <w:rsid w:val="00F71028"/>
    <w:rsid w:val="00F715BE"/>
    <w:rsid w:val="00F71812"/>
    <w:rsid w:val="00F71897"/>
    <w:rsid w:val="00F71DCB"/>
    <w:rsid w:val="00F71E33"/>
    <w:rsid w:val="00F72202"/>
    <w:rsid w:val="00F725DA"/>
    <w:rsid w:val="00F72936"/>
    <w:rsid w:val="00F72944"/>
    <w:rsid w:val="00F729ED"/>
    <w:rsid w:val="00F72ABD"/>
    <w:rsid w:val="00F73024"/>
    <w:rsid w:val="00F731CB"/>
    <w:rsid w:val="00F73694"/>
    <w:rsid w:val="00F7371C"/>
    <w:rsid w:val="00F738DE"/>
    <w:rsid w:val="00F73A5F"/>
    <w:rsid w:val="00F7439C"/>
    <w:rsid w:val="00F74A0B"/>
    <w:rsid w:val="00F74B9E"/>
    <w:rsid w:val="00F74DCF"/>
    <w:rsid w:val="00F74E3A"/>
    <w:rsid w:val="00F74F47"/>
    <w:rsid w:val="00F7552D"/>
    <w:rsid w:val="00F759F3"/>
    <w:rsid w:val="00F75B09"/>
    <w:rsid w:val="00F75F82"/>
    <w:rsid w:val="00F76BC6"/>
    <w:rsid w:val="00F76D6F"/>
    <w:rsid w:val="00F77379"/>
    <w:rsid w:val="00F773C0"/>
    <w:rsid w:val="00F7744E"/>
    <w:rsid w:val="00F778CE"/>
    <w:rsid w:val="00F77934"/>
    <w:rsid w:val="00F77942"/>
    <w:rsid w:val="00F77AAF"/>
    <w:rsid w:val="00F80024"/>
    <w:rsid w:val="00F811C4"/>
    <w:rsid w:val="00F8141C"/>
    <w:rsid w:val="00F81431"/>
    <w:rsid w:val="00F815F6"/>
    <w:rsid w:val="00F81FB5"/>
    <w:rsid w:val="00F8254B"/>
    <w:rsid w:val="00F82645"/>
    <w:rsid w:val="00F82798"/>
    <w:rsid w:val="00F828CF"/>
    <w:rsid w:val="00F82AEE"/>
    <w:rsid w:val="00F82C41"/>
    <w:rsid w:val="00F83869"/>
    <w:rsid w:val="00F839AD"/>
    <w:rsid w:val="00F83B8A"/>
    <w:rsid w:val="00F83E13"/>
    <w:rsid w:val="00F83F67"/>
    <w:rsid w:val="00F84261"/>
    <w:rsid w:val="00F8462A"/>
    <w:rsid w:val="00F8497C"/>
    <w:rsid w:val="00F84996"/>
    <w:rsid w:val="00F84B9B"/>
    <w:rsid w:val="00F8504C"/>
    <w:rsid w:val="00F851B3"/>
    <w:rsid w:val="00F851F3"/>
    <w:rsid w:val="00F85496"/>
    <w:rsid w:val="00F85D09"/>
    <w:rsid w:val="00F85DC6"/>
    <w:rsid w:val="00F8603C"/>
    <w:rsid w:val="00F866A8"/>
    <w:rsid w:val="00F868FD"/>
    <w:rsid w:val="00F874C8"/>
    <w:rsid w:val="00F87D7A"/>
    <w:rsid w:val="00F900DE"/>
    <w:rsid w:val="00F906A1"/>
    <w:rsid w:val="00F90A63"/>
    <w:rsid w:val="00F90C6F"/>
    <w:rsid w:val="00F90DA9"/>
    <w:rsid w:val="00F90EDC"/>
    <w:rsid w:val="00F90FD7"/>
    <w:rsid w:val="00F91005"/>
    <w:rsid w:val="00F916AD"/>
    <w:rsid w:val="00F91810"/>
    <w:rsid w:val="00F91C43"/>
    <w:rsid w:val="00F927FB"/>
    <w:rsid w:val="00F928BE"/>
    <w:rsid w:val="00F92927"/>
    <w:rsid w:val="00F92A58"/>
    <w:rsid w:val="00F92A99"/>
    <w:rsid w:val="00F92BC2"/>
    <w:rsid w:val="00F92E52"/>
    <w:rsid w:val="00F92EDB"/>
    <w:rsid w:val="00F9328B"/>
    <w:rsid w:val="00F93562"/>
    <w:rsid w:val="00F93779"/>
    <w:rsid w:val="00F938DD"/>
    <w:rsid w:val="00F93ADA"/>
    <w:rsid w:val="00F93C37"/>
    <w:rsid w:val="00F93CA3"/>
    <w:rsid w:val="00F93FC2"/>
    <w:rsid w:val="00F94220"/>
    <w:rsid w:val="00F94D45"/>
    <w:rsid w:val="00F9500A"/>
    <w:rsid w:val="00F957C8"/>
    <w:rsid w:val="00F9585E"/>
    <w:rsid w:val="00F95927"/>
    <w:rsid w:val="00F95AF0"/>
    <w:rsid w:val="00F95B7F"/>
    <w:rsid w:val="00F95BD7"/>
    <w:rsid w:val="00F95D1A"/>
    <w:rsid w:val="00F961F3"/>
    <w:rsid w:val="00F965F7"/>
    <w:rsid w:val="00F96D79"/>
    <w:rsid w:val="00F97098"/>
    <w:rsid w:val="00F97439"/>
    <w:rsid w:val="00F979DE"/>
    <w:rsid w:val="00FA0420"/>
    <w:rsid w:val="00FA07AB"/>
    <w:rsid w:val="00FA08E0"/>
    <w:rsid w:val="00FA0C80"/>
    <w:rsid w:val="00FA0FAC"/>
    <w:rsid w:val="00FA1119"/>
    <w:rsid w:val="00FA126F"/>
    <w:rsid w:val="00FA13A7"/>
    <w:rsid w:val="00FA1477"/>
    <w:rsid w:val="00FA16F6"/>
    <w:rsid w:val="00FA19CC"/>
    <w:rsid w:val="00FA1A11"/>
    <w:rsid w:val="00FA1B66"/>
    <w:rsid w:val="00FA1C7B"/>
    <w:rsid w:val="00FA1D7B"/>
    <w:rsid w:val="00FA1E14"/>
    <w:rsid w:val="00FA223C"/>
    <w:rsid w:val="00FA22B4"/>
    <w:rsid w:val="00FA2AA5"/>
    <w:rsid w:val="00FA2BE5"/>
    <w:rsid w:val="00FA2CB4"/>
    <w:rsid w:val="00FA3245"/>
    <w:rsid w:val="00FA3500"/>
    <w:rsid w:val="00FA439C"/>
    <w:rsid w:val="00FA472C"/>
    <w:rsid w:val="00FA4B89"/>
    <w:rsid w:val="00FA4F67"/>
    <w:rsid w:val="00FA4FB5"/>
    <w:rsid w:val="00FA5128"/>
    <w:rsid w:val="00FA531F"/>
    <w:rsid w:val="00FA5702"/>
    <w:rsid w:val="00FA5926"/>
    <w:rsid w:val="00FA6251"/>
    <w:rsid w:val="00FA6320"/>
    <w:rsid w:val="00FA6D75"/>
    <w:rsid w:val="00FA6E9B"/>
    <w:rsid w:val="00FA6EA6"/>
    <w:rsid w:val="00FA6EDB"/>
    <w:rsid w:val="00FA706D"/>
    <w:rsid w:val="00FA75B7"/>
    <w:rsid w:val="00FA7730"/>
    <w:rsid w:val="00FA7A30"/>
    <w:rsid w:val="00FA7AA6"/>
    <w:rsid w:val="00FA7B2B"/>
    <w:rsid w:val="00FB03E5"/>
    <w:rsid w:val="00FB04FD"/>
    <w:rsid w:val="00FB0686"/>
    <w:rsid w:val="00FB0861"/>
    <w:rsid w:val="00FB0CCA"/>
    <w:rsid w:val="00FB0F8E"/>
    <w:rsid w:val="00FB1107"/>
    <w:rsid w:val="00FB1D24"/>
    <w:rsid w:val="00FB1E21"/>
    <w:rsid w:val="00FB1F74"/>
    <w:rsid w:val="00FB2617"/>
    <w:rsid w:val="00FB2663"/>
    <w:rsid w:val="00FB27B1"/>
    <w:rsid w:val="00FB27FB"/>
    <w:rsid w:val="00FB2988"/>
    <w:rsid w:val="00FB4275"/>
    <w:rsid w:val="00FB4935"/>
    <w:rsid w:val="00FB4BCB"/>
    <w:rsid w:val="00FB4C89"/>
    <w:rsid w:val="00FB510F"/>
    <w:rsid w:val="00FB5402"/>
    <w:rsid w:val="00FB54DC"/>
    <w:rsid w:val="00FB5993"/>
    <w:rsid w:val="00FB5995"/>
    <w:rsid w:val="00FB5C02"/>
    <w:rsid w:val="00FB6165"/>
    <w:rsid w:val="00FB6569"/>
    <w:rsid w:val="00FB6D44"/>
    <w:rsid w:val="00FB7125"/>
    <w:rsid w:val="00FB7428"/>
    <w:rsid w:val="00FB752C"/>
    <w:rsid w:val="00FB7659"/>
    <w:rsid w:val="00FB7A78"/>
    <w:rsid w:val="00FB7B91"/>
    <w:rsid w:val="00FB7D45"/>
    <w:rsid w:val="00FC0419"/>
    <w:rsid w:val="00FC0627"/>
    <w:rsid w:val="00FC080A"/>
    <w:rsid w:val="00FC096C"/>
    <w:rsid w:val="00FC0AF0"/>
    <w:rsid w:val="00FC0F37"/>
    <w:rsid w:val="00FC0F4B"/>
    <w:rsid w:val="00FC1135"/>
    <w:rsid w:val="00FC113F"/>
    <w:rsid w:val="00FC1C43"/>
    <w:rsid w:val="00FC1C5D"/>
    <w:rsid w:val="00FC1E7C"/>
    <w:rsid w:val="00FC1EDB"/>
    <w:rsid w:val="00FC23DF"/>
    <w:rsid w:val="00FC255C"/>
    <w:rsid w:val="00FC2C15"/>
    <w:rsid w:val="00FC2C25"/>
    <w:rsid w:val="00FC2E78"/>
    <w:rsid w:val="00FC3119"/>
    <w:rsid w:val="00FC33AA"/>
    <w:rsid w:val="00FC34C5"/>
    <w:rsid w:val="00FC3990"/>
    <w:rsid w:val="00FC39A6"/>
    <w:rsid w:val="00FC3AA4"/>
    <w:rsid w:val="00FC3B2E"/>
    <w:rsid w:val="00FC3C2F"/>
    <w:rsid w:val="00FC3D30"/>
    <w:rsid w:val="00FC3D4D"/>
    <w:rsid w:val="00FC3E5F"/>
    <w:rsid w:val="00FC3F03"/>
    <w:rsid w:val="00FC47D4"/>
    <w:rsid w:val="00FC4EBF"/>
    <w:rsid w:val="00FC56A9"/>
    <w:rsid w:val="00FC5872"/>
    <w:rsid w:val="00FC5877"/>
    <w:rsid w:val="00FC5E3E"/>
    <w:rsid w:val="00FC5EEF"/>
    <w:rsid w:val="00FC6530"/>
    <w:rsid w:val="00FC69E4"/>
    <w:rsid w:val="00FC6CFA"/>
    <w:rsid w:val="00FC6F77"/>
    <w:rsid w:val="00FC7174"/>
    <w:rsid w:val="00FC76D8"/>
    <w:rsid w:val="00FC7775"/>
    <w:rsid w:val="00FC7891"/>
    <w:rsid w:val="00FC78CA"/>
    <w:rsid w:val="00FC7B8A"/>
    <w:rsid w:val="00FD06C2"/>
    <w:rsid w:val="00FD085A"/>
    <w:rsid w:val="00FD0F2B"/>
    <w:rsid w:val="00FD0FC1"/>
    <w:rsid w:val="00FD111B"/>
    <w:rsid w:val="00FD113F"/>
    <w:rsid w:val="00FD13DB"/>
    <w:rsid w:val="00FD1EAF"/>
    <w:rsid w:val="00FD203D"/>
    <w:rsid w:val="00FD2132"/>
    <w:rsid w:val="00FD23BD"/>
    <w:rsid w:val="00FD23BE"/>
    <w:rsid w:val="00FD2848"/>
    <w:rsid w:val="00FD29E9"/>
    <w:rsid w:val="00FD2B9D"/>
    <w:rsid w:val="00FD38C7"/>
    <w:rsid w:val="00FD39C2"/>
    <w:rsid w:val="00FD39FD"/>
    <w:rsid w:val="00FD3DD4"/>
    <w:rsid w:val="00FD3DEE"/>
    <w:rsid w:val="00FD4062"/>
    <w:rsid w:val="00FD4422"/>
    <w:rsid w:val="00FD4C00"/>
    <w:rsid w:val="00FD4E8F"/>
    <w:rsid w:val="00FD4EE0"/>
    <w:rsid w:val="00FD522D"/>
    <w:rsid w:val="00FD52D5"/>
    <w:rsid w:val="00FD56D8"/>
    <w:rsid w:val="00FD5C8A"/>
    <w:rsid w:val="00FD655C"/>
    <w:rsid w:val="00FD65FD"/>
    <w:rsid w:val="00FD68F7"/>
    <w:rsid w:val="00FD6ABE"/>
    <w:rsid w:val="00FD6B0B"/>
    <w:rsid w:val="00FD6B48"/>
    <w:rsid w:val="00FD6E8F"/>
    <w:rsid w:val="00FD7080"/>
    <w:rsid w:val="00FD710F"/>
    <w:rsid w:val="00FD78A7"/>
    <w:rsid w:val="00FD7AB7"/>
    <w:rsid w:val="00FD7EE0"/>
    <w:rsid w:val="00FE0430"/>
    <w:rsid w:val="00FE055E"/>
    <w:rsid w:val="00FE08D7"/>
    <w:rsid w:val="00FE0D73"/>
    <w:rsid w:val="00FE0F39"/>
    <w:rsid w:val="00FE1004"/>
    <w:rsid w:val="00FE1894"/>
    <w:rsid w:val="00FE1A7F"/>
    <w:rsid w:val="00FE230D"/>
    <w:rsid w:val="00FE2A14"/>
    <w:rsid w:val="00FE2B38"/>
    <w:rsid w:val="00FE2F61"/>
    <w:rsid w:val="00FE301A"/>
    <w:rsid w:val="00FE3171"/>
    <w:rsid w:val="00FE37DA"/>
    <w:rsid w:val="00FE3A41"/>
    <w:rsid w:val="00FE3AB9"/>
    <w:rsid w:val="00FE3E70"/>
    <w:rsid w:val="00FE4047"/>
    <w:rsid w:val="00FE45D0"/>
    <w:rsid w:val="00FE4BE7"/>
    <w:rsid w:val="00FE4BE9"/>
    <w:rsid w:val="00FE5581"/>
    <w:rsid w:val="00FE56AD"/>
    <w:rsid w:val="00FE56AE"/>
    <w:rsid w:val="00FE579B"/>
    <w:rsid w:val="00FE5BCE"/>
    <w:rsid w:val="00FE5D1D"/>
    <w:rsid w:val="00FE6231"/>
    <w:rsid w:val="00FE6611"/>
    <w:rsid w:val="00FE691F"/>
    <w:rsid w:val="00FE69BA"/>
    <w:rsid w:val="00FE6CA8"/>
    <w:rsid w:val="00FE768B"/>
    <w:rsid w:val="00FE79EA"/>
    <w:rsid w:val="00FE7DE0"/>
    <w:rsid w:val="00FE7E2A"/>
    <w:rsid w:val="00FF00B2"/>
    <w:rsid w:val="00FF0314"/>
    <w:rsid w:val="00FF035A"/>
    <w:rsid w:val="00FF05C0"/>
    <w:rsid w:val="00FF0890"/>
    <w:rsid w:val="00FF0C99"/>
    <w:rsid w:val="00FF0E35"/>
    <w:rsid w:val="00FF1605"/>
    <w:rsid w:val="00FF161C"/>
    <w:rsid w:val="00FF1E34"/>
    <w:rsid w:val="00FF1EFD"/>
    <w:rsid w:val="00FF24E7"/>
    <w:rsid w:val="00FF27A3"/>
    <w:rsid w:val="00FF3085"/>
    <w:rsid w:val="00FF3086"/>
    <w:rsid w:val="00FF329A"/>
    <w:rsid w:val="00FF353A"/>
    <w:rsid w:val="00FF3583"/>
    <w:rsid w:val="00FF3652"/>
    <w:rsid w:val="00FF37C5"/>
    <w:rsid w:val="00FF3858"/>
    <w:rsid w:val="00FF3A4E"/>
    <w:rsid w:val="00FF3FCA"/>
    <w:rsid w:val="00FF43E9"/>
    <w:rsid w:val="00FF4707"/>
    <w:rsid w:val="00FF4774"/>
    <w:rsid w:val="00FF47BA"/>
    <w:rsid w:val="00FF485F"/>
    <w:rsid w:val="00FF4A01"/>
    <w:rsid w:val="00FF4FA8"/>
    <w:rsid w:val="00FF51FE"/>
    <w:rsid w:val="00FF5405"/>
    <w:rsid w:val="00FF5610"/>
    <w:rsid w:val="00FF578E"/>
    <w:rsid w:val="00FF57C3"/>
    <w:rsid w:val="00FF5C44"/>
    <w:rsid w:val="00FF5D44"/>
    <w:rsid w:val="00FF5EB8"/>
    <w:rsid w:val="00FF5FE3"/>
    <w:rsid w:val="00FF63D5"/>
    <w:rsid w:val="00FF6AF2"/>
    <w:rsid w:val="00FF70E7"/>
    <w:rsid w:val="00FF75A8"/>
    <w:rsid w:val="00FF78A7"/>
    <w:rsid w:val="00FF7A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E789A23"/>
  <w15:docId w15:val="{07588389-906A-40A5-933F-2E559E7B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877"/>
    <w:rPr>
      <w:lang w:eastAsia="en-US"/>
    </w:rPr>
  </w:style>
  <w:style w:type="paragraph" w:styleId="Heading1">
    <w:name w:val="heading 1"/>
    <w:aliases w:val="Heading 1 Char"/>
    <w:basedOn w:val="Normal"/>
    <w:next w:val="Normal"/>
    <w:qFormat/>
    <w:rsid w:val="00B1511E"/>
    <w:pPr>
      <w:keepNext/>
      <w:spacing w:before="240" w:after="60"/>
      <w:outlineLvl w:val="0"/>
    </w:pPr>
    <w:rPr>
      <w:rFonts w:ascii="Arial" w:hAnsi="Arial"/>
      <w:b/>
      <w:kern w:val="28"/>
      <w:sz w:val="28"/>
    </w:rPr>
  </w:style>
  <w:style w:type="paragraph" w:styleId="Heading2">
    <w:name w:val="heading 2"/>
    <w:aliases w:val="Heading 2 Char"/>
    <w:basedOn w:val="Normal"/>
    <w:next w:val="Normal"/>
    <w:qFormat/>
    <w:rsid w:val="00B1139A"/>
    <w:pPr>
      <w:keepNext/>
      <w:pBdr>
        <w:bottom w:val="single" w:sz="4" w:space="5" w:color="auto"/>
      </w:pBdr>
      <w:spacing w:before="240" w:after="60"/>
      <w:outlineLvl w:val="1"/>
    </w:pPr>
    <w:rPr>
      <w:rFonts w:ascii="Georgia" w:hAnsi="Georgia"/>
      <w:color w:val="000000" w:themeColor="text1"/>
      <w:sz w:val="32"/>
    </w:rPr>
  </w:style>
  <w:style w:type="paragraph" w:styleId="Heading3">
    <w:name w:val="heading 3"/>
    <w:basedOn w:val="Normal"/>
    <w:next w:val="Normal"/>
    <w:qFormat/>
    <w:rsid w:val="00B1511E"/>
    <w:pPr>
      <w:keepNext/>
      <w:spacing w:before="240" w:after="60"/>
      <w:outlineLvl w:val="2"/>
    </w:pPr>
    <w:rPr>
      <w:b/>
    </w:rPr>
  </w:style>
  <w:style w:type="paragraph" w:styleId="Heading4">
    <w:name w:val="heading 4"/>
    <w:basedOn w:val="Normal"/>
    <w:next w:val="Normal"/>
    <w:qFormat/>
    <w:rsid w:val="00B1511E"/>
    <w:pPr>
      <w:keepNext/>
      <w:spacing w:before="240" w:after="60"/>
      <w:outlineLvl w:val="3"/>
    </w:pPr>
    <w:rPr>
      <w:b/>
      <w:i/>
    </w:rPr>
  </w:style>
  <w:style w:type="paragraph" w:styleId="Heading5">
    <w:name w:val="heading 5"/>
    <w:basedOn w:val="Normal"/>
    <w:next w:val="Normal"/>
    <w:qFormat/>
    <w:rsid w:val="00B1511E"/>
    <w:pPr>
      <w:keepNext/>
      <w:ind w:right="360"/>
      <w:jc w:val="center"/>
      <w:outlineLvl w:val="4"/>
    </w:pPr>
    <w:rPr>
      <w:rFonts w:ascii="Arial" w:hAnsi="Arial"/>
    </w:rPr>
  </w:style>
  <w:style w:type="paragraph" w:styleId="Heading6">
    <w:name w:val="heading 6"/>
    <w:aliases w:val="Do Not Use 6"/>
    <w:basedOn w:val="Normal"/>
    <w:next w:val="Normal"/>
    <w:qFormat/>
    <w:rsid w:val="009306C8"/>
    <w:pPr>
      <w:keepNext/>
      <w:tabs>
        <w:tab w:val="left" w:pos="3600"/>
      </w:tabs>
      <w:jc w:val="both"/>
      <w:outlineLvl w:val="5"/>
    </w:pPr>
    <w:rPr>
      <w:rFonts w:ascii="Arial" w:hAnsi="Arial"/>
      <w:b/>
      <w:color w:val="404040" w:themeColor="text1" w:themeTint="BF"/>
      <w:sz w:val="22"/>
    </w:rPr>
  </w:style>
  <w:style w:type="paragraph" w:styleId="Heading7">
    <w:name w:val="heading 7"/>
    <w:aliases w:val="Do Not Use 7"/>
    <w:basedOn w:val="Normal"/>
    <w:next w:val="Normal"/>
    <w:qFormat/>
    <w:rsid w:val="00B1511E"/>
    <w:pPr>
      <w:keepNext/>
      <w:ind w:right="360"/>
      <w:jc w:val="center"/>
      <w:outlineLvl w:val="6"/>
    </w:pPr>
    <w:rPr>
      <w:rFonts w:ascii="Arial" w:hAnsi="Arial"/>
      <w:sz w:val="52"/>
    </w:rPr>
  </w:style>
  <w:style w:type="paragraph" w:styleId="Heading8">
    <w:name w:val="heading 8"/>
    <w:aliases w:val="Do Not Use 8"/>
    <w:basedOn w:val="Normal"/>
    <w:next w:val="Normal"/>
    <w:qFormat/>
    <w:rsid w:val="00B1511E"/>
    <w:pPr>
      <w:keepNext/>
      <w:outlineLvl w:val="7"/>
    </w:pPr>
    <w:rPr>
      <w:rFonts w:ascii="Arial" w:hAnsi="Arial"/>
      <w:b/>
      <w:smallCaps/>
      <w:sz w:val="22"/>
    </w:rPr>
  </w:style>
  <w:style w:type="paragraph" w:styleId="Heading9">
    <w:name w:val="heading 9"/>
    <w:aliases w:val="Do Not Use 9"/>
    <w:basedOn w:val="Normal"/>
    <w:next w:val="Normal"/>
    <w:qFormat/>
    <w:rsid w:val="00B1511E"/>
    <w:pPr>
      <w:keepNext/>
      <w:outlineLvl w:val="8"/>
    </w:pPr>
    <w:rPr>
      <w:rFonts w:ascii="Arial" w:hAnsi="Arial"/>
      <w:b/>
      <w:smallCap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925B9"/>
    <w:rPr>
      <w:lang w:val="en-US" w:eastAsia="en-US"/>
    </w:rPr>
  </w:style>
  <w:style w:type="paragraph" w:styleId="Header">
    <w:name w:val="header"/>
    <w:basedOn w:val="Normal"/>
    <w:link w:val="HeaderChar"/>
    <w:rsid w:val="00E36541"/>
    <w:pPr>
      <w:tabs>
        <w:tab w:val="center" w:pos="4320"/>
        <w:tab w:val="right" w:pos="8640"/>
      </w:tabs>
    </w:pPr>
  </w:style>
  <w:style w:type="character" w:customStyle="1" w:styleId="HeaderChar">
    <w:name w:val="Header Char"/>
    <w:basedOn w:val="DefaultParagraphFont"/>
    <w:link w:val="Header"/>
    <w:rsid w:val="00E36541"/>
    <w:rPr>
      <w:lang w:eastAsia="en-US"/>
    </w:rPr>
  </w:style>
  <w:style w:type="paragraph" w:styleId="Footer">
    <w:name w:val="footer"/>
    <w:basedOn w:val="Normal"/>
    <w:link w:val="FooterChar"/>
    <w:uiPriority w:val="99"/>
    <w:rsid w:val="00E36541"/>
    <w:pPr>
      <w:tabs>
        <w:tab w:val="center" w:pos="4320"/>
        <w:tab w:val="right" w:pos="8640"/>
      </w:tabs>
    </w:pPr>
  </w:style>
  <w:style w:type="character" w:customStyle="1" w:styleId="FooterChar">
    <w:name w:val="Footer Char"/>
    <w:basedOn w:val="DefaultParagraphFont"/>
    <w:link w:val="Footer"/>
    <w:uiPriority w:val="99"/>
    <w:rsid w:val="00E36541"/>
    <w:rPr>
      <w:lang w:eastAsia="en-US"/>
    </w:rPr>
  </w:style>
  <w:style w:type="paragraph" w:customStyle="1" w:styleId="BodyText1">
    <w:name w:val="Body Text1"/>
    <w:basedOn w:val="Normal"/>
    <w:qFormat/>
    <w:rsid w:val="00E15799"/>
    <w:pPr>
      <w:framePr w:wrap="around" w:vAnchor="text" w:hAnchor="page" w:x="1649" w:y="1543"/>
    </w:pPr>
    <w:rPr>
      <w:rFonts w:ascii="Georgia" w:hAnsi="Georgia"/>
      <w:color w:val="404040" w:themeColor="text1" w:themeTint="BF"/>
    </w:rPr>
  </w:style>
  <w:style w:type="paragraph" w:customStyle="1" w:styleId="body">
    <w:name w:val="body"/>
    <w:basedOn w:val="Normal"/>
    <w:qFormat/>
    <w:rsid w:val="004F69C0"/>
    <w:pPr>
      <w:spacing w:line="300" w:lineRule="auto"/>
      <w:jc w:val="both"/>
    </w:pPr>
    <w:rPr>
      <w:rFonts w:ascii="Georgia" w:hAnsi="Georgia" w:cs="Calibri"/>
      <w:color w:val="404040" w:themeColor="text1" w:themeTint="BF"/>
      <w:sz w:val="20"/>
    </w:rPr>
  </w:style>
  <w:style w:type="paragraph" w:customStyle="1" w:styleId="subhead">
    <w:name w:val="sub head"/>
    <w:basedOn w:val="body"/>
    <w:qFormat/>
    <w:rsid w:val="00E15799"/>
    <w:rPr>
      <w:b/>
      <w:sz w:val="24"/>
    </w:rPr>
  </w:style>
  <w:style w:type="paragraph" w:styleId="TOCHeading">
    <w:name w:val="TOC Heading"/>
    <w:basedOn w:val="Heading1"/>
    <w:next w:val="Normal"/>
    <w:uiPriority w:val="39"/>
    <w:unhideWhenUsed/>
    <w:qFormat/>
    <w:rsid w:val="00416386"/>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rPr>
  </w:style>
  <w:style w:type="paragraph" w:styleId="TOC2">
    <w:name w:val="toc 2"/>
    <w:basedOn w:val="Normal"/>
    <w:next w:val="Normal"/>
    <w:autoRedefine/>
    <w:uiPriority w:val="39"/>
    <w:rsid w:val="00416386"/>
    <w:pPr>
      <w:ind w:left="240"/>
    </w:pPr>
    <w:rPr>
      <w:rFonts w:asciiTheme="minorHAnsi" w:hAnsiTheme="minorHAnsi"/>
      <w:b/>
      <w:sz w:val="22"/>
      <w:szCs w:val="22"/>
    </w:rPr>
  </w:style>
  <w:style w:type="paragraph" w:styleId="TOC1">
    <w:name w:val="toc 1"/>
    <w:basedOn w:val="Normal"/>
    <w:next w:val="Normal"/>
    <w:autoRedefine/>
    <w:rsid w:val="00416386"/>
    <w:pPr>
      <w:spacing w:before="120"/>
    </w:pPr>
    <w:rPr>
      <w:rFonts w:asciiTheme="minorHAnsi" w:hAnsiTheme="minorHAnsi"/>
      <w:b/>
    </w:rPr>
  </w:style>
  <w:style w:type="paragraph" w:styleId="TOC3">
    <w:name w:val="toc 3"/>
    <w:basedOn w:val="Normal"/>
    <w:next w:val="Normal"/>
    <w:autoRedefine/>
    <w:uiPriority w:val="39"/>
    <w:rsid w:val="00416386"/>
    <w:pPr>
      <w:ind w:left="480"/>
    </w:pPr>
    <w:rPr>
      <w:rFonts w:asciiTheme="minorHAnsi" w:hAnsiTheme="minorHAnsi"/>
      <w:sz w:val="22"/>
      <w:szCs w:val="22"/>
    </w:rPr>
  </w:style>
  <w:style w:type="paragraph" w:styleId="TOC4">
    <w:name w:val="toc 4"/>
    <w:basedOn w:val="Normal"/>
    <w:next w:val="Normal"/>
    <w:autoRedefine/>
    <w:rsid w:val="00416386"/>
    <w:pPr>
      <w:ind w:left="720"/>
    </w:pPr>
    <w:rPr>
      <w:rFonts w:asciiTheme="minorHAnsi" w:hAnsiTheme="minorHAnsi"/>
      <w:sz w:val="20"/>
      <w:szCs w:val="20"/>
    </w:rPr>
  </w:style>
  <w:style w:type="paragraph" w:styleId="TOC5">
    <w:name w:val="toc 5"/>
    <w:basedOn w:val="Normal"/>
    <w:next w:val="Normal"/>
    <w:autoRedefine/>
    <w:rsid w:val="00416386"/>
    <w:pPr>
      <w:ind w:left="960"/>
    </w:pPr>
    <w:rPr>
      <w:rFonts w:asciiTheme="minorHAnsi" w:hAnsiTheme="minorHAnsi"/>
      <w:sz w:val="20"/>
      <w:szCs w:val="20"/>
    </w:rPr>
  </w:style>
  <w:style w:type="paragraph" w:styleId="TOC6">
    <w:name w:val="toc 6"/>
    <w:basedOn w:val="Normal"/>
    <w:next w:val="Normal"/>
    <w:autoRedefine/>
    <w:rsid w:val="00416386"/>
    <w:pPr>
      <w:ind w:left="1200"/>
    </w:pPr>
    <w:rPr>
      <w:rFonts w:asciiTheme="minorHAnsi" w:hAnsiTheme="minorHAnsi"/>
      <w:sz w:val="20"/>
      <w:szCs w:val="20"/>
    </w:rPr>
  </w:style>
  <w:style w:type="paragraph" w:styleId="TOC7">
    <w:name w:val="toc 7"/>
    <w:basedOn w:val="Normal"/>
    <w:next w:val="Normal"/>
    <w:autoRedefine/>
    <w:rsid w:val="00416386"/>
    <w:pPr>
      <w:ind w:left="1440"/>
    </w:pPr>
    <w:rPr>
      <w:rFonts w:asciiTheme="minorHAnsi" w:hAnsiTheme="minorHAnsi"/>
      <w:sz w:val="20"/>
      <w:szCs w:val="20"/>
    </w:rPr>
  </w:style>
  <w:style w:type="paragraph" w:styleId="TOC8">
    <w:name w:val="toc 8"/>
    <w:basedOn w:val="Normal"/>
    <w:next w:val="Normal"/>
    <w:autoRedefine/>
    <w:rsid w:val="00416386"/>
    <w:pPr>
      <w:ind w:left="1680"/>
    </w:pPr>
    <w:rPr>
      <w:rFonts w:asciiTheme="minorHAnsi" w:hAnsiTheme="minorHAnsi"/>
      <w:sz w:val="20"/>
      <w:szCs w:val="20"/>
    </w:rPr>
  </w:style>
  <w:style w:type="paragraph" w:styleId="TOC9">
    <w:name w:val="toc 9"/>
    <w:basedOn w:val="Normal"/>
    <w:next w:val="Normal"/>
    <w:autoRedefine/>
    <w:rsid w:val="00416386"/>
    <w:pPr>
      <w:ind w:left="1920"/>
    </w:pPr>
    <w:rPr>
      <w:rFonts w:asciiTheme="minorHAnsi" w:hAnsiTheme="minorHAnsi"/>
      <w:sz w:val="20"/>
      <w:szCs w:val="20"/>
    </w:rPr>
  </w:style>
  <w:style w:type="character" w:styleId="PageNumber">
    <w:name w:val="page number"/>
    <w:basedOn w:val="DefaultParagraphFont"/>
    <w:rsid w:val="009D7FC1"/>
  </w:style>
  <w:style w:type="paragraph" w:customStyle="1" w:styleId="Notehead1">
    <w:name w:val="Note head 1"/>
    <w:basedOn w:val="body"/>
    <w:qFormat/>
    <w:rsid w:val="00384BCB"/>
    <w:pPr>
      <w:jc w:val="left"/>
    </w:pPr>
    <w:rPr>
      <w:b/>
    </w:rPr>
  </w:style>
  <w:style w:type="table" w:styleId="TableGrid">
    <w:name w:val="Table Grid"/>
    <w:basedOn w:val="TableNormal"/>
    <w:uiPriority w:val="39"/>
    <w:rsid w:val="00F30F0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rsid w:val="00951D5B"/>
    <w:rPr>
      <w:rFonts w:ascii="Tahoma" w:hAnsi="Tahoma" w:cs="Tahoma"/>
      <w:sz w:val="16"/>
      <w:szCs w:val="16"/>
    </w:rPr>
  </w:style>
  <w:style w:type="character" w:customStyle="1" w:styleId="BalloonTextChar">
    <w:name w:val="Balloon Text Char"/>
    <w:basedOn w:val="DefaultParagraphFont"/>
    <w:link w:val="BalloonText"/>
    <w:uiPriority w:val="99"/>
    <w:rsid w:val="00951D5B"/>
    <w:rPr>
      <w:rFonts w:ascii="Tahoma" w:hAnsi="Tahoma" w:cs="Tahoma"/>
      <w:sz w:val="16"/>
      <w:szCs w:val="16"/>
      <w:lang w:eastAsia="en-US"/>
    </w:rPr>
  </w:style>
  <w:style w:type="character" w:styleId="Hyperlink">
    <w:name w:val="Hyperlink"/>
    <w:basedOn w:val="DefaultParagraphFont"/>
    <w:unhideWhenUsed/>
    <w:rsid w:val="00106AE5"/>
    <w:rPr>
      <w:color w:val="0000FF" w:themeColor="hyperlink"/>
      <w:u w:val="single"/>
    </w:rPr>
  </w:style>
  <w:style w:type="paragraph" w:styleId="BodyText">
    <w:name w:val="Body Text"/>
    <w:basedOn w:val="Normal"/>
    <w:link w:val="BodyTextChar"/>
    <w:rsid w:val="00211813"/>
    <w:pPr>
      <w:spacing w:after="120"/>
    </w:pPr>
    <w:rPr>
      <w:sz w:val="20"/>
      <w:szCs w:val="20"/>
    </w:rPr>
  </w:style>
  <w:style w:type="character" w:customStyle="1" w:styleId="BodyTextChar">
    <w:name w:val="Body Text Char"/>
    <w:basedOn w:val="DefaultParagraphFont"/>
    <w:link w:val="BodyText"/>
    <w:rsid w:val="00211813"/>
    <w:rPr>
      <w:sz w:val="20"/>
      <w:szCs w:val="20"/>
      <w:lang w:eastAsia="en-US"/>
    </w:rPr>
  </w:style>
  <w:style w:type="paragraph" w:styleId="ListParagraph">
    <w:name w:val="List Paragraph"/>
    <w:basedOn w:val="Normal"/>
    <w:uiPriority w:val="34"/>
    <w:qFormat/>
    <w:rsid w:val="00D7628E"/>
    <w:pPr>
      <w:ind w:left="720"/>
      <w:contextualSpacing/>
    </w:pPr>
  </w:style>
  <w:style w:type="paragraph" w:customStyle="1" w:styleId="Notes">
    <w:name w:val="Notes"/>
    <w:basedOn w:val="Normal"/>
    <w:link w:val="NotesChar1"/>
    <w:rsid w:val="00106B2F"/>
    <w:pPr>
      <w:tabs>
        <w:tab w:val="right" w:pos="8460"/>
      </w:tabs>
      <w:spacing w:after="120" w:line="240" w:lineRule="atLeast"/>
      <w:jc w:val="both"/>
    </w:pPr>
    <w:rPr>
      <w:rFonts w:ascii="Optima" w:hAnsi="Optima"/>
      <w:sz w:val="22"/>
      <w:szCs w:val="20"/>
    </w:rPr>
  </w:style>
  <w:style w:type="character" w:customStyle="1" w:styleId="NotesChar1">
    <w:name w:val="Notes Char1"/>
    <w:link w:val="Notes"/>
    <w:rsid w:val="00106B2F"/>
    <w:rPr>
      <w:rFonts w:ascii="Optima" w:hAnsi="Optima"/>
      <w:sz w:val="22"/>
      <w:szCs w:val="20"/>
      <w:lang w:eastAsia="en-US"/>
    </w:rPr>
  </w:style>
  <w:style w:type="paragraph" w:styleId="NormalWeb">
    <w:name w:val="Normal (Web)"/>
    <w:basedOn w:val="Normal"/>
    <w:uiPriority w:val="99"/>
    <w:unhideWhenUsed/>
    <w:rsid w:val="006E0D8F"/>
    <w:pPr>
      <w:spacing w:before="100" w:beforeAutospacing="1" w:after="100" w:afterAutospacing="1"/>
    </w:pPr>
    <w:rPr>
      <w:lang w:eastAsia="en-GB"/>
    </w:rPr>
  </w:style>
  <w:style w:type="character" w:styleId="CommentReference">
    <w:name w:val="annotation reference"/>
    <w:basedOn w:val="DefaultParagraphFont"/>
    <w:uiPriority w:val="99"/>
    <w:rsid w:val="00DA5C35"/>
    <w:rPr>
      <w:sz w:val="16"/>
      <w:szCs w:val="16"/>
    </w:rPr>
  </w:style>
  <w:style w:type="paragraph" w:styleId="CommentText">
    <w:name w:val="annotation text"/>
    <w:basedOn w:val="Normal"/>
    <w:link w:val="CommentTextChar"/>
    <w:uiPriority w:val="99"/>
    <w:rsid w:val="00DA5C35"/>
    <w:rPr>
      <w:sz w:val="20"/>
      <w:szCs w:val="20"/>
    </w:rPr>
  </w:style>
  <w:style w:type="character" w:customStyle="1" w:styleId="CommentTextChar">
    <w:name w:val="Comment Text Char"/>
    <w:basedOn w:val="DefaultParagraphFont"/>
    <w:link w:val="CommentText"/>
    <w:uiPriority w:val="99"/>
    <w:rsid w:val="00DA5C35"/>
    <w:rPr>
      <w:sz w:val="20"/>
      <w:szCs w:val="20"/>
      <w:lang w:eastAsia="en-US"/>
    </w:rPr>
  </w:style>
  <w:style w:type="paragraph" w:styleId="CommentSubject">
    <w:name w:val="annotation subject"/>
    <w:basedOn w:val="CommentText"/>
    <w:next w:val="CommentText"/>
    <w:link w:val="CommentSubjectChar"/>
    <w:rsid w:val="00DA5C35"/>
    <w:rPr>
      <w:b/>
      <w:bCs/>
    </w:rPr>
  </w:style>
  <w:style w:type="character" w:customStyle="1" w:styleId="CommentSubjectChar">
    <w:name w:val="Comment Subject Char"/>
    <w:basedOn w:val="CommentTextChar"/>
    <w:link w:val="CommentSubject"/>
    <w:rsid w:val="00DA5C35"/>
    <w:rPr>
      <w:b/>
      <w:bCs/>
      <w:sz w:val="20"/>
      <w:szCs w:val="20"/>
      <w:lang w:eastAsia="en-US"/>
    </w:rPr>
  </w:style>
  <w:style w:type="paragraph" w:customStyle="1" w:styleId="Bullets">
    <w:name w:val="Bullets_"/>
    <w:basedOn w:val="Normal"/>
    <w:qFormat/>
    <w:rsid w:val="00157171"/>
    <w:pPr>
      <w:numPr>
        <w:numId w:val="1"/>
      </w:numPr>
    </w:pPr>
    <w:rPr>
      <w:rFonts w:ascii="Arial" w:eastAsiaTheme="minorHAnsi" w:hAnsi="Arial" w:cstheme="minorBidi"/>
      <w:sz w:val="22"/>
    </w:rPr>
  </w:style>
  <w:style w:type="paragraph" w:customStyle="1" w:styleId="Default">
    <w:name w:val="Default"/>
    <w:rsid w:val="00537D04"/>
    <w:pPr>
      <w:autoSpaceDE w:val="0"/>
      <w:autoSpaceDN w:val="0"/>
      <w:adjustRightInd w:val="0"/>
    </w:pPr>
    <w:rPr>
      <w:rFonts w:ascii="Arial" w:hAnsi="Arial" w:cs="Arial"/>
      <w:color w:val="000000"/>
    </w:rPr>
  </w:style>
  <w:style w:type="paragraph" w:customStyle="1" w:styleId="BodyText0">
    <w:name w:val="#BodyText"/>
    <w:basedOn w:val="Normal"/>
    <w:qFormat/>
    <w:rsid w:val="00403641"/>
    <w:pPr>
      <w:spacing w:after="240"/>
      <w:jc w:val="both"/>
    </w:pPr>
    <w:rPr>
      <w:rFonts w:ascii="Arial" w:hAnsi="Arial"/>
      <w:sz w:val="20"/>
      <w:szCs w:val="20"/>
      <w:lang w:eastAsia="en-CA"/>
    </w:rPr>
  </w:style>
  <w:style w:type="table" w:customStyle="1" w:styleId="LightShading-Accent11">
    <w:name w:val="Light Shading - Accent 11"/>
    <w:basedOn w:val="TableNormal"/>
    <w:uiPriority w:val="60"/>
    <w:rsid w:val="006B476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rsid w:val="00871871"/>
    <w:rPr>
      <w:sz w:val="20"/>
      <w:szCs w:val="20"/>
    </w:rPr>
  </w:style>
  <w:style w:type="character" w:customStyle="1" w:styleId="FootnoteTextChar">
    <w:name w:val="Footnote Text Char"/>
    <w:basedOn w:val="DefaultParagraphFont"/>
    <w:link w:val="FootnoteText"/>
    <w:rsid w:val="00871871"/>
    <w:rPr>
      <w:sz w:val="20"/>
      <w:szCs w:val="20"/>
      <w:lang w:eastAsia="en-US"/>
    </w:rPr>
  </w:style>
  <w:style w:type="character" w:styleId="FootnoteReference">
    <w:name w:val="footnote reference"/>
    <w:basedOn w:val="DefaultParagraphFont"/>
    <w:rsid w:val="00871871"/>
    <w:rPr>
      <w:vertAlign w:val="superscript"/>
    </w:rPr>
  </w:style>
  <w:style w:type="paragraph" w:styleId="PlainText">
    <w:name w:val="Plain Text"/>
    <w:basedOn w:val="Normal"/>
    <w:link w:val="PlainTextChar"/>
    <w:uiPriority w:val="99"/>
    <w:unhideWhenUsed/>
    <w:rsid w:val="005545B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545B7"/>
    <w:rPr>
      <w:rFonts w:ascii="Calibri" w:eastAsiaTheme="minorHAnsi" w:hAnsi="Calibri" w:cstheme="minorBidi"/>
      <w:sz w:val="22"/>
      <w:szCs w:val="21"/>
      <w:lang w:eastAsia="en-US"/>
    </w:rPr>
  </w:style>
  <w:style w:type="table" w:customStyle="1" w:styleId="LightShading-Accent111">
    <w:name w:val="Light Shading - Accent 111"/>
    <w:basedOn w:val="TableNormal"/>
    <w:uiPriority w:val="60"/>
    <w:rsid w:val="00E67CD1"/>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extChar">
    <w:name w:val="Text Char"/>
    <w:basedOn w:val="DefaultParagraphFont"/>
    <w:link w:val="Text"/>
    <w:locked/>
    <w:rsid w:val="004F2B93"/>
    <w:rPr>
      <w:sz w:val="22"/>
      <w:lang w:eastAsia="en-US"/>
    </w:rPr>
  </w:style>
  <w:style w:type="paragraph" w:customStyle="1" w:styleId="Text">
    <w:name w:val="Text"/>
    <w:aliases w:val="t1,b,t"/>
    <w:basedOn w:val="Normal"/>
    <w:link w:val="TextChar"/>
    <w:rsid w:val="004F2B93"/>
    <w:pPr>
      <w:tabs>
        <w:tab w:val="left" w:pos="284"/>
      </w:tabs>
      <w:overflowPunct w:val="0"/>
      <w:autoSpaceDE w:val="0"/>
      <w:autoSpaceDN w:val="0"/>
      <w:adjustRightInd w:val="0"/>
      <w:spacing w:after="260"/>
      <w:jc w:val="both"/>
    </w:pPr>
    <w:rPr>
      <w:sz w:val="22"/>
    </w:rPr>
  </w:style>
  <w:style w:type="paragraph" w:customStyle="1" w:styleId="BluefieldBody">
    <w:name w:val="Bluefield Body"/>
    <w:basedOn w:val="Normal"/>
    <w:qFormat/>
    <w:rsid w:val="00B1139A"/>
    <w:pPr>
      <w:jc w:val="both"/>
    </w:pPr>
    <w:rPr>
      <w:rFonts w:ascii="Georgia" w:hAnsi="Georgia"/>
      <w:color w:val="404040" w:themeColor="text1" w:themeTint="BF"/>
      <w:sz w:val="20"/>
      <w:szCs w:val="20"/>
    </w:rPr>
  </w:style>
  <w:style w:type="paragraph" w:customStyle="1" w:styleId="Bluefieldbullets">
    <w:name w:val="Bluefield bullets"/>
    <w:basedOn w:val="body"/>
    <w:qFormat/>
    <w:rsid w:val="00481E57"/>
    <w:pPr>
      <w:numPr>
        <w:numId w:val="3"/>
      </w:numPr>
      <w:spacing w:line="240" w:lineRule="auto"/>
    </w:pPr>
  </w:style>
  <w:style w:type="paragraph" w:customStyle="1" w:styleId="Heading-subheadblue">
    <w:name w:val="Heading - subhead blue"/>
    <w:basedOn w:val="body"/>
    <w:qFormat/>
    <w:rsid w:val="00C45343"/>
    <w:pPr>
      <w:spacing w:line="240" w:lineRule="auto"/>
      <w:jc w:val="left"/>
    </w:pPr>
    <w:rPr>
      <w:b/>
      <w:color w:val="000000" w:themeColor="text1"/>
    </w:rPr>
  </w:style>
  <w:style w:type="paragraph" w:customStyle="1" w:styleId="Heading-subheadgrey">
    <w:name w:val="Heading - subhead grey"/>
    <w:basedOn w:val="body"/>
    <w:qFormat/>
    <w:rsid w:val="00C45343"/>
    <w:pPr>
      <w:spacing w:line="240" w:lineRule="auto"/>
      <w:jc w:val="left"/>
    </w:pPr>
    <w:rPr>
      <w:b/>
      <w:color w:val="404040"/>
    </w:rPr>
  </w:style>
  <w:style w:type="paragraph" w:styleId="NoSpacing">
    <w:name w:val="No Spacing"/>
    <w:rsid w:val="00C45343"/>
    <w:rPr>
      <w:lang w:eastAsia="en-US"/>
    </w:rPr>
  </w:style>
  <w:style w:type="paragraph" w:customStyle="1" w:styleId="Heading-numberedlist">
    <w:name w:val="Heading - numbered list"/>
    <w:basedOn w:val="ListParagraph"/>
    <w:qFormat/>
    <w:rsid w:val="00C45343"/>
    <w:pPr>
      <w:ind w:left="644" w:hanging="360"/>
    </w:pPr>
    <w:rPr>
      <w:rFonts w:ascii="Georgia" w:hAnsi="Georgia" w:cs="Calibri"/>
      <w:b/>
      <w:color w:val="404040" w:themeColor="text1" w:themeTint="BF"/>
      <w:sz w:val="20"/>
    </w:rPr>
  </w:style>
  <w:style w:type="paragraph" w:customStyle="1" w:styleId="Bluefieldnumberedparagraph">
    <w:name w:val="Bluefield numbered paragraph"/>
    <w:basedOn w:val="ListParagraph"/>
    <w:qFormat/>
    <w:rsid w:val="00C45343"/>
    <w:pPr>
      <w:spacing w:after="120"/>
      <w:ind w:left="714" w:hanging="357"/>
      <w:jc w:val="both"/>
    </w:pPr>
    <w:rPr>
      <w:rFonts w:ascii="Georgia" w:hAnsi="Georgia"/>
      <w:color w:val="404040" w:themeColor="text1" w:themeTint="BF"/>
      <w:sz w:val="20"/>
      <w:szCs w:val="20"/>
    </w:rPr>
  </w:style>
  <w:style w:type="paragraph" w:customStyle="1" w:styleId="BluefieldTableText">
    <w:name w:val="Bluefield Table Text"/>
    <w:basedOn w:val="ListParagraph"/>
    <w:qFormat/>
    <w:rsid w:val="00C45343"/>
    <w:pPr>
      <w:spacing w:after="200" w:line="276" w:lineRule="auto"/>
      <w:ind w:left="0"/>
    </w:pPr>
    <w:rPr>
      <w:rFonts w:ascii="Georgia" w:hAnsi="Georgia" w:cs="Calibri"/>
      <w:color w:val="404040" w:themeColor="text1" w:themeTint="BF"/>
      <w:sz w:val="18"/>
      <w:szCs w:val="18"/>
    </w:rPr>
  </w:style>
  <w:style w:type="paragraph" w:customStyle="1" w:styleId="Bluefieldbullets10pt">
    <w:name w:val="Bluefield bullets 10pt"/>
    <w:basedOn w:val="Normal"/>
    <w:qFormat/>
    <w:rsid w:val="001625D3"/>
    <w:pPr>
      <w:numPr>
        <w:numId w:val="7"/>
      </w:numPr>
      <w:spacing w:after="120"/>
      <w:jc w:val="both"/>
    </w:pPr>
    <w:rPr>
      <w:rFonts w:ascii="Georgia" w:hAnsi="Georgia" w:cs="Calibri"/>
      <w:color w:val="404040" w:themeColor="text1" w:themeTint="BF"/>
      <w:sz w:val="20"/>
    </w:rPr>
  </w:style>
  <w:style w:type="paragraph" w:customStyle="1" w:styleId="Bluefieldbullets10ptItalic">
    <w:name w:val="Bluefield bullets 10pt Italic"/>
    <w:basedOn w:val="Bluefieldbullets10pt"/>
    <w:qFormat/>
    <w:rsid w:val="00754C3E"/>
    <w:pPr>
      <w:spacing w:before="120"/>
      <w:ind w:left="357" w:hanging="357"/>
    </w:pPr>
    <w:rPr>
      <w:i/>
      <w:lang w:eastAsia="en-GB"/>
    </w:rPr>
  </w:style>
  <w:style w:type="paragraph" w:customStyle="1" w:styleId="BluefieldItalicheading10pt">
    <w:name w:val="Bluefield Italic heading 10pt"/>
    <w:basedOn w:val="body"/>
    <w:qFormat/>
    <w:rsid w:val="004E71FC"/>
    <w:pPr>
      <w:spacing w:after="40"/>
    </w:pPr>
    <w:rPr>
      <w:b/>
      <w:i/>
    </w:rPr>
  </w:style>
  <w:style w:type="numbering" w:customStyle="1" w:styleId="List0">
    <w:name w:val="List 0"/>
    <w:basedOn w:val="NoList"/>
    <w:rsid w:val="0046455B"/>
    <w:pPr>
      <w:numPr>
        <w:numId w:val="8"/>
      </w:numPr>
    </w:pPr>
  </w:style>
  <w:style w:type="numbering" w:customStyle="1" w:styleId="List31">
    <w:name w:val="List 31"/>
    <w:basedOn w:val="NoList"/>
    <w:rsid w:val="0046455B"/>
    <w:pPr>
      <w:numPr>
        <w:numId w:val="9"/>
      </w:numPr>
    </w:pPr>
  </w:style>
  <w:style w:type="numbering" w:customStyle="1" w:styleId="ImportedStyle8">
    <w:name w:val="Imported Style 8"/>
    <w:rsid w:val="0046455B"/>
  </w:style>
  <w:style w:type="paragraph" w:customStyle="1" w:styleId="CommentText1">
    <w:name w:val="Comment Text1"/>
    <w:rsid w:val="00F02825"/>
    <w:rPr>
      <w:rFonts w:eastAsia="ヒラギノ角ゴ Pro W3"/>
      <w:color w:val="000000"/>
      <w:sz w:val="20"/>
      <w:szCs w:val="20"/>
      <w:lang w:val="en-US"/>
    </w:rPr>
  </w:style>
  <w:style w:type="paragraph" w:customStyle="1" w:styleId="DefaultText">
    <w:name w:val="Default Text"/>
    <w:basedOn w:val="Normal"/>
    <w:rsid w:val="00CC5392"/>
    <w:rPr>
      <w:sz w:val="20"/>
      <w:szCs w:val="20"/>
    </w:rPr>
  </w:style>
  <w:style w:type="table" w:customStyle="1" w:styleId="TableGrid1">
    <w:name w:val="Table Grid1"/>
    <w:basedOn w:val="TableNormal"/>
    <w:next w:val="TableGrid"/>
    <w:uiPriority w:val="59"/>
    <w:rsid w:val="00132D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fieldbody0">
    <w:name w:val="bluefieldbody"/>
    <w:basedOn w:val="Normal"/>
    <w:rsid w:val="00636B6B"/>
    <w:pPr>
      <w:jc w:val="both"/>
    </w:pPr>
    <w:rPr>
      <w:rFonts w:ascii="Georgia" w:eastAsiaTheme="minorHAnsi" w:hAnsi="Georgia"/>
      <w:color w:val="404040"/>
      <w:sz w:val="20"/>
      <w:szCs w:val="20"/>
      <w:lang w:eastAsia="en-GB"/>
    </w:rPr>
  </w:style>
  <w:style w:type="table" w:customStyle="1" w:styleId="TableGrid2">
    <w:name w:val="Table Grid2"/>
    <w:basedOn w:val="TableNormal"/>
    <w:next w:val="TableGrid"/>
    <w:uiPriority w:val="59"/>
    <w:rsid w:val="003D2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ate">
    <w:name w:val="Date"/>
    <w:basedOn w:val="Normal"/>
    <w:next w:val="Normal"/>
    <w:link w:val="DateChar"/>
    <w:rsid w:val="00A734EC"/>
  </w:style>
  <w:style w:type="character" w:customStyle="1" w:styleId="DateChar">
    <w:name w:val="Date Char"/>
    <w:basedOn w:val="DefaultParagraphFont"/>
    <w:link w:val="Date"/>
    <w:rsid w:val="00A734EC"/>
    <w:rPr>
      <w:lang w:eastAsia="en-US"/>
    </w:rPr>
  </w:style>
  <w:style w:type="table" w:customStyle="1" w:styleId="TableGrid4">
    <w:name w:val="Table Grid4"/>
    <w:basedOn w:val="TableNormal"/>
    <w:next w:val="TableGrid"/>
    <w:uiPriority w:val="39"/>
    <w:rsid w:val="005715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5715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5715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540FEA"/>
    <w:pPr>
      <w:spacing w:before="100" w:beforeAutospacing="1" w:after="100" w:afterAutospacing="1"/>
    </w:pPr>
    <w:rPr>
      <w:rFonts w:ascii="Calibri" w:eastAsiaTheme="minorHAnsi" w:hAnsi="Calibri" w:cs="Calibri"/>
      <w:sz w:val="22"/>
      <w:szCs w:val="22"/>
      <w:lang w:eastAsia="en-GB"/>
    </w:rPr>
  </w:style>
  <w:style w:type="character" w:customStyle="1" w:styleId="eop">
    <w:name w:val="eop"/>
    <w:basedOn w:val="DefaultParagraphFont"/>
    <w:rsid w:val="00540FEA"/>
  </w:style>
  <w:style w:type="character" w:customStyle="1" w:styleId="normaltextrun">
    <w:name w:val="normaltextrun"/>
    <w:basedOn w:val="DefaultParagraphFont"/>
    <w:rsid w:val="00540FEA"/>
  </w:style>
  <w:style w:type="character" w:customStyle="1" w:styleId="advancedproofingissue">
    <w:name w:val="advancedproofingissue"/>
    <w:basedOn w:val="DefaultParagraphFont"/>
    <w:rsid w:val="00540FEA"/>
  </w:style>
  <w:style w:type="character" w:customStyle="1" w:styleId="spellingerror">
    <w:name w:val="spellingerror"/>
    <w:basedOn w:val="DefaultParagraphFont"/>
    <w:rsid w:val="00540FEA"/>
  </w:style>
  <w:style w:type="paragraph" w:customStyle="1" w:styleId="KAMKNormal">
    <w:name w:val="KAMKNormal"/>
    <w:basedOn w:val="Normal"/>
    <w:link w:val="KAMKNormalChar"/>
    <w:qFormat/>
    <w:rsid w:val="0015510D"/>
    <w:pPr>
      <w:spacing w:before="120" w:after="120"/>
    </w:pPr>
    <w:rPr>
      <w:rFonts w:ascii="Tahoma" w:hAnsi="Tahoma"/>
      <w:color w:val="000000"/>
      <w:sz w:val="22"/>
      <w:lang w:val="en-US"/>
    </w:rPr>
  </w:style>
  <w:style w:type="character" w:customStyle="1" w:styleId="KAMKNormalChar">
    <w:name w:val="KAMKNormal Char"/>
    <w:basedOn w:val="DefaultParagraphFont"/>
    <w:link w:val="KAMKNormal"/>
    <w:rsid w:val="0015510D"/>
    <w:rPr>
      <w:rFonts w:ascii="Tahoma" w:hAnsi="Tahoma"/>
      <w:color w:val="000000"/>
      <w:sz w:val="22"/>
      <w:lang w:val="en-US" w:eastAsia="en-US"/>
    </w:rPr>
  </w:style>
  <w:style w:type="paragraph" w:customStyle="1" w:styleId="wordsection1">
    <w:name w:val="wordsection1"/>
    <w:basedOn w:val="Normal"/>
    <w:uiPriority w:val="99"/>
    <w:rsid w:val="00130FA8"/>
    <w:rPr>
      <w:rFonts w:eastAsiaTheme="minorEastAsia"/>
      <w:lang w:eastAsia="en-GB"/>
    </w:rPr>
  </w:style>
  <w:style w:type="paragraph" w:styleId="Title">
    <w:name w:val="Title"/>
    <w:basedOn w:val="Normal"/>
    <w:link w:val="TitleChar"/>
    <w:qFormat/>
    <w:rsid w:val="00277D08"/>
    <w:pPr>
      <w:spacing w:line="264" w:lineRule="auto"/>
      <w:jc w:val="center"/>
    </w:pPr>
    <w:rPr>
      <w:rFonts w:ascii="Arial" w:eastAsia="Arial Unicode MS" w:hAnsi="Arial" w:cs="Arial"/>
      <w:sz w:val="21"/>
      <w:szCs w:val="21"/>
      <w:lang w:eastAsia="zh-CN"/>
    </w:rPr>
  </w:style>
  <w:style w:type="character" w:customStyle="1" w:styleId="TitleChar">
    <w:name w:val="Title Char"/>
    <w:basedOn w:val="DefaultParagraphFont"/>
    <w:link w:val="Title"/>
    <w:rsid w:val="00277D08"/>
    <w:rPr>
      <w:rFonts w:ascii="Arial" w:eastAsia="Arial Unicode MS" w:hAnsi="Arial" w:cs="Arial"/>
      <w:sz w:val="21"/>
      <w:szCs w:val="21"/>
      <w:lang w:eastAsia="zh-CN"/>
    </w:rPr>
  </w:style>
  <w:style w:type="character" w:customStyle="1" w:styleId="bg">
    <w:name w:val="bg"/>
    <w:basedOn w:val="DefaultParagraphFont"/>
    <w:rsid w:val="00CB0D1A"/>
  </w:style>
  <w:style w:type="paragraph" w:customStyle="1" w:styleId="bo">
    <w:name w:val="bo"/>
    <w:basedOn w:val="Normal"/>
    <w:rsid w:val="00CB0D1A"/>
    <w:pPr>
      <w:spacing w:before="100" w:beforeAutospacing="1" w:after="100" w:afterAutospacing="1"/>
    </w:pPr>
    <w:rPr>
      <w:lang w:eastAsia="en-GB"/>
    </w:rPr>
  </w:style>
  <w:style w:type="paragraph" w:customStyle="1" w:styleId="Body0">
    <w:name w:val="Body"/>
    <w:rsid w:val="007B66C1"/>
    <w:pPr>
      <w:spacing w:after="160" w:line="256" w:lineRule="auto"/>
    </w:pPr>
    <w:rPr>
      <w:rFonts w:ascii="Calibri" w:eastAsia="Arial Unicode MS" w:hAnsi="Calibri" w:cs="Arial Unicode MS"/>
      <w:color w:val="000000"/>
      <w:sz w:val="22"/>
      <w:szCs w:val="22"/>
      <w:u w:color="000000"/>
      <w:lang w:val="de-DE"/>
      <w14:textOutline w14:w="0" w14:cap="flat" w14:cmpd="sng" w14:algn="ctr">
        <w14:noFill/>
        <w14:prstDash w14:val="solid"/>
        <w14:bevel/>
      </w14:textOutline>
    </w:rPr>
  </w:style>
  <w:style w:type="table" w:customStyle="1" w:styleId="GridTable4-Accent51">
    <w:name w:val="Grid Table 4 - Accent 51"/>
    <w:basedOn w:val="TableNormal"/>
    <w:next w:val="GridTable4-Accent5"/>
    <w:uiPriority w:val="49"/>
    <w:rsid w:val="007B66C1"/>
    <w:rPr>
      <w:rFonts w:asciiTheme="minorHAnsi" w:hAnsiTheme="minorHAnsi" w:cstheme="minorBid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aption">
    <w:name w:val="caption"/>
    <w:basedOn w:val="Normal"/>
    <w:next w:val="Normal"/>
    <w:uiPriority w:val="35"/>
    <w:semiHidden/>
    <w:unhideWhenUsed/>
    <w:qFormat/>
    <w:rsid w:val="007B66C1"/>
    <w:pPr>
      <w:spacing w:after="200"/>
    </w:pPr>
    <w:rPr>
      <w:rFonts w:asciiTheme="minorHAnsi" w:eastAsiaTheme="minorHAnsi" w:hAnsiTheme="minorHAnsi" w:cstheme="minorBidi"/>
      <w:i/>
      <w:iCs/>
      <w:color w:val="1F497D" w:themeColor="text2"/>
      <w:sz w:val="18"/>
      <w:szCs w:val="18"/>
    </w:rPr>
  </w:style>
  <w:style w:type="table" w:styleId="GridTable4-Accent5">
    <w:name w:val="Grid Table 4 Accent 5"/>
    <w:basedOn w:val="TableNormal"/>
    <w:uiPriority w:val="49"/>
    <w:rsid w:val="007B66C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n">
    <w:name w:val="bn"/>
    <w:basedOn w:val="Normal"/>
    <w:rsid w:val="00287AA3"/>
    <w:pPr>
      <w:spacing w:before="100" w:beforeAutospacing="1" w:after="100" w:afterAutospacing="1"/>
    </w:pPr>
    <w:rPr>
      <w:lang w:eastAsia="en-GB"/>
    </w:rPr>
  </w:style>
  <w:style w:type="paragraph" w:customStyle="1" w:styleId="bq">
    <w:name w:val="bq"/>
    <w:basedOn w:val="Normal"/>
    <w:rsid w:val="00947857"/>
    <w:pPr>
      <w:spacing w:before="100" w:beforeAutospacing="1" w:after="100" w:afterAutospacing="1"/>
    </w:pPr>
    <w:rPr>
      <w:lang w:eastAsia="en-GB"/>
    </w:rPr>
  </w:style>
  <w:style w:type="paragraph" w:customStyle="1" w:styleId="bt">
    <w:name w:val="bt"/>
    <w:basedOn w:val="Normal"/>
    <w:rsid w:val="00947857"/>
    <w:pPr>
      <w:spacing w:before="100" w:beforeAutospacing="1" w:after="100" w:afterAutospacing="1"/>
    </w:pPr>
    <w:rPr>
      <w:lang w:eastAsia="en-GB"/>
    </w:rPr>
  </w:style>
  <w:style w:type="paragraph" w:customStyle="1" w:styleId="bs">
    <w:name w:val="bs"/>
    <w:basedOn w:val="Normal"/>
    <w:rsid w:val="00947857"/>
    <w:pPr>
      <w:spacing w:before="100" w:beforeAutospacing="1" w:after="100" w:afterAutospacing="1"/>
    </w:pPr>
    <w:rPr>
      <w:lang w:eastAsia="en-GB"/>
    </w:rPr>
  </w:style>
  <w:style w:type="character" w:customStyle="1" w:styleId="clmsitalic-charstyles-46b4289e-0109-58fc-3470-e3c8dc13e2b4">
    <w:name w:val="clms_italic-char_styles-46b4289e-0109-58fc-3470-e3c8dc13e2b4"/>
    <w:rsid w:val="00A25569"/>
    <w:rPr>
      <w:i/>
    </w:rPr>
  </w:style>
  <w:style w:type="paragraph" w:customStyle="1" w:styleId="clmsnormaltable-borderedstyles-46b4289e-0109-58fc-3470-e3c8dc13e2b4">
    <w:name w:val="clms_normal_table-bordered_styles-46b4289e-0109-58fc-3470-e3c8dc13e2b4"/>
    <w:basedOn w:val="Normal"/>
    <w:rsid w:val="00A25569"/>
    <w:pPr>
      <w:spacing w:after="160" w:line="259" w:lineRule="auto"/>
      <w:jc w:val="both"/>
    </w:pPr>
    <w:rPr>
      <w:rFonts w:ascii="Arial" w:eastAsiaTheme="minorHAnsi" w:hAnsi="Arial" w:cs="Arial"/>
      <w:sz w:val="18"/>
      <w:szCs w:val="22"/>
      <w:lang w:val="en-US"/>
    </w:rPr>
  </w:style>
  <w:style w:type="character" w:customStyle="1" w:styleId="clmsbolditalic-charstyles-46b4289e-0109-58fc-3470-e3c8dc13e2b4">
    <w:name w:val="clms_bolditalic-char_styles-46b4289e-0109-58fc-3470-e3c8dc13e2b4"/>
    <w:rsid w:val="00A25569"/>
    <w:rPr>
      <w:b/>
      <w:i/>
    </w:rPr>
  </w:style>
  <w:style w:type="paragraph" w:customStyle="1" w:styleId="clmsnormalstyles-46b4289e-0109-58fc-3470-e3c8dc13e2b4">
    <w:name w:val="clms_normal_styles-46b4289e-0109-58fc-3470-e3c8dc13e2b4"/>
    <w:rsid w:val="00814059"/>
    <w:pPr>
      <w:spacing w:after="160" w:line="259" w:lineRule="auto"/>
      <w:jc w:val="both"/>
    </w:pPr>
    <w:rPr>
      <w:rFonts w:ascii="Arial" w:eastAsiaTheme="minorHAnsi" w:hAnsi="Arial" w:cs="Arial"/>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0">
      <w:bodyDiv w:val="1"/>
      <w:marLeft w:val="0"/>
      <w:marRight w:val="0"/>
      <w:marTop w:val="0"/>
      <w:marBottom w:val="0"/>
      <w:divBdr>
        <w:top w:val="none" w:sz="0" w:space="0" w:color="auto"/>
        <w:left w:val="none" w:sz="0" w:space="0" w:color="auto"/>
        <w:bottom w:val="none" w:sz="0" w:space="0" w:color="auto"/>
        <w:right w:val="none" w:sz="0" w:space="0" w:color="auto"/>
      </w:divBdr>
    </w:div>
    <w:div w:id="737805">
      <w:bodyDiv w:val="1"/>
      <w:marLeft w:val="0"/>
      <w:marRight w:val="0"/>
      <w:marTop w:val="0"/>
      <w:marBottom w:val="0"/>
      <w:divBdr>
        <w:top w:val="none" w:sz="0" w:space="0" w:color="auto"/>
        <w:left w:val="none" w:sz="0" w:space="0" w:color="auto"/>
        <w:bottom w:val="none" w:sz="0" w:space="0" w:color="auto"/>
        <w:right w:val="none" w:sz="0" w:space="0" w:color="auto"/>
      </w:divBdr>
    </w:div>
    <w:div w:id="2558010">
      <w:bodyDiv w:val="1"/>
      <w:marLeft w:val="0"/>
      <w:marRight w:val="0"/>
      <w:marTop w:val="0"/>
      <w:marBottom w:val="0"/>
      <w:divBdr>
        <w:top w:val="none" w:sz="0" w:space="0" w:color="auto"/>
        <w:left w:val="none" w:sz="0" w:space="0" w:color="auto"/>
        <w:bottom w:val="none" w:sz="0" w:space="0" w:color="auto"/>
        <w:right w:val="none" w:sz="0" w:space="0" w:color="auto"/>
      </w:divBdr>
    </w:div>
    <w:div w:id="3898803">
      <w:bodyDiv w:val="1"/>
      <w:marLeft w:val="0"/>
      <w:marRight w:val="0"/>
      <w:marTop w:val="0"/>
      <w:marBottom w:val="0"/>
      <w:divBdr>
        <w:top w:val="none" w:sz="0" w:space="0" w:color="auto"/>
        <w:left w:val="none" w:sz="0" w:space="0" w:color="auto"/>
        <w:bottom w:val="none" w:sz="0" w:space="0" w:color="auto"/>
        <w:right w:val="none" w:sz="0" w:space="0" w:color="auto"/>
      </w:divBdr>
    </w:div>
    <w:div w:id="4483773">
      <w:bodyDiv w:val="1"/>
      <w:marLeft w:val="0"/>
      <w:marRight w:val="0"/>
      <w:marTop w:val="0"/>
      <w:marBottom w:val="0"/>
      <w:divBdr>
        <w:top w:val="none" w:sz="0" w:space="0" w:color="auto"/>
        <w:left w:val="none" w:sz="0" w:space="0" w:color="auto"/>
        <w:bottom w:val="none" w:sz="0" w:space="0" w:color="auto"/>
        <w:right w:val="none" w:sz="0" w:space="0" w:color="auto"/>
      </w:divBdr>
    </w:div>
    <w:div w:id="7023746">
      <w:bodyDiv w:val="1"/>
      <w:marLeft w:val="0"/>
      <w:marRight w:val="0"/>
      <w:marTop w:val="0"/>
      <w:marBottom w:val="0"/>
      <w:divBdr>
        <w:top w:val="none" w:sz="0" w:space="0" w:color="auto"/>
        <w:left w:val="none" w:sz="0" w:space="0" w:color="auto"/>
        <w:bottom w:val="none" w:sz="0" w:space="0" w:color="auto"/>
        <w:right w:val="none" w:sz="0" w:space="0" w:color="auto"/>
      </w:divBdr>
    </w:div>
    <w:div w:id="7174843">
      <w:bodyDiv w:val="1"/>
      <w:marLeft w:val="0"/>
      <w:marRight w:val="0"/>
      <w:marTop w:val="0"/>
      <w:marBottom w:val="0"/>
      <w:divBdr>
        <w:top w:val="none" w:sz="0" w:space="0" w:color="auto"/>
        <w:left w:val="none" w:sz="0" w:space="0" w:color="auto"/>
        <w:bottom w:val="none" w:sz="0" w:space="0" w:color="auto"/>
        <w:right w:val="none" w:sz="0" w:space="0" w:color="auto"/>
      </w:divBdr>
    </w:div>
    <w:div w:id="8408152">
      <w:bodyDiv w:val="1"/>
      <w:marLeft w:val="0"/>
      <w:marRight w:val="0"/>
      <w:marTop w:val="0"/>
      <w:marBottom w:val="0"/>
      <w:divBdr>
        <w:top w:val="none" w:sz="0" w:space="0" w:color="auto"/>
        <w:left w:val="none" w:sz="0" w:space="0" w:color="auto"/>
        <w:bottom w:val="none" w:sz="0" w:space="0" w:color="auto"/>
        <w:right w:val="none" w:sz="0" w:space="0" w:color="auto"/>
      </w:divBdr>
    </w:div>
    <w:div w:id="8875364">
      <w:bodyDiv w:val="1"/>
      <w:marLeft w:val="0"/>
      <w:marRight w:val="0"/>
      <w:marTop w:val="0"/>
      <w:marBottom w:val="0"/>
      <w:divBdr>
        <w:top w:val="none" w:sz="0" w:space="0" w:color="auto"/>
        <w:left w:val="none" w:sz="0" w:space="0" w:color="auto"/>
        <w:bottom w:val="none" w:sz="0" w:space="0" w:color="auto"/>
        <w:right w:val="none" w:sz="0" w:space="0" w:color="auto"/>
      </w:divBdr>
    </w:div>
    <w:div w:id="11886028">
      <w:bodyDiv w:val="1"/>
      <w:marLeft w:val="0"/>
      <w:marRight w:val="0"/>
      <w:marTop w:val="0"/>
      <w:marBottom w:val="0"/>
      <w:divBdr>
        <w:top w:val="none" w:sz="0" w:space="0" w:color="auto"/>
        <w:left w:val="none" w:sz="0" w:space="0" w:color="auto"/>
        <w:bottom w:val="none" w:sz="0" w:space="0" w:color="auto"/>
        <w:right w:val="none" w:sz="0" w:space="0" w:color="auto"/>
      </w:divBdr>
    </w:div>
    <w:div w:id="13306794">
      <w:bodyDiv w:val="1"/>
      <w:marLeft w:val="0"/>
      <w:marRight w:val="0"/>
      <w:marTop w:val="0"/>
      <w:marBottom w:val="0"/>
      <w:divBdr>
        <w:top w:val="none" w:sz="0" w:space="0" w:color="auto"/>
        <w:left w:val="none" w:sz="0" w:space="0" w:color="auto"/>
        <w:bottom w:val="none" w:sz="0" w:space="0" w:color="auto"/>
        <w:right w:val="none" w:sz="0" w:space="0" w:color="auto"/>
      </w:divBdr>
    </w:div>
    <w:div w:id="14581624">
      <w:bodyDiv w:val="1"/>
      <w:marLeft w:val="0"/>
      <w:marRight w:val="0"/>
      <w:marTop w:val="0"/>
      <w:marBottom w:val="0"/>
      <w:divBdr>
        <w:top w:val="none" w:sz="0" w:space="0" w:color="auto"/>
        <w:left w:val="none" w:sz="0" w:space="0" w:color="auto"/>
        <w:bottom w:val="none" w:sz="0" w:space="0" w:color="auto"/>
        <w:right w:val="none" w:sz="0" w:space="0" w:color="auto"/>
      </w:divBdr>
    </w:div>
    <w:div w:id="14618379">
      <w:bodyDiv w:val="1"/>
      <w:marLeft w:val="0"/>
      <w:marRight w:val="0"/>
      <w:marTop w:val="0"/>
      <w:marBottom w:val="0"/>
      <w:divBdr>
        <w:top w:val="none" w:sz="0" w:space="0" w:color="auto"/>
        <w:left w:val="none" w:sz="0" w:space="0" w:color="auto"/>
        <w:bottom w:val="none" w:sz="0" w:space="0" w:color="auto"/>
        <w:right w:val="none" w:sz="0" w:space="0" w:color="auto"/>
      </w:divBdr>
    </w:div>
    <w:div w:id="15540759">
      <w:bodyDiv w:val="1"/>
      <w:marLeft w:val="0"/>
      <w:marRight w:val="0"/>
      <w:marTop w:val="0"/>
      <w:marBottom w:val="0"/>
      <w:divBdr>
        <w:top w:val="none" w:sz="0" w:space="0" w:color="auto"/>
        <w:left w:val="none" w:sz="0" w:space="0" w:color="auto"/>
        <w:bottom w:val="none" w:sz="0" w:space="0" w:color="auto"/>
        <w:right w:val="none" w:sz="0" w:space="0" w:color="auto"/>
      </w:divBdr>
    </w:div>
    <w:div w:id="19360272">
      <w:bodyDiv w:val="1"/>
      <w:marLeft w:val="0"/>
      <w:marRight w:val="0"/>
      <w:marTop w:val="0"/>
      <w:marBottom w:val="0"/>
      <w:divBdr>
        <w:top w:val="none" w:sz="0" w:space="0" w:color="auto"/>
        <w:left w:val="none" w:sz="0" w:space="0" w:color="auto"/>
        <w:bottom w:val="none" w:sz="0" w:space="0" w:color="auto"/>
        <w:right w:val="none" w:sz="0" w:space="0" w:color="auto"/>
      </w:divBdr>
    </w:div>
    <w:div w:id="21244468">
      <w:bodyDiv w:val="1"/>
      <w:marLeft w:val="0"/>
      <w:marRight w:val="0"/>
      <w:marTop w:val="0"/>
      <w:marBottom w:val="0"/>
      <w:divBdr>
        <w:top w:val="none" w:sz="0" w:space="0" w:color="auto"/>
        <w:left w:val="none" w:sz="0" w:space="0" w:color="auto"/>
        <w:bottom w:val="none" w:sz="0" w:space="0" w:color="auto"/>
        <w:right w:val="none" w:sz="0" w:space="0" w:color="auto"/>
      </w:divBdr>
    </w:div>
    <w:div w:id="22026087">
      <w:bodyDiv w:val="1"/>
      <w:marLeft w:val="0"/>
      <w:marRight w:val="0"/>
      <w:marTop w:val="0"/>
      <w:marBottom w:val="0"/>
      <w:divBdr>
        <w:top w:val="none" w:sz="0" w:space="0" w:color="auto"/>
        <w:left w:val="none" w:sz="0" w:space="0" w:color="auto"/>
        <w:bottom w:val="none" w:sz="0" w:space="0" w:color="auto"/>
        <w:right w:val="none" w:sz="0" w:space="0" w:color="auto"/>
      </w:divBdr>
    </w:div>
    <w:div w:id="23988536">
      <w:bodyDiv w:val="1"/>
      <w:marLeft w:val="0"/>
      <w:marRight w:val="0"/>
      <w:marTop w:val="0"/>
      <w:marBottom w:val="0"/>
      <w:divBdr>
        <w:top w:val="none" w:sz="0" w:space="0" w:color="auto"/>
        <w:left w:val="none" w:sz="0" w:space="0" w:color="auto"/>
        <w:bottom w:val="none" w:sz="0" w:space="0" w:color="auto"/>
        <w:right w:val="none" w:sz="0" w:space="0" w:color="auto"/>
      </w:divBdr>
    </w:div>
    <w:div w:id="24715875">
      <w:bodyDiv w:val="1"/>
      <w:marLeft w:val="0"/>
      <w:marRight w:val="0"/>
      <w:marTop w:val="0"/>
      <w:marBottom w:val="0"/>
      <w:divBdr>
        <w:top w:val="none" w:sz="0" w:space="0" w:color="auto"/>
        <w:left w:val="none" w:sz="0" w:space="0" w:color="auto"/>
        <w:bottom w:val="none" w:sz="0" w:space="0" w:color="auto"/>
        <w:right w:val="none" w:sz="0" w:space="0" w:color="auto"/>
      </w:divBdr>
    </w:div>
    <w:div w:id="25180569">
      <w:bodyDiv w:val="1"/>
      <w:marLeft w:val="0"/>
      <w:marRight w:val="0"/>
      <w:marTop w:val="0"/>
      <w:marBottom w:val="0"/>
      <w:divBdr>
        <w:top w:val="none" w:sz="0" w:space="0" w:color="auto"/>
        <w:left w:val="none" w:sz="0" w:space="0" w:color="auto"/>
        <w:bottom w:val="none" w:sz="0" w:space="0" w:color="auto"/>
        <w:right w:val="none" w:sz="0" w:space="0" w:color="auto"/>
      </w:divBdr>
    </w:div>
    <w:div w:id="25834211">
      <w:bodyDiv w:val="1"/>
      <w:marLeft w:val="0"/>
      <w:marRight w:val="0"/>
      <w:marTop w:val="0"/>
      <w:marBottom w:val="0"/>
      <w:divBdr>
        <w:top w:val="none" w:sz="0" w:space="0" w:color="auto"/>
        <w:left w:val="none" w:sz="0" w:space="0" w:color="auto"/>
        <w:bottom w:val="none" w:sz="0" w:space="0" w:color="auto"/>
        <w:right w:val="none" w:sz="0" w:space="0" w:color="auto"/>
      </w:divBdr>
    </w:div>
    <w:div w:id="26369052">
      <w:bodyDiv w:val="1"/>
      <w:marLeft w:val="0"/>
      <w:marRight w:val="0"/>
      <w:marTop w:val="0"/>
      <w:marBottom w:val="0"/>
      <w:divBdr>
        <w:top w:val="none" w:sz="0" w:space="0" w:color="auto"/>
        <w:left w:val="none" w:sz="0" w:space="0" w:color="auto"/>
        <w:bottom w:val="none" w:sz="0" w:space="0" w:color="auto"/>
        <w:right w:val="none" w:sz="0" w:space="0" w:color="auto"/>
      </w:divBdr>
    </w:div>
    <w:div w:id="26414498">
      <w:bodyDiv w:val="1"/>
      <w:marLeft w:val="0"/>
      <w:marRight w:val="0"/>
      <w:marTop w:val="0"/>
      <w:marBottom w:val="0"/>
      <w:divBdr>
        <w:top w:val="none" w:sz="0" w:space="0" w:color="auto"/>
        <w:left w:val="none" w:sz="0" w:space="0" w:color="auto"/>
        <w:bottom w:val="none" w:sz="0" w:space="0" w:color="auto"/>
        <w:right w:val="none" w:sz="0" w:space="0" w:color="auto"/>
      </w:divBdr>
    </w:div>
    <w:div w:id="28261650">
      <w:bodyDiv w:val="1"/>
      <w:marLeft w:val="0"/>
      <w:marRight w:val="0"/>
      <w:marTop w:val="0"/>
      <w:marBottom w:val="0"/>
      <w:divBdr>
        <w:top w:val="none" w:sz="0" w:space="0" w:color="auto"/>
        <w:left w:val="none" w:sz="0" w:space="0" w:color="auto"/>
        <w:bottom w:val="none" w:sz="0" w:space="0" w:color="auto"/>
        <w:right w:val="none" w:sz="0" w:space="0" w:color="auto"/>
      </w:divBdr>
    </w:div>
    <w:div w:id="29032815">
      <w:bodyDiv w:val="1"/>
      <w:marLeft w:val="0"/>
      <w:marRight w:val="0"/>
      <w:marTop w:val="0"/>
      <w:marBottom w:val="0"/>
      <w:divBdr>
        <w:top w:val="none" w:sz="0" w:space="0" w:color="auto"/>
        <w:left w:val="none" w:sz="0" w:space="0" w:color="auto"/>
        <w:bottom w:val="none" w:sz="0" w:space="0" w:color="auto"/>
        <w:right w:val="none" w:sz="0" w:space="0" w:color="auto"/>
      </w:divBdr>
    </w:div>
    <w:div w:id="29452237">
      <w:bodyDiv w:val="1"/>
      <w:marLeft w:val="0"/>
      <w:marRight w:val="0"/>
      <w:marTop w:val="0"/>
      <w:marBottom w:val="0"/>
      <w:divBdr>
        <w:top w:val="none" w:sz="0" w:space="0" w:color="auto"/>
        <w:left w:val="none" w:sz="0" w:space="0" w:color="auto"/>
        <w:bottom w:val="none" w:sz="0" w:space="0" w:color="auto"/>
        <w:right w:val="none" w:sz="0" w:space="0" w:color="auto"/>
      </w:divBdr>
    </w:div>
    <w:div w:id="29648993">
      <w:bodyDiv w:val="1"/>
      <w:marLeft w:val="0"/>
      <w:marRight w:val="0"/>
      <w:marTop w:val="0"/>
      <w:marBottom w:val="0"/>
      <w:divBdr>
        <w:top w:val="none" w:sz="0" w:space="0" w:color="auto"/>
        <w:left w:val="none" w:sz="0" w:space="0" w:color="auto"/>
        <w:bottom w:val="none" w:sz="0" w:space="0" w:color="auto"/>
        <w:right w:val="none" w:sz="0" w:space="0" w:color="auto"/>
      </w:divBdr>
    </w:div>
    <w:div w:id="30348280">
      <w:bodyDiv w:val="1"/>
      <w:marLeft w:val="0"/>
      <w:marRight w:val="0"/>
      <w:marTop w:val="0"/>
      <w:marBottom w:val="0"/>
      <w:divBdr>
        <w:top w:val="none" w:sz="0" w:space="0" w:color="auto"/>
        <w:left w:val="none" w:sz="0" w:space="0" w:color="auto"/>
        <w:bottom w:val="none" w:sz="0" w:space="0" w:color="auto"/>
        <w:right w:val="none" w:sz="0" w:space="0" w:color="auto"/>
      </w:divBdr>
    </w:div>
    <w:div w:id="31466149">
      <w:bodyDiv w:val="1"/>
      <w:marLeft w:val="0"/>
      <w:marRight w:val="0"/>
      <w:marTop w:val="0"/>
      <w:marBottom w:val="0"/>
      <w:divBdr>
        <w:top w:val="none" w:sz="0" w:space="0" w:color="auto"/>
        <w:left w:val="none" w:sz="0" w:space="0" w:color="auto"/>
        <w:bottom w:val="none" w:sz="0" w:space="0" w:color="auto"/>
        <w:right w:val="none" w:sz="0" w:space="0" w:color="auto"/>
      </w:divBdr>
    </w:div>
    <w:div w:id="32196499">
      <w:bodyDiv w:val="1"/>
      <w:marLeft w:val="0"/>
      <w:marRight w:val="0"/>
      <w:marTop w:val="0"/>
      <w:marBottom w:val="0"/>
      <w:divBdr>
        <w:top w:val="none" w:sz="0" w:space="0" w:color="auto"/>
        <w:left w:val="none" w:sz="0" w:space="0" w:color="auto"/>
        <w:bottom w:val="none" w:sz="0" w:space="0" w:color="auto"/>
        <w:right w:val="none" w:sz="0" w:space="0" w:color="auto"/>
      </w:divBdr>
    </w:div>
    <w:div w:id="32313808">
      <w:bodyDiv w:val="1"/>
      <w:marLeft w:val="0"/>
      <w:marRight w:val="0"/>
      <w:marTop w:val="0"/>
      <w:marBottom w:val="0"/>
      <w:divBdr>
        <w:top w:val="none" w:sz="0" w:space="0" w:color="auto"/>
        <w:left w:val="none" w:sz="0" w:space="0" w:color="auto"/>
        <w:bottom w:val="none" w:sz="0" w:space="0" w:color="auto"/>
        <w:right w:val="none" w:sz="0" w:space="0" w:color="auto"/>
      </w:divBdr>
    </w:div>
    <w:div w:id="33238535">
      <w:bodyDiv w:val="1"/>
      <w:marLeft w:val="0"/>
      <w:marRight w:val="0"/>
      <w:marTop w:val="0"/>
      <w:marBottom w:val="0"/>
      <w:divBdr>
        <w:top w:val="none" w:sz="0" w:space="0" w:color="auto"/>
        <w:left w:val="none" w:sz="0" w:space="0" w:color="auto"/>
        <w:bottom w:val="none" w:sz="0" w:space="0" w:color="auto"/>
        <w:right w:val="none" w:sz="0" w:space="0" w:color="auto"/>
      </w:divBdr>
    </w:div>
    <w:div w:id="35128434">
      <w:bodyDiv w:val="1"/>
      <w:marLeft w:val="0"/>
      <w:marRight w:val="0"/>
      <w:marTop w:val="0"/>
      <w:marBottom w:val="0"/>
      <w:divBdr>
        <w:top w:val="none" w:sz="0" w:space="0" w:color="auto"/>
        <w:left w:val="none" w:sz="0" w:space="0" w:color="auto"/>
        <w:bottom w:val="none" w:sz="0" w:space="0" w:color="auto"/>
        <w:right w:val="none" w:sz="0" w:space="0" w:color="auto"/>
      </w:divBdr>
    </w:div>
    <w:div w:id="35546002">
      <w:bodyDiv w:val="1"/>
      <w:marLeft w:val="0"/>
      <w:marRight w:val="0"/>
      <w:marTop w:val="0"/>
      <w:marBottom w:val="0"/>
      <w:divBdr>
        <w:top w:val="none" w:sz="0" w:space="0" w:color="auto"/>
        <w:left w:val="none" w:sz="0" w:space="0" w:color="auto"/>
        <w:bottom w:val="none" w:sz="0" w:space="0" w:color="auto"/>
        <w:right w:val="none" w:sz="0" w:space="0" w:color="auto"/>
      </w:divBdr>
    </w:div>
    <w:div w:id="36242387">
      <w:bodyDiv w:val="1"/>
      <w:marLeft w:val="0"/>
      <w:marRight w:val="0"/>
      <w:marTop w:val="0"/>
      <w:marBottom w:val="0"/>
      <w:divBdr>
        <w:top w:val="none" w:sz="0" w:space="0" w:color="auto"/>
        <w:left w:val="none" w:sz="0" w:space="0" w:color="auto"/>
        <w:bottom w:val="none" w:sz="0" w:space="0" w:color="auto"/>
        <w:right w:val="none" w:sz="0" w:space="0" w:color="auto"/>
      </w:divBdr>
    </w:div>
    <w:div w:id="37321777">
      <w:bodyDiv w:val="1"/>
      <w:marLeft w:val="0"/>
      <w:marRight w:val="0"/>
      <w:marTop w:val="0"/>
      <w:marBottom w:val="0"/>
      <w:divBdr>
        <w:top w:val="none" w:sz="0" w:space="0" w:color="auto"/>
        <w:left w:val="none" w:sz="0" w:space="0" w:color="auto"/>
        <w:bottom w:val="none" w:sz="0" w:space="0" w:color="auto"/>
        <w:right w:val="none" w:sz="0" w:space="0" w:color="auto"/>
      </w:divBdr>
    </w:div>
    <w:div w:id="38555971">
      <w:bodyDiv w:val="1"/>
      <w:marLeft w:val="0"/>
      <w:marRight w:val="0"/>
      <w:marTop w:val="0"/>
      <w:marBottom w:val="0"/>
      <w:divBdr>
        <w:top w:val="none" w:sz="0" w:space="0" w:color="auto"/>
        <w:left w:val="none" w:sz="0" w:space="0" w:color="auto"/>
        <w:bottom w:val="none" w:sz="0" w:space="0" w:color="auto"/>
        <w:right w:val="none" w:sz="0" w:space="0" w:color="auto"/>
      </w:divBdr>
    </w:div>
    <w:div w:id="40441373">
      <w:bodyDiv w:val="1"/>
      <w:marLeft w:val="0"/>
      <w:marRight w:val="0"/>
      <w:marTop w:val="0"/>
      <w:marBottom w:val="0"/>
      <w:divBdr>
        <w:top w:val="none" w:sz="0" w:space="0" w:color="auto"/>
        <w:left w:val="none" w:sz="0" w:space="0" w:color="auto"/>
        <w:bottom w:val="none" w:sz="0" w:space="0" w:color="auto"/>
        <w:right w:val="none" w:sz="0" w:space="0" w:color="auto"/>
      </w:divBdr>
    </w:div>
    <w:div w:id="42288470">
      <w:bodyDiv w:val="1"/>
      <w:marLeft w:val="0"/>
      <w:marRight w:val="0"/>
      <w:marTop w:val="0"/>
      <w:marBottom w:val="0"/>
      <w:divBdr>
        <w:top w:val="none" w:sz="0" w:space="0" w:color="auto"/>
        <w:left w:val="none" w:sz="0" w:space="0" w:color="auto"/>
        <w:bottom w:val="none" w:sz="0" w:space="0" w:color="auto"/>
        <w:right w:val="none" w:sz="0" w:space="0" w:color="auto"/>
      </w:divBdr>
    </w:div>
    <w:div w:id="42411344">
      <w:bodyDiv w:val="1"/>
      <w:marLeft w:val="0"/>
      <w:marRight w:val="0"/>
      <w:marTop w:val="0"/>
      <w:marBottom w:val="0"/>
      <w:divBdr>
        <w:top w:val="none" w:sz="0" w:space="0" w:color="auto"/>
        <w:left w:val="none" w:sz="0" w:space="0" w:color="auto"/>
        <w:bottom w:val="none" w:sz="0" w:space="0" w:color="auto"/>
        <w:right w:val="none" w:sz="0" w:space="0" w:color="auto"/>
      </w:divBdr>
      <w:divsChild>
        <w:div w:id="619145597">
          <w:marLeft w:val="0"/>
          <w:marRight w:val="0"/>
          <w:marTop w:val="0"/>
          <w:marBottom w:val="0"/>
          <w:divBdr>
            <w:top w:val="none" w:sz="0" w:space="0" w:color="auto"/>
            <w:left w:val="none" w:sz="0" w:space="0" w:color="auto"/>
            <w:bottom w:val="none" w:sz="0" w:space="0" w:color="auto"/>
            <w:right w:val="none" w:sz="0" w:space="0" w:color="auto"/>
          </w:divBdr>
          <w:divsChild>
            <w:div w:id="1053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6279">
      <w:bodyDiv w:val="1"/>
      <w:marLeft w:val="0"/>
      <w:marRight w:val="0"/>
      <w:marTop w:val="0"/>
      <w:marBottom w:val="0"/>
      <w:divBdr>
        <w:top w:val="none" w:sz="0" w:space="0" w:color="auto"/>
        <w:left w:val="none" w:sz="0" w:space="0" w:color="auto"/>
        <w:bottom w:val="none" w:sz="0" w:space="0" w:color="auto"/>
        <w:right w:val="none" w:sz="0" w:space="0" w:color="auto"/>
      </w:divBdr>
    </w:div>
    <w:div w:id="45110921">
      <w:bodyDiv w:val="1"/>
      <w:marLeft w:val="0"/>
      <w:marRight w:val="0"/>
      <w:marTop w:val="0"/>
      <w:marBottom w:val="0"/>
      <w:divBdr>
        <w:top w:val="none" w:sz="0" w:space="0" w:color="auto"/>
        <w:left w:val="none" w:sz="0" w:space="0" w:color="auto"/>
        <w:bottom w:val="none" w:sz="0" w:space="0" w:color="auto"/>
        <w:right w:val="none" w:sz="0" w:space="0" w:color="auto"/>
      </w:divBdr>
    </w:div>
    <w:div w:id="46034640">
      <w:bodyDiv w:val="1"/>
      <w:marLeft w:val="0"/>
      <w:marRight w:val="0"/>
      <w:marTop w:val="0"/>
      <w:marBottom w:val="0"/>
      <w:divBdr>
        <w:top w:val="none" w:sz="0" w:space="0" w:color="auto"/>
        <w:left w:val="none" w:sz="0" w:space="0" w:color="auto"/>
        <w:bottom w:val="none" w:sz="0" w:space="0" w:color="auto"/>
        <w:right w:val="none" w:sz="0" w:space="0" w:color="auto"/>
      </w:divBdr>
    </w:div>
    <w:div w:id="46339240">
      <w:bodyDiv w:val="1"/>
      <w:marLeft w:val="0"/>
      <w:marRight w:val="0"/>
      <w:marTop w:val="0"/>
      <w:marBottom w:val="0"/>
      <w:divBdr>
        <w:top w:val="none" w:sz="0" w:space="0" w:color="auto"/>
        <w:left w:val="none" w:sz="0" w:space="0" w:color="auto"/>
        <w:bottom w:val="none" w:sz="0" w:space="0" w:color="auto"/>
        <w:right w:val="none" w:sz="0" w:space="0" w:color="auto"/>
      </w:divBdr>
    </w:div>
    <w:div w:id="47919059">
      <w:bodyDiv w:val="1"/>
      <w:marLeft w:val="0"/>
      <w:marRight w:val="0"/>
      <w:marTop w:val="0"/>
      <w:marBottom w:val="0"/>
      <w:divBdr>
        <w:top w:val="none" w:sz="0" w:space="0" w:color="auto"/>
        <w:left w:val="none" w:sz="0" w:space="0" w:color="auto"/>
        <w:bottom w:val="none" w:sz="0" w:space="0" w:color="auto"/>
        <w:right w:val="none" w:sz="0" w:space="0" w:color="auto"/>
      </w:divBdr>
    </w:div>
    <w:div w:id="48772728">
      <w:bodyDiv w:val="1"/>
      <w:marLeft w:val="0"/>
      <w:marRight w:val="0"/>
      <w:marTop w:val="0"/>
      <w:marBottom w:val="0"/>
      <w:divBdr>
        <w:top w:val="none" w:sz="0" w:space="0" w:color="auto"/>
        <w:left w:val="none" w:sz="0" w:space="0" w:color="auto"/>
        <w:bottom w:val="none" w:sz="0" w:space="0" w:color="auto"/>
        <w:right w:val="none" w:sz="0" w:space="0" w:color="auto"/>
      </w:divBdr>
    </w:div>
    <w:div w:id="48850090">
      <w:bodyDiv w:val="1"/>
      <w:marLeft w:val="0"/>
      <w:marRight w:val="0"/>
      <w:marTop w:val="0"/>
      <w:marBottom w:val="0"/>
      <w:divBdr>
        <w:top w:val="none" w:sz="0" w:space="0" w:color="auto"/>
        <w:left w:val="none" w:sz="0" w:space="0" w:color="auto"/>
        <w:bottom w:val="none" w:sz="0" w:space="0" w:color="auto"/>
        <w:right w:val="none" w:sz="0" w:space="0" w:color="auto"/>
      </w:divBdr>
    </w:div>
    <w:div w:id="52504574">
      <w:bodyDiv w:val="1"/>
      <w:marLeft w:val="0"/>
      <w:marRight w:val="0"/>
      <w:marTop w:val="0"/>
      <w:marBottom w:val="0"/>
      <w:divBdr>
        <w:top w:val="none" w:sz="0" w:space="0" w:color="auto"/>
        <w:left w:val="none" w:sz="0" w:space="0" w:color="auto"/>
        <w:bottom w:val="none" w:sz="0" w:space="0" w:color="auto"/>
        <w:right w:val="none" w:sz="0" w:space="0" w:color="auto"/>
      </w:divBdr>
    </w:div>
    <w:div w:id="53088549">
      <w:bodyDiv w:val="1"/>
      <w:marLeft w:val="0"/>
      <w:marRight w:val="0"/>
      <w:marTop w:val="0"/>
      <w:marBottom w:val="0"/>
      <w:divBdr>
        <w:top w:val="none" w:sz="0" w:space="0" w:color="auto"/>
        <w:left w:val="none" w:sz="0" w:space="0" w:color="auto"/>
        <w:bottom w:val="none" w:sz="0" w:space="0" w:color="auto"/>
        <w:right w:val="none" w:sz="0" w:space="0" w:color="auto"/>
      </w:divBdr>
    </w:div>
    <w:div w:id="54663574">
      <w:bodyDiv w:val="1"/>
      <w:marLeft w:val="0"/>
      <w:marRight w:val="0"/>
      <w:marTop w:val="0"/>
      <w:marBottom w:val="0"/>
      <w:divBdr>
        <w:top w:val="none" w:sz="0" w:space="0" w:color="auto"/>
        <w:left w:val="none" w:sz="0" w:space="0" w:color="auto"/>
        <w:bottom w:val="none" w:sz="0" w:space="0" w:color="auto"/>
        <w:right w:val="none" w:sz="0" w:space="0" w:color="auto"/>
      </w:divBdr>
    </w:div>
    <w:div w:id="55008932">
      <w:bodyDiv w:val="1"/>
      <w:marLeft w:val="0"/>
      <w:marRight w:val="0"/>
      <w:marTop w:val="0"/>
      <w:marBottom w:val="0"/>
      <w:divBdr>
        <w:top w:val="none" w:sz="0" w:space="0" w:color="auto"/>
        <w:left w:val="none" w:sz="0" w:space="0" w:color="auto"/>
        <w:bottom w:val="none" w:sz="0" w:space="0" w:color="auto"/>
        <w:right w:val="none" w:sz="0" w:space="0" w:color="auto"/>
      </w:divBdr>
    </w:div>
    <w:div w:id="56243057">
      <w:bodyDiv w:val="1"/>
      <w:marLeft w:val="0"/>
      <w:marRight w:val="0"/>
      <w:marTop w:val="0"/>
      <w:marBottom w:val="0"/>
      <w:divBdr>
        <w:top w:val="none" w:sz="0" w:space="0" w:color="auto"/>
        <w:left w:val="none" w:sz="0" w:space="0" w:color="auto"/>
        <w:bottom w:val="none" w:sz="0" w:space="0" w:color="auto"/>
        <w:right w:val="none" w:sz="0" w:space="0" w:color="auto"/>
      </w:divBdr>
    </w:div>
    <w:div w:id="56439739">
      <w:bodyDiv w:val="1"/>
      <w:marLeft w:val="0"/>
      <w:marRight w:val="0"/>
      <w:marTop w:val="0"/>
      <w:marBottom w:val="0"/>
      <w:divBdr>
        <w:top w:val="none" w:sz="0" w:space="0" w:color="auto"/>
        <w:left w:val="none" w:sz="0" w:space="0" w:color="auto"/>
        <w:bottom w:val="none" w:sz="0" w:space="0" w:color="auto"/>
        <w:right w:val="none" w:sz="0" w:space="0" w:color="auto"/>
      </w:divBdr>
    </w:div>
    <w:div w:id="57016450">
      <w:bodyDiv w:val="1"/>
      <w:marLeft w:val="0"/>
      <w:marRight w:val="0"/>
      <w:marTop w:val="0"/>
      <w:marBottom w:val="0"/>
      <w:divBdr>
        <w:top w:val="none" w:sz="0" w:space="0" w:color="auto"/>
        <w:left w:val="none" w:sz="0" w:space="0" w:color="auto"/>
        <w:bottom w:val="none" w:sz="0" w:space="0" w:color="auto"/>
        <w:right w:val="none" w:sz="0" w:space="0" w:color="auto"/>
      </w:divBdr>
    </w:div>
    <w:div w:id="61829090">
      <w:bodyDiv w:val="1"/>
      <w:marLeft w:val="0"/>
      <w:marRight w:val="0"/>
      <w:marTop w:val="0"/>
      <w:marBottom w:val="0"/>
      <w:divBdr>
        <w:top w:val="none" w:sz="0" w:space="0" w:color="auto"/>
        <w:left w:val="none" w:sz="0" w:space="0" w:color="auto"/>
        <w:bottom w:val="none" w:sz="0" w:space="0" w:color="auto"/>
        <w:right w:val="none" w:sz="0" w:space="0" w:color="auto"/>
      </w:divBdr>
    </w:div>
    <w:div w:id="62022929">
      <w:bodyDiv w:val="1"/>
      <w:marLeft w:val="0"/>
      <w:marRight w:val="0"/>
      <w:marTop w:val="0"/>
      <w:marBottom w:val="0"/>
      <w:divBdr>
        <w:top w:val="none" w:sz="0" w:space="0" w:color="auto"/>
        <w:left w:val="none" w:sz="0" w:space="0" w:color="auto"/>
        <w:bottom w:val="none" w:sz="0" w:space="0" w:color="auto"/>
        <w:right w:val="none" w:sz="0" w:space="0" w:color="auto"/>
      </w:divBdr>
    </w:div>
    <w:div w:id="62069092">
      <w:bodyDiv w:val="1"/>
      <w:marLeft w:val="0"/>
      <w:marRight w:val="0"/>
      <w:marTop w:val="0"/>
      <w:marBottom w:val="0"/>
      <w:divBdr>
        <w:top w:val="none" w:sz="0" w:space="0" w:color="auto"/>
        <w:left w:val="none" w:sz="0" w:space="0" w:color="auto"/>
        <w:bottom w:val="none" w:sz="0" w:space="0" w:color="auto"/>
        <w:right w:val="none" w:sz="0" w:space="0" w:color="auto"/>
      </w:divBdr>
    </w:div>
    <w:div w:id="64230926">
      <w:bodyDiv w:val="1"/>
      <w:marLeft w:val="0"/>
      <w:marRight w:val="0"/>
      <w:marTop w:val="0"/>
      <w:marBottom w:val="0"/>
      <w:divBdr>
        <w:top w:val="none" w:sz="0" w:space="0" w:color="auto"/>
        <w:left w:val="none" w:sz="0" w:space="0" w:color="auto"/>
        <w:bottom w:val="none" w:sz="0" w:space="0" w:color="auto"/>
        <w:right w:val="none" w:sz="0" w:space="0" w:color="auto"/>
      </w:divBdr>
    </w:div>
    <w:div w:id="65348225">
      <w:bodyDiv w:val="1"/>
      <w:marLeft w:val="0"/>
      <w:marRight w:val="0"/>
      <w:marTop w:val="0"/>
      <w:marBottom w:val="0"/>
      <w:divBdr>
        <w:top w:val="none" w:sz="0" w:space="0" w:color="auto"/>
        <w:left w:val="none" w:sz="0" w:space="0" w:color="auto"/>
        <w:bottom w:val="none" w:sz="0" w:space="0" w:color="auto"/>
        <w:right w:val="none" w:sz="0" w:space="0" w:color="auto"/>
      </w:divBdr>
    </w:div>
    <w:div w:id="69812851">
      <w:bodyDiv w:val="1"/>
      <w:marLeft w:val="0"/>
      <w:marRight w:val="0"/>
      <w:marTop w:val="0"/>
      <w:marBottom w:val="0"/>
      <w:divBdr>
        <w:top w:val="none" w:sz="0" w:space="0" w:color="auto"/>
        <w:left w:val="none" w:sz="0" w:space="0" w:color="auto"/>
        <w:bottom w:val="none" w:sz="0" w:space="0" w:color="auto"/>
        <w:right w:val="none" w:sz="0" w:space="0" w:color="auto"/>
      </w:divBdr>
    </w:div>
    <w:div w:id="70083179">
      <w:bodyDiv w:val="1"/>
      <w:marLeft w:val="0"/>
      <w:marRight w:val="0"/>
      <w:marTop w:val="0"/>
      <w:marBottom w:val="0"/>
      <w:divBdr>
        <w:top w:val="none" w:sz="0" w:space="0" w:color="auto"/>
        <w:left w:val="none" w:sz="0" w:space="0" w:color="auto"/>
        <w:bottom w:val="none" w:sz="0" w:space="0" w:color="auto"/>
        <w:right w:val="none" w:sz="0" w:space="0" w:color="auto"/>
      </w:divBdr>
    </w:div>
    <w:div w:id="70124356">
      <w:bodyDiv w:val="1"/>
      <w:marLeft w:val="0"/>
      <w:marRight w:val="0"/>
      <w:marTop w:val="0"/>
      <w:marBottom w:val="0"/>
      <w:divBdr>
        <w:top w:val="none" w:sz="0" w:space="0" w:color="auto"/>
        <w:left w:val="none" w:sz="0" w:space="0" w:color="auto"/>
        <w:bottom w:val="none" w:sz="0" w:space="0" w:color="auto"/>
        <w:right w:val="none" w:sz="0" w:space="0" w:color="auto"/>
      </w:divBdr>
    </w:div>
    <w:div w:id="70544931">
      <w:bodyDiv w:val="1"/>
      <w:marLeft w:val="0"/>
      <w:marRight w:val="0"/>
      <w:marTop w:val="0"/>
      <w:marBottom w:val="0"/>
      <w:divBdr>
        <w:top w:val="none" w:sz="0" w:space="0" w:color="auto"/>
        <w:left w:val="none" w:sz="0" w:space="0" w:color="auto"/>
        <w:bottom w:val="none" w:sz="0" w:space="0" w:color="auto"/>
        <w:right w:val="none" w:sz="0" w:space="0" w:color="auto"/>
      </w:divBdr>
    </w:div>
    <w:div w:id="71395830">
      <w:bodyDiv w:val="1"/>
      <w:marLeft w:val="0"/>
      <w:marRight w:val="0"/>
      <w:marTop w:val="0"/>
      <w:marBottom w:val="0"/>
      <w:divBdr>
        <w:top w:val="none" w:sz="0" w:space="0" w:color="auto"/>
        <w:left w:val="none" w:sz="0" w:space="0" w:color="auto"/>
        <w:bottom w:val="none" w:sz="0" w:space="0" w:color="auto"/>
        <w:right w:val="none" w:sz="0" w:space="0" w:color="auto"/>
      </w:divBdr>
    </w:div>
    <w:div w:id="72049819">
      <w:bodyDiv w:val="1"/>
      <w:marLeft w:val="0"/>
      <w:marRight w:val="0"/>
      <w:marTop w:val="0"/>
      <w:marBottom w:val="0"/>
      <w:divBdr>
        <w:top w:val="none" w:sz="0" w:space="0" w:color="auto"/>
        <w:left w:val="none" w:sz="0" w:space="0" w:color="auto"/>
        <w:bottom w:val="none" w:sz="0" w:space="0" w:color="auto"/>
        <w:right w:val="none" w:sz="0" w:space="0" w:color="auto"/>
      </w:divBdr>
    </w:div>
    <w:div w:id="73935385">
      <w:bodyDiv w:val="1"/>
      <w:marLeft w:val="0"/>
      <w:marRight w:val="0"/>
      <w:marTop w:val="0"/>
      <w:marBottom w:val="0"/>
      <w:divBdr>
        <w:top w:val="none" w:sz="0" w:space="0" w:color="auto"/>
        <w:left w:val="none" w:sz="0" w:space="0" w:color="auto"/>
        <w:bottom w:val="none" w:sz="0" w:space="0" w:color="auto"/>
        <w:right w:val="none" w:sz="0" w:space="0" w:color="auto"/>
      </w:divBdr>
    </w:div>
    <w:div w:id="75134547">
      <w:bodyDiv w:val="1"/>
      <w:marLeft w:val="0"/>
      <w:marRight w:val="0"/>
      <w:marTop w:val="0"/>
      <w:marBottom w:val="0"/>
      <w:divBdr>
        <w:top w:val="none" w:sz="0" w:space="0" w:color="auto"/>
        <w:left w:val="none" w:sz="0" w:space="0" w:color="auto"/>
        <w:bottom w:val="none" w:sz="0" w:space="0" w:color="auto"/>
        <w:right w:val="none" w:sz="0" w:space="0" w:color="auto"/>
      </w:divBdr>
    </w:div>
    <w:div w:id="75978110">
      <w:bodyDiv w:val="1"/>
      <w:marLeft w:val="0"/>
      <w:marRight w:val="0"/>
      <w:marTop w:val="0"/>
      <w:marBottom w:val="0"/>
      <w:divBdr>
        <w:top w:val="none" w:sz="0" w:space="0" w:color="auto"/>
        <w:left w:val="none" w:sz="0" w:space="0" w:color="auto"/>
        <w:bottom w:val="none" w:sz="0" w:space="0" w:color="auto"/>
        <w:right w:val="none" w:sz="0" w:space="0" w:color="auto"/>
      </w:divBdr>
    </w:div>
    <w:div w:id="79765676">
      <w:bodyDiv w:val="1"/>
      <w:marLeft w:val="0"/>
      <w:marRight w:val="0"/>
      <w:marTop w:val="0"/>
      <w:marBottom w:val="0"/>
      <w:divBdr>
        <w:top w:val="none" w:sz="0" w:space="0" w:color="auto"/>
        <w:left w:val="none" w:sz="0" w:space="0" w:color="auto"/>
        <w:bottom w:val="none" w:sz="0" w:space="0" w:color="auto"/>
        <w:right w:val="none" w:sz="0" w:space="0" w:color="auto"/>
      </w:divBdr>
    </w:div>
    <w:div w:id="80414390">
      <w:bodyDiv w:val="1"/>
      <w:marLeft w:val="0"/>
      <w:marRight w:val="0"/>
      <w:marTop w:val="0"/>
      <w:marBottom w:val="0"/>
      <w:divBdr>
        <w:top w:val="none" w:sz="0" w:space="0" w:color="auto"/>
        <w:left w:val="none" w:sz="0" w:space="0" w:color="auto"/>
        <w:bottom w:val="none" w:sz="0" w:space="0" w:color="auto"/>
        <w:right w:val="none" w:sz="0" w:space="0" w:color="auto"/>
      </w:divBdr>
    </w:div>
    <w:div w:id="80487929">
      <w:bodyDiv w:val="1"/>
      <w:marLeft w:val="0"/>
      <w:marRight w:val="0"/>
      <w:marTop w:val="0"/>
      <w:marBottom w:val="0"/>
      <w:divBdr>
        <w:top w:val="none" w:sz="0" w:space="0" w:color="auto"/>
        <w:left w:val="none" w:sz="0" w:space="0" w:color="auto"/>
        <w:bottom w:val="none" w:sz="0" w:space="0" w:color="auto"/>
        <w:right w:val="none" w:sz="0" w:space="0" w:color="auto"/>
      </w:divBdr>
    </w:div>
    <w:div w:id="80957346">
      <w:bodyDiv w:val="1"/>
      <w:marLeft w:val="0"/>
      <w:marRight w:val="0"/>
      <w:marTop w:val="0"/>
      <w:marBottom w:val="0"/>
      <w:divBdr>
        <w:top w:val="none" w:sz="0" w:space="0" w:color="auto"/>
        <w:left w:val="none" w:sz="0" w:space="0" w:color="auto"/>
        <w:bottom w:val="none" w:sz="0" w:space="0" w:color="auto"/>
        <w:right w:val="none" w:sz="0" w:space="0" w:color="auto"/>
      </w:divBdr>
    </w:div>
    <w:div w:id="81142848">
      <w:bodyDiv w:val="1"/>
      <w:marLeft w:val="0"/>
      <w:marRight w:val="0"/>
      <w:marTop w:val="0"/>
      <w:marBottom w:val="0"/>
      <w:divBdr>
        <w:top w:val="none" w:sz="0" w:space="0" w:color="auto"/>
        <w:left w:val="none" w:sz="0" w:space="0" w:color="auto"/>
        <w:bottom w:val="none" w:sz="0" w:space="0" w:color="auto"/>
        <w:right w:val="none" w:sz="0" w:space="0" w:color="auto"/>
      </w:divBdr>
    </w:div>
    <w:div w:id="81727178">
      <w:bodyDiv w:val="1"/>
      <w:marLeft w:val="0"/>
      <w:marRight w:val="0"/>
      <w:marTop w:val="0"/>
      <w:marBottom w:val="0"/>
      <w:divBdr>
        <w:top w:val="none" w:sz="0" w:space="0" w:color="auto"/>
        <w:left w:val="none" w:sz="0" w:space="0" w:color="auto"/>
        <w:bottom w:val="none" w:sz="0" w:space="0" w:color="auto"/>
        <w:right w:val="none" w:sz="0" w:space="0" w:color="auto"/>
      </w:divBdr>
    </w:div>
    <w:div w:id="81924027">
      <w:bodyDiv w:val="1"/>
      <w:marLeft w:val="0"/>
      <w:marRight w:val="0"/>
      <w:marTop w:val="0"/>
      <w:marBottom w:val="0"/>
      <w:divBdr>
        <w:top w:val="none" w:sz="0" w:space="0" w:color="auto"/>
        <w:left w:val="none" w:sz="0" w:space="0" w:color="auto"/>
        <w:bottom w:val="none" w:sz="0" w:space="0" w:color="auto"/>
        <w:right w:val="none" w:sz="0" w:space="0" w:color="auto"/>
      </w:divBdr>
    </w:div>
    <w:div w:id="82071622">
      <w:bodyDiv w:val="1"/>
      <w:marLeft w:val="0"/>
      <w:marRight w:val="0"/>
      <w:marTop w:val="0"/>
      <w:marBottom w:val="0"/>
      <w:divBdr>
        <w:top w:val="none" w:sz="0" w:space="0" w:color="auto"/>
        <w:left w:val="none" w:sz="0" w:space="0" w:color="auto"/>
        <w:bottom w:val="none" w:sz="0" w:space="0" w:color="auto"/>
        <w:right w:val="none" w:sz="0" w:space="0" w:color="auto"/>
      </w:divBdr>
    </w:div>
    <w:div w:id="85615979">
      <w:bodyDiv w:val="1"/>
      <w:marLeft w:val="0"/>
      <w:marRight w:val="0"/>
      <w:marTop w:val="0"/>
      <w:marBottom w:val="0"/>
      <w:divBdr>
        <w:top w:val="none" w:sz="0" w:space="0" w:color="auto"/>
        <w:left w:val="none" w:sz="0" w:space="0" w:color="auto"/>
        <w:bottom w:val="none" w:sz="0" w:space="0" w:color="auto"/>
        <w:right w:val="none" w:sz="0" w:space="0" w:color="auto"/>
      </w:divBdr>
    </w:div>
    <w:div w:id="87195312">
      <w:bodyDiv w:val="1"/>
      <w:marLeft w:val="0"/>
      <w:marRight w:val="0"/>
      <w:marTop w:val="0"/>
      <w:marBottom w:val="0"/>
      <w:divBdr>
        <w:top w:val="none" w:sz="0" w:space="0" w:color="auto"/>
        <w:left w:val="none" w:sz="0" w:space="0" w:color="auto"/>
        <w:bottom w:val="none" w:sz="0" w:space="0" w:color="auto"/>
        <w:right w:val="none" w:sz="0" w:space="0" w:color="auto"/>
      </w:divBdr>
    </w:div>
    <w:div w:id="87511314">
      <w:bodyDiv w:val="1"/>
      <w:marLeft w:val="0"/>
      <w:marRight w:val="0"/>
      <w:marTop w:val="0"/>
      <w:marBottom w:val="0"/>
      <w:divBdr>
        <w:top w:val="none" w:sz="0" w:space="0" w:color="auto"/>
        <w:left w:val="none" w:sz="0" w:space="0" w:color="auto"/>
        <w:bottom w:val="none" w:sz="0" w:space="0" w:color="auto"/>
        <w:right w:val="none" w:sz="0" w:space="0" w:color="auto"/>
      </w:divBdr>
    </w:div>
    <w:div w:id="88086565">
      <w:bodyDiv w:val="1"/>
      <w:marLeft w:val="0"/>
      <w:marRight w:val="0"/>
      <w:marTop w:val="0"/>
      <w:marBottom w:val="0"/>
      <w:divBdr>
        <w:top w:val="none" w:sz="0" w:space="0" w:color="auto"/>
        <w:left w:val="none" w:sz="0" w:space="0" w:color="auto"/>
        <w:bottom w:val="none" w:sz="0" w:space="0" w:color="auto"/>
        <w:right w:val="none" w:sz="0" w:space="0" w:color="auto"/>
      </w:divBdr>
    </w:div>
    <w:div w:id="91316215">
      <w:bodyDiv w:val="1"/>
      <w:marLeft w:val="0"/>
      <w:marRight w:val="0"/>
      <w:marTop w:val="0"/>
      <w:marBottom w:val="0"/>
      <w:divBdr>
        <w:top w:val="none" w:sz="0" w:space="0" w:color="auto"/>
        <w:left w:val="none" w:sz="0" w:space="0" w:color="auto"/>
        <w:bottom w:val="none" w:sz="0" w:space="0" w:color="auto"/>
        <w:right w:val="none" w:sz="0" w:space="0" w:color="auto"/>
      </w:divBdr>
    </w:div>
    <w:div w:id="91514474">
      <w:bodyDiv w:val="1"/>
      <w:marLeft w:val="0"/>
      <w:marRight w:val="0"/>
      <w:marTop w:val="0"/>
      <w:marBottom w:val="0"/>
      <w:divBdr>
        <w:top w:val="none" w:sz="0" w:space="0" w:color="auto"/>
        <w:left w:val="none" w:sz="0" w:space="0" w:color="auto"/>
        <w:bottom w:val="none" w:sz="0" w:space="0" w:color="auto"/>
        <w:right w:val="none" w:sz="0" w:space="0" w:color="auto"/>
      </w:divBdr>
    </w:div>
    <w:div w:id="93476793">
      <w:bodyDiv w:val="1"/>
      <w:marLeft w:val="0"/>
      <w:marRight w:val="0"/>
      <w:marTop w:val="0"/>
      <w:marBottom w:val="0"/>
      <w:divBdr>
        <w:top w:val="none" w:sz="0" w:space="0" w:color="auto"/>
        <w:left w:val="none" w:sz="0" w:space="0" w:color="auto"/>
        <w:bottom w:val="none" w:sz="0" w:space="0" w:color="auto"/>
        <w:right w:val="none" w:sz="0" w:space="0" w:color="auto"/>
      </w:divBdr>
    </w:div>
    <w:div w:id="94906050">
      <w:bodyDiv w:val="1"/>
      <w:marLeft w:val="0"/>
      <w:marRight w:val="0"/>
      <w:marTop w:val="0"/>
      <w:marBottom w:val="0"/>
      <w:divBdr>
        <w:top w:val="none" w:sz="0" w:space="0" w:color="auto"/>
        <w:left w:val="none" w:sz="0" w:space="0" w:color="auto"/>
        <w:bottom w:val="none" w:sz="0" w:space="0" w:color="auto"/>
        <w:right w:val="none" w:sz="0" w:space="0" w:color="auto"/>
      </w:divBdr>
    </w:div>
    <w:div w:id="95832539">
      <w:bodyDiv w:val="1"/>
      <w:marLeft w:val="0"/>
      <w:marRight w:val="0"/>
      <w:marTop w:val="0"/>
      <w:marBottom w:val="0"/>
      <w:divBdr>
        <w:top w:val="none" w:sz="0" w:space="0" w:color="auto"/>
        <w:left w:val="none" w:sz="0" w:space="0" w:color="auto"/>
        <w:bottom w:val="none" w:sz="0" w:space="0" w:color="auto"/>
        <w:right w:val="none" w:sz="0" w:space="0" w:color="auto"/>
      </w:divBdr>
    </w:div>
    <w:div w:id="99843672">
      <w:bodyDiv w:val="1"/>
      <w:marLeft w:val="0"/>
      <w:marRight w:val="0"/>
      <w:marTop w:val="0"/>
      <w:marBottom w:val="0"/>
      <w:divBdr>
        <w:top w:val="none" w:sz="0" w:space="0" w:color="auto"/>
        <w:left w:val="none" w:sz="0" w:space="0" w:color="auto"/>
        <w:bottom w:val="none" w:sz="0" w:space="0" w:color="auto"/>
        <w:right w:val="none" w:sz="0" w:space="0" w:color="auto"/>
      </w:divBdr>
    </w:div>
    <w:div w:id="100878555">
      <w:bodyDiv w:val="1"/>
      <w:marLeft w:val="0"/>
      <w:marRight w:val="0"/>
      <w:marTop w:val="0"/>
      <w:marBottom w:val="0"/>
      <w:divBdr>
        <w:top w:val="none" w:sz="0" w:space="0" w:color="auto"/>
        <w:left w:val="none" w:sz="0" w:space="0" w:color="auto"/>
        <w:bottom w:val="none" w:sz="0" w:space="0" w:color="auto"/>
        <w:right w:val="none" w:sz="0" w:space="0" w:color="auto"/>
      </w:divBdr>
    </w:div>
    <w:div w:id="102045005">
      <w:bodyDiv w:val="1"/>
      <w:marLeft w:val="0"/>
      <w:marRight w:val="0"/>
      <w:marTop w:val="0"/>
      <w:marBottom w:val="0"/>
      <w:divBdr>
        <w:top w:val="none" w:sz="0" w:space="0" w:color="auto"/>
        <w:left w:val="none" w:sz="0" w:space="0" w:color="auto"/>
        <w:bottom w:val="none" w:sz="0" w:space="0" w:color="auto"/>
        <w:right w:val="none" w:sz="0" w:space="0" w:color="auto"/>
      </w:divBdr>
    </w:div>
    <w:div w:id="108595505">
      <w:bodyDiv w:val="1"/>
      <w:marLeft w:val="0"/>
      <w:marRight w:val="0"/>
      <w:marTop w:val="0"/>
      <w:marBottom w:val="0"/>
      <w:divBdr>
        <w:top w:val="none" w:sz="0" w:space="0" w:color="auto"/>
        <w:left w:val="none" w:sz="0" w:space="0" w:color="auto"/>
        <w:bottom w:val="none" w:sz="0" w:space="0" w:color="auto"/>
        <w:right w:val="none" w:sz="0" w:space="0" w:color="auto"/>
      </w:divBdr>
    </w:div>
    <w:div w:id="114368513">
      <w:bodyDiv w:val="1"/>
      <w:marLeft w:val="0"/>
      <w:marRight w:val="0"/>
      <w:marTop w:val="0"/>
      <w:marBottom w:val="0"/>
      <w:divBdr>
        <w:top w:val="none" w:sz="0" w:space="0" w:color="auto"/>
        <w:left w:val="none" w:sz="0" w:space="0" w:color="auto"/>
        <w:bottom w:val="none" w:sz="0" w:space="0" w:color="auto"/>
        <w:right w:val="none" w:sz="0" w:space="0" w:color="auto"/>
      </w:divBdr>
    </w:div>
    <w:div w:id="114712727">
      <w:bodyDiv w:val="1"/>
      <w:marLeft w:val="0"/>
      <w:marRight w:val="0"/>
      <w:marTop w:val="0"/>
      <w:marBottom w:val="0"/>
      <w:divBdr>
        <w:top w:val="none" w:sz="0" w:space="0" w:color="auto"/>
        <w:left w:val="none" w:sz="0" w:space="0" w:color="auto"/>
        <w:bottom w:val="none" w:sz="0" w:space="0" w:color="auto"/>
        <w:right w:val="none" w:sz="0" w:space="0" w:color="auto"/>
      </w:divBdr>
    </w:div>
    <w:div w:id="116992295">
      <w:bodyDiv w:val="1"/>
      <w:marLeft w:val="0"/>
      <w:marRight w:val="0"/>
      <w:marTop w:val="0"/>
      <w:marBottom w:val="0"/>
      <w:divBdr>
        <w:top w:val="none" w:sz="0" w:space="0" w:color="auto"/>
        <w:left w:val="none" w:sz="0" w:space="0" w:color="auto"/>
        <w:bottom w:val="none" w:sz="0" w:space="0" w:color="auto"/>
        <w:right w:val="none" w:sz="0" w:space="0" w:color="auto"/>
      </w:divBdr>
    </w:div>
    <w:div w:id="117650688">
      <w:bodyDiv w:val="1"/>
      <w:marLeft w:val="0"/>
      <w:marRight w:val="0"/>
      <w:marTop w:val="0"/>
      <w:marBottom w:val="0"/>
      <w:divBdr>
        <w:top w:val="none" w:sz="0" w:space="0" w:color="auto"/>
        <w:left w:val="none" w:sz="0" w:space="0" w:color="auto"/>
        <w:bottom w:val="none" w:sz="0" w:space="0" w:color="auto"/>
        <w:right w:val="none" w:sz="0" w:space="0" w:color="auto"/>
      </w:divBdr>
    </w:div>
    <w:div w:id="118572620">
      <w:bodyDiv w:val="1"/>
      <w:marLeft w:val="0"/>
      <w:marRight w:val="0"/>
      <w:marTop w:val="0"/>
      <w:marBottom w:val="0"/>
      <w:divBdr>
        <w:top w:val="none" w:sz="0" w:space="0" w:color="auto"/>
        <w:left w:val="none" w:sz="0" w:space="0" w:color="auto"/>
        <w:bottom w:val="none" w:sz="0" w:space="0" w:color="auto"/>
        <w:right w:val="none" w:sz="0" w:space="0" w:color="auto"/>
      </w:divBdr>
    </w:div>
    <w:div w:id="120996494">
      <w:bodyDiv w:val="1"/>
      <w:marLeft w:val="0"/>
      <w:marRight w:val="0"/>
      <w:marTop w:val="0"/>
      <w:marBottom w:val="0"/>
      <w:divBdr>
        <w:top w:val="none" w:sz="0" w:space="0" w:color="auto"/>
        <w:left w:val="none" w:sz="0" w:space="0" w:color="auto"/>
        <w:bottom w:val="none" w:sz="0" w:space="0" w:color="auto"/>
        <w:right w:val="none" w:sz="0" w:space="0" w:color="auto"/>
      </w:divBdr>
    </w:div>
    <w:div w:id="122312324">
      <w:bodyDiv w:val="1"/>
      <w:marLeft w:val="0"/>
      <w:marRight w:val="0"/>
      <w:marTop w:val="0"/>
      <w:marBottom w:val="0"/>
      <w:divBdr>
        <w:top w:val="none" w:sz="0" w:space="0" w:color="auto"/>
        <w:left w:val="none" w:sz="0" w:space="0" w:color="auto"/>
        <w:bottom w:val="none" w:sz="0" w:space="0" w:color="auto"/>
        <w:right w:val="none" w:sz="0" w:space="0" w:color="auto"/>
      </w:divBdr>
    </w:div>
    <w:div w:id="126551462">
      <w:bodyDiv w:val="1"/>
      <w:marLeft w:val="0"/>
      <w:marRight w:val="0"/>
      <w:marTop w:val="0"/>
      <w:marBottom w:val="0"/>
      <w:divBdr>
        <w:top w:val="none" w:sz="0" w:space="0" w:color="auto"/>
        <w:left w:val="none" w:sz="0" w:space="0" w:color="auto"/>
        <w:bottom w:val="none" w:sz="0" w:space="0" w:color="auto"/>
        <w:right w:val="none" w:sz="0" w:space="0" w:color="auto"/>
      </w:divBdr>
    </w:div>
    <w:div w:id="127162238">
      <w:bodyDiv w:val="1"/>
      <w:marLeft w:val="0"/>
      <w:marRight w:val="0"/>
      <w:marTop w:val="0"/>
      <w:marBottom w:val="0"/>
      <w:divBdr>
        <w:top w:val="none" w:sz="0" w:space="0" w:color="auto"/>
        <w:left w:val="none" w:sz="0" w:space="0" w:color="auto"/>
        <w:bottom w:val="none" w:sz="0" w:space="0" w:color="auto"/>
        <w:right w:val="none" w:sz="0" w:space="0" w:color="auto"/>
      </w:divBdr>
    </w:div>
    <w:div w:id="128399396">
      <w:bodyDiv w:val="1"/>
      <w:marLeft w:val="0"/>
      <w:marRight w:val="0"/>
      <w:marTop w:val="0"/>
      <w:marBottom w:val="0"/>
      <w:divBdr>
        <w:top w:val="none" w:sz="0" w:space="0" w:color="auto"/>
        <w:left w:val="none" w:sz="0" w:space="0" w:color="auto"/>
        <w:bottom w:val="none" w:sz="0" w:space="0" w:color="auto"/>
        <w:right w:val="none" w:sz="0" w:space="0" w:color="auto"/>
      </w:divBdr>
    </w:div>
    <w:div w:id="128401022">
      <w:bodyDiv w:val="1"/>
      <w:marLeft w:val="0"/>
      <w:marRight w:val="0"/>
      <w:marTop w:val="0"/>
      <w:marBottom w:val="0"/>
      <w:divBdr>
        <w:top w:val="none" w:sz="0" w:space="0" w:color="auto"/>
        <w:left w:val="none" w:sz="0" w:space="0" w:color="auto"/>
        <w:bottom w:val="none" w:sz="0" w:space="0" w:color="auto"/>
        <w:right w:val="none" w:sz="0" w:space="0" w:color="auto"/>
      </w:divBdr>
    </w:div>
    <w:div w:id="128522952">
      <w:bodyDiv w:val="1"/>
      <w:marLeft w:val="0"/>
      <w:marRight w:val="0"/>
      <w:marTop w:val="0"/>
      <w:marBottom w:val="0"/>
      <w:divBdr>
        <w:top w:val="none" w:sz="0" w:space="0" w:color="auto"/>
        <w:left w:val="none" w:sz="0" w:space="0" w:color="auto"/>
        <w:bottom w:val="none" w:sz="0" w:space="0" w:color="auto"/>
        <w:right w:val="none" w:sz="0" w:space="0" w:color="auto"/>
      </w:divBdr>
    </w:div>
    <w:div w:id="129329059">
      <w:bodyDiv w:val="1"/>
      <w:marLeft w:val="0"/>
      <w:marRight w:val="0"/>
      <w:marTop w:val="0"/>
      <w:marBottom w:val="0"/>
      <w:divBdr>
        <w:top w:val="none" w:sz="0" w:space="0" w:color="auto"/>
        <w:left w:val="none" w:sz="0" w:space="0" w:color="auto"/>
        <w:bottom w:val="none" w:sz="0" w:space="0" w:color="auto"/>
        <w:right w:val="none" w:sz="0" w:space="0" w:color="auto"/>
      </w:divBdr>
    </w:div>
    <w:div w:id="129441287">
      <w:bodyDiv w:val="1"/>
      <w:marLeft w:val="0"/>
      <w:marRight w:val="0"/>
      <w:marTop w:val="0"/>
      <w:marBottom w:val="0"/>
      <w:divBdr>
        <w:top w:val="none" w:sz="0" w:space="0" w:color="auto"/>
        <w:left w:val="none" w:sz="0" w:space="0" w:color="auto"/>
        <w:bottom w:val="none" w:sz="0" w:space="0" w:color="auto"/>
        <w:right w:val="none" w:sz="0" w:space="0" w:color="auto"/>
      </w:divBdr>
    </w:div>
    <w:div w:id="130514340">
      <w:bodyDiv w:val="1"/>
      <w:marLeft w:val="0"/>
      <w:marRight w:val="0"/>
      <w:marTop w:val="0"/>
      <w:marBottom w:val="0"/>
      <w:divBdr>
        <w:top w:val="none" w:sz="0" w:space="0" w:color="auto"/>
        <w:left w:val="none" w:sz="0" w:space="0" w:color="auto"/>
        <w:bottom w:val="none" w:sz="0" w:space="0" w:color="auto"/>
        <w:right w:val="none" w:sz="0" w:space="0" w:color="auto"/>
      </w:divBdr>
    </w:div>
    <w:div w:id="131676928">
      <w:bodyDiv w:val="1"/>
      <w:marLeft w:val="0"/>
      <w:marRight w:val="0"/>
      <w:marTop w:val="0"/>
      <w:marBottom w:val="0"/>
      <w:divBdr>
        <w:top w:val="none" w:sz="0" w:space="0" w:color="auto"/>
        <w:left w:val="none" w:sz="0" w:space="0" w:color="auto"/>
        <w:bottom w:val="none" w:sz="0" w:space="0" w:color="auto"/>
        <w:right w:val="none" w:sz="0" w:space="0" w:color="auto"/>
      </w:divBdr>
    </w:div>
    <w:div w:id="133916617">
      <w:bodyDiv w:val="1"/>
      <w:marLeft w:val="0"/>
      <w:marRight w:val="0"/>
      <w:marTop w:val="0"/>
      <w:marBottom w:val="0"/>
      <w:divBdr>
        <w:top w:val="none" w:sz="0" w:space="0" w:color="auto"/>
        <w:left w:val="none" w:sz="0" w:space="0" w:color="auto"/>
        <w:bottom w:val="none" w:sz="0" w:space="0" w:color="auto"/>
        <w:right w:val="none" w:sz="0" w:space="0" w:color="auto"/>
      </w:divBdr>
    </w:div>
    <w:div w:id="133960229">
      <w:bodyDiv w:val="1"/>
      <w:marLeft w:val="0"/>
      <w:marRight w:val="0"/>
      <w:marTop w:val="0"/>
      <w:marBottom w:val="0"/>
      <w:divBdr>
        <w:top w:val="none" w:sz="0" w:space="0" w:color="auto"/>
        <w:left w:val="none" w:sz="0" w:space="0" w:color="auto"/>
        <w:bottom w:val="none" w:sz="0" w:space="0" w:color="auto"/>
        <w:right w:val="none" w:sz="0" w:space="0" w:color="auto"/>
      </w:divBdr>
    </w:div>
    <w:div w:id="135071912">
      <w:bodyDiv w:val="1"/>
      <w:marLeft w:val="0"/>
      <w:marRight w:val="0"/>
      <w:marTop w:val="0"/>
      <w:marBottom w:val="0"/>
      <w:divBdr>
        <w:top w:val="none" w:sz="0" w:space="0" w:color="auto"/>
        <w:left w:val="none" w:sz="0" w:space="0" w:color="auto"/>
        <w:bottom w:val="none" w:sz="0" w:space="0" w:color="auto"/>
        <w:right w:val="none" w:sz="0" w:space="0" w:color="auto"/>
      </w:divBdr>
    </w:div>
    <w:div w:id="135415809">
      <w:bodyDiv w:val="1"/>
      <w:marLeft w:val="0"/>
      <w:marRight w:val="0"/>
      <w:marTop w:val="0"/>
      <w:marBottom w:val="0"/>
      <w:divBdr>
        <w:top w:val="none" w:sz="0" w:space="0" w:color="auto"/>
        <w:left w:val="none" w:sz="0" w:space="0" w:color="auto"/>
        <w:bottom w:val="none" w:sz="0" w:space="0" w:color="auto"/>
        <w:right w:val="none" w:sz="0" w:space="0" w:color="auto"/>
      </w:divBdr>
    </w:div>
    <w:div w:id="136844162">
      <w:bodyDiv w:val="1"/>
      <w:marLeft w:val="0"/>
      <w:marRight w:val="0"/>
      <w:marTop w:val="0"/>
      <w:marBottom w:val="0"/>
      <w:divBdr>
        <w:top w:val="none" w:sz="0" w:space="0" w:color="auto"/>
        <w:left w:val="none" w:sz="0" w:space="0" w:color="auto"/>
        <w:bottom w:val="none" w:sz="0" w:space="0" w:color="auto"/>
        <w:right w:val="none" w:sz="0" w:space="0" w:color="auto"/>
      </w:divBdr>
    </w:div>
    <w:div w:id="138037094">
      <w:bodyDiv w:val="1"/>
      <w:marLeft w:val="0"/>
      <w:marRight w:val="0"/>
      <w:marTop w:val="0"/>
      <w:marBottom w:val="0"/>
      <w:divBdr>
        <w:top w:val="none" w:sz="0" w:space="0" w:color="auto"/>
        <w:left w:val="none" w:sz="0" w:space="0" w:color="auto"/>
        <w:bottom w:val="none" w:sz="0" w:space="0" w:color="auto"/>
        <w:right w:val="none" w:sz="0" w:space="0" w:color="auto"/>
      </w:divBdr>
    </w:div>
    <w:div w:id="138160491">
      <w:bodyDiv w:val="1"/>
      <w:marLeft w:val="0"/>
      <w:marRight w:val="0"/>
      <w:marTop w:val="0"/>
      <w:marBottom w:val="0"/>
      <w:divBdr>
        <w:top w:val="none" w:sz="0" w:space="0" w:color="auto"/>
        <w:left w:val="none" w:sz="0" w:space="0" w:color="auto"/>
        <w:bottom w:val="none" w:sz="0" w:space="0" w:color="auto"/>
        <w:right w:val="none" w:sz="0" w:space="0" w:color="auto"/>
      </w:divBdr>
    </w:div>
    <w:div w:id="138306070">
      <w:bodyDiv w:val="1"/>
      <w:marLeft w:val="0"/>
      <w:marRight w:val="0"/>
      <w:marTop w:val="0"/>
      <w:marBottom w:val="0"/>
      <w:divBdr>
        <w:top w:val="none" w:sz="0" w:space="0" w:color="auto"/>
        <w:left w:val="none" w:sz="0" w:space="0" w:color="auto"/>
        <w:bottom w:val="none" w:sz="0" w:space="0" w:color="auto"/>
        <w:right w:val="none" w:sz="0" w:space="0" w:color="auto"/>
      </w:divBdr>
    </w:div>
    <w:div w:id="138309577">
      <w:bodyDiv w:val="1"/>
      <w:marLeft w:val="0"/>
      <w:marRight w:val="0"/>
      <w:marTop w:val="0"/>
      <w:marBottom w:val="0"/>
      <w:divBdr>
        <w:top w:val="none" w:sz="0" w:space="0" w:color="auto"/>
        <w:left w:val="none" w:sz="0" w:space="0" w:color="auto"/>
        <w:bottom w:val="none" w:sz="0" w:space="0" w:color="auto"/>
        <w:right w:val="none" w:sz="0" w:space="0" w:color="auto"/>
      </w:divBdr>
    </w:div>
    <w:div w:id="138618260">
      <w:bodyDiv w:val="1"/>
      <w:marLeft w:val="0"/>
      <w:marRight w:val="0"/>
      <w:marTop w:val="0"/>
      <w:marBottom w:val="0"/>
      <w:divBdr>
        <w:top w:val="none" w:sz="0" w:space="0" w:color="auto"/>
        <w:left w:val="none" w:sz="0" w:space="0" w:color="auto"/>
        <w:bottom w:val="none" w:sz="0" w:space="0" w:color="auto"/>
        <w:right w:val="none" w:sz="0" w:space="0" w:color="auto"/>
      </w:divBdr>
    </w:div>
    <w:div w:id="139884011">
      <w:bodyDiv w:val="1"/>
      <w:marLeft w:val="0"/>
      <w:marRight w:val="0"/>
      <w:marTop w:val="0"/>
      <w:marBottom w:val="0"/>
      <w:divBdr>
        <w:top w:val="none" w:sz="0" w:space="0" w:color="auto"/>
        <w:left w:val="none" w:sz="0" w:space="0" w:color="auto"/>
        <w:bottom w:val="none" w:sz="0" w:space="0" w:color="auto"/>
        <w:right w:val="none" w:sz="0" w:space="0" w:color="auto"/>
      </w:divBdr>
    </w:div>
    <w:div w:id="141654471">
      <w:bodyDiv w:val="1"/>
      <w:marLeft w:val="0"/>
      <w:marRight w:val="0"/>
      <w:marTop w:val="0"/>
      <w:marBottom w:val="0"/>
      <w:divBdr>
        <w:top w:val="none" w:sz="0" w:space="0" w:color="auto"/>
        <w:left w:val="none" w:sz="0" w:space="0" w:color="auto"/>
        <w:bottom w:val="none" w:sz="0" w:space="0" w:color="auto"/>
        <w:right w:val="none" w:sz="0" w:space="0" w:color="auto"/>
      </w:divBdr>
    </w:div>
    <w:div w:id="141701242">
      <w:bodyDiv w:val="1"/>
      <w:marLeft w:val="0"/>
      <w:marRight w:val="0"/>
      <w:marTop w:val="0"/>
      <w:marBottom w:val="0"/>
      <w:divBdr>
        <w:top w:val="none" w:sz="0" w:space="0" w:color="auto"/>
        <w:left w:val="none" w:sz="0" w:space="0" w:color="auto"/>
        <w:bottom w:val="none" w:sz="0" w:space="0" w:color="auto"/>
        <w:right w:val="none" w:sz="0" w:space="0" w:color="auto"/>
      </w:divBdr>
    </w:div>
    <w:div w:id="142279735">
      <w:bodyDiv w:val="1"/>
      <w:marLeft w:val="0"/>
      <w:marRight w:val="0"/>
      <w:marTop w:val="0"/>
      <w:marBottom w:val="0"/>
      <w:divBdr>
        <w:top w:val="none" w:sz="0" w:space="0" w:color="auto"/>
        <w:left w:val="none" w:sz="0" w:space="0" w:color="auto"/>
        <w:bottom w:val="none" w:sz="0" w:space="0" w:color="auto"/>
        <w:right w:val="none" w:sz="0" w:space="0" w:color="auto"/>
      </w:divBdr>
    </w:div>
    <w:div w:id="142351995">
      <w:bodyDiv w:val="1"/>
      <w:marLeft w:val="0"/>
      <w:marRight w:val="0"/>
      <w:marTop w:val="0"/>
      <w:marBottom w:val="0"/>
      <w:divBdr>
        <w:top w:val="none" w:sz="0" w:space="0" w:color="auto"/>
        <w:left w:val="none" w:sz="0" w:space="0" w:color="auto"/>
        <w:bottom w:val="none" w:sz="0" w:space="0" w:color="auto"/>
        <w:right w:val="none" w:sz="0" w:space="0" w:color="auto"/>
      </w:divBdr>
    </w:div>
    <w:div w:id="147400315">
      <w:bodyDiv w:val="1"/>
      <w:marLeft w:val="0"/>
      <w:marRight w:val="0"/>
      <w:marTop w:val="0"/>
      <w:marBottom w:val="0"/>
      <w:divBdr>
        <w:top w:val="none" w:sz="0" w:space="0" w:color="auto"/>
        <w:left w:val="none" w:sz="0" w:space="0" w:color="auto"/>
        <w:bottom w:val="none" w:sz="0" w:space="0" w:color="auto"/>
        <w:right w:val="none" w:sz="0" w:space="0" w:color="auto"/>
      </w:divBdr>
    </w:div>
    <w:div w:id="148182090">
      <w:bodyDiv w:val="1"/>
      <w:marLeft w:val="0"/>
      <w:marRight w:val="0"/>
      <w:marTop w:val="0"/>
      <w:marBottom w:val="0"/>
      <w:divBdr>
        <w:top w:val="none" w:sz="0" w:space="0" w:color="auto"/>
        <w:left w:val="none" w:sz="0" w:space="0" w:color="auto"/>
        <w:bottom w:val="none" w:sz="0" w:space="0" w:color="auto"/>
        <w:right w:val="none" w:sz="0" w:space="0" w:color="auto"/>
      </w:divBdr>
    </w:div>
    <w:div w:id="148255412">
      <w:bodyDiv w:val="1"/>
      <w:marLeft w:val="0"/>
      <w:marRight w:val="0"/>
      <w:marTop w:val="0"/>
      <w:marBottom w:val="0"/>
      <w:divBdr>
        <w:top w:val="none" w:sz="0" w:space="0" w:color="auto"/>
        <w:left w:val="none" w:sz="0" w:space="0" w:color="auto"/>
        <w:bottom w:val="none" w:sz="0" w:space="0" w:color="auto"/>
        <w:right w:val="none" w:sz="0" w:space="0" w:color="auto"/>
      </w:divBdr>
    </w:div>
    <w:div w:id="148447686">
      <w:bodyDiv w:val="1"/>
      <w:marLeft w:val="0"/>
      <w:marRight w:val="0"/>
      <w:marTop w:val="0"/>
      <w:marBottom w:val="0"/>
      <w:divBdr>
        <w:top w:val="none" w:sz="0" w:space="0" w:color="auto"/>
        <w:left w:val="none" w:sz="0" w:space="0" w:color="auto"/>
        <w:bottom w:val="none" w:sz="0" w:space="0" w:color="auto"/>
        <w:right w:val="none" w:sz="0" w:space="0" w:color="auto"/>
      </w:divBdr>
    </w:div>
    <w:div w:id="150023730">
      <w:bodyDiv w:val="1"/>
      <w:marLeft w:val="0"/>
      <w:marRight w:val="0"/>
      <w:marTop w:val="0"/>
      <w:marBottom w:val="0"/>
      <w:divBdr>
        <w:top w:val="none" w:sz="0" w:space="0" w:color="auto"/>
        <w:left w:val="none" w:sz="0" w:space="0" w:color="auto"/>
        <w:bottom w:val="none" w:sz="0" w:space="0" w:color="auto"/>
        <w:right w:val="none" w:sz="0" w:space="0" w:color="auto"/>
      </w:divBdr>
    </w:div>
    <w:div w:id="150409811">
      <w:bodyDiv w:val="1"/>
      <w:marLeft w:val="0"/>
      <w:marRight w:val="0"/>
      <w:marTop w:val="0"/>
      <w:marBottom w:val="0"/>
      <w:divBdr>
        <w:top w:val="none" w:sz="0" w:space="0" w:color="auto"/>
        <w:left w:val="none" w:sz="0" w:space="0" w:color="auto"/>
        <w:bottom w:val="none" w:sz="0" w:space="0" w:color="auto"/>
        <w:right w:val="none" w:sz="0" w:space="0" w:color="auto"/>
      </w:divBdr>
    </w:div>
    <w:div w:id="150560199">
      <w:bodyDiv w:val="1"/>
      <w:marLeft w:val="0"/>
      <w:marRight w:val="0"/>
      <w:marTop w:val="0"/>
      <w:marBottom w:val="0"/>
      <w:divBdr>
        <w:top w:val="none" w:sz="0" w:space="0" w:color="auto"/>
        <w:left w:val="none" w:sz="0" w:space="0" w:color="auto"/>
        <w:bottom w:val="none" w:sz="0" w:space="0" w:color="auto"/>
        <w:right w:val="none" w:sz="0" w:space="0" w:color="auto"/>
      </w:divBdr>
    </w:div>
    <w:div w:id="153448618">
      <w:bodyDiv w:val="1"/>
      <w:marLeft w:val="0"/>
      <w:marRight w:val="0"/>
      <w:marTop w:val="0"/>
      <w:marBottom w:val="0"/>
      <w:divBdr>
        <w:top w:val="none" w:sz="0" w:space="0" w:color="auto"/>
        <w:left w:val="none" w:sz="0" w:space="0" w:color="auto"/>
        <w:bottom w:val="none" w:sz="0" w:space="0" w:color="auto"/>
        <w:right w:val="none" w:sz="0" w:space="0" w:color="auto"/>
      </w:divBdr>
    </w:div>
    <w:div w:id="154611535">
      <w:bodyDiv w:val="1"/>
      <w:marLeft w:val="0"/>
      <w:marRight w:val="0"/>
      <w:marTop w:val="0"/>
      <w:marBottom w:val="0"/>
      <w:divBdr>
        <w:top w:val="none" w:sz="0" w:space="0" w:color="auto"/>
        <w:left w:val="none" w:sz="0" w:space="0" w:color="auto"/>
        <w:bottom w:val="none" w:sz="0" w:space="0" w:color="auto"/>
        <w:right w:val="none" w:sz="0" w:space="0" w:color="auto"/>
      </w:divBdr>
    </w:div>
    <w:div w:id="156770785">
      <w:bodyDiv w:val="1"/>
      <w:marLeft w:val="0"/>
      <w:marRight w:val="0"/>
      <w:marTop w:val="0"/>
      <w:marBottom w:val="0"/>
      <w:divBdr>
        <w:top w:val="none" w:sz="0" w:space="0" w:color="auto"/>
        <w:left w:val="none" w:sz="0" w:space="0" w:color="auto"/>
        <w:bottom w:val="none" w:sz="0" w:space="0" w:color="auto"/>
        <w:right w:val="none" w:sz="0" w:space="0" w:color="auto"/>
      </w:divBdr>
    </w:div>
    <w:div w:id="157693237">
      <w:bodyDiv w:val="1"/>
      <w:marLeft w:val="0"/>
      <w:marRight w:val="0"/>
      <w:marTop w:val="0"/>
      <w:marBottom w:val="0"/>
      <w:divBdr>
        <w:top w:val="none" w:sz="0" w:space="0" w:color="auto"/>
        <w:left w:val="none" w:sz="0" w:space="0" w:color="auto"/>
        <w:bottom w:val="none" w:sz="0" w:space="0" w:color="auto"/>
        <w:right w:val="none" w:sz="0" w:space="0" w:color="auto"/>
      </w:divBdr>
    </w:div>
    <w:div w:id="158275484">
      <w:bodyDiv w:val="1"/>
      <w:marLeft w:val="0"/>
      <w:marRight w:val="0"/>
      <w:marTop w:val="0"/>
      <w:marBottom w:val="0"/>
      <w:divBdr>
        <w:top w:val="none" w:sz="0" w:space="0" w:color="auto"/>
        <w:left w:val="none" w:sz="0" w:space="0" w:color="auto"/>
        <w:bottom w:val="none" w:sz="0" w:space="0" w:color="auto"/>
        <w:right w:val="none" w:sz="0" w:space="0" w:color="auto"/>
      </w:divBdr>
    </w:div>
    <w:div w:id="158816545">
      <w:bodyDiv w:val="1"/>
      <w:marLeft w:val="0"/>
      <w:marRight w:val="0"/>
      <w:marTop w:val="0"/>
      <w:marBottom w:val="0"/>
      <w:divBdr>
        <w:top w:val="none" w:sz="0" w:space="0" w:color="auto"/>
        <w:left w:val="none" w:sz="0" w:space="0" w:color="auto"/>
        <w:bottom w:val="none" w:sz="0" w:space="0" w:color="auto"/>
        <w:right w:val="none" w:sz="0" w:space="0" w:color="auto"/>
      </w:divBdr>
    </w:div>
    <w:div w:id="159318920">
      <w:bodyDiv w:val="1"/>
      <w:marLeft w:val="0"/>
      <w:marRight w:val="0"/>
      <w:marTop w:val="0"/>
      <w:marBottom w:val="0"/>
      <w:divBdr>
        <w:top w:val="none" w:sz="0" w:space="0" w:color="auto"/>
        <w:left w:val="none" w:sz="0" w:space="0" w:color="auto"/>
        <w:bottom w:val="none" w:sz="0" w:space="0" w:color="auto"/>
        <w:right w:val="none" w:sz="0" w:space="0" w:color="auto"/>
      </w:divBdr>
    </w:div>
    <w:div w:id="159394064">
      <w:bodyDiv w:val="1"/>
      <w:marLeft w:val="0"/>
      <w:marRight w:val="0"/>
      <w:marTop w:val="0"/>
      <w:marBottom w:val="0"/>
      <w:divBdr>
        <w:top w:val="none" w:sz="0" w:space="0" w:color="auto"/>
        <w:left w:val="none" w:sz="0" w:space="0" w:color="auto"/>
        <w:bottom w:val="none" w:sz="0" w:space="0" w:color="auto"/>
        <w:right w:val="none" w:sz="0" w:space="0" w:color="auto"/>
      </w:divBdr>
    </w:div>
    <w:div w:id="160197110">
      <w:bodyDiv w:val="1"/>
      <w:marLeft w:val="0"/>
      <w:marRight w:val="0"/>
      <w:marTop w:val="0"/>
      <w:marBottom w:val="0"/>
      <w:divBdr>
        <w:top w:val="none" w:sz="0" w:space="0" w:color="auto"/>
        <w:left w:val="none" w:sz="0" w:space="0" w:color="auto"/>
        <w:bottom w:val="none" w:sz="0" w:space="0" w:color="auto"/>
        <w:right w:val="none" w:sz="0" w:space="0" w:color="auto"/>
      </w:divBdr>
    </w:div>
    <w:div w:id="160974963">
      <w:bodyDiv w:val="1"/>
      <w:marLeft w:val="0"/>
      <w:marRight w:val="0"/>
      <w:marTop w:val="0"/>
      <w:marBottom w:val="0"/>
      <w:divBdr>
        <w:top w:val="none" w:sz="0" w:space="0" w:color="auto"/>
        <w:left w:val="none" w:sz="0" w:space="0" w:color="auto"/>
        <w:bottom w:val="none" w:sz="0" w:space="0" w:color="auto"/>
        <w:right w:val="none" w:sz="0" w:space="0" w:color="auto"/>
      </w:divBdr>
    </w:div>
    <w:div w:id="163478433">
      <w:bodyDiv w:val="1"/>
      <w:marLeft w:val="0"/>
      <w:marRight w:val="0"/>
      <w:marTop w:val="0"/>
      <w:marBottom w:val="0"/>
      <w:divBdr>
        <w:top w:val="none" w:sz="0" w:space="0" w:color="auto"/>
        <w:left w:val="none" w:sz="0" w:space="0" w:color="auto"/>
        <w:bottom w:val="none" w:sz="0" w:space="0" w:color="auto"/>
        <w:right w:val="none" w:sz="0" w:space="0" w:color="auto"/>
      </w:divBdr>
    </w:div>
    <w:div w:id="164371183">
      <w:bodyDiv w:val="1"/>
      <w:marLeft w:val="0"/>
      <w:marRight w:val="0"/>
      <w:marTop w:val="0"/>
      <w:marBottom w:val="0"/>
      <w:divBdr>
        <w:top w:val="none" w:sz="0" w:space="0" w:color="auto"/>
        <w:left w:val="none" w:sz="0" w:space="0" w:color="auto"/>
        <w:bottom w:val="none" w:sz="0" w:space="0" w:color="auto"/>
        <w:right w:val="none" w:sz="0" w:space="0" w:color="auto"/>
      </w:divBdr>
    </w:div>
    <w:div w:id="164824415">
      <w:bodyDiv w:val="1"/>
      <w:marLeft w:val="0"/>
      <w:marRight w:val="0"/>
      <w:marTop w:val="0"/>
      <w:marBottom w:val="0"/>
      <w:divBdr>
        <w:top w:val="none" w:sz="0" w:space="0" w:color="auto"/>
        <w:left w:val="none" w:sz="0" w:space="0" w:color="auto"/>
        <w:bottom w:val="none" w:sz="0" w:space="0" w:color="auto"/>
        <w:right w:val="none" w:sz="0" w:space="0" w:color="auto"/>
      </w:divBdr>
    </w:div>
    <w:div w:id="165827953">
      <w:bodyDiv w:val="1"/>
      <w:marLeft w:val="0"/>
      <w:marRight w:val="0"/>
      <w:marTop w:val="0"/>
      <w:marBottom w:val="0"/>
      <w:divBdr>
        <w:top w:val="none" w:sz="0" w:space="0" w:color="auto"/>
        <w:left w:val="none" w:sz="0" w:space="0" w:color="auto"/>
        <w:bottom w:val="none" w:sz="0" w:space="0" w:color="auto"/>
        <w:right w:val="none" w:sz="0" w:space="0" w:color="auto"/>
      </w:divBdr>
    </w:div>
    <w:div w:id="165873569">
      <w:bodyDiv w:val="1"/>
      <w:marLeft w:val="0"/>
      <w:marRight w:val="0"/>
      <w:marTop w:val="0"/>
      <w:marBottom w:val="0"/>
      <w:divBdr>
        <w:top w:val="none" w:sz="0" w:space="0" w:color="auto"/>
        <w:left w:val="none" w:sz="0" w:space="0" w:color="auto"/>
        <w:bottom w:val="none" w:sz="0" w:space="0" w:color="auto"/>
        <w:right w:val="none" w:sz="0" w:space="0" w:color="auto"/>
      </w:divBdr>
    </w:div>
    <w:div w:id="168184758">
      <w:bodyDiv w:val="1"/>
      <w:marLeft w:val="0"/>
      <w:marRight w:val="0"/>
      <w:marTop w:val="0"/>
      <w:marBottom w:val="0"/>
      <w:divBdr>
        <w:top w:val="none" w:sz="0" w:space="0" w:color="auto"/>
        <w:left w:val="none" w:sz="0" w:space="0" w:color="auto"/>
        <w:bottom w:val="none" w:sz="0" w:space="0" w:color="auto"/>
        <w:right w:val="none" w:sz="0" w:space="0" w:color="auto"/>
      </w:divBdr>
    </w:div>
    <w:div w:id="168300349">
      <w:bodyDiv w:val="1"/>
      <w:marLeft w:val="0"/>
      <w:marRight w:val="0"/>
      <w:marTop w:val="0"/>
      <w:marBottom w:val="0"/>
      <w:divBdr>
        <w:top w:val="none" w:sz="0" w:space="0" w:color="auto"/>
        <w:left w:val="none" w:sz="0" w:space="0" w:color="auto"/>
        <w:bottom w:val="none" w:sz="0" w:space="0" w:color="auto"/>
        <w:right w:val="none" w:sz="0" w:space="0" w:color="auto"/>
      </w:divBdr>
    </w:div>
    <w:div w:id="171457210">
      <w:bodyDiv w:val="1"/>
      <w:marLeft w:val="0"/>
      <w:marRight w:val="0"/>
      <w:marTop w:val="0"/>
      <w:marBottom w:val="0"/>
      <w:divBdr>
        <w:top w:val="none" w:sz="0" w:space="0" w:color="auto"/>
        <w:left w:val="none" w:sz="0" w:space="0" w:color="auto"/>
        <w:bottom w:val="none" w:sz="0" w:space="0" w:color="auto"/>
        <w:right w:val="none" w:sz="0" w:space="0" w:color="auto"/>
      </w:divBdr>
    </w:div>
    <w:div w:id="173423998">
      <w:bodyDiv w:val="1"/>
      <w:marLeft w:val="0"/>
      <w:marRight w:val="0"/>
      <w:marTop w:val="0"/>
      <w:marBottom w:val="0"/>
      <w:divBdr>
        <w:top w:val="none" w:sz="0" w:space="0" w:color="auto"/>
        <w:left w:val="none" w:sz="0" w:space="0" w:color="auto"/>
        <w:bottom w:val="none" w:sz="0" w:space="0" w:color="auto"/>
        <w:right w:val="none" w:sz="0" w:space="0" w:color="auto"/>
      </w:divBdr>
    </w:div>
    <w:div w:id="174151182">
      <w:bodyDiv w:val="1"/>
      <w:marLeft w:val="0"/>
      <w:marRight w:val="0"/>
      <w:marTop w:val="0"/>
      <w:marBottom w:val="0"/>
      <w:divBdr>
        <w:top w:val="none" w:sz="0" w:space="0" w:color="auto"/>
        <w:left w:val="none" w:sz="0" w:space="0" w:color="auto"/>
        <w:bottom w:val="none" w:sz="0" w:space="0" w:color="auto"/>
        <w:right w:val="none" w:sz="0" w:space="0" w:color="auto"/>
      </w:divBdr>
    </w:div>
    <w:div w:id="175196732">
      <w:bodyDiv w:val="1"/>
      <w:marLeft w:val="0"/>
      <w:marRight w:val="0"/>
      <w:marTop w:val="0"/>
      <w:marBottom w:val="0"/>
      <w:divBdr>
        <w:top w:val="none" w:sz="0" w:space="0" w:color="auto"/>
        <w:left w:val="none" w:sz="0" w:space="0" w:color="auto"/>
        <w:bottom w:val="none" w:sz="0" w:space="0" w:color="auto"/>
        <w:right w:val="none" w:sz="0" w:space="0" w:color="auto"/>
      </w:divBdr>
    </w:div>
    <w:div w:id="175853488">
      <w:bodyDiv w:val="1"/>
      <w:marLeft w:val="0"/>
      <w:marRight w:val="0"/>
      <w:marTop w:val="0"/>
      <w:marBottom w:val="0"/>
      <w:divBdr>
        <w:top w:val="none" w:sz="0" w:space="0" w:color="auto"/>
        <w:left w:val="none" w:sz="0" w:space="0" w:color="auto"/>
        <w:bottom w:val="none" w:sz="0" w:space="0" w:color="auto"/>
        <w:right w:val="none" w:sz="0" w:space="0" w:color="auto"/>
      </w:divBdr>
    </w:div>
    <w:div w:id="180122735">
      <w:bodyDiv w:val="1"/>
      <w:marLeft w:val="0"/>
      <w:marRight w:val="0"/>
      <w:marTop w:val="0"/>
      <w:marBottom w:val="0"/>
      <w:divBdr>
        <w:top w:val="none" w:sz="0" w:space="0" w:color="auto"/>
        <w:left w:val="none" w:sz="0" w:space="0" w:color="auto"/>
        <w:bottom w:val="none" w:sz="0" w:space="0" w:color="auto"/>
        <w:right w:val="none" w:sz="0" w:space="0" w:color="auto"/>
      </w:divBdr>
    </w:div>
    <w:div w:id="180361412">
      <w:bodyDiv w:val="1"/>
      <w:marLeft w:val="0"/>
      <w:marRight w:val="0"/>
      <w:marTop w:val="0"/>
      <w:marBottom w:val="0"/>
      <w:divBdr>
        <w:top w:val="none" w:sz="0" w:space="0" w:color="auto"/>
        <w:left w:val="none" w:sz="0" w:space="0" w:color="auto"/>
        <w:bottom w:val="none" w:sz="0" w:space="0" w:color="auto"/>
        <w:right w:val="none" w:sz="0" w:space="0" w:color="auto"/>
      </w:divBdr>
    </w:div>
    <w:div w:id="181431801">
      <w:bodyDiv w:val="1"/>
      <w:marLeft w:val="0"/>
      <w:marRight w:val="0"/>
      <w:marTop w:val="0"/>
      <w:marBottom w:val="0"/>
      <w:divBdr>
        <w:top w:val="none" w:sz="0" w:space="0" w:color="auto"/>
        <w:left w:val="none" w:sz="0" w:space="0" w:color="auto"/>
        <w:bottom w:val="none" w:sz="0" w:space="0" w:color="auto"/>
        <w:right w:val="none" w:sz="0" w:space="0" w:color="auto"/>
      </w:divBdr>
    </w:div>
    <w:div w:id="181475812">
      <w:bodyDiv w:val="1"/>
      <w:marLeft w:val="0"/>
      <w:marRight w:val="0"/>
      <w:marTop w:val="0"/>
      <w:marBottom w:val="0"/>
      <w:divBdr>
        <w:top w:val="none" w:sz="0" w:space="0" w:color="auto"/>
        <w:left w:val="none" w:sz="0" w:space="0" w:color="auto"/>
        <w:bottom w:val="none" w:sz="0" w:space="0" w:color="auto"/>
        <w:right w:val="none" w:sz="0" w:space="0" w:color="auto"/>
      </w:divBdr>
    </w:div>
    <w:div w:id="183053140">
      <w:bodyDiv w:val="1"/>
      <w:marLeft w:val="0"/>
      <w:marRight w:val="0"/>
      <w:marTop w:val="0"/>
      <w:marBottom w:val="0"/>
      <w:divBdr>
        <w:top w:val="none" w:sz="0" w:space="0" w:color="auto"/>
        <w:left w:val="none" w:sz="0" w:space="0" w:color="auto"/>
        <w:bottom w:val="none" w:sz="0" w:space="0" w:color="auto"/>
        <w:right w:val="none" w:sz="0" w:space="0" w:color="auto"/>
      </w:divBdr>
    </w:div>
    <w:div w:id="187261531">
      <w:bodyDiv w:val="1"/>
      <w:marLeft w:val="0"/>
      <w:marRight w:val="0"/>
      <w:marTop w:val="0"/>
      <w:marBottom w:val="0"/>
      <w:divBdr>
        <w:top w:val="none" w:sz="0" w:space="0" w:color="auto"/>
        <w:left w:val="none" w:sz="0" w:space="0" w:color="auto"/>
        <w:bottom w:val="none" w:sz="0" w:space="0" w:color="auto"/>
        <w:right w:val="none" w:sz="0" w:space="0" w:color="auto"/>
      </w:divBdr>
    </w:div>
    <w:div w:id="188613224">
      <w:bodyDiv w:val="1"/>
      <w:marLeft w:val="0"/>
      <w:marRight w:val="0"/>
      <w:marTop w:val="0"/>
      <w:marBottom w:val="0"/>
      <w:divBdr>
        <w:top w:val="none" w:sz="0" w:space="0" w:color="auto"/>
        <w:left w:val="none" w:sz="0" w:space="0" w:color="auto"/>
        <w:bottom w:val="none" w:sz="0" w:space="0" w:color="auto"/>
        <w:right w:val="none" w:sz="0" w:space="0" w:color="auto"/>
      </w:divBdr>
    </w:div>
    <w:div w:id="194392431">
      <w:bodyDiv w:val="1"/>
      <w:marLeft w:val="0"/>
      <w:marRight w:val="0"/>
      <w:marTop w:val="0"/>
      <w:marBottom w:val="0"/>
      <w:divBdr>
        <w:top w:val="none" w:sz="0" w:space="0" w:color="auto"/>
        <w:left w:val="none" w:sz="0" w:space="0" w:color="auto"/>
        <w:bottom w:val="none" w:sz="0" w:space="0" w:color="auto"/>
        <w:right w:val="none" w:sz="0" w:space="0" w:color="auto"/>
      </w:divBdr>
    </w:div>
    <w:div w:id="194468702">
      <w:bodyDiv w:val="1"/>
      <w:marLeft w:val="0"/>
      <w:marRight w:val="0"/>
      <w:marTop w:val="0"/>
      <w:marBottom w:val="0"/>
      <w:divBdr>
        <w:top w:val="none" w:sz="0" w:space="0" w:color="auto"/>
        <w:left w:val="none" w:sz="0" w:space="0" w:color="auto"/>
        <w:bottom w:val="none" w:sz="0" w:space="0" w:color="auto"/>
        <w:right w:val="none" w:sz="0" w:space="0" w:color="auto"/>
      </w:divBdr>
    </w:div>
    <w:div w:id="195310440">
      <w:bodyDiv w:val="1"/>
      <w:marLeft w:val="0"/>
      <w:marRight w:val="0"/>
      <w:marTop w:val="0"/>
      <w:marBottom w:val="0"/>
      <w:divBdr>
        <w:top w:val="none" w:sz="0" w:space="0" w:color="auto"/>
        <w:left w:val="none" w:sz="0" w:space="0" w:color="auto"/>
        <w:bottom w:val="none" w:sz="0" w:space="0" w:color="auto"/>
        <w:right w:val="none" w:sz="0" w:space="0" w:color="auto"/>
      </w:divBdr>
    </w:div>
    <w:div w:id="196429967">
      <w:bodyDiv w:val="1"/>
      <w:marLeft w:val="0"/>
      <w:marRight w:val="0"/>
      <w:marTop w:val="0"/>
      <w:marBottom w:val="0"/>
      <w:divBdr>
        <w:top w:val="none" w:sz="0" w:space="0" w:color="auto"/>
        <w:left w:val="none" w:sz="0" w:space="0" w:color="auto"/>
        <w:bottom w:val="none" w:sz="0" w:space="0" w:color="auto"/>
        <w:right w:val="none" w:sz="0" w:space="0" w:color="auto"/>
      </w:divBdr>
    </w:div>
    <w:div w:id="200437633">
      <w:bodyDiv w:val="1"/>
      <w:marLeft w:val="0"/>
      <w:marRight w:val="0"/>
      <w:marTop w:val="0"/>
      <w:marBottom w:val="0"/>
      <w:divBdr>
        <w:top w:val="none" w:sz="0" w:space="0" w:color="auto"/>
        <w:left w:val="none" w:sz="0" w:space="0" w:color="auto"/>
        <w:bottom w:val="none" w:sz="0" w:space="0" w:color="auto"/>
        <w:right w:val="none" w:sz="0" w:space="0" w:color="auto"/>
      </w:divBdr>
    </w:div>
    <w:div w:id="200869154">
      <w:bodyDiv w:val="1"/>
      <w:marLeft w:val="0"/>
      <w:marRight w:val="0"/>
      <w:marTop w:val="0"/>
      <w:marBottom w:val="0"/>
      <w:divBdr>
        <w:top w:val="none" w:sz="0" w:space="0" w:color="auto"/>
        <w:left w:val="none" w:sz="0" w:space="0" w:color="auto"/>
        <w:bottom w:val="none" w:sz="0" w:space="0" w:color="auto"/>
        <w:right w:val="none" w:sz="0" w:space="0" w:color="auto"/>
      </w:divBdr>
    </w:div>
    <w:div w:id="202400890">
      <w:bodyDiv w:val="1"/>
      <w:marLeft w:val="0"/>
      <w:marRight w:val="0"/>
      <w:marTop w:val="0"/>
      <w:marBottom w:val="0"/>
      <w:divBdr>
        <w:top w:val="none" w:sz="0" w:space="0" w:color="auto"/>
        <w:left w:val="none" w:sz="0" w:space="0" w:color="auto"/>
        <w:bottom w:val="none" w:sz="0" w:space="0" w:color="auto"/>
        <w:right w:val="none" w:sz="0" w:space="0" w:color="auto"/>
      </w:divBdr>
    </w:div>
    <w:div w:id="202599035">
      <w:bodyDiv w:val="1"/>
      <w:marLeft w:val="0"/>
      <w:marRight w:val="0"/>
      <w:marTop w:val="0"/>
      <w:marBottom w:val="0"/>
      <w:divBdr>
        <w:top w:val="none" w:sz="0" w:space="0" w:color="auto"/>
        <w:left w:val="none" w:sz="0" w:space="0" w:color="auto"/>
        <w:bottom w:val="none" w:sz="0" w:space="0" w:color="auto"/>
        <w:right w:val="none" w:sz="0" w:space="0" w:color="auto"/>
      </w:divBdr>
    </w:div>
    <w:div w:id="205218717">
      <w:bodyDiv w:val="1"/>
      <w:marLeft w:val="0"/>
      <w:marRight w:val="0"/>
      <w:marTop w:val="0"/>
      <w:marBottom w:val="0"/>
      <w:divBdr>
        <w:top w:val="none" w:sz="0" w:space="0" w:color="auto"/>
        <w:left w:val="none" w:sz="0" w:space="0" w:color="auto"/>
        <w:bottom w:val="none" w:sz="0" w:space="0" w:color="auto"/>
        <w:right w:val="none" w:sz="0" w:space="0" w:color="auto"/>
      </w:divBdr>
    </w:div>
    <w:div w:id="206337837">
      <w:bodyDiv w:val="1"/>
      <w:marLeft w:val="0"/>
      <w:marRight w:val="0"/>
      <w:marTop w:val="0"/>
      <w:marBottom w:val="0"/>
      <w:divBdr>
        <w:top w:val="none" w:sz="0" w:space="0" w:color="auto"/>
        <w:left w:val="none" w:sz="0" w:space="0" w:color="auto"/>
        <w:bottom w:val="none" w:sz="0" w:space="0" w:color="auto"/>
        <w:right w:val="none" w:sz="0" w:space="0" w:color="auto"/>
      </w:divBdr>
    </w:div>
    <w:div w:id="206990537">
      <w:bodyDiv w:val="1"/>
      <w:marLeft w:val="0"/>
      <w:marRight w:val="0"/>
      <w:marTop w:val="0"/>
      <w:marBottom w:val="0"/>
      <w:divBdr>
        <w:top w:val="none" w:sz="0" w:space="0" w:color="auto"/>
        <w:left w:val="none" w:sz="0" w:space="0" w:color="auto"/>
        <w:bottom w:val="none" w:sz="0" w:space="0" w:color="auto"/>
        <w:right w:val="none" w:sz="0" w:space="0" w:color="auto"/>
      </w:divBdr>
    </w:div>
    <w:div w:id="209270208">
      <w:bodyDiv w:val="1"/>
      <w:marLeft w:val="0"/>
      <w:marRight w:val="0"/>
      <w:marTop w:val="0"/>
      <w:marBottom w:val="0"/>
      <w:divBdr>
        <w:top w:val="none" w:sz="0" w:space="0" w:color="auto"/>
        <w:left w:val="none" w:sz="0" w:space="0" w:color="auto"/>
        <w:bottom w:val="none" w:sz="0" w:space="0" w:color="auto"/>
        <w:right w:val="none" w:sz="0" w:space="0" w:color="auto"/>
      </w:divBdr>
    </w:div>
    <w:div w:id="209458665">
      <w:bodyDiv w:val="1"/>
      <w:marLeft w:val="0"/>
      <w:marRight w:val="0"/>
      <w:marTop w:val="0"/>
      <w:marBottom w:val="0"/>
      <w:divBdr>
        <w:top w:val="none" w:sz="0" w:space="0" w:color="auto"/>
        <w:left w:val="none" w:sz="0" w:space="0" w:color="auto"/>
        <w:bottom w:val="none" w:sz="0" w:space="0" w:color="auto"/>
        <w:right w:val="none" w:sz="0" w:space="0" w:color="auto"/>
      </w:divBdr>
    </w:div>
    <w:div w:id="210849862">
      <w:bodyDiv w:val="1"/>
      <w:marLeft w:val="0"/>
      <w:marRight w:val="0"/>
      <w:marTop w:val="0"/>
      <w:marBottom w:val="0"/>
      <w:divBdr>
        <w:top w:val="none" w:sz="0" w:space="0" w:color="auto"/>
        <w:left w:val="none" w:sz="0" w:space="0" w:color="auto"/>
        <w:bottom w:val="none" w:sz="0" w:space="0" w:color="auto"/>
        <w:right w:val="none" w:sz="0" w:space="0" w:color="auto"/>
      </w:divBdr>
    </w:div>
    <w:div w:id="212080584">
      <w:bodyDiv w:val="1"/>
      <w:marLeft w:val="0"/>
      <w:marRight w:val="0"/>
      <w:marTop w:val="0"/>
      <w:marBottom w:val="0"/>
      <w:divBdr>
        <w:top w:val="none" w:sz="0" w:space="0" w:color="auto"/>
        <w:left w:val="none" w:sz="0" w:space="0" w:color="auto"/>
        <w:bottom w:val="none" w:sz="0" w:space="0" w:color="auto"/>
        <w:right w:val="none" w:sz="0" w:space="0" w:color="auto"/>
      </w:divBdr>
    </w:div>
    <w:div w:id="212811901">
      <w:bodyDiv w:val="1"/>
      <w:marLeft w:val="0"/>
      <w:marRight w:val="0"/>
      <w:marTop w:val="0"/>
      <w:marBottom w:val="0"/>
      <w:divBdr>
        <w:top w:val="none" w:sz="0" w:space="0" w:color="auto"/>
        <w:left w:val="none" w:sz="0" w:space="0" w:color="auto"/>
        <w:bottom w:val="none" w:sz="0" w:space="0" w:color="auto"/>
        <w:right w:val="none" w:sz="0" w:space="0" w:color="auto"/>
      </w:divBdr>
    </w:div>
    <w:div w:id="212888484">
      <w:bodyDiv w:val="1"/>
      <w:marLeft w:val="0"/>
      <w:marRight w:val="0"/>
      <w:marTop w:val="0"/>
      <w:marBottom w:val="0"/>
      <w:divBdr>
        <w:top w:val="none" w:sz="0" w:space="0" w:color="auto"/>
        <w:left w:val="none" w:sz="0" w:space="0" w:color="auto"/>
        <w:bottom w:val="none" w:sz="0" w:space="0" w:color="auto"/>
        <w:right w:val="none" w:sz="0" w:space="0" w:color="auto"/>
      </w:divBdr>
    </w:div>
    <w:div w:id="212927794">
      <w:bodyDiv w:val="1"/>
      <w:marLeft w:val="0"/>
      <w:marRight w:val="0"/>
      <w:marTop w:val="0"/>
      <w:marBottom w:val="0"/>
      <w:divBdr>
        <w:top w:val="none" w:sz="0" w:space="0" w:color="auto"/>
        <w:left w:val="none" w:sz="0" w:space="0" w:color="auto"/>
        <w:bottom w:val="none" w:sz="0" w:space="0" w:color="auto"/>
        <w:right w:val="none" w:sz="0" w:space="0" w:color="auto"/>
      </w:divBdr>
    </w:div>
    <w:div w:id="213077805">
      <w:bodyDiv w:val="1"/>
      <w:marLeft w:val="0"/>
      <w:marRight w:val="0"/>
      <w:marTop w:val="0"/>
      <w:marBottom w:val="0"/>
      <w:divBdr>
        <w:top w:val="none" w:sz="0" w:space="0" w:color="auto"/>
        <w:left w:val="none" w:sz="0" w:space="0" w:color="auto"/>
        <w:bottom w:val="none" w:sz="0" w:space="0" w:color="auto"/>
        <w:right w:val="none" w:sz="0" w:space="0" w:color="auto"/>
      </w:divBdr>
    </w:div>
    <w:div w:id="213351238">
      <w:bodyDiv w:val="1"/>
      <w:marLeft w:val="0"/>
      <w:marRight w:val="0"/>
      <w:marTop w:val="0"/>
      <w:marBottom w:val="0"/>
      <w:divBdr>
        <w:top w:val="none" w:sz="0" w:space="0" w:color="auto"/>
        <w:left w:val="none" w:sz="0" w:space="0" w:color="auto"/>
        <w:bottom w:val="none" w:sz="0" w:space="0" w:color="auto"/>
        <w:right w:val="none" w:sz="0" w:space="0" w:color="auto"/>
      </w:divBdr>
    </w:div>
    <w:div w:id="214046821">
      <w:bodyDiv w:val="1"/>
      <w:marLeft w:val="0"/>
      <w:marRight w:val="0"/>
      <w:marTop w:val="0"/>
      <w:marBottom w:val="0"/>
      <w:divBdr>
        <w:top w:val="none" w:sz="0" w:space="0" w:color="auto"/>
        <w:left w:val="none" w:sz="0" w:space="0" w:color="auto"/>
        <w:bottom w:val="none" w:sz="0" w:space="0" w:color="auto"/>
        <w:right w:val="none" w:sz="0" w:space="0" w:color="auto"/>
      </w:divBdr>
    </w:div>
    <w:div w:id="214237394">
      <w:bodyDiv w:val="1"/>
      <w:marLeft w:val="0"/>
      <w:marRight w:val="0"/>
      <w:marTop w:val="0"/>
      <w:marBottom w:val="0"/>
      <w:divBdr>
        <w:top w:val="none" w:sz="0" w:space="0" w:color="auto"/>
        <w:left w:val="none" w:sz="0" w:space="0" w:color="auto"/>
        <w:bottom w:val="none" w:sz="0" w:space="0" w:color="auto"/>
        <w:right w:val="none" w:sz="0" w:space="0" w:color="auto"/>
      </w:divBdr>
    </w:div>
    <w:div w:id="214509619">
      <w:bodyDiv w:val="1"/>
      <w:marLeft w:val="0"/>
      <w:marRight w:val="0"/>
      <w:marTop w:val="0"/>
      <w:marBottom w:val="0"/>
      <w:divBdr>
        <w:top w:val="none" w:sz="0" w:space="0" w:color="auto"/>
        <w:left w:val="none" w:sz="0" w:space="0" w:color="auto"/>
        <w:bottom w:val="none" w:sz="0" w:space="0" w:color="auto"/>
        <w:right w:val="none" w:sz="0" w:space="0" w:color="auto"/>
      </w:divBdr>
    </w:div>
    <w:div w:id="214901449">
      <w:bodyDiv w:val="1"/>
      <w:marLeft w:val="0"/>
      <w:marRight w:val="0"/>
      <w:marTop w:val="0"/>
      <w:marBottom w:val="0"/>
      <w:divBdr>
        <w:top w:val="none" w:sz="0" w:space="0" w:color="auto"/>
        <w:left w:val="none" w:sz="0" w:space="0" w:color="auto"/>
        <w:bottom w:val="none" w:sz="0" w:space="0" w:color="auto"/>
        <w:right w:val="none" w:sz="0" w:space="0" w:color="auto"/>
      </w:divBdr>
    </w:div>
    <w:div w:id="216472058">
      <w:bodyDiv w:val="1"/>
      <w:marLeft w:val="0"/>
      <w:marRight w:val="0"/>
      <w:marTop w:val="0"/>
      <w:marBottom w:val="0"/>
      <w:divBdr>
        <w:top w:val="none" w:sz="0" w:space="0" w:color="auto"/>
        <w:left w:val="none" w:sz="0" w:space="0" w:color="auto"/>
        <w:bottom w:val="none" w:sz="0" w:space="0" w:color="auto"/>
        <w:right w:val="none" w:sz="0" w:space="0" w:color="auto"/>
      </w:divBdr>
    </w:div>
    <w:div w:id="217131995">
      <w:bodyDiv w:val="1"/>
      <w:marLeft w:val="0"/>
      <w:marRight w:val="0"/>
      <w:marTop w:val="0"/>
      <w:marBottom w:val="0"/>
      <w:divBdr>
        <w:top w:val="none" w:sz="0" w:space="0" w:color="auto"/>
        <w:left w:val="none" w:sz="0" w:space="0" w:color="auto"/>
        <w:bottom w:val="none" w:sz="0" w:space="0" w:color="auto"/>
        <w:right w:val="none" w:sz="0" w:space="0" w:color="auto"/>
      </w:divBdr>
    </w:div>
    <w:div w:id="217202759">
      <w:bodyDiv w:val="1"/>
      <w:marLeft w:val="0"/>
      <w:marRight w:val="0"/>
      <w:marTop w:val="0"/>
      <w:marBottom w:val="0"/>
      <w:divBdr>
        <w:top w:val="none" w:sz="0" w:space="0" w:color="auto"/>
        <w:left w:val="none" w:sz="0" w:space="0" w:color="auto"/>
        <w:bottom w:val="none" w:sz="0" w:space="0" w:color="auto"/>
        <w:right w:val="none" w:sz="0" w:space="0" w:color="auto"/>
      </w:divBdr>
    </w:div>
    <w:div w:id="218981399">
      <w:bodyDiv w:val="1"/>
      <w:marLeft w:val="0"/>
      <w:marRight w:val="0"/>
      <w:marTop w:val="0"/>
      <w:marBottom w:val="0"/>
      <w:divBdr>
        <w:top w:val="none" w:sz="0" w:space="0" w:color="auto"/>
        <w:left w:val="none" w:sz="0" w:space="0" w:color="auto"/>
        <w:bottom w:val="none" w:sz="0" w:space="0" w:color="auto"/>
        <w:right w:val="none" w:sz="0" w:space="0" w:color="auto"/>
      </w:divBdr>
    </w:div>
    <w:div w:id="221797598">
      <w:bodyDiv w:val="1"/>
      <w:marLeft w:val="0"/>
      <w:marRight w:val="0"/>
      <w:marTop w:val="0"/>
      <w:marBottom w:val="0"/>
      <w:divBdr>
        <w:top w:val="none" w:sz="0" w:space="0" w:color="auto"/>
        <w:left w:val="none" w:sz="0" w:space="0" w:color="auto"/>
        <w:bottom w:val="none" w:sz="0" w:space="0" w:color="auto"/>
        <w:right w:val="none" w:sz="0" w:space="0" w:color="auto"/>
      </w:divBdr>
    </w:div>
    <w:div w:id="224803528">
      <w:bodyDiv w:val="1"/>
      <w:marLeft w:val="0"/>
      <w:marRight w:val="0"/>
      <w:marTop w:val="0"/>
      <w:marBottom w:val="0"/>
      <w:divBdr>
        <w:top w:val="none" w:sz="0" w:space="0" w:color="auto"/>
        <w:left w:val="none" w:sz="0" w:space="0" w:color="auto"/>
        <w:bottom w:val="none" w:sz="0" w:space="0" w:color="auto"/>
        <w:right w:val="none" w:sz="0" w:space="0" w:color="auto"/>
      </w:divBdr>
    </w:div>
    <w:div w:id="225384668">
      <w:bodyDiv w:val="1"/>
      <w:marLeft w:val="0"/>
      <w:marRight w:val="0"/>
      <w:marTop w:val="0"/>
      <w:marBottom w:val="0"/>
      <w:divBdr>
        <w:top w:val="none" w:sz="0" w:space="0" w:color="auto"/>
        <w:left w:val="none" w:sz="0" w:space="0" w:color="auto"/>
        <w:bottom w:val="none" w:sz="0" w:space="0" w:color="auto"/>
        <w:right w:val="none" w:sz="0" w:space="0" w:color="auto"/>
      </w:divBdr>
    </w:div>
    <w:div w:id="226846400">
      <w:bodyDiv w:val="1"/>
      <w:marLeft w:val="0"/>
      <w:marRight w:val="0"/>
      <w:marTop w:val="0"/>
      <w:marBottom w:val="0"/>
      <w:divBdr>
        <w:top w:val="none" w:sz="0" w:space="0" w:color="auto"/>
        <w:left w:val="none" w:sz="0" w:space="0" w:color="auto"/>
        <w:bottom w:val="none" w:sz="0" w:space="0" w:color="auto"/>
        <w:right w:val="none" w:sz="0" w:space="0" w:color="auto"/>
      </w:divBdr>
    </w:div>
    <w:div w:id="227157202">
      <w:bodyDiv w:val="1"/>
      <w:marLeft w:val="0"/>
      <w:marRight w:val="0"/>
      <w:marTop w:val="0"/>
      <w:marBottom w:val="0"/>
      <w:divBdr>
        <w:top w:val="none" w:sz="0" w:space="0" w:color="auto"/>
        <w:left w:val="none" w:sz="0" w:space="0" w:color="auto"/>
        <w:bottom w:val="none" w:sz="0" w:space="0" w:color="auto"/>
        <w:right w:val="none" w:sz="0" w:space="0" w:color="auto"/>
      </w:divBdr>
    </w:div>
    <w:div w:id="227502381">
      <w:bodyDiv w:val="1"/>
      <w:marLeft w:val="0"/>
      <w:marRight w:val="0"/>
      <w:marTop w:val="0"/>
      <w:marBottom w:val="0"/>
      <w:divBdr>
        <w:top w:val="none" w:sz="0" w:space="0" w:color="auto"/>
        <w:left w:val="none" w:sz="0" w:space="0" w:color="auto"/>
        <w:bottom w:val="none" w:sz="0" w:space="0" w:color="auto"/>
        <w:right w:val="none" w:sz="0" w:space="0" w:color="auto"/>
      </w:divBdr>
    </w:div>
    <w:div w:id="227613411">
      <w:bodyDiv w:val="1"/>
      <w:marLeft w:val="0"/>
      <w:marRight w:val="0"/>
      <w:marTop w:val="0"/>
      <w:marBottom w:val="0"/>
      <w:divBdr>
        <w:top w:val="none" w:sz="0" w:space="0" w:color="auto"/>
        <w:left w:val="none" w:sz="0" w:space="0" w:color="auto"/>
        <w:bottom w:val="none" w:sz="0" w:space="0" w:color="auto"/>
        <w:right w:val="none" w:sz="0" w:space="0" w:color="auto"/>
      </w:divBdr>
    </w:div>
    <w:div w:id="229195612">
      <w:bodyDiv w:val="1"/>
      <w:marLeft w:val="0"/>
      <w:marRight w:val="0"/>
      <w:marTop w:val="0"/>
      <w:marBottom w:val="0"/>
      <w:divBdr>
        <w:top w:val="none" w:sz="0" w:space="0" w:color="auto"/>
        <w:left w:val="none" w:sz="0" w:space="0" w:color="auto"/>
        <w:bottom w:val="none" w:sz="0" w:space="0" w:color="auto"/>
        <w:right w:val="none" w:sz="0" w:space="0" w:color="auto"/>
      </w:divBdr>
    </w:div>
    <w:div w:id="232812532">
      <w:bodyDiv w:val="1"/>
      <w:marLeft w:val="0"/>
      <w:marRight w:val="0"/>
      <w:marTop w:val="0"/>
      <w:marBottom w:val="0"/>
      <w:divBdr>
        <w:top w:val="none" w:sz="0" w:space="0" w:color="auto"/>
        <w:left w:val="none" w:sz="0" w:space="0" w:color="auto"/>
        <w:bottom w:val="none" w:sz="0" w:space="0" w:color="auto"/>
        <w:right w:val="none" w:sz="0" w:space="0" w:color="auto"/>
      </w:divBdr>
    </w:div>
    <w:div w:id="234946844">
      <w:bodyDiv w:val="1"/>
      <w:marLeft w:val="0"/>
      <w:marRight w:val="0"/>
      <w:marTop w:val="0"/>
      <w:marBottom w:val="0"/>
      <w:divBdr>
        <w:top w:val="none" w:sz="0" w:space="0" w:color="auto"/>
        <w:left w:val="none" w:sz="0" w:space="0" w:color="auto"/>
        <w:bottom w:val="none" w:sz="0" w:space="0" w:color="auto"/>
        <w:right w:val="none" w:sz="0" w:space="0" w:color="auto"/>
      </w:divBdr>
    </w:div>
    <w:div w:id="235408333">
      <w:bodyDiv w:val="1"/>
      <w:marLeft w:val="0"/>
      <w:marRight w:val="0"/>
      <w:marTop w:val="0"/>
      <w:marBottom w:val="0"/>
      <w:divBdr>
        <w:top w:val="none" w:sz="0" w:space="0" w:color="auto"/>
        <w:left w:val="none" w:sz="0" w:space="0" w:color="auto"/>
        <w:bottom w:val="none" w:sz="0" w:space="0" w:color="auto"/>
        <w:right w:val="none" w:sz="0" w:space="0" w:color="auto"/>
      </w:divBdr>
    </w:div>
    <w:div w:id="235483679">
      <w:bodyDiv w:val="1"/>
      <w:marLeft w:val="0"/>
      <w:marRight w:val="0"/>
      <w:marTop w:val="0"/>
      <w:marBottom w:val="0"/>
      <w:divBdr>
        <w:top w:val="none" w:sz="0" w:space="0" w:color="auto"/>
        <w:left w:val="none" w:sz="0" w:space="0" w:color="auto"/>
        <w:bottom w:val="none" w:sz="0" w:space="0" w:color="auto"/>
        <w:right w:val="none" w:sz="0" w:space="0" w:color="auto"/>
      </w:divBdr>
    </w:div>
    <w:div w:id="237984608">
      <w:bodyDiv w:val="1"/>
      <w:marLeft w:val="0"/>
      <w:marRight w:val="0"/>
      <w:marTop w:val="0"/>
      <w:marBottom w:val="0"/>
      <w:divBdr>
        <w:top w:val="none" w:sz="0" w:space="0" w:color="auto"/>
        <w:left w:val="none" w:sz="0" w:space="0" w:color="auto"/>
        <w:bottom w:val="none" w:sz="0" w:space="0" w:color="auto"/>
        <w:right w:val="none" w:sz="0" w:space="0" w:color="auto"/>
      </w:divBdr>
    </w:div>
    <w:div w:id="238752564">
      <w:bodyDiv w:val="1"/>
      <w:marLeft w:val="0"/>
      <w:marRight w:val="0"/>
      <w:marTop w:val="0"/>
      <w:marBottom w:val="0"/>
      <w:divBdr>
        <w:top w:val="none" w:sz="0" w:space="0" w:color="auto"/>
        <w:left w:val="none" w:sz="0" w:space="0" w:color="auto"/>
        <w:bottom w:val="none" w:sz="0" w:space="0" w:color="auto"/>
        <w:right w:val="none" w:sz="0" w:space="0" w:color="auto"/>
      </w:divBdr>
    </w:div>
    <w:div w:id="239214797">
      <w:bodyDiv w:val="1"/>
      <w:marLeft w:val="0"/>
      <w:marRight w:val="0"/>
      <w:marTop w:val="0"/>
      <w:marBottom w:val="0"/>
      <w:divBdr>
        <w:top w:val="none" w:sz="0" w:space="0" w:color="auto"/>
        <w:left w:val="none" w:sz="0" w:space="0" w:color="auto"/>
        <w:bottom w:val="none" w:sz="0" w:space="0" w:color="auto"/>
        <w:right w:val="none" w:sz="0" w:space="0" w:color="auto"/>
      </w:divBdr>
    </w:div>
    <w:div w:id="239605361">
      <w:bodyDiv w:val="1"/>
      <w:marLeft w:val="0"/>
      <w:marRight w:val="0"/>
      <w:marTop w:val="0"/>
      <w:marBottom w:val="0"/>
      <w:divBdr>
        <w:top w:val="none" w:sz="0" w:space="0" w:color="auto"/>
        <w:left w:val="none" w:sz="0" w:space="0" w:color="auto"/>
        <w:bottom w:val="none" w:sz="0" w:space="0" w:color="auto"/>
        <w:right w:val="none" w:sz="0" w:space="0" w:color="auto"/>
      </w:divBdr>
    </w:div>
    <w:div w:id="240069805">
      <w:bodyDiv w:val="1"/>
      <w:marLeft w:val="0"/>
      <w:marRight w:val="0"/>
      <w:marTop w:val="0"/>
      <w:marBottom w:val="0"/>
      <w:divBdr>
        <w:top w:val="none" w:sz="0" w:space="0" w:color="auto"/>
        <w:left w:val="none" w:sz="0" w:space="0" w:color="auto"/>
        <w:bottom w:val="none" w:sz="0" w:space="0" w:color="auto"/>
        <w:right w:val="none" w:sz="0" w:space="0" w:color="auto"/>
      </w:divBdr>
    </w:div>
    <w:div w:id="240257854">
      <w:bodyDiv w:val="1"/>
      <w:marLeft w:val="0"/>
      <w:marRight w:val="0"/>
      <w:marTop w:val="0"/>
      <w:marBottom w:val="0"/>
      <w:divBdr>
        <w:top w:val="none" w:sz="0" w:space="0" w:color="auto"/>
        <w:left w:val="none" w:sz="0" w:space="0" w:color="auto"/>
        <w:bottom w:val="none" w:sz="0" w:space="0" w:color="auto"/>
        <w:right w:val="none" w:sz="0" w:space="0" w:color="auto"/>
      </w:divBdr>
    </w:div>
    <w:div w:id="241570918">
      <w:bodyDiv w:val="1"/>
      <w:marLeft w:val="0"/>
      <w:marRight w:val="0"/>
      <w:marTop w:val="0"/>
      <w:marBottom w:val="0"/>
      <w:divBdr>
        <w:top w:val="none" w:sz="0" w:space="0" w:color="auto"/>
        <w:left w:val="none" w:sz="0" w:space="0" w:color="auto"/>
        <w:bottom w:val="none" w:sz="0" w:space="0" w:color="auto"/>
        <w:right w:val="none" w:sz="0" w:space="0" w:color="auto"/>
      </w:divBdr>
    </w:div>
    <w:div w:id="244805920">
      <w:bodyDiv w:val="1"/>
      <w:marLeft w:val="0"/>
      <w:marRight w:val="0"/>
      <w:marTop w:val="0"/>
      <w:marBottom w:val="0"/>
      <w:divBdr>
        <w:top w:val="none" w:sz="0" w:space="0" w:color="auto"/>
        <w:left w:val="none" w:sz="0" w:space="0" w:color="auto"/>
        <w:bottom w:val="none" w:sz="0" w:space="0" w:color="auto"/>
        <w:right w:val="none" w:sz="0" w:space="0" w:color="auto"/>
      </w:divBdr>
    </w:div>
    <w:div w:id="245305575">
      <w:bodyDiv w:val="1"/>
      <w:marLeft w:val="0"/>
      <w:marRight w:val="0"/>
      <w:marTop w:val="0"/>
      <w:marBottom w:val="0"/>
      <w:divBdr>
        <w:top w:val="none" w:sz="0" w:space="0" w:color="auto"/>
        <w:left w:val="none" w:sz="0" w:space="0" w:color="auto"/>
        <w:bottom w:val="none" w:sz="0" w:space="0" w:color="auto"/>
        <w:right w:val="none" w:sz="0" w:space="0" w:color="auto"/>
      </w:divBdr>
    </w:div>
    <w:div w:id="245891722">
      <w:bodyDiv w:val="1"/>
      <w:marLeft w:val="0"/>
      <w:marRight w:val="0"/>
      <w:marTop w:val="0"/>
      <w:marBottom w:val="0"/>
      <w:divBdr>
        <w:top w:val="none" w:sz="0" w:space="0" w:color="auto"/>
        <w:left w:val="none" w:sz="0" w:space="0" w:color="auto"/>
        <w:bottom w:val="none" w:sz="0" w:space="0" w:color="auto"/>
        <w:right w:val="none" w:sz="0" w:space="0" w:color="auto"/>
      </w:divBdr>
    </w:div>
    <w:div w:id="246303045">
      <w:bodyDiv w:val="1"/>
      <w:marLeft w:val="0"/>
      <w:marRight w:val="0"/>
      <w:marTop w:val="0"/>
      <w:marBottom w:val="0"/>
      <w:divBdr>
        <w:top w:val="none" w:sz="0" w:space="0" w:color="auto"/>
        <w:left w:val="none" w:sz="0" w:space="0" w:color="auto"/>
        <w:bottom w:val="none" w:sz="0" w:space="0" w:color="auto"/>
        <w:right w:val="none" w:sz="0" w:space="0" w:color="auto"/>
      </w:divBdr>
    </w:div>
    <w:div w:id="247036938">
      <w:bodyDiv w:val="1"/>
      <w:marLeft w:val="0"/>
      <w:marRight w:val="0"/>
      <w:marTop w:val="0"/>
      <w:marBottom w:val="0"/>
      <w:divBdr>
        <w:top w:val="none" w:sz="0" w:space="0" w:color="auto"/>
        <w:left w:val="none" w:sz="0" w:space="0" w:color="auto"/>
        <w:bottom w:val="none" w:sz="0" w:space="0" w:color="auto"/>
        <w:right w:val="none" w:sz="0" w:space="0" w:color="auto"/>
      </w:divBdr>
    </w:div>
    <w:div w:id="248851369">
      <w:bodyDiv w:val="1"/>
      <w:marLeft w:val="0"/>
      <w:marRight w:val="0"/>
      <w:marTop w:val="0"/>
      <w:marBottom w:val="0"/>
      <w:divBdr>
        <w:top w:val="none" w:sz="0" w:space="0" w:color="auto"/>
        <w:left w:val="none" w:sz="0" w:space="0" w:color="auto"/>
        <w:bottom w:val="none" w:sz="0" w:space="0" w:color="auto"/>
        <w:right w:val="none" w:sz="0" w:space="0" w:color="auto"/>
      </w:divBdr>
    </w:div>
    <w:div w:id="249240591">
      <w:bodyDiv w:val="1"/>
      <w:marLeft w:val="0"/>
      <w:marRight w:val="0"/>
      <w:marTop w:val="0"/>
      <w:marBottom w:val="0"/>
      <w:divBdr>
        <w:top w:val="none" w:sz="0" w:space="0" w:color="auto"/>
        <w:left w:val="none" w:sz="0" w:space="0" w:color="auto"/>
        <w:bottom w:val="none" w:sz="0" w:space="0" w:color="auto"/>
        <w:right w:val="none" w:sz="0" w:space="0" w:color="auto"/>
      </w:divBdr>
    </w:div>
    <w:div w:id="250361015">
      <w:bodyDiv w:val="1"/>
      <w:marLeft w:val="0"/>
      <w:marRight w:val="0"/>
      <w:marTop w:val="0"/>
      <w:marBottom w:val="0"/>
      <w:divBdr>
        <w:top w:val="none" w:sz="0" w:space="0" w:color="auto"/>
        <w:left w:val="none" w:sz="0" w:space="0" w:color="auto"/>
        <w:bottom w:val="none" w:sz="0" w:space="0" w:color="auto"/>
        <w:right w:val="none" w:sz="0" w:space="0" w:color="auto"/>
      </w:divBdr>
    </w:div>
    <w:div w:id="251478461">
      <w:bodyDiv w:val="1"/>
      <w:marLeft w:val="0"/>
      <w:marRight w:val="0"/>
      <w:marTop w:val="0"/>
      <w:marBottom w:val="0"/>
      <w:divBdr>
        <w:top w:val="none" w:sz="0" w:space="0" w:color="auto"/>
        <w:left w:val="none" w:sz="0" w:space="0" w:color="auto"/>
        <w:bottom w:val="none" w:sz="0" w:space="0" w:color="auto"/>
        <w:right w:val="none" w:sz="0" w:space="0" w:color="auto"/>
      </w:divBdr>
    </w:div>
    <w:div w:id="251865141">
      <w:bodyDiv w:val="1"/>
      <w:marLeft w:val="0"/>
      <w:marRight w:val="0"/>
      <w:marTop w:val="0"/>
      <w:marBottom w:val="0"/>
      <w:divBdr>
        <w:top w:val="none" w:sz="0" w:space="0" w:color="auto"/>
        <w:left w:val="none" w:sz="0" w:space="0" w:color="auto"/>
        <w:bottom w:val="none" w:sz="0" w:space="0" w:color="auto"/>
        <w:right w:val="none" w:sz="0" w:space="0" w:color="auto"/>
      </w:divBdr>
    </w:div>
    <w:div w:id="252323305">
      <w:bodyDiv w:val="1"/>
      <w:marLeft w:val="0"/>
      <w:marRight w:val="0"/>
      <w:marTop w:val="0"/>
      <w:marBottom w:val="0"/>
      <w:divBdr>
        <w:top w:val="none" w:sz="0" w:space="0" w:color="auto"/>
        <w:left w:val="none" w:sz="0" w:space="0" w:color="auto"/>
        <w:bottom w:val="none" w:sz="0" w:space="0" w:color="auto"/>
        <w:right w:val="none" w:sz="0" w:space="0" w:color="auto"/>
      </w:divBdr>
    </w:div>
    <w:div w:id="252401275">
      <w:bodyDiv w:val="1"/>
      <w:marLeft w:val="0"/>
      <w:marRight w:val="0"/>
      <w:marTop w:val="0"/>
      <w:marBottom w:val="0"/>
      <w:divBdr>
        <w:top w:val="none" w:sz="0" w:space="0" w:color="auto"/>
        <w:left w:val="none" w:sz="0" w:space="0" w:color="auto"/>
        <w:bottom w:val="none" w:sz="0" w:space="0" w:color="auto"/>
        <w:right w:val="none" w:sz="0" w:space="0" w:color="auto"/>
      </w:divBdr>
    </w:div>
    <w:div w:id="256140880">
      <w:bodyDiv w:val="1"/>
      <w:marLeft w:val="0"/>
      <w:marRight w:val="0"/>
      <w:marTop w:val="0"/>
      <w:marBottom w:val="0"/>
      <w:divBdr>
        <w:top w:val="none" w:sz="0" w:space="0" w:color="auto"/>
        <w:left w:val="none" w:sz="0" w:space="0" w:color="auto"/>
        <w:bottom w:val="none" w:sz="0" w:space="0" w:color="auto"/>
        <w:right w:val="none" w:sz="0" w:space="0" w:color="auto"/>
      </w:divBdr>
    </w:div>
    <w:div w:id="257254374">
      <w:bodyDiv w:val="1"/>
      <w:marLeft w:val="0"/>
      <w:marRight w:val="0"/>
      <w:marTop w:val="0"/>
      <w:marBottom w:val="0"/>
      <w:divBdr>
        <w:top w:val="none" w:sz="0" w:space="0" w:color="auto"/>
        <w:left w:val="none" w:sz="0" w:space="0" w:color="auto"/>
        <w:bottom w:val="none" w:sz="0" w:space="0" w:color="auto"/>
        <w:right w:val="none" w:sz="0" w:space="0" w:color="auto"/>
      </w:divBdr>
    </w:div>
    <w:div w:id="258173844">
      <w:bodyDiv w:val="1"/>
      <w:marLeft w:val="0"/>
      <w:marRight w:val="0"/>
      <w:marTop w:val="0"/>
      <w:marBottom w:val="0"/>
      <w:divBdr>
        <w:top w:val="none" w:sz="0" w:space="0" w:color="auto"/>
        <w:left w:val="none" w:sz="0" w:space="0" w:color="auto"/>
        <w:bottom w:val="none" w:sz="0" w:space="0" w:color="auto"/>
        <w:right w:val="none" w:sz="0" w:space="0" w:color="auto"/>
      </w:divBdr>
    </w:div>
    <w:div w:id="258175359">
      <w:bodyDiv w:val="1"/>
      <w:marLeft w:val="0"/>
      <w:marRight w:val="0"/>
      <w:marTop w:val="0"/>
      <w:marBottom w:val="0"/>
      <w:divBdr>
        <w:top w:val="none" w:sz="0" w:space="0" w:color="auto"/>
        <w:left w:val="none" w:sz="0" w:space="0" w:color="auto"/>
        <w:bottom w:val="none" w:sz="0" w:space="0" w:color="auto"/>
        <w:right w:val="none" w:sz="0" w:space="0" w:color="auto"/>
      </w:divBdr>
    </w:div>
    <w:div w:id="258877642">
      <w:bodyDiv w:val="1"/>
      <w:marLeft w:val="0"/>
      <w:marRight w:val="0"/>
      <w:marTop w:val="0"/>
      <w:marBottom w:val="0"/>
      <w:divBdr>
        <w:top w:val="none" w:sz="0" w:space="0" w:color="auto"/>
        <w:left w:val="none" w:sz="0" w:space="0" w:color="auto"/>
        <w:bottom w:val="none" w:sz="0" w:space="0" w:color="auto"/>
        <w:right w:val="none" w:sz="0" w:space="0" w:color="auto"/>
      </w:divBdr>
    </w:div>
    <w:div w:id="261763775">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264462453">
      <w:bodyDiv w:val="1"/>
      <w:marLeft w:val="0"/>
      <w:marRight w:val="0"/>
      <w:marTop w:val="0"/>
      <w:marBottom w:val="0"/>
      <w:divBdr>
        <w:top w:val="none" w:sz="0" w:space="0" w:color="auto"/>
        <w:left w:val="none" w:sz="0" w:space="0" w:color="auto"/>
        <w:bottom w:val="none" w:sz="0" w:space="0" w:color="auto"/>
        <w:right w:val="none" w:sz="0" w:space="0" w:color="auto"/>
      </w:divBdr>
    </w:div>
    <w:div w:id="265424811">
      <w:bodyDiv w:val="1"/>
      <w:marLeft w:val="0"/>
      <w:marRight w:val="0"/>
      <w:marTop w:val="0"/>
      <w:marBottom w:val="0"/>
      <w:divBdr>
        <w:top w:val="none" w:sz="0" w:space="0" w:color="auto"/>
        <w:left w:val="none" w:sz="0" w:space="0" w:color="auto"/>
        <w:bottom w:val="none" w:sz="0" w:space="0" w:color="auto"/>
        <w:right w:val="none" w:sz="0" w:space="0" w:color="auto"/>
      </w:divBdr>
    </w:div>
    <w:div w:id="265579643">
      <w:bodyDiv w:val="1"/>
      <w:marLeft w:val="0"/>
      <w:marRight w:val="0"/>
      <w:marTop w:val="0"/>
      <w:marBottom w:val="0"/>
      <w:divBdr>
        <w:top w:val="none" w:sz="0" w:space="0" w:color="auto"/>
        <w:left w:val="none" w:sz="0" w:space="0" w:color="auto"/>
        <w:bottom w:val="none" w:sz="0" w:space="0" w:color="auto"/>
        <w:right w:val="none" w:sz="0" w:space="0" w:color="auto"/>
      </w:divBdr>
    </w:div>
    <w:div w:id="266695133">
      <w:bodyDiv w:val="1"/>
      <w:marLeft w:val="0"/>
      <w:marRight w:val="0"/>
      <w:marTop w:val="0"/>
      <w:marBottom w:val="0"/>
      <w:divBdr>
        <w:top w:val="none" w:sz="0" w:space="0" w:color="auto"/>
        <w:left w:val="none" w:sz="0" w:space="0" w:color="auto"/>
        <w:bottom w:val="none" w:sz="0" w:space="0" w:color="auto"/>
        <w:right w:val="none" w:sz="0" w:space="0" w:color="auto"/>
      </w:divBdr>
    </w:div>
    <w:div w:id="268970559">
      <w:bodyDiv w:val="1"/>
      <w:marLeft w:val="0"/>
      <w:marRight w:val="0"/>
      <w:marTop w:val="0"/>
      <w:marBottom w:val="0"/>
      <w:divBdr>
        <w:top w:val="none" w:sz="0" w:space="0" w:color="auto"/>
        <w:left w:val="none" w:sz="0" w:space="0" w:color="auto"/>
        <w:bottom w:val="none" w:sz="0" w:space="0" w:color="auto"/>
        <w:right w:val="none" w:sz="0" w:space="0" w:color="auto"/>
      </w:divBdr>
    </w:div>
    <w:div w:id="271085909">
      <w:bodyDiv w:val="1"/>
      <w:marLeft w:val="0"/>
      <w:marRight w:val="0"/>
      <w:marTop w:val="0"/>
      <w:marBottom w:val="0"/>
      <w:divBdr>
        <w:top w:val="none" w:sz="0" w:space="0" w:color="auto"/>
        <w:left w:val="none" w:sz="0" w:space="0" w:color="auto"/>
        <w:bottom w:val="none" w:sz="0" w:space="0" w:color="auto"/>
        <w:right w:val="none" w:sz="0" w:space="0" w:color="auto"/>
      </w:divBdr>
    </w:div>
    <w:div w:id="273171007">
      <w:bodyDiv w:val="1"/>
      <w:marLeft w:val="0"/>
      <w:marRight w:val="0"/>
      <w:marTop w:val="0"/>
      <w:marBottom w:val="0"/>
      <w:divBdr>
        <w:top w:val="none" w:sz="0" w:space="0" w:color="auto"/>
        <w:left w:val="none" w:sz="0" w:space="0" w:color="auto"/>
        <w:bottom w:val="none" w:sz="0" w:space="0" w:color="auto"/>
        <w:right w:val="none" w:sz="0" w:space="0" w:color="auto"/>
      </w:divBdr>
    </w:div>
    <w:div w:id="273444168">
      <w:bodyDiv w:val="1"/>
      <w:marLeft w:val="0"/>
      <w:marRight w:val="0"/>
      <w:marTop w:val="0"/>
      <w:marBottom w:val="0"/>
      <w:divBdr>
        <w:top w:val="none" w:sz="0" w:space="0" w:color="auto"/>
        <w:left w:val="none" w:sz="0" w:space="0" w:color="auto"/>
        <w:bottom w:val="none" w:sz="0" w:space="0" w:color="auto"/>
        <w:right w:val="none" w:sz="0" w:space="0" w:color="auto"/>
      </w:divBdr>
    </w:div>
    <w:div w:id="276496413">
      <w:bodyDiv w:val="1"/>
      <w:marLeft w:val="0"/>
      <w:marRight w:val="0"/>
      <w:marTop w:val="0"/>
      <w:marBottom w:val="0"/>
      <w:divBdr>
        <w:top w:val="none" w:sz="0" w:space="0" w:color="auto"/>
        <w:left w:val="none" w:sz="0" w:space="0" w:color="auto"/>
        <w:bottom w:val="none" w:sz="0" w:space="0" w:color="auto"/>
        <w:right w:val="none" w:sz="0" w:space="0" w:color="auto"/>
      </w:divBdr>
    </w:div>
    <w:div w:id="280965639">
      <w:bodyDiv w:val="1"/>
      <w:marLeft w:val="0"/>
      <w:marRight w:val="0"/>
      <w:marTop w:val="0"/>
      <w:marBottom w:val="0"/>
      <w:divBdr>
        <w:top w:val="none" w:sz="0" w:space="0" w:color="auto"/>
        <w:left w:val="none" w:sz="0" w:space="0" w:color="auto"/>
        <w:bottom w:val="none" w:sz="0" w:space="0" w:color="auto"/>
        <w:right w:val="none" w:sz="0" w:space="0" w:color="auto"/>
      </w:divBdr>
    </w:div>
    <w:div w:id="281569781">
      <w:bodyDiv w:val="1"/>
      <w:marLeft w:val="0"/>
      <w:marRight w:val="0"/>
      <w:marTop w:val="0"/>
      <w:marBottom w:val="0"/>
      <w:divBdr>
        <w:top w:val="none" w:sz="0" w:space="0" w:color="auto"/>
        <w:left w:val="none" w:sz="0" w:space="0" w:color="auto"/>
        <w:bottom w:val="none" w:sz="0" w:space="0" w:color="auto"/>
        <w:right w:val="none" w:sz="0" w:space="0" w:color="auto"/>
      </w:divBdr>
    </w:div>
    <w:div w:id="285279650">
      <w:bodyDiv w:val="1"/>
      <w:marLeft w:val="0"/>
      <w:marRight w:val="0"/>
      <w:marTop w:val="0"/>
      <w:marBottom w:val="0"/>
      <w:divBdr>
        <w:top w:val="none" w:sz="0" w:space="0" w:color="auto"/>
        <w:left w:val="none" w:sz="0" w:space="0" w:color="auto"/>
        <w:bottom w:val="none" w:sz="0" w:space="0" w:color="auto"/>
        <w:right w:val="none" w:sz="0" w:space="0" w:color="auto"/>
      </w:divBdr>
    </w:div>
    <w:div w:id="286206389">
      <w:bodyDiv w:val="1"/>
      <w:marLeft w:val="0"/>
      <w:marRight w:val="0"/>
      <w:marTop w:val="0"/>
      <w:marBottom w:val="0"/>
      <w:divBdr>
        <w:top w:val="none" w:sz="0" w:space="0" w:color="auto"/>
        <w:left w:val="none" w:sz="0" w:space="0" w:color="auto"/>
        <w:bottom w:val="none" w:sz="0" w:space="0" w:color="auto"/>
        <w:right w:val="none" w:sz="0" w:space="0" w:color="auto"/>
      </w:divBdr>
    </w:div>
    <w:div w:id="287125387">
      <w:bodyDiv w:val="1"/>
      <w:marLeft w:val="0"/>
      <w:marRight w:val="0"/>
      <w:marTop w:val="0"/>
      <w:marBottom w:val="0"/>
      <w:divBdr>
        <w:top w:val="none" w:sz="0" w:space="0" w:color="auto"/>
        <w:left w:val="none" w:sz="0" w:space="0" w:color="auto"/>
        <w:bottom w:val="none" w:sz="0" w:space="0" w:color="auto"/>
        <w:right w:val="none" w:sz="0" w:space="0" w:color="auto"/>
      </w:divBdr>
    </w:div>
    <w:div w:id="287669674">
      <w:bodyDiv w:val="1"/>
      <w:marLeft w:val="0"/>
      <w:marRight w:val="0"/>
      <w:marTop w:val="0"/>
      <w:marBottom w:val="0"/>
      <w:divBdr>
        <w:top w:val="none" w:sz="0" w:space="0" w:color="auto"/>
        <w:left w:val="none" w:sz="0" w:space="0" w:color="auto"/>
        <w:bottom w:val="none" w:sz="0" w:space="0" w:color="auto"/>
        <w:right w:val="none" w:sz="0" w:space="0" w:color="auto"/>
      </w:divBdr>
    </w:div>
    <w:div w:id="288243398">
      <w:bodyDiv w:val="1"/>
      <w:marLeft w:val="0"/>
      <w:marRight w:val="0"/>
      <w:marTop w:val="0"/>
      <w:marBottom w:val="0"/>
      <w:divBdr>
        <w:top w:val="none" w:sz="0" w:space="0" w:color="auto"/>
        <w:left w:val="none" w:sz="0" w:space="0" w:color="auto"/>
        <w:bottom w:val="none" w:sz="0" w:space="0" w:color="auto"/>
        <w:right w:val="none" w:sz="0" w:space="0" w:color="auto"/>
      </w:divBdr>
    </w:div>
    <w:div w:id="290404709">
      <w:bodyDiv w:val="1"/>
      <w:marLeft w:val="0"/>
      <w:marRight w:val="0"/>
      <w:marTop w:val="0"/>
      <w:marBottom w:val="0"/>
      <w:divBdr>
        <w:top w:val="none" w:sz="0" w:space="0" w:color="auto"/>
        <w:left w:val="none" w:sz="0" w:space="0" w:color="auto"/>
        <w:bottom w:val="none" w:sz="0" w:space="0" w:color="auto"/>
        <w:right w:val="none" w:sz="0" w:space="0" w:color="auto"/>
      </w:divBdr>
    </w:div>
    <w:div w:id="290523861">
      <w:bodyDiv w:val="1"/>
      <w:marLeft w:val="0"/>
      <w:marRight w:val="0"/>
      <w:marTop w:val="0"/>
      <w:marBottom w:val="0"/>
      <w:divBdr>
        <w:top w:val="none" w:sz="0" w:space="0" w:color="auto"/>
        <w:left w:val="none" w:sz="0" w:space="0" w:color="auto"/>
        <w:bottom w:val="none" w:sz="0" w:space="0" w:color="auto"/>
        <w:right w:val="none" w:sz="0" w:space="0" w:color="auto"/>
      </w:divBdr>
    </w:div>
    <w:div w:id="291055381">
      <w:bodyDiv w:val="1"/>
      <w:marLeft w:val="0"/>
      <w:marRight w:val="0"/>
      <w:marTop w:val="0"/>
      <w:marBottom w:val="0"/>
      <w:divBdr>
        <w:top w:val="none" w:sz="0" w:space="0" w:color="auto"/>
        <w:left w:val="none" w:sz="0" w:space="0" w:color="auto"/>
        <w:bottom w:val="none" w:sz="0" w:space="0" w:color="auto"/>
        <w:right w:val="none" w:sz="0" w:space="0" w:color="auto"/>
      </w:divBdr>
    </w:div>
    <w:div w:id="291061310">
      <w:bodyDiv w:val="1"/>
      <w:marLeft w:val="0"/>
      <w:marRight w:val="0"/>
      <w:marTop w:val="0"/>
      <w:marBottom w:val="0"/>
      <w:divBdr>
        <w:top w:val="none" w:sz="0" w:space="0" w:color="auto"/>
        <w:left w:val="none" w:sz="0" w:space="0" w:color="auto"/>
        <w:bottom w:val="none" w:sz="0" w:space="0" w:color="auto"/>
        <w:right w:val="none" w:sz="0" w:space="0" w:color="auto"/>
      </w:divBdr>
    </w:div>
    <w:div w:id="293028598">
      <w:bodyDiv w:val="1"/>
      <w:marLeft w:val="0"/>
      <w:marRight w:val="0"/>
      <w:marTop w:val="0"/>
      <w:marBottom w:val="0"/>
      <w:divBdr>
        <w:top w:val="none" w:sz="0" w:space="0" w:color="auto"/>
        <w:left w:val="none" w:sz="0" w:space="0" w:color="auto"/>
        <w:bottom w:val="none" w:sz="0" w:space="0" w:color="auto"/>
        <w:right w:val="none" w:sz="0" w:space="0" w:color="auto"/>
      </w:divBdr>
    </w:div>
    <w:div w:id="293214796">
      <w:bodyDiv w:val="1"/>
      <w:marLeft w:val="0"/>
      <w:marRight w:val="0"/>
      <w:marTop w:val="0"/>
      <w:marBottom w:val="0"/>
      <w:divBdr>
        <w:top w:val="none" w:sz="0" w:space="0" w:color="auto"/>
        <w:left w:val="none" w:sz="0" w:space="0" w:color="auto"/>
        <w:bottom w:val="none" w:sz="0" w:space="0" w:color="auto"/>
        <w:right w:val="none" w:sz="0" w:space="0" w:color="auto"/>
      </w:divBdr>
    </w:div>
    <w:div w:id="293802570">
      <w:bodyDiv w:val="1"/>
      <w:marLeft w:val="0"/>
      <w:marRight w:val="0"/>
      <w:marTop w:val="0"/>
      <w:marBottom w:val="0"/>
      <w:divBdr>
        <w:top w:val="none" w:sz="0" w:space="0" w:color="auto"/>
        <w:left w:val="none" w:sz="0" w:space="0" w:color="auto"/>
        <w:bottom w:val="none" w:sz="0" w:space="0" w:color="auto"/>
        <w:right w:val="none" w:sz="0" w:space="0" w:color="auto"/>
      </w:divBdr>
    </w:div>
    <w:div w:id="294679106">
      <w:bodyDiv w:val="1"/>
      <w:marLeft w:val="0"/>
      <w:marRight w:val="0"/>
      <w:marTop w:val="0"/>
      <w:marBottom w:val="0"/>
      <w:divBdr>
        <w:top w:val="none" w:sz="0" w:space="0" w:color="auto"/>
        <w:left w:val="none" w:sz="0" w:space="0" w:color="auto"/>
        <w:bottom w:val="none" w:sz="0" w:space="0" w:color="auto"/>
        <w:right w:val="none" w:sz="0" w:space="0" w:color="auto"/>
      </w:divBdr>
    </w:div>
    <w:div w:id="296886101">
      <w:bodyDiv w:val="1"/>
      <w:marLeft w:val="0"/>
      <w:marRight w:val="0"/>
      <w:marTop w:val="0"/>
      <w:marBottom w:val="0"/>
      <w:divBdr>
        <w:top w:val="none" w:sz="0" w:space="0" w:color="auto"/>
        <w:left w:val="none" w:sz="0" w:space="0" w:color="auto"/>
        <w:bottom w:val="none" w:sz="0" w:space="0" w:color="auto"/>
        <w:right w:val="none" w:sz="0" w:space="0" w:color="auto"/>
      </w:divBdr>
    </w:div>
    <w:div w:id="297498949">
      <w:bodyDiv w:val="1"/>
      <w:marLeft w:val="0"/>
      <w:marRight w:val="0"/>
      <w:marTop w:val="0"/>
      <w:marBottom w:val="0"/>
      <w:divBdr>
        <w:top w:val="none" w:sz="0" w:space="0" w:color="auto"/>
        <w:left w:val="none" w:sz="0" w:space="0" w:color="auto"/>
        <w:bottom w:val="none" w:sz="0" w:space="0" w:color="auto"/>
        <w:right w:val="none" w:sz="0" w:space="0" w:color="auto"/>
      </w:divBdr>
    </w:div>
    <w:div w:id="297540282">
      <w:bodyDiv w:val="1"/>
      <w:marLeft w:val="0"/>
      <w:marRight w:val="0"/>
      <w:marTop w:val="0"/>
      <w:marBottom w:val="0"/>
      <w:divBdr>
        <w:top w:val="none" w:sz="0" w:space="0" w:color="auto"/>
        <w:left w:val="none" w:sz="0" w:space="0" w:color="auto"/>
        <w:bottom w:val="none" w:sz="0" w:space="0" w:color="auto"/>
        <w:right w:val="none" w:sz="0" w:space="0" w:color="auto"/>
      </w:divBdr>
    </w:div>
    <w:div w:id="298608621">
      <w:bodyDiv w:val="1"/>
      <w:marLeft w:val="0"/>
      <w:marRight w:val="0"/>
      <w:marTop w:val="0"/>
      <w:marBottom w:val="0"/>
      <w:divBdr>
        <w:top w:val="none" w:sz="0" w:space="0" w:color="auto"/>
        <w:left w:val="none" w:sz="0" w:space="0" w:color="auto"/>
        <w:bottom w:val="none" w:sz="0" w:space="0" w:color="auto"/>
        <w:right w:val="none" w:sz="0" w:space="0" w:color="auto"/>
      </w:divBdr>
    </w:div>
    <w:div w:id="299115967">
      <w:bodyDiv w:val="1"/>
      <w:marLeft w:val="0"/>
      <w:marRight w:val="0"/>
      <w:marTop w:val="0"/>
      <w:marBottom w:val="0"/>
      <w:divBdr>
        <w:top w:val="none" w:sz="0" w:space="0" w:color="auto"/>
        <w:left w:val="none" w:sz="0" w:space="0" w:color="auto"/>
        <w:bottom w:val="none" w:sz="0" w:space="0" w:color="auto"/>
        <w:right w:val="none" w:sz="0" w:space="0" w:color="auto"/>
      </w:divBdr>
    </w:div>
    <w:div w:id="303974714">
      <w:bodyDiv w:val="1"/>
      <w:marLeft w:val="0"/>
      <w:marRight w:val="0"/>
      <w:marTop w:val="0"/>
      <w:marBottom w:val="0"/>
      <w:divBdr>
        <w:top w:val="none" w:sz="0" w:space="0" w:color="auto"/>
        <w:left w:val="none" w:sz="0" w:space="0" w:color="auto"/>
        <w:bottom w:val="none" w:sz="0" w:space="0" w:color="auto"/>
        <w:right w:val="none" w:sz="0" w:space="0" w:color="auto"/>
      </w:divBdr>
    </w:div>
    <w:div w:id="304310908">
      <w:bodyDiv w:val="1"/>
      <w:marLeft w:val="0"/>
      <w:marRight w:val="0"/>
      <w:marTop w:val="0"/>
      <w:marBottom w:val="0"/>
      <w:divBdr>
        <w:top w:val="none" w:sz="0" w:space="0" w:color="auto"/>
        <w:left w:val="none" w:sz="0" w:space="0" w:color="auto"/>
        <w:bottom w:val="none" w:sz="0" w:space="0" w:color="auto"/>
        <w:right w:val="none" w:sz="0" w:space="0" w:color="auto"/>
      </w:divBdr>
    </w:div>
    <w:div w:id="307320217">
      <w:bodyDiv w:val="1"/>
      <w:marLeft w:val="0"/>
      <w:marRight w:val="0"/>
      <w:marTop w:val="0"/>
      <w:marBottom w:val="0"/>
      <w:divBdr>
        <w:top w:val="none" w:sz="0" w:space="0" w:color="auto"/>
        <w:left w:val="none" w:sz="0" w:space="0" w:color="auto"/>
        <w:bottom w:val="none" w:sz="0" w:space="0" w:color="auto"/>
        <w:right w:val="none" w:sz="0" w:space="0" w:color="auto"/>
      </w:divBdr>
    </w:div>
    <w:div w:id="307440445">
      <w:bodyDiv w:val="1"/>
      <w:marLeft w:val="0"/>
      <w:marRight w:val="0"/>
      <w:marTop w:val="0"/>
      <w:marBottom w:val="0"/>
      <w:divBdr>
        <w:top w:val="none" w:sz="0" w:space="0" w:color="auto"/>
        <w:left w:val="none" w:sz="0" w:space="0" w:color="auto"/>
        <w:bottom w:val="none" w:sz="0" w:space="0" w:color="auto"/>
        <w:right w:val="none" w:sz="0" w:space="0" w:color="auto"/>
      </w:divBdr>
    </w:div>
    <w:div w:id="308751617">
      <w:bodyDiv w:val="1"/>
      <w:marLeft w:val="0"/>
      <w:marRight w:val="0"/>
      <w:marTop w:val="0"/>
      <w:marBottom w:val="0"/>
      <w:divBdr>
        <w:top w:val="none" w:sz="0" w:space="0" w:color="auto"/>
        <w:left w:val="none" w:sz="0" w:space="0" w:color="auto"/>
        <w:bottom w:val="none" w:sz="0" w:space="0" w:color="auto"/>
        <w:right w:val="none" w:sz="0" w:space="0" w:color="auto"/>
      </w:divBdr>
    </w:div>
    <w:div w:id="309213925">
      <w:bodyDiv w:val="1"/>
      <w:marLeft w:val="0"/>
      <w:marRight w:val="0"/>
      <w:marTop w:val="0"/>
      <w:marBottom w:val="0"/>
      <w:divBdr>
        <w:top w:val="none" w:sz="0" w:space="0" w:color="auto"/>
        <w:left w:val="none" w:sz="0" w:space="0" w:color="auto"/>
        <w:bottom w:val="none" w:sz="0" w:space="0" w:color="auto"/>
        <w:right w:val="none" w:sz="0" w:space="0" w:color="auto"/>
      </w:divBdr>
    </w:div>
    <w:div w:id="310334577">
      <w:bodyDiv w:val="1"/>
      <w:marLeft w:val="0"/>
      <w:marRight w:val="0"/>
      <w:marTop w:val="0"/>
      <w:marBottom w:val="0"/>
      <w:divBdr>
        <w:top w:val="none" w:sz="0" w:space="0" w:color="auto"/>
        <w:left w:val="none" w:sz="0" w:space="0" w:color="auto"/>
        <w:bottom w:val="none" w:sz="0" w:space="0" w:color="auto"/>
        <w:right w:val="none" w:sz="0" w:space="0" w:color="auto"/>
      </w:divBdr>
    </w:div>
    <w:div w:id="312412646">
      <w:bodyDiv w:val="1"/>
      <w:marLeft w:val="0"/>
      <w:marRight w:val="0"/>
      <w:marTop w:val="0"/>
      <w:marBottom w:val="0"/>
      <w:divBdr>
        <w:top w:val="none" w:sz="0" w:space="0" w:color="auto"/>
        <w:left w:val="none" w:sz="0" w:space="0" w:color="auto"/>
        <w:bottom w:val="none" w:sz="0" w:space="0" w:color="auto"/>
        <w:right w:val="none" w:sz="0" w:space="0" w:color="auto"/>
      </w:divBdr>
    </w:div>
    <w:div w:id="316224485">
      <w:bodyDiv w:val="1"/>
      <w:marLeft w:val="0"/>
      <w:marRight w:val="0"/>
      <w:marTop w:val="0"/>
      <w:marBottom w:val="0"/>
      <w:divBdr>
        <w:top w:val="none" w:sz="0" w:space="0" w:color="auto"/>
        <w:left w:val="none" w:sz="0" w:space="0" w:color="auto"/>
        <w:bottom w:val="none" w:sz="0" w:space="0" w:color="auto"/>
        <w:right w:val="none" w:sz="0" w:space="0" w:color="auto"/>
      </w:divBdr>
    </w:div>
    <w:div w:id="316614146">
      <w:bodyDiv w:val="1"/>
      <w:marLeft w:val="0"/>
      <w:marRight w:val="0"/>
      <w:marTop w:val="0"/>
      <w:marBottom w:val="0"/>
      <w:divBdr>
        <w:top w:val="none" w:sz="0" w:space="0" w:color="auto"/>
        <w:left w:val="none" w:sz="0" w:space="0" w:color="auto"/>
        <w:bottom w:val="none" w:sz="0" w:space="0" w:color="auto"/>
        <w:right w:val="none" w:sz="0" w:space="0" w:color="auto"/>
      </w:divBdr>
    </w:div>
    <w:div w:id="319582847">
      <w:bodyDiv w:val="1"/>
      <w:marLeft w:val="0"/>
      <w:marRight w:val="0"/>
      <w:marTop w:val="0"/>
      <w:marBottom w:val="0"/>
      <w:divBdr>
        <w:top w:val="none" w:sz="0" w:space="0" w:color="auto"/>
        <w:left w:val="none" w:sz="0" w:space="0" w:color="auto"/>
        <w:bottom w:val="none" w:sz="0" w:space="0" w:color="auto"/>
        <w:right w:val="none" w:sz="0" w:space="0" w:color="auto"/>
      </w:divBdr>
    </w:div>
    <w:div w:id="319699366">
      <w:bodyDiv w:val="1"/>
      <w:marLeft w:val="0"/>
      <w:marRight w:val="0"/>
      <w:marTop w:val="0"/>
      <w:marBottom w:val="0"/>
      <w:divBdr>
        <w:top w:val="none" w:sz="0" w:space="0" w:color="auto"/>
        <w:left w:val="none" w:sz="0" w:space="0" w:color="auto"/>
        <w:bottom w:val="none" w:sz="0" w:space="0" w:color="auto"/>
        <w:right w:val="none" w:sz="0" w:space="0" w:color="auto"/>
      </w:divBdr>
    </w:div>
    <w:div w:id="320086493">
      <w:bodyDiv w:val="1"/>
      <w:marLeft w:val="0"/>
      <w:marRight w:val="0"/>
      <w:marTop w:val="0"/>
      <w:marBottom w:val="0"/>
      <w:divBdr>
        <w:top w:val="none" w:sz="0" w:space="0" w:color="auto"/>
        <w:left w:val="none" w:sz="0" w:space="0" w:color="auto"/>
        <w:bottom w:val="none" w:sz="0" w:space="0" w:color="auto"/>
        <w:right w:val="none" w:sz="0" w:space="0" w:color="auto"/>
      </w:divBdr>
    </w:div>
    <w:div w:id="320161372">
      <w:bodyDiv w:val="1"/>
      <w:marLeft w:val="0"/>
      <w:marRight w:val="0"/>
      <w:marTop w:val="0"/>
      <w:marBottom w:val="0"/>
      <w:divBdr>
        <w:top w:val="none" w:sz="0" w:space="0" w:color="auto"/>
        <w:left w:val="none" w:sz="0" w:space="0" w:color="auto"/>
        <w:bottom w:val="none" w:sz="0" w:space="0" w:color="auto"/>
        <w:right w:val="none" w:sz="0" w:space="0" w:color="auto"/>
      </w:divBdr>
    </w:div>
    <w:div w:id="320810881">
      <w:bodyDiv w:val="1"/>
      <w:marLeft w:val="0"/>
      <w:marRight w:val="0"/>
      <w:marTop w:val="0"/>
      <w:marBottom w:val="0"/>
      <w:divBdr>
        <w:top w:val="none" w:sz="0" w:space="0" w:color="auto"/>
        <w:left w:val="none" w:sz="0" w:space="0" w:color="auto"/>
        <w:bottom w:val="none" w:sz="0" w:space="0" w:color="auto"/>
        <w:right w:val="none" w:sz="0" w:space="0" w:color="auto"/>
      </w:divBdr>
    </w:div>
    <w:div w:id="321005139">
      <w:bodyDiv w:val="1"/>
      <w:marLeft w:val="0"/>
      <w:marRight w:val="0"/>
      <w:marTop w:val="0"/>
      <w:marBottom w:val="0"/>
      <w:divBdr>
        <w:top w:val="none" w:sz="0" w:space="0" w:color="auto"/>
        <w:left w:val="none" w:sz="0" w:space="0" w:color="auto"/>
        <w:bottom w:val="none" w:sz="0" w:space="0" w:color="auto"/>
        <w:right w:val="none" w:sz="0" w:space="0" w:color="auto"/>
      </w:divBdr>
    </w:div>
    <w:div w:id="322662405">
      <w:bodyDiv w:val="1"/>
      <w:marLeft w:val="0"/>
      <w:marRight w:val="0"/>
      <w:marTop w:val="0"/>
      <w:marBottom w:val="0"/>
      <w:divBdr>
        <w:top w:val="none" w:sz="0" w:space="0" w:color="auto"/>
        <w:left w:val="none" w:sz="0" w:space="0" w:color="auto"/>
        <w:bottom w:val="none" w:sz="0" w:space="0" w:color="auto"/>
        <w:right w:val="none" w:sz="0" w:space="0" w:color="auto"/>
      </w:divBdr>
    </w:div>
    <w:div w:id="325986320">
      <w:bodyDiv w:val="1"/>
      <w:marLeft w:val="0"/>
      <w:marRight w:val="0"/>
      <w:marTop w:val="0"/>
      <w:marBottom w:val="0"/>
      <w:divBdr>
        <w:top w:val="none" w:sz="0" w:space="0" w:color="auto"/>
        <w:left w:val="none" w:sz="0" w:space="0" w:color="auto"/>
        <w:bottom w:val="none" w:sz="0" w:space="0" w:color="auto"/>
        <w:right w:val="none" w:sz="0" w:space="0" w:color="auto"/>
      </w:divBdr>
    </w:div>
    <w:div w:id="330181429">
      <w:bodyDiv w:val="1"/>
      <w:marLeft w:val="0"/>
      <w:marRight w:val="0"/>
      <w:marTop w:val="0"/>
      <w:marBottom w:val="0"/>
      <w:divBdr>
        <w:top w:val="none" w:sz="0" w:space="0" w:color="auto"/>
        <w:left w:val="none" w:sz="0" w:space="0" w:color="auto"/>
        <w:bottom w:val="none" w:sz="0" w:space="0" w:color="auto"/>
        <w:right w:val="none" w:sz="0" w:space="0" w:color="auto"/>
      </w:divBdr>
    </w:div>
    <w:div w:id="331224768">
      <w:bodyDiv w:val="1"/>
      <w:marLeft w:val="0"/>
      <w:marRight w:val="0"/>
      <w:marTop w:val="0"/>
      <w:marBottom w:val="0"/>
      <w:divBdr>
        <w:top w:val="none" w:sz="0" w:space="0" w:color="auto"/>
        <w:left w:val="none" w:sz="0" w:space="0" w:color="auto"/>
        <w:bottom w:val="none" w:sz="0" w:space="0" w:color="auto"/>
        <w:right w:val="none" w:sz="0" w:space="0" w:color="auto"/>
      </w:divBdr>
    </w:div>
    <w:div w:id="332227605">
      <w:bodyDiv w:val="1"/>
      <w:marLeft w:val="0"/>
      <w:marRight w:val="0"/>
      <w:marTop w:val="0"/>
      <w:marBottom w:val="0"/>
      <w:divBdr>
        <w:top w:val="none" w:sz="0" w:space="0" w:color="auto"/>
        <w:left w:val="none" w:sz="0" w:space="0" w:color="auto"/>
        <w:bottom w:val="none" w:sz="0" w:space="0" w:color="auto"/>
        <w:right w:val="none" w:sz="0" w:space="0" w:color="auto"/>
      </w:divBdr>
    </w:div>
    <w:div w:id="332531364">
      <w:bodyDiv w:val="1"/>
      <w:marLeft w:val="0"/>
      <w:marRight w:val="0"/>
      <w:marTop w:val="0"/>
      <w:marBottom w:val="0"/>
      <w:divBdr>
        <w:top w:val="none" w:sz="0" w:space="0" w:color="auto"/>
        <w:left w:val="none" w:sz="0" w:space="0" w:color="auto"/>
        <w:bottom w:val="none" w:sz="0" w:space="0" w:color="auto"/>
        <w:right w:val="none" w:sz="0" w:space="0" w:color="auto"/>
      </w:divBdr>
    </w:div>
    <w:div w:id="335111606">
      <w:bodyDiv w:val="1"/>
      <w:marLeft w:val="0"/>
      <w:marRight w:val="0"/>
      <w:marTop w:val="0"/>
      <w:marBottom w:val="0"/>
      <w:divBdr>
        <w:top w:val="none" w:sz="0" w:space="0" w:color="auto"/>
        <w:left w:val="none" w:sz="0" w:space="0" w:color="auto"/>
        <w:bottom w:val="none" w:sz="0" w:space="0" w:color="auto"/>
        <w:right w:val="none" w:sz="0" w:space="0" w:color="auto"/>
      </w:divBdr>
    </w:div>
    <w:div w:id="335114059">
      <w:bodyDiv w:val="1"/>
      <w:marLeft w:val="0"/>
      <w:marRight w:val="0"/>
      <w:marTop w:val="0"/>
      <w:marBottom w:val="0"/>
      <w:divBdr>
        <w:top w:val="none" w:sz="0" w:space="0" w:color="auto"/>
        <w:left w:val="none" w:sz="0" w:space="0" w:color="auto"/>
        <w:bottom w:val="none" w:sz="0" w:space="0" w:color="auto"/>
        <w:right w:val="none" w:sz="0" w:space="0" w:color="auto"/>
      </w:divBdr>
    </w:div>
    <w:div w:id="337271928">
      <w:bodyDiv w:val="1"/>
      <w:marLeft w:val="0"/>
      <w:marRight w:val="0"/>
      <w:marTop w:val="0"/>
      <w:marBottom w:val="0"/>
      <w:divBdr>
        <w:top w:val="none" w:sz="0" w:space="0" w:color="auto"/>
        <w:left w:val="none" w:sz="0" w:space="0" w:color="auto"/>
        <w:bottom w:val="none" w:sz="0" w:space="0" w:color="auto"/>
        <w:right w:val="none" w:sz="0" w:space="0" w:color="auto"/>
      </w:divBdr>
    </w:div>
    <w:div w:id="338049432">
      <w:bodyDiv w:val="1"/>
      <w:marLeft w:val="0"/>
      <w:marRight w:val="0"/>
      <w:marTop w:val="0"/>
      <w:marBottom w:val="0"/>
      <w:divBdr>
        <w:top w:val="none" w:sz="0" w:space="0" w:color="auto"/>
        <w:left w:val="none" w:sz="0" w:space="0" w:color="auto"/>
        <w:bottom w:val="none" w:sz="0" w:space="0" w:color="auto"/>
        <w:right w:val="none" w:sz="0" w:space="0" w:color="auto"/>
      </w:divBdr>
    </w:div>
    <w:div w:id="339966519">
      <w:bodyDiv w:val="1"/>
      <w:marLeft w:val="0"/>
      <w:marRight w:val="0"/>
      <w:marTop w:val="0"/>
      <w:marBottom w:val="0"/>
      <w:divBdr>
        <w:top w:val="none" w:sz="0" w:space="0" w:color="auto"/>
        <w:left w:val="none" w:sz="0" w:space="0" w:color="auto"/>
        <w:bottom w:val="none" w:sz="0" w:space="0" w:color="auto"/>
        <w:right w:val="none" w:sz="0" w:space="0" w:color="auto"/>
      </w:divBdr>
    </w:div>
    <w:div w:id="343020279">
      <w:bodyDiv w:val="1"/>
      <w:marLeft w:val="0"/>
      <w:marRight w:val="0"/>
      <w:marTop w:val="0"/>
      <w:marBottom w:val="0"/>
      <w:divBdr>
        <w:top w:val="none" w:sz="0" w:space="0" w:color="auto"/>
        <w:left w:val="none" w:sz="0" w:space="0" w:color="auto"/>
        <w:bottom w:val="none" w:sz="0" w:space="0" w:color="auto"/>
        <w:right w:val="none" w:sz="0" w:space="0" w:color="auto"/>
      </w:divBdr>
    </w:div>
    <w:div w:id="343366313">
      <w:bodyDiv w:val="1"/>
      <w:marLeft w:val="0"/>
      <w:marRight w:val="0"/>
      <w:marTop w:val="0"/>
      <w:marBottom w:val="0"/>
      <w:divBdr>
        <w:top w:val="none" w:sz="0" w:space="0" w:color="auto"/>
        <w:left w:val="none" w:sz="0" w:space="0" w:color="auto"/>
        <w:bottom w:val="none" w:sz="0" w:space="0" w:color="auto"/>
        <w:right w:val="none" w:sz="0" w:space="0" w:color="auto"/>
      </w:divBdr>
    </w:div>
    <w:div w:id="343753209">
      <w:bodyDiv w:val="1"/>
      <w:marLeft w:val="0"/>
      <w:marRight w:val="0"/>
      <w:marTop w:val="0"/>
      <w:marBottom w:val="0"/>
      <w:divBdr>
        <w:top w:val="none" w:sz="0" w:space="0" w:color="auto"/>
        <w:left w:val="none" w:sz="0" w:space="0" w:color="auto"/>
        <w:bottom w:val="none" w:sz="0" w:space="0" w:color="auto"/>
        <w:right w:val="none" w:sz="0" w:space="0" w:color="auto"/>
      </w:divBdr>
    </w:div>
    <w:div w:id="344209281">
      <w:bodyDiv w:val="1"/>
      <w:marLeft w:val="0"/>
      <w:marRight w:val="0"/>
      <w:marTop w:val="0"/>
      <w:marBottom w:val="0"/>
      <w:divBdr>
        <w:top w:val="none" w:sz="0" w:space="0" w:color="auto"/>
        <w:left w:val="none" w:sz="0" w:space="0" w:color="auto"/>
        <w:bottom w:val="none" w:sz="0" w:space="0" w:color="auto"/>
        <w:right w:val="none" w:sz="0" w:space="0" w:color="auto"/>
      </w:divBdr>
    </w:div>
    <w:div w:id="345180270">
      <w:bodyDiv w:val="1"/>
      <w:marLeft w:val="0"/>
      <w:marRight w:val="0"/>
      <w:marTop w:val="0"/>
      <w:marBottom w:val="0"/>
      <w:divBdr>
        <w:top w:val="none" w:sz="0" w:space="0" w:color="auto"/>
        <w:left w:val="none" w:sz="0" w:space="0" w:color="auto"/>
        <w:bottom w:val="none" w:sz="0" w:space="0" w:color="auto"/>
        <w:right w:val="none" w:sz="0" w:space="0" w:color="auto"/>
      </w:divBdr>
    </w:div>
    <w:div w:id="345864896">
      <w:bodyDiv w:val="1"/>
      <w:marLeft w:val="0"/>
      <w:marRight w:val="0"/>
      <w:marTop w:val="0"/>
      <w:marBottom w:val="0"/>
      <w:divBdr>
        <w:top w:val="none" w:sz="0" w:space="0" w:color="auto"/>
        <w:left w:val="none" w:sz="0" w:space="0" w:color="auto"/>
        <w:bottom w:val="none" w:sz="0" w:space="0" w:color="auto"/>
        <w:right w:val="none" w:sz="0" w:space="0" w:color="auto"/>
      </w:divBdr>
    </w:div>
    <w:div w:id="345985567">
      <w:bodyDiv w:val="1"/>
      <w:marLeft w:val="0"/>
      <w:marRight w:val="0"/>
      <w:marTop w:val="0"/>
      <w:marBottom w:val="0"/>
      <w:divBdr>
        <w:top w:val="none" w:sz="0" w:space="0" w:color="auto"/>
        <w:left w:val="none" w:sz="0" w:space="0" w:color="auto"/>
        <w:bottom w:val="none" w:sz="0" w:space="0" w:color="auto"/>
        <w:right w:val="none" w:sz="0" w:space="0" w:color="auto"/>
      </w:divBdr>
    </w:div>
    <w:div w:id="346249939">
      <w:bodyDiv w:val="1"/>
      <w:marLeft w:val="0"/>
      <w:marRight w:val="0"/>
      <w:marTop w:val="0"/>
      <w:marBottom w:val="0"/>
      <w:divBdr>
        <w:top w:val="none" w:sz="0" w:space="0" w:color="auto"/>
        <w:left w:val="none" w:sz="0" w:space="0" w:color="auto"/>
        <w:bottom w:val="none" w:sz="0" w:space="0" w:color="auto"/>
        <w:right w:val="none" w:sz="0" w:space="0" w:color="auto"/>
      </w:divBdr>
    </w:div>
    <w:div w:id="347635049">
      <w:bodyDiv w:val="1"/>
      <w:marLeft w:val="0"/>
      <w:marRight w:val="0"/>
      <w:marTop w:val="0"/>
      <w:marBottom w:val="0"/>
      <w:divBdr>
        <w:top w:val="none" w:sz="0" w:space="0" w:color="auto"/>
        <w:left w:val="none" w:sz="0" w:space="0" w:color="auto"/>
        <w:bottom w:val="none" w:sz="0" w:space="0" w:color="auto"/>
        <w:right w:val="none" w:sz="0" w:space="0" w:color="auto"/>
      </w:divBdr>
    </w:div>
    <w:div w:id="348025086">
      <w:bodyDiv w:val="1"/>
      <w:marLeft w:val="0"/>
      <w:marRight w:val="0"/>
      <w:marTop w:val="0"/>
      <w:marBottom w:val="0"/>
      <w:divBdr>
        <w:top w:val="none" w:sz="0" w:space="0" w:color="auto"/>
        <w:left w:val="none" w:sz="0" w:space="0" w:color="auto"/>
        <w:bottom w:val="none" w:sz="0" w:space="0" w:color="auto"/>
        <w:right w:val="none" w:sz="0" w:space="0" w:color="auto"/>
      </w:divBdr>
    </w:div>
    <w:div w:id="348265674">
      <w:bodyDiv w:val="1"/>
      <w:marLeft w:val="0"/>
      <w:marRight w:val="0"/>
      <w:marTop w:val="0"/>
      <w:marBottom w:val="0"/>
      <w:divBdr>
        <w:top w:val="none" w:sz="0" w:space="0" w:color="auto"/>
        <w:left w:val="none" w:sz="0" w:space="0" w:color="auto"/>
        <w:bottom w:val="none" w:sz="0" w:space="0" w:color="auto"/>
        <w:right w:val="none" w:sz="0" w:space="0" w:color="auto"/>
      </w:divBdr>
    </w:div>
    <w:div w:id="349331264">
      <w:bodyDiv w:val="1"/>
      <w:marLeft w:val="0"/>
      <w:marRight w:val="0"/>
      <w:marTop w:val="0"/>
      <w:marBottom w:val="0"/>
      <w:divBdr>
        <w:top w:val="none" w:sz="0" w:space="0" w:color="auto"/>
        <w:left w:val="none" w:sz="0" w:space="0" w:color="auto"/>
        <w:bottom w:val="none" w:sz="0" w:space="0" w:color="auto"/>
        <w:right w:val="none" w:sz="0" w:space="0" w:color="auto"/>
      </w:divBdr>
    </w:div>
    <w:div w:id="350255682">
      <w:bodyDiv w:val="1"/>
      <w:marLeft w:val="0"/>
      <w:marRight w:val="0"/>
      <w:marTop w:val="0"/>
      <w:marBottom w:val="0"/>
      <w:divBdr>
        <w:top w:val="none" w:sz="0" w:space="0" w:color="auto"/>
        <w:left w:val="none" w:sz="0" w:space="0" w:color="auto"/>
        <w:bottom w:val="none" w:sz="0" w:space="0" w:color="auto"/>
        <w:right w:val="none" w:sz="0" w:space="0" w:color="auto"/>
      </w:divBdr>
    </w:div>
    <w:div w:id="350692072">
      <w:bodyDiv w:val="1"/>
      <w:marLeft w:val="0"/>
      <w:marRight w:val="0"/>
      <w:marTop w:val="0"/>
      <w:marBottom w:val="0"/>
      <w:divBdr>
        <w:top w:val="none" w:sz="0" w:space="0" w:color="auto"/>
        <w:left w:val="none" w:sz="0" w:space="0" w:color="auto"/>
        <w:bottom w:val="none" w:sz="0" w:space="0" w:color="auto"/>
        <w:right w:val="none" w:sz="0" w:space="0" w:color="auto"/>
      </w:divBdr>
    </w:div>
    <w:div w:id="351346622">
      <w:bodyDiv w:val="1"/>
      <w:marLeft w:val="0"/>
      <w:marRight w:val="0"/>
      <w:marTop w:val="0"/>
      <w:marBottom w:val="0"/>
      <w:divBdr>
        <w:top w:val="none" w:sz="0" w:space="0" w:color="auto"/>
        <w:left w:val="none" w:sz="0" w:space="0" w:color="auto"/>
        <w:bottom w:val="none" w:sz="0" w:space="0" w:color="auto"/>
        <w:right w:val="none" w:sz="0" w:space="0" w:color="auto"/>
      </w:divBdr>
    </w:div>
    <w:div w:id="351610725">
      <w:bodyDiv w:val="1"/>
      <w:marLeft w:val="0"/>
      <w:marRight w:val="0"/>
      <w:marTop w:val="0"/>
      <w:marBottom w:val="0"/>
      <w:divBdr>
        <w:top w:val="none" w:sz="0" w:space="0" w:color="auto"/>
        <w:left w:val="none" w:sz="0" w:space="0" w:color="auto"/>
        <w:bottom w:val="none" w:sz="0" w:space="0" w:color="auto"/>
        <w:right w:val="none" w:sz="0" w:space="0" w:color="auto"/>
      </w:divBdr>
    </w:div>
    <w:div w:id="351957577">
      <w:bodyDiv w:val="1"/>
      <w:marLeft w:val="0"/>
      <w:marRight w:val="0"/>
      <w:marTop w:val="0"/>
      <w:marBottom w:val="0"/>
      <w:divBdr>
        <w:top w:val="none" w:sz="0" w:space="0" w:color="auto"/>
        <w:left w:val="none" w:sz="0" w:space="0" w:color="auto"/>
        <w:bottom w:val="none" w:sz="0" w:space="0" w:color="auto"/>
        <w:right w:val="none" w:sz="0" w:space="0" w:color="auto"/>
      </w:divBdr>
    </w:div>
    <w:div w:id="353504073">
      <w:bodyDiv w:val="1"/>
      <w:marLeft w:val="0"/>
      <w:marRight w:val="0"/>
      <w:marTop w:val="0"/>
      <w:marBottom w:val="0"/>
      <w:divBdr>
        <w:top w:val="none" w:sz="0" w:space="0" w:color="auto"/>
        <w:left w:val="none" w:sz="0" w:space="0" w:color="auto"/>
        <w:bottom w:val="none" w:sz="0" w:space="0" w:color="auto"/>
        <w:right w:val="none" w:sz="0" w:space="0" w:color="auto"/>
      </w:divBdr>
    </w:div>
    <w:div w:id="354232923">
      <w:bodyDiv w:val="1"/>
      <w:marLeft w:val="0"/>
      <w:marRight w:val="0"/>
      <w:marTop w:val="0"/>
      <w:marBottom w:val="0"/>
      <w:divBdr>
        <w:top w:val="none" w:sz="0" w:space="0" w:color="auto"/>
        <w:left w:val="none" w:sz="0" w:space="0" w:color="auto"/>
        <w:bottom w:val="none" w:sz="0" w:space="0" w:color="auto"/>
        <w:right w:val="none" w:sz="0" w:space="0" w:color="auto"/>
      </w:divBdr>
    </w:div>
    <w:div w:id="354503072">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54963669">
      <w:bodyDiv w:val="1"/>
      <w:marLeft w:val="0"/>
      <w:marRight w:val="0"/>
      <w:marTop w:val="0"/>
      <w:marBottom w:val="0"/>
      <w:divBdr>
        <w:top w:val="none" w:sz="0" w:space="0" w:color="auto"/>
        <w:left w:val="none" w:sz="0" w:space="0" w:color="auto"/>
        <w:bottom w:val="none" w:sz="0" w:space="0" w:color="auto"/>
        <w:right w:val="none" w:sz="0" w:space="0" w:color="auto"/>
      </w:divBdr>
    </w:div>
    <w:div w:id="355082123">
      <w:bodyDiv w:val="1"/>
      <w:marLeft w:val="0"/>
      <w:marRight w:val="0"/>
      <w:marTop w:val="0"/>
      <w:marBottom w:val="0"/>
      <w:divBdr>
        <w:top w:val="none" w:sz="0" w:space="0" w:color="auto"/>
        <w:left w:val="none" w:sz="0" w:space="0" w:color="auto"/>
        <w:bottom w:val="none" w:sz="0" w:space="0" w:color="auto"/>
        <w:right w:val="none" w:sz="0" w:space="0" w:color="auto"/>
      </w:divBdr>
    </w:div>
    <w:div w:id="355690347">
      <w:bodyDiv w:val="1"/>
      <w:marLeft w:val="0"/>
      <w:marRight w:val="0"/>
      <w:marTop w:val="0"/>
      <w:marBottom w:val="0"/>
      <w:divBdr>
        <w:top w:val="none" w:sz="0" w:space="0" w:color="auto"/>
        <w:left w:val="none" w:sz="0" w:space="0" w:color="auto"/>
        <w:bottom w:val="none" w:sz="0" w:space="0" w:color="auto"/>
        <w:right w:val="none" w:sz="0" w:space="0" w:color="auto"/>
      </w:divBdr>
    </w:div>
    <w:div w:id="359210174">
      <w:bodyDiv w:val="1"/>
      <w:marLeft w:val="0"/>
      <w:marRight w:val="0"/>
      <w:marTop w:val="0"/>
      <w:marBottom w:val="0"/>
      <w:divBdr>
        <w:top w:val="none" w:sz="0" w:space="0" w:color="auto"/>
        <w:left w:val="none" w:sz="0" w:space="0" w:color="auto"/>
        <w:bottom w:val="none" w:sz="0" w:space="0" w:color="auto"/>
        <w:right w:val="none" w:sz="0" w:space="0" w:color="auto"/>
      </w:divBdr>
    </w:div>
    <w:div w:id="360206058">
      <w:bodyDiv w:val="1"/>
      <w:marLeft w:val="0"/>
      <w:marRight w:val="0"/>
      <w:marTop w:val="0"/>
      <w:marBottom w:val="0"/>
      <w:divBdr>
        <w:top w:val="none" w:sz="0" w:space="0" w:color="auto"/>
        <w:left w:val="none" w:sz="0" w:space="0" w:color="auto"/>
        <w:bottom w:val="none" w:sz="0" w:space="0" w:color="auto"/>
        <w:right w:val="none" w:sz="0" w:space="0" w:color="auto"/>
      </w:divBdr>
    </w:div>
    <w:div w:id="361368569">
      <w:bodyDiv w:val="1"/>
      <w:marLeft w:val="0"/>
      <w:marRight w:val="0"/>
      <w:marTop w:val="0"/>
      <w:marBottom w:val="0"/>
      <w:divBdr>
        <w:top w:val="none" w:sz="0" w:space="0" w:color="auto"/>
        <w:left w:val="none" w:sz="0" w:space="0" w:color="auto"/>
        <w:bottom w:val="none" w:sz="0" w:space="0" w:color="auto"/>
        <w:right w:val="none" w:sz="0" w:space="0" w:color="auto"/>
      </w:divBdr>
    </w:div>
    <w:div w:id="362022904">
      <w:bodyDiv w:val="1"/>
      <w:marLeft w:val="0"/>
      <w:marRight w:val="0"/>
      <w:marTop w:val="0"/>
      <w:marBottom w:val="0"/>
      <w:divBdr>
        <w:top w:val="none" w:sz="0" w:space="0" w:color="auto"/>
        <w:left w:val="none" w:sz="0" w:space="0" w:color="auto"/>
        <w:bottom w:val="none" w:sz="0" w:space="0" w:color="auto"/>
        <w:right w:val="none" w:sz="0" w:space="0" w:color="auto"/>
      </w:divBdr>
    </w:div>
    <w:div w:id="362632614">
      <w:bodyDiv w:val="1"/>
      <w:marLeft w:val="0"/>
      <w:marRight w:val="0"/>
      <w:marTop w:val="0"/>
      <w:marBottom w:val="0"/>
      <w:divBdr>
        <w:top w:val="none" w:sz="0" w:space="0" w:color="auto"/>
        <w:left w:val="none" w:sz="0" w:space="0" w:color="auto"/>
        <w:bottom w:val="none" w:sz="0" w:space="0" w:color="auto"/>
        <w:right w:val="none" w:sz="0" w:space="0" w:color="auto"/>
      </w:divBdr>
    </w:div>
    <w:div w:id="365060477">
      <w:bodyDiv w:val="1"/>
      <w:marLeft w:val="0"/>
      <w:marRight w:val="0"/>
      <w:marTop w:val="0"/>
      <w:marBottom w:val="0"/>
      <w:divBdr>
        <w:top w:val="none" w:sz="0" w:space="0" w:color="auto"/>
        <w:left w:val="none" w:sz="0" w:space="0" w:color="auto"/>
        <w:bottom w:val="none" w:sz="0" w:space="0" w:color="auto"/>
        <w:right w:val="none" w:sz="0" w:space="0" w:color="auto"/>
      </w:divBdr>
    </w:div>
    <w:div w:id="366025772">
      <w:bodyDiv w:val="1"/>
      <w:marLeft w:val="0"/>
      <w:marRight w:val="0"/>
      <w:marTop w:val="0"/>
      <w:marBottom w:val="0"/>
      <w:divBdr>
        <w:top w:val="none" w:sz="0" w:space="0" w:color="auto"/>
        <w:left w:val="none" w:sz="0" w:space="0" w:color="auto"/>
        <w:bottom w:val="none" w:sz="0" w:space="0" w:color="auto"/>
        <w:right w:val="none" w:sz="0" w:space="0" w:color="auto"/>
      </w:divBdr>
    </w:div>
    <w:div w:id="366563205">
      <w:bodyDiv w:val="1"/>
      <w:marLeft w:val="0"/>
      <w:marRight w:val="0"/>
      <w:marTop w:val="0"/>
      <w:marBottom w:val="0"/>
      <w:divBdr>
        <w:top w:val="none" w:sz="0" w:space="0" w:color="auto"/>
        <w:left w:val="none" w:sz="0" w:space="0" w:color="auto"/>
        <w:bottom w:val="none" w:sz="0" w:space="0" w:color="auto"/>
        <w:right w:val="none" w:sz="0" w:space="0" w:color="auto"/>
      </w:divBdr>
    </w:div>
    <w:div w:id="367142954">
      <w:bodyDiv w:val="1"/>
      <w:marLeft w:val="0"/>
      <w:marRight w:val="0"/>
      <w:marTop w:val="0"/>
      <w:marBottom w:val="0"/>
      <w:divBdr>
        <w:top w:val="none" w:sz="0" w:space="0" w:color="auto"/>
        <w:left w:val="none" w:sz="0" w:space="0" w:color="auto"/>
        <w:bottom w:val="none" w:sz="0" w:space="0" w:color="auto"/>
        <w:right w:val="none" w:sz="0" w:space="0" w:color="auto"/>
      </w:divBdr>
    </w:div>
    <w:div w:id="367801680">
      <w:bodyDiv w:val="1"/>
      <w:marLeft w:val="0"/>
      <w:marRight w:val="0"/>
      <w:marTop w:val="0"/>
      <w:marBottom w:val="0"/>
      <w:divBdr>
        <w:top w:val="none" w:sz="0" w:space="0" w:color="auto"/>
        <w:left w:val="none" w:sz="0" w:space="0" w:color="auto"/>
        <w:bottom w:val="none" w:sz="0" w:space="0" w:color="auto"/>
        <w:right w:val="none" w:sz="0" w:space="0" w:color="auto"/>
      </w:divBdr>
    </w:div>
    <w:div w:id="369964250">
      <w:bodyDiv w:val="1"/>
      <w:marLeft w:val="0"/>
      <w:marRight w:val="0"/>
      <w:marTop w:val="0"/>
      <w:marBottom w:val="0"/>
      <w:divBdr>
        <w:top w:val="none" w:sz="0" w:space="0" w:color="auto"/>
        <w:left w:val="none" w:sz="0" w:space="0" w:color="auto"/>
        <w:bottom w:val="none" w:sz="0" w:space="0" w:color="auto"/>
        <w:right w:val="none" w:sz="0" w:space="0" w:color="auto"/>
      </w:divBdr>
    </w:div>
    <w:div w:id="370761672">
      <w:bodyDiv w:val="1"/>
      <w:marLeft w:val="0"/>
      <w:marRight w:val="0"/>
      <w:marTop w:val="0"/>
      <w:marBottom w:val="0"/>
      <w:divBdr>
        <w:top w:val="none" w:sz="0" w:space="0" w:color="auto"/>
        <w:left w:val="none" w:sz="0" w:space="0" w:color="auto"/>
        <w:bottom w:val="none" w:sz="0" w:space="0" w:color="auto"/>
        <w:right w:val="none" w:sz="0" w:space="0" w:color="auto"/>
      </w:divBdr>
    </w:div>
    <w:div w:id="372461459">
      <w:bodyDiv w:val="1"/>
      <w:marLeft w:val="0"/>
      <w:marRight w:val="0"/>
      <w:marTop w:val="0"/>
      <w:marBottom w:val="0"/>
      <w:divBdr>
        <w:top w:val="none" w:sz="0" w:space="0" w:color="auto"/>
        <w:left w:val="none" w:sz="0" w:space="0" w:color="auto"/>
        <w:bottom w:val="none" w:sz="0" w:space="0" w:color="auto"/>
        <w:right w:val="none" w:sz="0" w:space="0" w:color="auto"/>
      </w:divBdr>
    </w:div>
    <w:div w:id="372735486">
      <w:bodyDiv w:val="1"/>
      <w:marLeft w:val="0"/>
      <w:marRight w:val="0"/>
      <w:marTop w:val="0"/>
      <w:marBottom w:val="0"/>
      <w:divBdr>
        <w:top w:val="none" w:sz="0" w:space="0" w:color="auto"/>
        <w:left w:val="none" w:sz="0" w:space="0" w:color="auto"/>
        <w:bottom w:val="none" w:sz="0" w:space="0" w:color="auto"/>
        <w:right w:val="none" w:sz="0" w:space="0" w:color="auto"/>
      </w:divBdr>
    </w:div>
    <w:div w:id="372971653">
      <w:bodyDiv w:val="1"/>
      <w:marLeft w:val="0"/>
      <w:marRight w:val="0"/>
      <w:marTop w:val="0"/>
      <w:marBottom w:val="0"/>
      <w:divBdr>
        <w:top w:val="none" w:sz="0" w:space="0" w:color="auto"/>
        <w:left w:val="none" w:sz="0" w:space="0" w:color="auto"/>
        <w:bottom w:val="none" w:sz="0" w:space="0" w:color="auto"/>
        <w:right w:val="none" w:sz="0" w:space="0" w:color="auto"/>
      </w:divBdr>
    </w:div>
    <w:div w:id="374890886">
      <w:bodyDiv w:val="1"/>
      <w:marLeft w:val="0"/>
      <w:marRight w:val="0"/>
      <w:marTop w:val="0"/>
      <w:marBottom w:val="0"/>
      <w:divBdr>
        <w:top w:val="none" w:sz="0" w:space="0" w:color="auto"/>
        <w:left w:val="none" w:sz="0" w:space="0" w:color="auto"/>
        <w:bottom w:val="none" w:sz="0" w:space="0" w:color="auto"/>
        <w:right w:val="none" w:sz="0" w:space="0" w:color="auto"/>
      </w:divBdr>
    </w:div>
    <w:div w:id="376584268">
      <w:bodyDiv w:val="1"/>
      <w:marLeft w:val="0"/>
      <w:marRight w:val="0"/>
      <w:marTop w:val="0"/>
      <w:marBottom w:val="0"/>
      <w:divBdr>
        <w:top w:val="none" w:sz="0" w:space="0" w:color="auto"/>
        <w:left w:val="none" w:sz="0" w:space="0" w:color="auto"/>
        <w:bottom w:val="none" w:sz="0" w:space="0" w:color="auto"/>
        <w:right w:val="none" w:sz="0" w:space="0" w:color="auto"/>
      </w:divBdr>
    </w:div>
    <w:div w:id="377898239">
      <w:bodyDiv w:val="1"/>
      <w:marLeft w:val="0"/>
      <w:marRight w:val="0"/>
      <w:marTop w:val="0"/>
      <w:marBottom w:val="0"/>
      <w:divBdr>
        <w:top w:val="none" w:sz="0" w:space="0" w:color="auto"/>
        <w:left w:val="none" w:sz="0" w:space="0" w:color="auto"/>
        <w:bottom w:val="none" w:sz="0" w:space="0" w:color="auto"/>
        <w:right w:val="none" w:sz="0" w:space="0" w:color="auto"/>
      </w:divBdr>
    </w:div>
    <w:div w:id="378289604">
      <w:bodyDiv w:val="1"/>
      <w:marLeft w:val="0"/>
      <w:marRight w:val="0"/>
      <w:marTop w:val="0"/>
      <w:marBottom w:val="0"/>
      <w:divBdr>
        <w:top w:val="none" w:sz="0" w:space="0" w:color="auto"/>
        <w:left w:val="none" w:sz="0" w:space="0" w:color="auto"/>
        <w:bottom w:val="none" w:sz="0" w:space="0" w:color="auto"/>
        <w:right w:val="none" w:sz="0" w:space="0" w:color="auto"/>
      </w:divBdr>
    </w:div>
    <w:div w:id="379063109">
      <w:bodyDiv w:val="1"/>
      <w:marLeft w:val="0"/>
      <w:marRight w:val="0"/>
      <w:marTop w:val="0"/>
      <w:marBottom w:val="0"/>
      <w:divBdr>
        <w:top w:val="none" w:sz="0" w:space="0" w:color="auto"/>
        <w:left w:val="none" w:sz="0" w:space="0" w:color="auto"/>
        <w:bottom w:val="none" w:sz="0" w:space="0" w:color="auto"/>
        <w:right w:val="none" w:sz="0" w:space="0" w:color="auto"/>
      </w:divBdr>
    </w:div>
    <w:div w:id="379213025">
      <w:bodyDiv w:val="1"/>
      <w:marLeft w:val="0"/>
      <w:marRight w:val="0"/>
      <w:marTop w:val="0"/>
      <w:marBottom w:val="0"/>
      <w:divBdr>
        <w:top w:val="none" w:sz="0" w:space="0" w:color="auto"/>
        <w:left w:val="none" w:sz="0" w:space="0" w:color="auto"/>
        <w:bottom w:val="none" w:sz="0" w:space="0" w:color="auto"/>
        <w:right w:val="none" w:sz="0" w:space="0" w:color="auto"/>
      </w:divBdr>
    </w:div>
    <w:div w:id="379860579">
      <w:bodyDiv w:val="1"/>
      <w:marLeft w:val="0"/>
      <w:marRight w:val="0"/>
      <w:marTop w:val="0"/>
      <w:marBottom w:val="0"/>
      <w:divBdr>
        <w:top w:val="none" w:sz="0" w:space="0" w:color="auto"/>
        <w:left w:val="none" w:sz="0" w:space="0" w:color="auto"/>
        <w:bottom w:val="none" w:sz="0" w:space="0" w:color="auto"/>
        <w:right w:val="none" w:sz="0" w:space="0" w:color="auto"/>
      </w:divBdr>
    </w:div>
    <w:div w:id="382561572">
      <w:bodyDiv w:val="1"/>
      <w:marLeft w:val="0"/>
      <w:marRight w:val="0"/>
      <w:marTop w:val="0"/>
      <w:marBottom w:val="0"/>
      <w:divBdr>
        <w:top w:val="none" w:sz="0" w:space="0" w:color="auto"/>
        <w:left w:val="none" w:sz="0" w:space="0" w:color="auto"/>
        <w:bottom w:val="none" w:sz="0" w:space="0" w:color="auto"/>
        <w:right w:val="none" w:sz="0" w:space="0" w:color="auto"/>
      </w:divBdr>
    </w:div>
    <w:div w:id="383414234">
      <w:bodyDiv w:val="1"/>
      <w:marLeft w:val="0"/>
      <w:marRight w:val="0"/>
      <w:marTop w:val="0"/>
      <w:marBottom w:val="0"/>
      <w:divBdr>
        <w:top w:val="none" w:sz="0" w:space="0" w:color="auto"/>
        <w:left w:val="none" w:sz="0" w:space="0" w:color="auto"/>
        <w:bottom w:val="none" w:sz="0" w:space="0" w:color="auto"/>
        <w:right w:val="none" w:sz="0" w:space="0" w:color="auto"/>
      </w:divBdr>
    </w:div>
    <w:div w:id="383914280">
      <w:bodyDiv w:val="1"/>
      <w:marLeft w:val="0"/>
      <w:marRight w:val="0"/>
      <w:marTop w:val="0"/>
      <w:marBottom w:val="0"/>
      <w:divBdr>
        <w:top w:val="none" w:sz="0" w:space="0" w:color="auto"/>
        <w:left w:val="none" w:sz="0" w:space="0" w:color="auto"/>
        <w:bottom w:val="none" w:sz="0" w:space="0" w:color="auto"/>
        <w:right w:val="none" w:sz="0" w:space="0" w:color="auto"/>
      </w:divBdr>
    </w:div>
    <w:div w:id="385296332">
      <w:bodyDiv w:val="1"/>
      <w:marLeft w:val="0"/>
      <w:marRight w:val="0"/>
      <w:marTop w:val="0"/>
      <w:marBottom w:val="0"/>
      <w:divBdr>
        <w:top w:val="none" w:sz="0" w:space="0" w:color="auto"/>
        <w:left w:val="none" w:sz="0" w:space="0" w:color="auto"/>
        <w:bottom w:val="none" w:sz="0" w:space="0" w:color="auto"/>
        <w:right w:val="none" w:sz="0" w:space="0" w:color="auto"/>
      </w:divBdr>
    </w:div>
    <w:div w:id="385449815">
      <w:bodyDiv w:val="1"/>
      <w:marLeft w:val="0"/>
      <w:marRight w:val="0"/>
      <w:marTop w:val="0"/>
      <w:marBottom w:val="0"/>
      <w:divBdr>
        <w:top w:val="none" w:sz="0" w:space="0" w:color="auto"/>
        <w:left w:val="none" w:sz="0" w:space="0" w:color="auto"/>
        <w:bottom w:val="none" w:sz="0" w:space="0" w:color="auto"/>
        <w:right w:val="none" w:sz="0" w:space="0" w:color="auto"/>
      </w:divBdr>
    </w:div>
    <w:div w:id="388110690">
      <w:bodyDiv w:val="1"/>
      <w:marLeft w:val="0"/>
      <w:marRight w:val="0"/>
      <w:marTop w:val="0"/>
      <w:marBottom w:val="0"/>
      <w:divBdr>
        <w:top w:val="none" w:sz="0" w:space="0" w:color="auto"/>
        <w:left w:val="none" w:sz="0" w:space="0" w:color="auto"/>
        <w:bottom w:val="none" w:sz="0" w:space="0" w:color="auto"/>
        <w:right w:val="none" w:sz="0" w:space="0" w:color="auto"/>
      </w:divBdr>
    </w:div>
    <w:div w:id="391197416">
      <w:bodyDiv w:val="1"/>
      <w:marLeft w:val="0"/>
      <w:marRight w:val="0"/>
      <w:marTop w:val="0"/>
      <w:marBottom w:val="0"/>
      <w:divBdr>
        <w:top w:val="none" w:sz="0" w:space="0" w:color="auto"/>
        <w:left w:val="none" w:sz="0" w:space="0" w:color="auto"/>
        <w:bottom w:val="none" w:sz="0" w:space="0" w:color="auto"/>
        <w:right w:val="none" w:sz="0" w:space="0" w:color="auto"/>
      </w:divBdr>
    </w:div>
    <w:div w:id="394360267">
      <w:bodyDiv w:val="1"/>
      <w:marLeft w:val="0"/>
      <w:marRight w:val="0"/>
      <w:marTop w:val="0"/>
      <w:marBottom w:val="0"/>
      <w:divBdr>
        <w:top w:val="none" w:sz="0" w:space="0" w:color="auto"/>
        <w:left w:val="none" w:sz="0" w:space="0" w:color="auto"/>
        <w:bottom w:val="none" w:sz="0" w:space="0" w:color="auto"/>
        <w:right w:val="none" w:sz="0" w:space="0" w:color="auto"/>
      </w:divBdr>
    </w:div>
    <w:div w:id="394402222">
      <w:bodyDiv w:val="1"/>
      <w:marLeft w:val="0"/>
      <w:marRight w:val="0"/>
      <w:marTop w:val="0"/>
      <w:marBottom w:val="0"/>
      <w:divBdr>
        <w:top w:val="none" w:sz="0" w:space="0" w:color="auto"/>
        <w:left w:val="none" w:sz="0" w:space="0" w:color="auto"/>
        <w:bottom w:val="none" w:sz="0" w:space="0" w:color="auto"/>
        <w:right w:val="none" w:sz="0" w:space="0" w:color="auto"/>
      </w:divBdr>
    </w:div>
    <w:div w:id="395124733">
      <w:bodyDiv w:val="1"/>
      <w:marLeft w:val="0"/>
      <w:marRight w:val="0"/>
      <w:marTop w:val="0"/>
      <w:marBottom w:val="0"/>
      <w:divBdr>
        <w:top w:val="none" w:sz="0" w:space="0" w:color="auto"/>
        <w:left w:val="none" w:sz="0" w:space="0" w:color="auto"/>
        <w:bottom w:val="none" w:sz="0" w:space="0" w:color="auto"/>
        <w:right w:val="none" w:sz="0" w:space="0" w:color="auto"/>
      </w:divBdr>
    </w:div>
    <w:div w:id="397174263">
      <w:bodyDiv w:val="1"/>
      <w:marLeft w:val="0"/>
      <w:marRight w:val="0"/>
      <w:marTop w:val="0"/>
      <w:marBottom w:val="0"/>
      <w:divBdr>
        <w:top w:val="none" w:sz="0" w:space="0" w:color="auto"/>
        <w:left w:val="none" w:sz="0" w:space="0" w:color="auto"/>
        <w:bottom w:val="none" w:sz="0" w:space="0" w:color="auto"/>
        <w:right w:val="none" w:sz="0" w:space="0" w:color="auto"/>
      </w:divBdr>
    </w:div>
    <w:div w:id="397630584">
      <w:bodyDiv w:val="1"/>
      <w:marLeft w:val="0"/>
      <w:marRight w:val="0"/>
      <w:marTop w:val="0"/>
      <w:marBottom w:val="0"/>
      <w:divBdr>
        <w:top w:val="none" w:sz="0" w:space="0" w:color="auto"/>
        <w:left w:val="none" w:sz="0" w:space="0" w:color="auto"/>
        <w:bottom w:val="none" w:sz="0" w:space="0" w:color="auto"/>
        <w:right w:val="none" w:sz="0" w:space="0" w:color="auto"/>
      </w:divBdr>
    </w:div>
    <w:div w:id="399332780">
      <w:bodyDiv w:val="1"/>
      <w:marLeft w:val="0"/>
      <w:marRight w:val="0"/>
      <w:marTop w:val="0"/>
      <w:marBottom w:val="0"/>
      <w:divBdr>
        <w:top w:val="none" w:sz="0" w:space="0" w:color="auto"/>
        <w:left w:val="none" w:sz="0" w:space="0" w:color="auto"/>
        <w:bottom w:val="none" w:sz="0" w:space="0" w:color="auto"/>
        <w:right w:val="none" w:sz="0" w:space="0" w:color="auto"/>
      </w:divBdr>
    </w:div>
    <w:div w:id="401484030">
      <w:bodyDiv w:val="1"/>
      <w:marLeft w:val="0"/>
      <w:marRight w:val="0"/>
      <w:marTop w:val="0"/>
      <w:marBottom w:val="0"/>
      <w:divBdr>
        <w:top w:val="none" w:sz="0" w:space="0" w:color="auto"/>
        <w:left w:val="none" w:sz="0" w:space="0" w:color="auto"/>
        <w:bottom w:val="none" w:sz="0" w:space="0" w:color="auto"/>
        <w:right w:val="none" w:sz="0" w:space="0" w:color="auto"/>
      </w:divBdr>
    </w:div>
    <w:div w:id="402723686">
      <w:bodyDiv w:val="1"/>
      <w:marLeft w:val="0"/>
      <w:marRight w:val="0"/>
      <w:marTop w:val="0"/>
      <w:marBottom w:val="0"/>
      <w:divBdr>
        <w:top w:val="none" w:sz="0" w:space="0" w:color="auto"/>
        <w:left w:val="none" w:sz="0" w:space="0" w:color="auto"/>
        <w:bottom w:val="none" w:sz="0" w:space="0" w:color="auto"/>
        <w:right w:val="none" w:sz="0" w:space="0" w:color="auto"/>
      </w:divBdr>
    </w:div>
    <w:div w:id="403181121">
      <w:bodyDiv w:val="1"/>
      <w:marLeft w:val="0"/>
      <w:marRight w:val="0"/>
      <w:marTop w:val="0"/>
      <w:marBottom w:val="0"/>
      <w:divBdr>
        <w:top w:val="none" w:sz="0" w:space="0" w:color="auto"/>
        <w:left w:val="none" w:sz="0" w:space="0" w:color="auto"/>
        <w:bottom w:val="none" w:sz="0" w:space="0" w:color="auto"/>
        <w:right w:val="none" w:sz="0" w:space="0" w:color="auto"/>
      </w:divBdr>
    </w:div>
    <w:div w:id="405996813">
      <w:bodyDiv w:val="1"/>
      <w:marLeft w:val="0"/>
      <w:marRight w:val="0"/>
      <w:marTop w:val="0"/>
      <w:marBottom w:val="0"/>
      <w:divBdr>
        <w:top w:val="none" w:sz="0" w:space="0" w:color="auto"/>
        <w:left w:val="none" w:sz="0" w:space="0" w:color="auto"/>
        <w:bottom w:val="none" w:sz="0" w:space="0" w:color="auto"/>
        <w:right w:val="none" w:sz="0" w:space="0" w:color="auto"/>
      </w:divBdr>
    </w:div>
    <w:div w:id="406538331">
      <w:bodyDiv w:val="1"/>
      <w:marLeft w:val="0"/>
      <w:marRight w:val="0"/>
      <w:marTop w:val="0"/>
      <w:marBottom w:val="0"/>
      <w:divBdr>
        <w:top w:val="none" w:sz="0" w:space="0" w:color="auto"/>
        <w:left w:val="none" w:sz="0" w:space="0" w:color="auto"/>
        <w:bottom w:val="none" w:sz="0" w:space="0" w:color="auto"/>
        <w:right w:val="none" w:sz="0" w:space="0" w:color="auto"/>
      </w:divBdr>
    </w:div>
    <w:div w:id="407961723">
      <w:bodyDiv w:val="1"/>
      <w:marLeft w:val="0"/>
      <w:marRight w:val="0"/>
      <w:marTop w:val="0"/>
      <w:marBottom w:val="0"/>
      <w:divBdr>
        <w:top w:val="none" w:sz="0" w:space="0" w:color="auto"/>
        <w:left w:val="none" w:sz="0" w:space="0" w:color="auto"/>
        <w:bottom w:val="none" w:sz="0" w:space="0" w:color="auto"/>
        <w:right w:val="none" w:sz="0" w:space="0" w:color="auto"/>
      </w:divBdr>
    </w:div>
    <w:div w:id="408575103">
      <w:bodyDiv w:val="1"/>
      <w:marLeft w:val="0"/>
      <w:marRight w:val="0"/>
      <w:marTop w:val="0"/>
      <w:marBottom w:val="0"/>
      <w:divBdr>
        <w:top w:val="none" w:sz="0" w:space="0" w:color="auto"/>
        <w:left w:val="none" w:sz="0" w:space="0" w:color="auto"/>
        <w:bottom w:val="none" w:sz="0" w:space="0" w:color="auto"/>
        <w:right w:val="none" w:sz="0" w:space="0" w:color="auto"/>
      </w:divBdr>
    </w:div>
    <w:div w:id="408767194">
      <w:bodyDiv w:val="1"/>
      <w:marLeft w:val="0"/>
      <w:marRight w:val="0"/>
      <w:marTop w:val="0"/>
      <w:marBottom w:val="0"/>
      <w:divBdr>
        <w:top w:val="none" w:sz="0" w:space="0" w:color="auto"/>
        <w:left w:val="none" w:sz="0" w:space="0" w:color="auto"/>
        <w:bottom w:val="none" w:sz="0" w:space="0" w:color="auto"/>
        <w:right w:val="none" w:sz="0" w:space="0" w:color="auto"/>
      </w:divBdr>
    </w:div>
    <w:div w:id="410735499">
      <w:bodyDiv w:val="1"/>
      <w:marLeft w:val="0"/>
      <w:marRight w:val="0"/>
      <w:marTop w:val="0"/>
      <w:marBottom w:val="0"/>
      <w:divBdr>
        <w:top w:val="none" w:sz="0" w:space="0" w:color="auto"/>
        <w:left w:val="none" w:sz="0" w:space="0" w:color="auto"/>
        <w:bottom w:val="none" w:sz="0" w:space="0" w:color="auto"/>
        <w:right w:val="none" w:sz="0" w:space="0" w:color="auto"/>
      </w:divBdr>
    </w:div>
    <w:div w:id="411511429">
      <w:bodyDiv w:val="1"/>
      <w:marLeft w:val="0"/>
      <w:marRight w:val="0"/>
      <w:marTop w:val="0"/>
      <w:marBottom w:val="0"/>
      <w:divBdr>
        <w:top w:val="none" w:sz="0" w:space="0" w:color="auto"/>
        <w:left w:val="none" w:sz="0" w:space="0" w:color="auto"/>
        <w:bottom w:val="none" w:sz="0" w:space="0" w:color="auto"/>
        <w:right w:val="none" w:sz="0" w:space="0" w:color="auto"/>
      </w:divBdr>
    </w:div>
    <w:div w:id="412316651">
      <w:bodyDiv w:val="1"/>
      <w:marLeft w:val="0"/>
      <w:marRight w:val="0"/>
      <w:marTop w:val="0"/>
      <w:marBottom w:val="0"/>
      <w:divBdr>
        <w:top w:val="none" w:sz="0" w:space="0" w:color="auto"/>
        <w:left w:val="none" w:sz="0" w:space="0" w:color="auto"/>
        <w:bottom w:val="none" w:sz="0" w:space="0" w:color="auto"/>
        <w:right w:val="none" w:sz="0" w:space="0" w:color="auto"/>
      </w:divBdr>
    </w:div>
    <w:div w:id="413747951">
      <w:bodyDiv w:val="1"/>
      <w:marLeft w:val="0"/>
      <w:marRight w:val="0"/>
      <w:marTop w:val="0"/>
      <w:marBottom w:val="0"/>
      <w:divBdr>
        <w:top w:val="none" w:sz="0" w:space="0" w:color="auto"/>
        <w:left w:val="none" w:sz="0" w:space="0" w:color="auto"/>
        <w:bottom w:val="none" w:sz="0" w:space="0" w:color="auto"/>
        <w:right w:val="none" w:sz="0" w:space="0" w:color="auto"/>
      </w:divBdr>
    </w:div>
    <w:div w:id="418215356">
      <w:bodyDiv w:val="1"/>
      <w:marLeft w:val="0"/>
      <w:marRight w:val="0"/>
      <w:marTop w:val="0"/>
      <w:marBottom w:val="0"/>
      <w:divBdr>
        <w:top w:val="none" w:sz="0" w:space="0" w:color="auto"/>
        <w:left w:val="none" w:sz="0" w:space="0" w:color="auto"/>
        <w:bottom w:val="none" w:sz="0" w:space="0" w:color="auto"/>
        <w:right w:val="none" w:sz="0" w:space="0" w:color="auto"/>
      </w:divBdr>
    </w:div>
    <w:div w:id="418910154">
      <w:bodyDiv w:val="1"/>
      <w:marLeft w:val="0"/>
      <w:marRight w:val="0"/>
      <w:marTop w:val="0"/>
      <w:marBottom w:val="0"/>
      <w:divBdr>
        <w:top w:val="none" w:sz="0" w:space="0" w:color="auto"/>
        <w:left w:val="none" w:sz="0" w:space="0" w:color="auto"/>
        <w:bottom w:val="none" w:sz="0" w:space="0" w:color="auto"/>
        <w:right w:val="none" w:sz="0" w:space="0" w:color="auto"/>
      </w:divBdr>
    </w:div>
    <w:div w:id="419107734">
      <w:bodyDiv w:val="1"/>
      <w:marLeft w:val="0"/>
      <w:marRight w:val="0"/>
      <w:marTop w:val="0"/>
      <w:marBottom w:val="0"/>
      <w:divBdr>
        <w:top w:val="none" w:sz="0" w:space="0" w:color="auto"/>
        <w:left w:val="none" w:sz="0" w:space="0" w:color="auto"/>
        <w:bottom w:val="none" w:sz="0" w:space="0" w:color="auto"/>
        <w:right w:val="none" w:sz="0" w:space="0" w:color="auto"/>
      </w:divBdr>
    </w:div>
    <w:div w:id="420368787">
      <w:bodyDiv w:val="1"/>
      <w:marLeft w:val="0"/>
      <w:marRight w:val="0"/>
      <w:marTop w:val="0"/>
      <w:marBottom w:val="0"/>
      <w:divBdr>
        <w:top w:val="none" w:sz="0" w:space="0" w:color="auto"/>
        <w:left w:val="none" w:sz="0" w:space="0" w:color="auto"/>
        <w:bottom w:val="none" w:sz="0" w:space="0" w:color="auto"/>
        <w:right w:val="none" w:sz="0" w:space="0" w:color="auto"/>
      </w:divBdr>
    </w:div>
    <w:div w:id="421151340">
      <w:bodyDiv w:val="1"/>
      <w:marLeft w:val="0"/>
      <w:marRight w:val="0"/>
      <w:marTop w:val="0"/>
      <w:marBottom w:val="0"/>
      <w:divBdr>
        <w:top w:val="none" w:sz="0" w:space="0" w:color="auto"/>
        <w:left w:val="none" w:sz="0" w:space="0" w:color="auto"/>
        <w:bottom w:val="none" w:sz="0" w:space="0" w:color="auto"/>
        <w:right w:val="none" w:sz="0" w:space="0" w:color="auto"/>
      </w:divBdr>
    </w:div>
    <w:div w:id="421486239">
      <w:bodyDiv w:val="1"/>
      <w:marLeft w:val="0"/>
      <w:marRight w:val="0"/>
      <w:marTop w:val="0"/>
      <w:marBottom w:val="0"/>
      <w:divBdr>
        <w:top w:val="none" w:sz="0" w:space="0" w:color="auto"/>
        <w:left w:val="none" w:sz="0" w:space="0" w:color="auto"/>
        <w:bottom w:val="none" w:sz="0" w:space="0" w:color="auto"/>
        <w:right w:val="none" w:sz="0" w:space="0" w:color="auto"/>
      </w:divBdr>
    </w:div>
    <w:div w:id="422460008">
      <w:bodyDiv w:val="1"/>
      <w:marLeft w:val="0"/>
      <w:marRight w:val="0"/>
      <w:marTop w:val="0"/>
      <w:marBottom w:val="0"/>
      <w:divBdr>
        <w:top w:val="none" w:sz="0" w:space="0" w:color="auto"/>
        <w:left w:val="none" w:sz="0" w:space="0" w:color="auto"/>
        <w:bottom w:val="none" w:sz="0" w:space="0" w:color="auto"/>
        <w:right w:val="none" w:sz="0" w:space="0" w:color="auto"/>
      </w:divBdr>
    </w:div>
    <w:div w:id="422607124">
      <w:bodyDiv w:val="1"/>
      <w:marLeft w:val="0"/>
      <w:marRight w:val="0"/>
      <w:marTop w:val="0"/>
      <w:marBottom w:val="0"/>
      <w:divBdr>
        <w:top w:val="none" w:sz="0" w:space="0" w:color="auto"/>
        <w:left w:val="none" w:sz="0" w:space="0" w:color="auto"/>
        <w:bottom w:val="none" w:sz="0" w:space="0" w:color="auto"/>
        <w:right w:val="none" w:sz="0" w:space="0" w:color="auto"/>
      </w:divBdr>
    </w:div>
    <w:div w:id="423692169">
      <w:bodyDiv w:val="1"/>
      <w:marLeft w:val="0"/>
      <w:marRight w:val="0"/>
      <w:marTop w:val="0"/>
      <w:marBottom w:val="0"/>
      <w:divBdr>
        <w:top w:val="none" w:sz="0" w:space="0" w:color="auto"/>
        <w:left w:val="none" w:sz="0" w:space="0" w:color="auto"/>
        <w:bottom w:val="none" w:sz="0" w:space="0" w:color="auto"/>
        <w:right w:val="none" w:sz="0" w:space="0" w:color="auto"/>
      </w:divBdr>
    </w:div>
    <w:div w:id="423847507">
      <w:bodyDiv w:val="1"/>
      <w:marLeft w:val="0"/>
      <w:marRight w:val="0"/>
      <w:marTop w:val="0"/>
      <w:marBottom w:val="0"/>
      <w:divBdr>
        <w:top w:val="none" w:sz="0" w:space="0" w:color="auto"/>
        <w:left w:val="none" w:sz="0" w:space="0" w:color="auto"/>
        <w:bottom w:val="none" w:sz="0" w:space="0" w:color="auto"/>
        <w:right w:val="none" w:sz="0" w:space="0" w:color="auto"/>
      </w:divBdr>
    </w:div>
    <w:div w:id="424041134">
      <w:bodyDiv w:val="1"/>
      <w:marLeft w:val="0"/>
      <w:marRight w:val="0"/>
      <w:marTop w:val="0"/>
      <w:marBottom w:val="0"/>
      <w:divBdr>
        <w:top w:val="none" w:sz="0" w:space="0" w:color="auto"/>
        <w:left w:val="none" w:sz="0" w:space="0" w:color="auto"/>
        <w:bottom w:val="none" w:sz="0" w:space="0" w:color="auto"/>
        <w:right w:val="none" w:sz="0" w:space="0" w:color="auto"/>
      </w:divBdr>
    </w:div>
    <w:div w:id="424495664">
      <w:bodyDiv w:val="1"/>
      <w:marLeft w:val="0"/>
      <w:marRight w:val="0"/>
      <w:marTop w:val="0"/>
      <w:marBottom w:val="0"/>
      <w:divBdr>
        <w:top w:val="none" w:sz="0" w:space="0" w:color="auto"/>
        <w:left w:val="none" w:sz="0" w:space="0" w:color="auto"/>
        <w:bottom w:val="none" w:sz="0" w:space="0" w:color="auto"/>
        <w:right w:val="none" w:sz="0" w:space="0" w:color="auto"/>
      </w:divBdr>
    </w:div>
    <w:div w:id="427967925">
      <w:bodyDiv w:val="1"/>
      <w:marLeft w:val="0"/>
      <w:marRight w:val="0"/>
      <w:marTop w:val="0"/>
      <w:marBottom w:val="0"/>
      <w:divBdr>
        <w:top w:val="none" w:sz="0" w:space="0" w:color="auto"/>
        <w:left w:val="none" w:sz="0" w:space="0" w:color="auto"/>
        <w:bottom w:val="none" w:sz="0" w:space="0" w:color="auto"/>
        <w:right w:val="none" w:sz="0" w:space="0" w:color="auto"/>
      </w:divBdr>
    </w:div>
    <w:div w:id="428047340">
      <w:bodyDiv w:val="1"/>
      <w:marLeft w:val="0"/>
      <w:marRight w:val="0"/>
      <w:marTop w:val="0"/>
      <w:marBottom w:val="0"/>
      <w:divBdr>
        <w:top w:val="none" w:sz="0" w:space="0" w:color="auto"/>
        <w:left w:val="none" w:sz="0" w:space="0" w:color="auto"/>
        <w:bottom w:val="none" w:sz="0" w:space="0" w:color="auto"/>
        <w:right w:val="none" w:sz="0" w:space="0" w:color="auto"/>
      </w:divBdr>
    </w:div>
    <w:div w:id="428623621">
      <w:bodyDiv w:val="1"/>
      <w:marLeft w:val="0"/>
      <w:marRight w:val="0"/>
      <w:marTop w:val="0"/>
      <w:marBottom w:val="0"/>
      <w:divBdr>
        <w:top w:val="none" w:sz="0" w:space="0" w:color="auto"/>
        <w:left w:val="none" w:sz="0" w:space="0" w:color="auto"/>
        <w:bottom w:val="none" w:sz="0" w:space="0" w:color="auto"/>
        <w:right w:val="none" w:sz="0" w:space="0" w:color="auto"/>
      </w:divBdr>
    </w:div>
    <w:div w:id="429620196">
      <w:bodyDiv w:val="1"/>
      <w:marLeft w:val="0"/>
      <w:marRight w:val="0"/>
      <w:marTop w:val="0"/>
      <w:marBottom w:val="0"/>
      <w:divBdr>
        <w:top w:val="none" w:sz="0" w:space="0" w:color="auto"/>
        <w:left w:val="none" w:sz="0" w:space="0" w:color="auto"/>
        <w:bottom w:val="none" w:sz="0" w:space="0" w:color="auto"/>
        <w:right w:val="none" w:sz="0" w:space="0" w:color="auto"/>
      </w:divBdr>
    </w:div>
    <w:div w:id="432437945">
      <w:bodyDiv w:val="1"/>
      <w:marLeft w:val="0"/>
      <w:marRight w:val="0"/>
      <w:marTop w:val="0"/>
      <w:marBottom w:val="0"/>
      <w:divBdr>
        <w:top w:val="none" w:sz="0" w:space="0" w:color="auto"/>
        <w:left w:val="none" w:sz="0" w:space="0" w:color="auto"/>
        <w:bottom w:val="none" w:sz="0" w:space="0" w:color="auto"/>
        <w:right w:val="none" w:sz="0" w:space="0" w:color="auto"/>
      </w:divBdr>
    </w:div>
    <w:div w:id="435029432">
      <w:bodyDiv w:val="1"/>
      <w:marLeft w:val="0"/>
      <w:marRight w:val="0"/>
      <w:marTop w:val="0"/>
      <w:marBottom w:val="0"/>
      <w:divBdr>
        <w:top w:val="none" w:sz="0" w:space="0" w:color="auto"/>
        <w:left w:val="none" w:sz="0" w:space="0" w:color="auto"/>
        <w:bottom w:val="none" w:sz="0" w:space="0" w:color="auto"/>
        <w:right w:val="none" w:sz="0" w:space="0" w:color="auto"/>
      </w:divBdr>
    </w:div>
    <w:div w:id="438532355">
      <w:bodyDiv w:val="1"/>
      <w:marLeft w:val="0"/>
      <w:marRight w:val="0"/>
      <w:marTop w:val="0"/>
      <w:marBottom w:val="0"/>
      <w:divBdr>
        <w:top w:val="none" w:sz="0" w:space="0" w:color="auto"/>
        <w:left w:val="none" w:sz="0" w:space="0" w:color="auto"/>
        <w:bottom w:val="none" w:sz="0" w:space="0" w:color="auto"/>
        <w:right w:val="none" w:sz="0" w:space="0" w:color="auto"/>
      </w:divBdr>
    </w:div>
    <w:div w:id="438573976">
      <w:bodyDiv w:val="1"/>
      <w:marLeft w:val="0"/>
      <w:marRight w:val="0"/>
      <w:marTop w:val="0"/>
      <w:marBottom w:val="0"/>
      <w:divBdr>
        <w:top w:val="none" w:sz="0" w:space="0" w:color="auto"/>
        <w:left w:val="none" w:sz="0" w:space="0" w:color="auto"/>
        <w:bottom w:val="none" w:sz="0" w:space="0" w:color="auto"/>
        <w:right w:val="none" w:sz="0" w:space="0" w:color="auto"/>
      </w:divBdr>
    </w:div>
    <w:div w:id="440611135">
      <w:bodyDiv w:val="1"/>
      <w:marLeft w:val="0"/>
      <w:marRight w:val="0"/>
      <w:marTop w:val="0"/>
      <w:marBottom w:val="0"/>
      <w:divBdr>
        <w:top w:val="none" w:sz="0" w:space="0" w:color="auto"/>
        <w:left w:val="none" w:sz="0" w:space="0" w:color="auto"/>
        <w:bottom w:val="none" w:sz="0" w:space="0" w:color="auto"/>
        <w:right w:val="none" w:sz="0" w:space="0" w:color="auto"/>
      </w:divBdr>
    </w:div>
    <w:div w:id="441581998">
      <w:bodyDiv w:val="1"/>
      <w:marLeft w:val="0"/>
      <w:marRight w:val="0"/>
      <w:marTop w:val="0"/>
      <w:marBottom w:val="0"/>
      <w:divBdr>
        <w:top w:val="none" w:sz="0" w:space="0" w:color="auto"/>
        <w:left w:val="none" w:sz="0" w:space="0" w:color="auto"/>
        <w:bottom w:val="none" w:sz="0" w:space="0" w:color="auto"/>
        <w:right w:val="none" w:sz="0" w:space="0" w:color="auto"/>
      </w:divBdr>
    </w:div>
    <w:div w:id="441994229">
      <w:bodyDiv w:val="1"/>
      <w:marLeft w:val="0"/>
      <w:marRight w:val="0"/>
      <w:marTop w:val="0"/>
      <w:marBottom w:val="0"/>
      <w:divBdr>
        <w:top w:val="none" w:sz="0" w:space="0" w:color="auto"/>
        <w:left w:val="none" w:sz="0" w:space="0" w:color="auto"/>
        <w:bottom w:val="none" w:sz="0" w:space="0" w:color="auto"/>
        <w:right w:val="none" w:sz="0" w:space="0" w:color="auto"/>
      </w:divBdr>
    </w:div>
    <w:div w:id="442573260">
      <w:bodyDiv w:val="1"/>
      <w:marLeft w:val="0"/>
      <w:marRight w:val="0"/>
      <w:marTop w:val="0"/>
      <w:marBottom w:val="0"/>
      <w:divBdr>
        <w:top w:val="none" w:sz="0" w:space="0" w:color="auto"/>
        <w:left w:val="none" w:sz="0" w:space="0" w:color="auto"/>
        <w:bottom w:val="none" w:sz="0" w:space="0" w:color="auto"/>
        <w:right w:val="none" w:sz="0" w:space="0" w:color="auto"/>
      </w:divBdr>
    </w:div>
    <w:div w:id="443695094">
      <w:bodyDiv w:val="1"/>
      <w:marLeft w:val="0"/>
      <w:marRight w:val="0"/>
      <w:marTop w:val="0"/>
      <w:marBottom w:val="0"/>
      <w:divBdr>
        <w:top w:val="none" w:sz="0" w:space="0" w:color="auto"/>
        <w:left w:val="none" w:sz="0" w:space="0" w:color="auto"/>
        <w:bottom w:val="none" w:sz="0" w:space="0" w:color="auto"/>
        <w:right w:val="none" w:sz="0" w:space="0" w:color="auto"/>
      </w:divBdr>
    </w:div>
    <w:div w:id="444617245">
      <w:bodyDiv w:val="1"/>
      <w:marLeft w:val="0"/>
      <w:marRight w:val="0"/>
      <w:marTop w:val="0"/>
      <w:marBottom w:val="0"/>
      <w:divBdr>
        <w:top w:val="none" w:sz="0" w:space="0" w:color="auto"/>
        <w:left w:val="none" w:sz="0" w:space="0" w:color="auto"/>
        <w:bottom w:val="none" w:sz="0" w:space="0" w:color="auto"/>
        <w:right w:val="none" w:sz="0" w:space="0" w:color="auto"/>
      </w:divBdr>
    </w:div>
    <w:div w:id="445274278">
      <w:bodyDiv w:val="1"/>
      <w:marLeft w:val="0"/>
      <w:marRight w:val="0"/>
      <w:marTop w:val="0"/>
      <w:marBottom w:val="0"/>
      <w:divBdr>
        <w:top w:val="none" w:sz="0" w:space="0" w:color="auto"/>
        <w:left w:val="none" w:sz="0" w:space="0" w:color="auto"/>
        <w:bottom w:val="none" w:sz="0" w:space="0" w:color="auto"/>
        <w:right w:val="none" w:sz="0" w:space="0" w:color="auto"/>
      </w:divBdr>
    </w:div>
    <w:div w:id="445540890">
      <w:bodyDiv w:val="1"/>
      <w:marLeft w:val="0"/>
      <w:marRight w:val="0"/>
      <w:marTop w:val="0"/>
      <w:marBottom w:val="0"/>
      <w:divBdr>
        <w:top w:val="none" w:sz="0" w:space="0" w:color="auto"/>
        <w:left w:val="none" w:sz="0" w:space="0" w:color="auto"/>
        <w:bottom w:val="none" w:sz="0" w:space="0" w:color="auto"/>
        <w:right w:val="none" w:sz="0" w:space="0" w:color="auto"/>
      </w:divBdr>
    </w:div>
    <w:div w:id="445806455">
      <w:bodyDiv w:val="1"/>
      <w:marLeft w:val="0"/>
      <w:marRight w:val="0"/>
      <w:marTop w:val="0"/>
      <w:marBottom w:val="0"/>
      <w:divBdr>
        <w:top w:val="none" w:sz="0" w:space="0" w:color="auto"/>
        <w:left w:val="none" w:sz="0" w:space="0" w:color="auto"/>
        <w:bottom w:val="none" w:sz="0" w:space="0" w:color="auto"/>
        <w:right w:val="none" w:sz="0" w:space="0" w:color="auto"/>
      </w:divBdr>
    </w:div>
    <w:div w:id="446588148">
      <w:bodyDiv w:val="1"/>
      <w:marLeft w:val="0"/>
      <w:marRight w:val="0"/>
      <w:marTop w:val="0"/>
      <w:marBottom w:val="0"/>
      <w:divBdr>
        <w:top w:val="none" w:sz="0" w:space="0" w:color="auto"/>
        <w:left w:val="none" w:sz="0" w:space="0" w:color="auto"/>
        <w:bottom w:val="none" w:sz="0" w:space="0" w:color="auto"/>
        <w:right w:val="none" w:sz="0" w:space="0" w:color="auto"/>
      </w:divBdr>
    </w:div>
    <w:div w:id="448357793">
      <w:bodyDiv w:val="1"/>
      <w:marLeft w:val="0"/>
      <w:marRight w:val="0"/>
      <w:marTop w:val="0"/>
      <w:marBottom w:val="0"/>
      <w:divBdr>
        <w:top w:val="none" w:sz="0" w:space="0" w:color="auto"/>
        <w:left w:val="none" w:sz="0" w:space="0" w:color="auto"/>
        <w:bottom w:val="none" w:sz="0" w:space="0" w:color="auto"/>
        <w:right w:val="none" w:sz="0" w:space="0" w:color="auto"/>
      </w:divBdr>
    </w:div>
    <w:div w:id="449134220">
      <w:bodyDiv w:val="1"/>
      <w:marLeft w:val="0"/>
      <w:marRight w:val="0"/>
      <w:marTop w:val="0"/>
      <w:marBottom w:val="0"/>
      <w:divBdr>
        <w:top w:val="none" w:sz="0" w:space="0" w:color="auto"/>
        <w:left w:val="none" w:sz="0" w:space="0" w:color="auto"/>
        <w:bottom w:val="none" w:sz="0" w:space="0" w:color="auto"/>
        <w:right w:val="none" w:sz="0" w:space="0" w:color="auto"/>
      </w:divBdr>
    </w:div>
    <w:div w:id="449473677">
      <w:bodyDiv w:val="1"/>
      <w:marLeft w:val="0"/>
      <w:marRight w:val="0"/>
      <w:marTop w:val="0"/>
      <w:marBottom w:val="0"/>
      <w:divBdr>
        <w:top w:val="none" w:sz="0" w:space="0" w:color="auto"/>
        <w:left w:val="none" w:sz="0" w:space="0" w:color="auto"/>
        <w:bottom w:val="none" w:sz="0" w:space="0" w:color="auto"/>
        <w:right w:val="none" w:sz="0" w:space="0" w:color="auto"/>
      </w:divBdr>
    </w:div>
    <w:div w:id="450249132">
      <w:bodyDiv w:val="1"/>
      <w:marLeft w:val="0"/>
      <w:marRight w:val="0"/>
      <w:marTop w:val="0"/>
      <w:marBottom w:val="0"/>
      <w:divBdr>
        <w:top w:val="none" w:sz="0" w:space="0" w:color="auto"/>
        <w:left w:val="none" w:sz="0" w:space="0" w:color="auto"/>
        <w:bottom w:val="none" w:sz="0" w:space="0" w:color="auto"/>
        <w:right w:val="none" w:sz="0" w:space="0" w:color="auto"/>
      </w:divBdr>
    </w:div>
    <w:div w:id="451019834">
      <w:bodyDiv w:val="1"/>
      <w:marLeft w:val="0"/>
      <w:marRight w:val="0"/>
      <w:marTop w:val="0"/>
      <w:marBottom w:val="0"/>
      <w:divBdr>
        <w:top w:val="none" w:sz="0" w:space="0" w:color="auto"/>
        <w:left w:val="none" w:sz="0" w:space="0" w:color="auto"/>
        <w:bottom w:val="none" w:sz="0" w:space="0" w:color="auto"/>
        <w:right w:val="none" w:sz="0" w:space="0" w:color="auto"/>
      </w:divBdr>
    </w:div>
    <w:div w:id="451247436">
      <w:bodyDiv w:val="1"/>
      <w:marLeft w:val="0"/>
      <w:marRight w:val="0"/>
      <w:marTop w:val="0"/>
      <w:marBottom w:val="0"/>
      <w:divBdr>
        <w:top w:val="none" w:sz="0" w:space="0" w:color="auto"/>
        <w:left w:val="none" w:sz="0" w:space="0" w:color="auto"/>
        <w:bottom w:val="none" w:sz="0" w:space="0" w:color="auto"/>
        <w:right w:val="none" w:sz="0" w:space="0" w:color="auto"/>
      </w:divBdr>
    </w:div>
    <w:div w:id="451478191">
      <w:bodyDiv w:val="1"/>
      <w:marLeft w:val="0"/>
      <w:marRight w:val="0"/>
      <w:marTop w:val="0"/>
      <w:marBottom w:val="0"/>
      <w:divBdr>
        <w:top w:val="none" w:sz="0" w:space="0" w:color="auto"/>
        <w:left w:val="none" w:sz="0" w:space="0" w:color="auto"/>
        <w:bottom w:val="none" w:sz="0" w:space="0" w:color="auto"/>
        <w:right w:val="none" w:sz="0" w:space="0" w:color="auto"/>
      </w:divBdr>
    </w:div>
    <w:div w:id="453014262">
      <w:bodyDiv w:val="1"/>
      <w:marLeft w:val="0"/>
      <w:marRight w:val="0"/>
      <w:marTop w:val="0"/>
      <w:marBottom w:val="0"/>
      <w:divBdr>
        <w:top w:val="none" w:sz="0" w:space="0" w:color="auto"/>
        <w:left w:val="none" w:sz="0" w:space="0" w:color="auto"/>
        <w:bottom w:val="none" w:sz="0" w:space="0" w:color="auto"/>
        <w:right w:val="none" w:sz="0" w:space="0" w:color="auto"/>
      </w:divBdr>
    </w:div>
    <w:div w:id="455829644">
      <w:bodyDiv w:val="1"/>
      <w:marLeft w:val="0"/>
      <w:marRight w:val="0"/>
      <w:marTop w:val="0"/>
      <w:marBottom w:val="0"/>
      <w:divBdr>
        <w:top w:val="none" w:sz="0" w:space="0" w:color="auto"/>
        <w:left w:val="none" w:sz="0" w:space="0" w:color="auto"/>
        <w:bottom w:val="none" w:sz="0" w:space="0" w:color="auto"/>
        <w:right w:val="none" w:sz="0" w:space="0" w:color="auto"/>
      </w:divBdr>
    </w:div>
    <w:div w:id="457064305">
      <w:bodyDiv w:val="1"/>
      <w:marLeft w:val="0"/>
      <w:marRight w:val="0"/>
      <w:marTop w:val="0"/>
      <w:marBottom w:val="0"/>
      <w:divBdr>
        <w:top w:val="none" w:sz="0" w:space="0" w:color="auto"/>
        <w:left w:val="none" w:sz="0" w:space="0" w:color="auto"/>
        <w:bottom w:val="none" w:sz="0" w:space="0" w:color="auto"/>
        <w:right w:val="none" w:sz="0" w:space="0" w:color="auto"/>
      </w:divBdr>
    </w:div>
    <w:div w:id="457841076">
      <w:bodyDiv w:val="1"/>
      <w:marLeft w:val="0"/>
      <w:marRight w:val="0"/>
      <w:marTop w:val="0"/>
      <w:marBottom w:val="0"/>
      <w:divBdr>
        <w:top w:val="none" w:sz="0" w:space="0" w:color="auto"/>
        <w:left w:val="none" w:sz="0" w:space="0" w:color="auto"/>
        <w:bottom w:val="none" w:sz="0" w:space="0" w:color="auto"/>
        <w:right w:val="none" w:sz="0" w:space="0" w:color="auto"/>
      </w:divBdr>
    </w:div>
    <w:div w:id="457989868">
      <w:bodyDiv w:val="1"/>
      <w:marLeft w:val="0"/>
      <w:marRight w:val="0"/>
      <w:marTop w:val="0"/>
      <w:marBottom w:val="0"/>
      <w:divBdr>
        <w:top w:val="none" w:sz="0" w:space="0" w:color="auto"/>
        <w:left w:val="none" w:sz="0" w:space="0" w:color="auto"/>
        <w:bottom w:val="none" w:sz="0" w:space="0" w:color="auto"/>
        <w:right w:val="none" w:sz="0" w:space="0" w:color="auto"/>
      </w:divBdr>
    </w:div>
    <w:div w:id="458303214">
      <w:bodyDiv w:val="1"/>
      <w:marLeft w:val="0"/>
      <w:marRight w:val="0"/>
      <w:marTop w:val="0"/>
      <w:marBottom w:val="0"/>
      <w:divBdr>
        <w:top w:val="none" w:sz="0" w:space="0" w:color="auto"/>
        <w:left w:val="none" w:sz="0" w:space="0" w:color="auto"/>
        <w:bottom w:val="none" w:sz="0" w:space="0" w:color="auto"/>
        <w:right w:val="none" w:sz="0" w:space="0" w:color="auto"/>
      </w:divBdr>
    </w:div>
    <w:div w:id="459148248">
      <w:bodyDiv w:val="1"/>
      <w:marLeft w:val="0"/>
      <w:marRight w:val="0"/>
      <w:marTop w:val="0"/>
      <w:marBottom w:val="0"/>
      <w:divBdr>
        <w:top w:val="none" w:sz="0" w:space="0" w:color="auto"/>
        <w:left w:val="none" w:sz="0" w:space="0" w:color="auto"/>
        <w:bottom w:val="none" w:sz="0" w:space="0" w:color="auto"/>
        <w:right w:val="none" w:sz="0" w:space="0" w:color="auto"/>
      </w:divBdr>
    </w:div>
    <w:div w:id="460156182">
      <w:bodyDiv w:val="1"/>
      <w:marLeft w:val="0"/>
      <w:marRight w:val="0"/>
      <w:marTop w:val="0"/>
      <w:marBottom w:val="0"/>
      <w:divBdr>
        <w:top w:val="none" w:sz="0" w:space="0" w:color="auto"/>
        <w:left w:val="none" w:sz="0" w:space="0" w:color="auto"/>
        <w:bottom w:val="none" w:sz="0" w:space="0" w:color="auto"/>
        <w:right w:val="none" w:sz="0" w:space="0" w:color="auto"/>
      </w:divBdr>
    </w:div>
    <w:div w:id="460222557">
      <w:bodyDiv w:val="1"/>
      <w:marLeft w:val="0"/>
      <w:marRight w:val="0"/>
      <w:marTop w:val="0"/>
      <w:marBottom w:val="0"/>
      <w:divBdr>
        <w:top w:val="none" w:sz="0" w:space="0" w:color="auto"/>
        <w:left w:val="none" w:sz="0" w:space="0" w:color="auto"/>
        <w:bottom w:val="none" w:sz="0" w:space="0" w:color="auto"/>
        <w:right w:val="none" w:sz="0" w:space="0" w:color="auto"/>
      </w:divBdr>
    </w:div>
    <w:div w:id="460806734">
      <w:bodyDiv w:val="1"/>
      <w:marLeft w:val="0"/>
      <w:marRight w:val="0"/>
      <w:marTop w:val="0"/>
      <w:marBottom w:val="0"/>
      <w:divBdr>
        <w:top w:val="none" w:sz="0" w:space="0" w:color="auto"/>
        <w:left w:val="none" w:sz="0" w:space="0" w:color="auto"/>
        <w:bottom w:val="none" w:sz="0" w:space="0" w:color="auto"/>
        <w:right w:val="none" w:sz="0" w:space="0" w:color="auto"/>
      </w:divBdr>
    </w:div>
    <w:div w:id="467163165">
      <w:bodyDiv w:val="1"/>
      <w:marLeft w:val="0"/>
      <w:marRight w:val="0"/>
      <w:marTop w:val="0"/>
      <w:marBottom w:val="0"/>
      <w:divBdr>
        <w:top w:val="none" w:sz="0" w:space="0" w:color="auto"/>
        <w:left w:val="none" w:sz="0" w:space="0" w:color="auto"/>
        <w:bottom w:val="none" w:sz="0" w:space="0" w:color="auto"/>
        <w:right w:val="none" w:sz="0" w:space="0" w:color="auto"/>
      </w:divBdr>
    </w:div>
    <w:div w:id="467744783">
      <w:bodyDiv w:val="1"/>
      <w:marLeft w:val="0"/>
      <w:marRight w:val="0"/>
      <w:marTop w:val="0"/>
      <w:marBottom w:val="0"/>
      <w:divBdr>
        <w:top w:val="none" w:sz="0" w:space="0" w:color="auto"/>
        <w:left w:val="none" w:sz="0" w:space="0" w:color="auto"/>
        <w:bottom w:val="none" w:sz="0" w:space="0" w:color="auto"/>
        <w:right w:val="none" w:sz="0" w:space="0" w:color="auto"/>
      </w:divBdr>
    </w:div>
    <w:div w:id="469250324">
      <w:bodyDiv w:val="1"/>
      <w:marLeft w:val="0"/>
      <w:marRight w:val="0"/>
      <w:marTop w:val="0"/>
      <w:marBottom w:val="0"/>
      <w:divBdr>
        <w:top w:val="none" w:sz="0" w:space="0" w:color="auto"/>
        <w:left w:val="none" w:sz="0" w:space="0" w:color="auto"/>
        <w:bottom w:val="none" w:sz="0" w:space="0" w:color="auto"/>
        <w:right w:val="none" w:sz="0" w:space="0" w:color="auto"/>
      </w:divBdr>
    </w:div>
    <w:div w:id="470711852">
      <w:bodyDiv w:val="1"/>
      <w:marLeft w:val="0"/>
      <w:marRight w:val="0"/>
      <w:marTop w:val="0"/>
      <w:marBottom w:val="0"/>
      <w:divBdr>
        <w:top w:val="none" w:sz="0" w:space="0" w:color="auto"/>
        <w:left w:val="none" w:sz="0" w:space="0" w:color="auto"/>
        <w:bottom w:val="none" w:sz="0" w:space="0" w:color="auto"/>
        <w:right w:val="none" w:sz="0" w:space="0" w:color="auto"/>
      </w:divBdr>
    </w:div>
    <w:div w:id="470948118">
      <w:bodyDiv w:val="1"/>
      <w:marLeft w:val="0"/>
      <w:marRight w:val="0"/>
      <w:marTop w:val="0"/>
      <w:marBottom w:val="0"/>
      <w:divBdr>
        <w:top w:val="none" w:sz="0" w:space="0" w:color="auto"/>
        <w:left w:val="none" w:sz="0" w:space="0" w:color="auto"/>
        <w:bottom w:val="none" w:sz="0" w:space="0" w:color="auto"/>
        <w:right w:val="none" w:sz="0" w:space="0" w:color="auto"/>
      </w:divBdr>
    </w:div>
    <w:div w:id="470949745">
      <w:bodyDiv w:val="1"/>
      <w:marLeft w:val="0"/>
      <w:marRight w:val="0"/>
      <w:marTop w:val="0"/>
      <w:marBottom w:val="0"/>
      <w:divBdr>
        <w:top w:val="none" w:sz="0" w:space="0" w:color="auto"/>
        <w:left w:val="none" w:sz="0" w:space="0" w:color="auto"/>
        <w:bottom w:val="none" w:sz="0" w:space="0" w:color="auto"/>
        <w:right w:val="none" w:sz="0" w:space="0" w:color="auto"/>
      </w:divBdr>
    </w:div>
    <w:div w:id="471212721">
      <w:bodyDiv w:val="1"/>
      <w:marLeft w:val="0"/>
      <w:marRight w:val="0"/>
      <w:marTop w:val="0"/>
      <w:marBottom w:val="0"/>
      <w:divBdr>
        <w:top w:val="none" w:sz="0" w:space="0" w:color="auto"/>
        <w:left w:val="none" w:sz="0" w:space="0" w:color="auto"/>
        <w:bottom w:val="none" w:sz="0" w:space="0" w:color="auto"/>
        <w:right w:val="none" w:sz="0" w:space="0" w:color="auto"/>
      </w:divBdr>
    </w:div>
    <w:div w:id="474025897">
      <w:bodyDiv w:val="1"/>
      <w:marLeft w:val="0"/>
      <w:marRight w:val="0"/>
      <w:marTop w:val="0"/>
      <w:marBottom w:val="0"/>
      <w:divBdr>
        <w:top w:val="none" w:sz="0" w:space="0" w:color="auto"/>
        <w:left w:val="none" w:sz="0" w:space="0" w:color="auto"/>
        <w:bottom w:val="none" w:sz="0" w:space="0" w:color="auto"/>
        <w:right w:val="none" w:sz="0" w:space="0" w:color="auto"/>
      </w:divBdr>
    </w:div>
    <w:div w:id="474416556">
      <w:bodyDiv w:val="1"/>
      <w:marLeft w:val="0"/>
      <w:marRight w:val="0"/>
      <w:marTop w:val="0"/>
      <w:marBottom w:val="0"/>
      <w:divBdr>
        <w:top w:val="none" w:sz="0" w:space="0" w:color="auto"/>
        <w:left w:val="none" w:sz="0" w:space="0" w:color="auto"/>
        <w:bottom w:val="none" w:sz="0" w:space="0" w:color="auto"/>
        <w:right w:val="none" w:sz="0" w:space="0" w:color="auto"/>
      </w:divBdr>
    </w:div>
    <w:div w:id="475149060">
      <w:bodyDiv w:val="1"/>
      <w:marLeft w:val="0"/>
      <w:marRight w:val="0"/>
      <w:marTop w:val="0"/>
      <w:marBottom w:val="0"/>
      <w:divBdr>
        <w:top w:val="none" w:sz="0" w:space="0" w:color="auto"/>
        <w:left w:val="none" w:sz="0" w:space="0" w:color="auto"/>
        <w:bottom w:val="none" w:sz="0" w:space="0" w:color="auto"/>
        <w:right w:val="none" w:sz="0" w:space="0" w:color="auto"/>
      </w:divBdr>
    </w:div>
    <w:div w:id="477843983">
      <w:bodyDiv w:val="1"/>
      <w:marLeft w:val="0"/>
      <w:marRight w:val="0"/>
      <w:marTop w:val="0"/>
      <w:marBottom w:val="0"/>
      <w:divBdr>
        <w:top w:val="none" w:sz="0" w:space="0" w:color="auto"/>
        <w:left w:val="none" w:sz="0" w:space="0" w:color="auto"/>
        <w:bottom w:val="none" w:sz="0" w:space="0" w:color="auto"/>
        <w:right w:val="none" w:sz="0" w:space="0" w:color="auto"/>
      </w:divBdr>
    </w:div>
    <w:div w:id="478037238">
      <w:bodyDiv w:val="1"/>
      <w:marLeft w:val="0"/>
      <w:marRight w:val="0"/>
      <w:marTop w:val="0"/>
      <w:marBottom w:val="0"/>
      <w:divBdr>
        <w:top w:val="none" w:sz="0" w:space="0" w:color="auto"/>
        <w:left w:val="none" w:sz="0" w:space="0" w:color="auto"/>
        <w:bottom w:val="none" w:sz="0" w:space="0" w:color="auto"/>
        <w:right w:val="none" w:sz="0" w:space="0" w:color="auto"/>
      </w:divBdr>
    </w:div>
    <w:div w:id="480729403">
      <w:bodyDiv w:val="1"/>
      <w:marLeft w:val="0"/>
      <w:marRight w:val="0"/>
      <w:marTop w:val="0"/>
      <w:marBottom w:val="0"/>
      <w:divBdr>
        <w:top w:val="none" w:sz="0" w:space="0" w:color="auto"/>
        <w:left w:val="none" w:sz="0" w:space="0" w:color="auto"/>
        <w:bottom w:val="none" w:sz="0" w:space="0" w:color="auto"/>
        <w:right w:val="none" w:sz="0" w:space="0" w:color="auto"/>
      </w:divBdr>
    </w:div>
    <w:div w:id="481238938">
      <w:bodyDiv w:val="1"/>
      <w:marLeft w:val="0"/>
      <w:marRight w:val="0"/>
      <w:marTop w:val="0"/>
      <w:marBottom w:val="0"/>
      <w:divBdr>
        <w:top w:val="none" w:sz="0" w:space="0" w:color="auto"/>
        <w:left w:val="none" w:sz="0" w:space="0" w:color="auto"/>
        <w:bottom w:val="none" w:sz="0" w:space="0" w:color="auto"/>
        <w:right w:val="none" w:sz="0" w:space="0" w:color="auto"/>
      </w:divBdr>
    </w:div>
    <w:div w:id="483012262">
      <w:bodyDiv w:val="1"/>
      <w:marLeft w:val="0"/>
      <w:marRight w:val="0"/>
      <w:marTop w:val="0"/>
      <w:marBottom w:val="0"/>
      <w:divBdr>
        <w:top w:val="none" w:sz="0" w:space="0" w:color="auto"/>
        <w:left w:val="none" w:sz="0" w:space="0" w:color="auto"/>
        <w:bottom w:val="none" w:sz="0" w:space="0" w:color="auto"/>
        <w:right w:val="none" w:sz="0" w:space="0" w:color="auto"/>
      </w:divBdr>
    </w:div>
    <w:div w:id="484053736">
      <w:bodyDiv w:val="1"/>
      <w:marLeft w:val="0"/>
      <w:marRight w:val="0"/>
      <w:marTop w:val="0"/>
      <w:marBottom w:val="0"/>
      <w:divBdr>
        <w:top w:val="none" w:sz="0" w:space="0" w:color="auto"/>
        <w:left w:val="none" w:sz="0" w:space="0" w:color="auto"/>
        <w:bottom w:val="none" w:sz="0" w:space="0" w:color="auto"/>
        <w:right w:val="none" w:sz="0" w:space="0" w:color="auto"/>
      </w:divBdr>
    </w:div>
    <w:div w:id="484861596">
      <w:bodyDiv w:val="1"/>
      <w:marLeft w:val="0"/>
      <w:marRight w:val="0"/>
      <w:marTop w:val="0"/>
      <w:marBottom w:val="0"/>
      <w:divBdr>
        <w:top w:val="none" w:sz="0" w:space="0" w:color="auto"/>
        <w:left w:val="none" w:sz="0" w:space="0" w:color="auto"/>
        <w:bottom w:val="none" w:sz="0" w:space="0" w:color="auto"/>
        <w:right w:val="none" w:sz="0" w:space="0" w:color="auto"/>
      </w:divBdr>
    </w:div>
    <w:div w:id="485826349">
      <w:bodyDiv w:val="1"/>
      <w:marLeft w:val="0"/>
      <w:marRight w:val="0"/>
      <w:marTop w:val="0"/>
      <w:marBottom w:val="0"/>
      <w:divBdr>
        <w:top w:val="none" w:sz="0" w:space="0" w:color="auto"/>
        <w:left w:val="none" w:sz="0" w:space="0" w:color="auto"/>
        <w:bottom w:val="none" w:sz="0" w:space="0" w:color="auto"/>
        <w:right w:val="none" w:sz="0" w:space="0" w:color="auto"/>
      </w:divBdr>
    </w:div>
    <w:div w:id="486820579">
      <w:bodyDiv w:val="1"/>
      <w:marLeft w:val="0"/>
      <w:marRight w:val="0"/>
      <w:marTop w:val="0"/>
      <w:marBottom w:val="0"/>
      <w:divBdr>
        <w:top w:val="none" w:sz="0" w:space="0" w:color="auto"/>
        <w:left w:val="none" w:sz="0" w:space="0" w:color="auto"/>
        <w:bottom w:val="none" w:sz="0" w:space="0" w:color="auto"/>
        <w:right w:val="none" w:sz="0" w:space="0" w:color="auto"/>
      </w:divBdr>
    </w:div>
    <w:div w:id="486942760">
      <w:bodyDiv w:val="1"/>
      <w:marLeft w:val="0"/>
      <w:marRight w:val="0"/>
      <w:marTop w:val="0"/>
      <w:marBottom w:val="0"/>
      <w:divBdr>
        <w:top w:val="none" w:sz="0" w:space="0" w:color="auto"/>
        <w:left w:val="none" w:sz="0" w:space="0" w:color="auto"/>
        <w:bottom w:val="none" w:sz="0" w:space="0" w:color="auto"/>
        <w:right w:val="none" w:sz="0" w:space="0" w:color="auto"/>
      </w:divBdr>
    </w:div>
    <w:div w:id="487941519">
      <w:bodyDiv w:val="1"/>
      <w:marLeft w:val="0"/>
      <w:marRight w:val="0"/>
      <w:marTop w:val="0"/>
      <w:marBottom w:val="0"/>
      <w:divBdr>
        <w:top w:val="none" w:sz="0" w:space="0" w:color="auto"/>
        <w:left w:val="none" w:sz="0" w:space="0" w:color="auto"/>
        <w:bottom w:val="none" w:sz="0" w:space="0" w:color="auto"/>
        <w:right w:val="none" w:sz="0" w:space="0" w:color="auto"/>
      </w:divBdr>
    </w:div>
    <w:div w:id="490145673">
      <w:bodyDiv w:val="1"/>
      <w:marLeft w:val="0"/>
      <w:marRight w:val="0"/>
      <w:marTop w:val="0"/>
      <w:marBottom w:val="0"/>
      <w:divBdr>
        <w:top w:val="none" w:sz="0" w:space="0" w:color="auto"/>
        <w:left w:val="none" w:sz="0" w:space="0" w:color="auto"/>
        <w:bottom w:val="none" w:sz="0" w:space="0" w:color="auto"/>
        <w:right w:val="none" w:sz="0" w:space="0" w:color="auto"/>
      </w:divBdr>
    </w:div>
    <w:div w:id="490411375">
      <w:bodyDiv w:val="1"/>
      <w:marLeft w:val="0"/>
      <w:marRight w:val="0"/>
      <w:marTop w:val="0"/>
      <w:marBottom w:val="0"/>
      <w:divBdr>
        <w:top w:val="none" w:sz="0" w:space="0" w:color="auto"/>
        <w:left w:val="none" w:sz="0" w:space="0" w:color="auto"/>
        <w:bottom w:val="none" w:sz="0" w:space="0" w:color="auto"/>
        <w:right w:val="none" w:sz="0" w:space="0" w:color="auto"/>
      </w:divBdr>
    </w:div>
    <w:div w:id="491070021">
      <w:bodyDiv w:val="1"/>
      <w:marLeft w:val="0"/>
      <w:marRight w:val="0"/>
      <w:marTop w:val="0"/>
      <w:marBottom w:val="0"/>
      <w:divBdr>
        <w:top w:val="none" w:sz="0" w:space="0" w:color="auto"/>
        <w:left w:val="none" w:sz="0" w:space="0" w:color="auto"/>
        <w:bottom w:val="none" w:sz="0" w:space="0" w:color="auto"/>
        <w:right w:val="none" w:sz="0" w:space="0" w:color="auto"/>
      </w:divBdr>
    </w:div>
    <w:div w:id="492258740">
      <w:bodyDiv w:val="1"/>
      <w:marLeft w:val="0"/>
      <w:marRight w:val="0"/>
      <w:marTop w:val="0"/>
      <w:marBottom w:val="0"/>
      <w:divBdr>
        <w:top w:val="none" w:sz="0" w:space="0" w:color="auto"/>
        <w:left w:val="none" w:sz="0" w:space="0" w:color="auto"/>
        <w:bottom w:val="none" w:sz="0" w:space="0" w:color="auto"/>
        <w:right w:val="none" w:sz="0" w:space="0" w:color="auto"/>
      </w:divBdr>
    </w:div>
    <w:div w:id="492374270">
      <w:bodyDiv w:val="1"/>
      <w:marLeft w:val="0"/>
      <w:marRight w:val="0"/>
      <w:marTop w:val="0"/>
      <w:marBottom w:val="0"/>
      <w:divBdr>
        <w:top w:val="none" w:sz="0" w:space="0" w:color="auto"/>
        <w:left w:val="none" w:sz="0" w:space="0" w:color="auto"/>
        <w:bottom w:val="none" w:sz="0" w:space="0" w:color="auto"/>
        <w:right w:val="none" w:sz="0" w:space="0" w:color="auto"/>
      </w:divBdr>
    </w:div>
    <w:div w:id="494956396">
      <w:bodyDiv w:val="1"/>
      <w:marLeft w:val="0"/>
      <w:marRight w:val="0"/>
      <w:marTop w:val="0"/>
      <w:marBottom w:val="0"/>
      <w:divBdr>
        <w:top w:val="none" w:sz="0" w:space="0" w:color="auto"/>
        <w:left w:val="none" w:sz="0" w:space="0" w:color="auto"/>
        <w:bottom w:val="none" w:sz="0" w:space="0" w:color="auto"/>
        <w:right w:val="none" w:sz="0" w:space="0" w:color="auto"/>
      </w:divBdr>
    </w:div>
    <w:div w:id="495654221">
      <w:bodyDiv w:val="1"/>
      <w:marLeft w:val="0"/>
      <w:marRight w:val="0"/>
      <w:marTop w:val="0"/>
      <w:marBottom w:val="0"/>
      <w:divBdr>
        <w:top w:val="none" w:sz="0" w:space="0" w:color="auto"/>
        <w:left w:val="none" w:sz="0" w:space="0" w:color="auto"/>
        <w:bottom w:val="none" w:sz="0" w:space="0" w:color="auto"/>
        <w:right w:val="none" w:sz="0" w:space="0" w:color="auto"/>
      </w:divBdr>
    </w:div>
    <w:div w:id="495725642">
      <w:bodyDiv w:val="1"/>
      <w:marLeft w:val="0"/>
      <w:marRight w:val="0"/>
      <w:marTop w:val="0"/>
      <w:marBottom w:val="0"/>
      <w:divBdr>
        <w:top w:val="none" w:sz="0" w:space="0" w:color="auto"/>
        <w:left w:val="none" w:sz="0" w:space="0" w:color="auto"/>
        <w:bottom w:val="none" w:sz="0" w:space="0" w:color="auto"/>
        <w:right w:val="none" w:sz="0" w:space="0" w:color="auto"/>
      </w:divBdr>
    </w:div>
    <w:div w:id="496506875">
      <w:bodyDiv w:val="1"/>
      <w:marLeft w:val="0"/>
      <w:marRight w:val="0"/>
      <w:marTop w:val="0"/>
      <w:marBottom w:val="0"/>
      <w:divBdr>
        <w:top w:val="none" w:sz="0" w:space="0" w:color="auto"/>
        <w:left w:val="none" w:sz="0" w:space="0" w:color="auto"/>
        <w:bottom w:val="none" w:sz="0" w:space="0" w:color="auto"/>
        <w:right w:val="none" w:sz="0" w:space="0" w:color="auto"/>
      </w:divBdr>
    </w:div>
    <w:div w:id="496656639">
      <w:bodyDiv w:val="1"/>
      <w:marLeft w:val="0"/>
      <w:marRight w:val="0"/>
      <w:marTop w:val="0"/>
      <w:marBottom w:val="0"/>
      <w:divBdr>
        <w:top w:val="none" w:sz="0" w:space="0" w:color="auto"/>
        <w:left w:val="none" w:sz="0" w:space="0" w:color="auto"/>
        <w:bottom w:val="none" w:sz="0" w:space="0" w:color="auto"/>
        <w:right w:val="none" w:sz="0" w:space="0" w:color="auto"/>
      </w:divBdr>
    </w:div>
    <w:div w:id="497043945">
      <w:bodyDiv w:val="1"/>
      <w:marLeft w:val="0"/>
      <w:marRight w:val="0"/>
      <w:marTop w:val="0"/>
      <w:marBottom w:val="0"/>
      <w:divBdr>
        <w:top w:val="none" w:sz="0" w:space="0" w:color="auto"/>
        <w:left w:val="none" w:sz="0" w:space="0" w:color="auto"/>
        <w:bottom w:val="none" w:sz="0" w:space="0" w:color="auto"/>
        <w:right w:val="none" w:sz="0" w:space="0" w:color="auto"/>
      </w:divBdr>
    </w:div>
    <w:div w:id="498496285">
      <w:bodyDiv w:val="1"/>
      <w:marLeft w:val="0"/>
      <w:marRight w:val="0"/>
      <w:marTop w:val="0"/>
      <w:marBottom w:val="0"/>
      <w:divBdr>
        <w:top w:val="none" w:sz="0" w:space="0" w:color="auto"/>
        <w:left w:val="none" w:sz="0" w:space="0" w:color="auto"/>
        <w:bottom w:val="none" w:sz="0" w:space="0" w:color="auto"/>
        <w:right w:val="none" w:sz="0" w:space="0" w:color="auto"/>
      </w:divBdr>
    </w:div>
    <w:div w:id="499928591">
      <w:bodyDiv w:val="1"/>
      <w:marLeft w:val="0"/>
      <w:marRight w:val="0"/>
      <w:marTop w:val="0"/>
      <w:marBottom w:val="0"/>
      <w:divBdr>
        <w:top w:val="none" w:sz="0" w:space="0" w:color="auto"/>
        <w:left w:val="none" w:sz="0" w:space="0" w:color="auto"/>
        <w:bottom w:val="none" w:sz="0" w:space="0" w:color="auto"/>
        <w:right w:val="none" w:sz="0" w:space="0" w:color="auto"/>
      </w:divBdr>
    </w:div>
    <w:div w:id="500006532">
      <w:bodyDiv w:val="1"/>
      <w:marLeft w:val="0"/>
      <w:marRight w:val="0"/>
      <w:marTop w:val="0"/>
      <w:marBottom w:val="0"/>
      <w:divBdr>
        <w:top w:val="none" w:sz="0" w:space="0" w:color="auto"/>
        <w:left w:val="none" w:sz="0" w:space="0" w:color="auto"/>
        <w:bottom w:val="none" w:sz="0" w:space="0" w:color="auto"/>
        <w:right w:val="none" w:sz="0" w:space="0" w:color="auto"/>
      </w:divBdr>
    </w:div>
    <w:div w:id="500242052">
      <w:bodyDiv w:val="1"/>
      <w:marLeft w:val="0"/>
      <w:marRight w:val="0"/>
      <w:marTop w:val="0"/>
      <w:marBottom w:val="0"/>
      <w:divBdr>
        <w:top w:val="none" w:sz="0" w:space="0" w:color="auto"/>
        <w:left w:val="none" w:sz="0" w:space="0" w:color="auto"/>
        <w:bottom w:val="none" w:sz="0" w:space="0" w:color="auto"/>
        <w:right w:val="none" w:sz="0" w:space="0" w:color="auto"/>
      </w:divBdr>
    </w:div>
    <w:div w:id="501436212">
      <w:bodyDiv w:val="1"/>
      <w:marLeft w:val="0"/>
      <w:marRight w:val="0"/>
      <w:marTop w:val="0"/>
      <w:marBottom w:val="0"/>
      <w:divBdr>
        <w:top w:val="none" w:sz="0" w:space="0" w:color="auto"/>
        <w:left w:val="none" w:sz="0" w:space="0" w:color="auto"/>
        <w:bottom w:val="none" w:sz="0" w:space="0" w:color="auto"/>
        <w:right w:val="none" w:sz="0" w:space="0" w:color="auto"/>
      </w:divBdr>
    </w:div>
    <w:div w:id="505050863">
      <w:bodyDiv w:val="1"/>
      <w:marLeft w:val="0"/>
      <w:marRight w:val="0"/>
      <w:marTop w:val="0"/>
      <w:marBottom w:val="0"/>
      <w:divBdr>
        <w:top w:val="none" w:sz="0" w:space="0" w:color="auto"/>
        <w:left w:val="none" w:sz="0" w:space="0" w:color="auto"/>
        <w:bottom w:val="none" w:sz="0" w:space="0" w:color="auto"/>
        <w:right w:val="none" w:sz="0" w:space="0" w:color="auto"/>
      </w:divBdr>
    </w:div>
    <w:div w:id="505904787">
      <w:bodyDiv w:val="1"/>
      <w:marLeft w:val="0"/>
      <w:marRight w:val="0"/>
      <w:marTop w:val="0"/>
      <w:marBottom w:val="0"/>
      <w:divBdr>
        <w:top w:val="none" w:sz="0" w:space="0" w:color="auto"/>
        <w:left w:val="none" w:sz="0" w:space="0" w:color="auto"/>
        <w:bottom w:val="none" w:sz="0" w:space="0" w:color="auto"/>
        <w:right w:val="none" w:sz="0" w:space="0" w:color="auto"/>
      </w:divBdr>
    </w:div>
    <w:div w:id="506137902">
      <w:bodyDiv w:val="1"/>
      <w:marLeft w:val="0"/>
      <w:marRight w:val="0"/>
      <w:marTop w:val="0"/>
      <w:marBottom w:val="0"/>
      <w:divBdr>
        <w:top w:val="none" w:sz="0" w:space="0" w:color="auto"/>
        <w:left w:val="none" w:sz="0" w:space="0" w:color="auto"/>
        <w:bottom w:val="none" w:sz="0" w:space="0" w:color="auto"/>
        <w:right w:val="none" w:sz="0" w:space="0" w:color="auto"/>
      </w:divBdr>
    </w:div>
    <w:div w:id="508252118">
      <w:bodyDiv w:val="1"/>
      <w:marLeft w:val="0"/>
      <w:marRight w:val="0"/>
      <w:marTop w:val="0"/>
      <w:marBottom w:val="0"/>
      <w:divBdr>
        <w:top w:val="none" w:sz="0" w:space="0" w:color="auto"/>
        <w:left w:val="none" w:sz="0" w:space="0" w:color="auto"/>
        <w:bottom w:val="none" w:sz="0" w:space="0" w:color="auto"/>
        <w:right w:val="none" w:sz="0" w:space="0" w:color="auto"/>
      </w:divBdr>
    </w:div>
    <w:div w:id="508763282">
      <w:bodyDiv w:val="1"/>
      <w:marLeft w:val="0"/>
      <w:marRight w:val="0"/>
      <w:marTop w:val="0"/>
      <w:marBottom w:val="0"/>
      <w:divBdr>
        <w:top w:val="none" w:sz="0" w:space="0" w:color="auto"/>
        <w:left w:val="none" w:sz="0" w:space="0" w:color="auto"/>
        <w:bottom w:val="none" w:sz="0" w:space="0" w:color="auto"/>
        <w:right w:val="none" w:sz="0" w:space="0" w:color="auto"/>
      </w:divBdr>
    </w:div>
    <w:div w:id="511604046">
      <w:bodyDiv w:val="1"/>
      <w:marLeft w:val="0"/>
      <w:marRight w:val="0"/>
      <w:marTop w:val="0"/>
      <w:marBottom w:val="0"/>
      <w:divBdr>
        <w:top w:val="none" w:sz="0" w:space="0" w:color="auto"/>
        <w:left w:val="none" w:sz="0" w:space="0" w:color="auto"/>
        <w:bottom w:val="none" w:sz="0" w:space="0" w:color="auto"/>
        <w:right w:val="none" w:sz="0" w:space="0" w:color="auto"/>
      </w:divBdr>
    </w:div>
    <w:div w:id="512719728">
      <w:bodyDiv w:val="1"/>
      <w:marLeft w:val="0"/>
      <w:marRight w:val="0"/>
      <w:marTop w:val="0"/>
      <w:marBottom w:val="0"/>
      <w:divBdr>
        <w:top w:val="none" w:sz="0" w:space="0" w:color="auto"/>
        <w:left w:val="none" w:sz="0" w:space="0" w:color="auto"/>
        <w:bottom w:val="none" w:sz="0" w:space="0" w:color="auto"/>
        <w:right w:val="none" w:sz="0" w:space="0" w:color="auto"/>
      </w:divBdr>
    </w:div>
    <w:div w:id="513883689">
      <w:bodyDiv w:val="1"/>
      <w:marLeft w:val="0"/>
      <w:marRight w:val="0"/>
      <w:marTop w:val="0"/>
      <w:marBottom w:val="0"/>
      <w:divBdr>
        <w:top w:val="none" w:sz="0" w:space="0" w:color="auto"/>
        <w:left w:val="none" w:sz="0" w:space="0" w:color="auto"/>
        <w:bottom w:val="none" w:sz="0" w:space="0" w:color="auto"/>
        <w:right w:val="none" w:sz="0" w:space="0" w:color="auto"/>
      </w:divBdr>
    </w:div>
    <w:div w:id="513961988">
      <w:bodyDiv w:val="1"/>
      <w:marLeft w:val="0"/>
      <w:marRight w:val="0"/>
      <w:marTop w:val="0"/>
      <w:marBottom w:val="0"/>
      <w:divBdr>
        <w:top w:val="none" w:sz="0" w:space="0" w:color="auto"/>
        <w:left w:val="none" w:sz="0" w:space="0" w:color="auto"/>
        <w:bottom w:val="none" w:sz="0" w:space="0" w:color="auto"/>
        <w:right w:val="none" w:sz="0" w:space="0" w:color="auto"/>
      </w:divBdr>
    </w:div>
    <w:div w:id="514268744">
      <w:bodyDiv w:val="1"/>
      <w:marLeft w:val="0"/>
      <w:marRight w:val="0"/>
      <w:marTop w:val="0"/>
      <w:marBottom w:val="0"/>
      <w:divBdr>
        <w:top w:val="none" w:sz="0" w:space="0" w:color="auto"/>
        <w:left w:val="none" w:sz="0" w:space="0" w:color="auto"/>
        <w:bottom w:val="none" w:sz="0" w:space="0" w:color="auto"/>
        <w:right w:val="none" w:sz="0" w:space="0" w:color="auto"/>
      </w:divBdr>
    </w:div>
    <w:div w:id="514466790">
      <w:bodyDiv w:val="1"/>
      <w:marLeft w:val="0"/>
      <w:marRight w:val="0"/>
      <w:marTop w:val="0"/>
      <w:marBottom w:val="0"/>
      <w:divBdr>
        <w:top w:val="none" w:sz="0" w:space="0" w:color="auto"/>
        <w:left w:val="none" w:sz="0" w:space="0" w:color="auto"/>
        <w:bottom w:val="none" w:sz="0" w:space="0" w:color="auto"/>
        <w:right w:val="none" w:sz="0" w:space="0" w:color="auto"/>
      </w:divBdr>
    </w:div>
    <w:div w:id="515000548">
      <w:bodyDiv w:val="1"/>
      <w:marLeft w:val="0"/>
      <w:marRight w:val="0"/>
      <w:marTop w:val="0"/>
      <w:marBottom w:val="0"/>
      <w:divBdr>
        <w:top w:val="none" w:sz="0" w:space="0" w:color="auto"/>
        <w:left w:val="none" w:sz="0" w:space="0" w:color="auto"/>
        <w:bottom w:val="none" w:sz="0" w:space="0" w:color="auto"/>
        <w:right w:val="none" w:sz="0" w:space="0" w:color="auto"/>
      </w:divBdr>
    </w:div>
    <w:div w:id="517352706">
      <w:bodyDiv w:val="1"/>
      <w:marLeft w:val="0"/>
      <w:marRight w:val="0"/>
      <w:marTop w:val="0"/>
      <w:marBottom w:val="0"/>
      <w:divBdr>
        <w:top w:val="none" w:sz="0" w:space="0" w:color="auto"/>
        <w:left w:val="none" w:sz="0" w:space="0" w:color="auto"/>
        <w:bottom w:val="none" w:sz="0" w:space="0" w:color="auto"/>
        <w:right w:val="none" w:sz="0" w:space="0" w:color="auto"/>
      </w:divBdr>
    </w:div>
    <w:div w:id="518618898">
      <w:bodyDiv w:val="1"/>
      <w:marLeft w:val="0"/>
      <w:marRight w:val="0"/>
      <w:marTop w:val="0"/>
      <w:marBottom w:val="0"/>
      <w:divBdr>
        <w:top w:val="none" w:sz="0" w:space="0" w:color="auto"/>
        <w:left w:val="none" w:sz="0" w:space="0" w:color="auto"/>
        <w:bottom w:val="none" w:sz="0" w:space="0" w:color="auto"/>
        <w:right w:val="none" w:sz="0" w:space="0" w:color="auto"/>
      </w:divBdr>
    </w:div>
    <w:div w:id="518783030">
      <w:bodyDiv w:val="1"/>
      <w:marLeft w:val="0"/>
      <w:marRight w:val="0"/>
      <w:marTop w:val="0"/>
      <w:marBottom w:val="0"/>
      <w:divBdr>
        <w:top w:val="none" w:sz="0" w:space="0" w:color="auto"/>
        <w:left w:val="none" w:sz="0" w:space="0" w:color="auto"/>
        <w:bottom w:val="none" w:sz="0" w:space="0" w:color="auto"/>
        <w:right w:val="none" w:sz="0" w:space="0" w:color="auto"/>
      </w:divBdr>
    </w:div>
    <w:div w:id="519007304">
      <w:bodyDiv w:val="1"/>
      <w:marLeft w:val="0"/>
      <w:marRight w:val="0"/>
      <w:marTop w:val="0"/>
      <w:marBottom w:val="0"/>
      <w:divBdr>
        <w:top w:val="none" w:sz="0" w:space="0" w:color="auto"/>
        <w:left w:val="none" w:sz="0" w:space="0" w:color="auto"/>
        <w:bottom w:val="none" w:sz="0" w:space="0" w:color="auto"/>
        <w:right w:val="none" w:sz="0" w:space="0" w:color="auto"/>
      </w:divBdr>
    </w:div>
    <w:div w:id="520894660">
      <w:bodyDiv w:val="1"/>
      <w:marLeft w:val="0"/>
      <w:marRight w:val="0"/>
      <w:marTop w:val="0"/>
      <w:marBottom w:val="0"/>
      <w:divBdr>
        <w:top w:val="none" w:sz="0" w:space="0" w:color="auto"/>
        <w:left w:val="none" w:sz="0" w:space="0" w:color="auto"/>
        <w:bottom w:val="none" w:sz="0" w:space="0" w:color="auto"/>
        <w:right w:val="none" w:sz="0" w:space="0" w:color="auto"/>
      </w:divBdr>
    </w:div>
    <w:div w:id="521745681">
      <w:bodyDiv w:val="1"/>
      <w:marLeft w:val="0"/>
      <w:marRight w:val="0"/>
      <w:marTop w:val="0"/>
      <w:marBottom w:val="0"/>
      <w:divBdr>
        <w:top w:val="none" w:sz="0" w:space="0" w:color="auto"/>
        <w:left w:val="none" w:sz="0" w:space="0" w:color="auto"/>
        <w:bottom w:val="none" w:sz="0" w:space="0" w:color="auto"/>
        <w:right w:val="none" w:sz="0" w:space="0" w:color="auto"/>
      </w:divBdr>
    </w:div>
    <w:div w:id="522402263">
      <w:bodyDiv w:val="1"/>
      <w:marLeft w:val="0"/>
      <w:marRight w:val="0"/>
      <w:marTop w:val="0"/>
      <w:marBottom w:val="0"/>
      <w:divBdr>
        <w:top w:val="none" w:sz="0" w:space="0" w:color="auto"/>
        <w:left w:val="none" w:sz="0" w:space="0" w:color="auto"/>
        <w:bottom w:val="none" w:sz="0" w:space="0" w:color="auto"/>
        <w:right w:val="none" w:sz="0" w:space="0" w:color="auto"/>
      </w:divBdr>
    </w:div>
    <w:div w:id="522863299">
      <w:bodyDiv w:val="1"/>
      <w:marLeft w:val="0"/>
      <w:marRight w:val="0"/>
      <w:marTop w:val="0"/>
      <w:marBottom w:val="0"/>
      <w:divBdr>
        <w:top w:val="none" w:sz="0" w:space="0" w:color="auto"/>
        <w:left w:val="none" w:sz="0" w:space="0" w:color="auto"/>
        <w:bottom w:val="none" w:sz="0" w:space="0" w:color="auto"/>
        <w:right w:val="none" w:sz="0" w:space="0" w:color="auto"/>
      </w:divBdr>
    </w:div>
    <w:div w:id="526722894">
      <w:bodyDiv w:val="1"/>
      <w:marLeft w:val="0"/>
      <w:marRight w:val="0"/>
      <w:marTop w:val="0"/>
      <w:marBottom w:val="0"/>
      <w:divBdr>
        <w:top w:val="none" w:sz="0" w:space="0" w:color="auto"/>
        <w:left w:val="none" w:sz="0" w:space="0" w:color="auto"/>
        <w:bottom w:val="none" w:sz="0" w:space="0" w:color="auto"/>
        <w:right w:val="none" w:sz="0" w:space="0" w:color="auto"/>
      </w:divBdr>
    </w:div>
    <w:div w:id="527181751">
      <w:bodyDiv w:val="1"/>
      <w:marLeft w:val="0"/>
      <w:marRight w:val="0"/>
      <w:marTop w:val="0"/>
      <w:marBottom w:val="0"/>
      <w:divBdr>
        <w:top w:val="none" w:sz="0" w:space="0" w:color="auto"/>
        <w:left w:val="none" w:sz="0" w:space="0" w:color="auto"/>
        <w:bottom w:val="none" w:sz="0" w:space="0" w:color="auto"/>
        <w:right w:val="none" w:sz="0" w:space="0" w:color="auto"/>
      </w:divBdr>
    </w:div>
    <w:div w:id="528296647">
      <w:bodyDiv w:val="1"/>
      <w:marLeft w:val="0"/>
      <w:marRight w:val="0"/>
      <w:marTop w:val="0"/>
      <w:marBottom w:val="0"/>
      <w:divBdr>
        <w:top w:val="none" w:sz="0" w:space="0" w:color="auto"/>
        <w:left w:val="none" w:sz="0" w:space="0" w:color="auto"/>
        <w:bottom w:val="none" w:sz="0" w:space="0" w:color="auto"/>
        <w:right w:val="none" w:sz="0" w:space="0" w:color="auto"/>
      </w:divBdr>
    </w:div>
    <w:div w:id="528687101">
      <w:bodyDiv w:val="1"/>
      <w:marLeft w:val="0"/>
      <w:marRight w:val="0"/>
      <w:marTop w:val="0"/>
      <w:marBottom w:val="0"/>
      <w:divBdr>
        <w:top w:val="none" w:sz="0" w:space="0" w:color="auto"/>
        <w:left w:val="none" w:sz="0" w:space="0" w:color="auto"/>
        <w:bottom w:val="none" w:sz="0" w:space="0" w:color="auto"/>
        <w:right w:val="none" w:sz="0" w:space="0" w:color="auto"/>
      </w:divBdr>
    </w:div>
    <w:div w:id="530798173">
      <w:bodyDiv w:val="1"/>
      <w:marLeft w:val="0"/>
      <w:marRight w:val="0"/>
      <w:marTop w:val="0"/>
      <w:marBottom w:val="0"/>
      <w:divBdr>
        <w:top w:val="none" w:sz="0" w:space="0" w:color="auto"/>
        <w:left w:val="none" w:sz="0" w:space="0" w:color="auto"/>
        <w:bottom w:val="none" w:sz="0" w:space="0" w:color="auto"/>
        <w:right w:val="none" w:sz="0" w:space="0" w:color="auto"/>
      </w:divBdr>
    </w:div>
    <w:div w:id="533009245">
      <w:bodyDiv w:val="1"/>
      <w:marLeft w:val="0"/>
      <w:marRight w:val="0"/>
      <w:marTop w:val="0"/>
      <w:marBottom w:val="0"/>
      <w:divBdr>
        <w:top w:val="none" w:sz="0" w:space="0" w:color="auto"/>
        <w:left w:val="none" w:sz="0" w:space="0" w:color="auto"/>
        <w:bottom w:val="none" w:sz="0" w:space="0" w:color="auto"/>
        <w:right w:val="none" w:sz="0" w:space="0" w:color="auto"/>
      </w:divBdr>
    </w:div>
    <w:div w:id="535238671">
      <w:bodyDiv w:val="1"/>
      <w:marLeft w:val="0"/>
      <w:marRight w:val="0"/>
      <w:marTop w:val="0"/>
      <w:marBottom w:val="0"/>
      <w:divBdr>
        <w:top w:val="none" w:sz="0" w:space="0" w:color="auto"/>
        <w:left w:val="none" w:sz="0" w:space="0" w:color="auto"/>
        <w:bottom w:val="none" w:sz="0" w:space="0" w:color="auto"/>
        <w:right w:val="none" w:sz="0" w:space="0" w:color="auto"/>
      </w:divBdr>
    </w:div>
    <w:div w:id="536089147">
      <w:bodyDiv w:val="1"/>
      <w:marLeft w:val="0"/>
      <w:marRight w:val="0"/>
      <w:marTop w:val="0"/>
      <w:marBottom w:val="0"/>
      <w:divBdr>
        <w:top w:val="none" w:sz="0" w:space="0" w:color="auto"/>
        <w:left w:val="none" w:sz="0" w:space="0" w:color="auto"/>
        <w:bottom w:val="none" w:sz="0" w:space="0" w:color="auto"/>
        <w:right w:val="none" w:sz="0" w:space="0" w:color="auto"/>
      </w:divBdr>
    </w:div>
    <w:div w:id="536508050">
      <w:bodyDiv w:val="1"/>
      <w:marLeft w:val="0"/>
      <w:marRight w:val="0"/>
      <w:marTop w:val="0"/>
      <w:marBottom w:val="0"/>
      <w:divBdr>
        <w:top w:val="none" w:sz="0" w:space="0" w:color="auto"/>
        <w:left w:val="none" w:sz="0" w:space="0" w:color="auto"/>
        <w:bottom w:val="none" w:sz="0" w:space="0" w:color="auto"/>
        <w:right w:val="none" w:sz="0" w:space="0" w:color="auto"/>
      </w:divBdr>
    </w:div>
    <w:div w:id="537206438">
      <w:bodyDiv w:val="1"/>
      <w:marLeft w:val="0"/>
      <w:marRight w:val="0"/>
      <w:marTop w:val="0"/>
      <w:marBottom w:val="0"/>
      <w:divBdr>
        <w:top w:val="none" w:sz="0" w:space="0" w:color="auto"/>
        <w:left w:val="none" w:sz="0" w:space="0" w:color="auto"/>
        <w:bottom w:val="none" w:sz="0" w:space="0" w:color="auto"/>
        <w:right w:val="none" w:sz="0" w:space="0" w:color="auto"/>
      </w:divBdr>
    </w:div>
    <w:div w:id="539173424">
      <w:bodyDiv w:val="1"/>
      <w:marLeft w:val="0"/>
      <w:marRight w:val="0"/>
      <w:marTop w:val="0"/>
      <w:marBottom w:val="0"/>
      <w:divBdr>
        <w:top w:val="none" w:sz="0" w:space="0" w:color="auto"/>
        <w:left w:val="none" w:sz="0" w:space="0" w:color="auto"/>
        <w:bottom w:val="none" w:sz="0" w:space="0" w:color="auto"/>
        <w:right w:val="none" w:sz="0" w:space="0" w:color="auto"/>
      </w:divBdr>
    </w:div>
    <w:div w:id="539322886">
      <w:bodyDiv w:val="1"/>
      <w:marLeft w:val="0"/>
      <w:marRight w:val="0"/>
      <w:marTop w:val="0"/>
      <w:marBottom w:val="0"/>
      <w:divBdr>
        <w:top w:val="none" w:sz="0" w:space="0" w:color="auto"/>
        <w:left w:val="none" w:sz="0" w:space="0" w:color="auto"/>
        <w:bottom w:val="none" w:sz="0" w:space="0" w:color="auto"/>
        <w:right w:val="none" w:sz="0" w:space="0" w:color="auto"/>
      </w:divBdr>
    </w:div>
    <w:div w:id="540440403">
      <w:bodyDiv w:val="1"/>
      <w:marLeft w:val="0"/>
      <w:marRight w:val="0"/>
      <w:marTop w:val="0"/>
      <w:marBottom w:val="0"/>
      <w:divBdr>
        <w:top w:val="none" w:sz="0" w:space="0" w:color="auto"/>
        <w:left w:val="none" w:sz="0" w:space="0" w:color="auto"/>
        <w:bottom w:val="none" w:sz="0" w:space="0" w:color="auto"/>
        <w:right w:val="none" w:sz="0" w:space="0" w:color="auto"/>
      </w:divBdr>
    </w:div>
    <w:div w:id="541596745">
      <w:bodyDiv w:val="1"/>
      <w:marLeft w:val="0"/>
      <w:marRight w:val="0"/>
      <w:marTop w:val="0"/>
      <w:marBottom w:val="0"/>
      <w:divBdr>
        <w:top w:val="none" w:sz="0" w:space="0" w:color="auto"/>
        <w:left w:val="none" w:sz="0" w:space="0" w:color="auto"/>
        <w:bottom w:val="none" w:sz="0" w:space="0" w:color="auto"/>
        <w:right w:val="none" w:sz="0" w:space="0" w:color="auto"/>
      </w:divBdr>
    </w:div>
    <w:div w:id="541670120">
      <w:bodyDiv w:val="1"/>
      <w:marLeft w:val="0"/>
      <w:marRight w:val="0"/>
      <w:marTop w:val="0"/>
      <w:marBottom w:val="0"/>
      <w:divBdr>
        <w:top w:val="none" w:sz="0" w:space="0" w:color="auto"/>
        <w:left w:val="none" w:sz="0" w:space="0" w:color="auto"/>
        <w:bottom w:val="none" w:sz="0" w:space="0" w:color="auto"/>
        <w:right w:val="none" w:sz="0" w:space="0" w:color="auto"/>
      </w:divBdr>
    </w:div>
    <w:div w:id="542451299">
      <w:bodyDiv w:val="1"/>
      <w:marLeft w:val="0"/>
      <w:marRight w:val="0"/>
      <w:marTop w:val="0"/>
      <w:marBottom w:val="0"/>
      <w:divBdr>
        <w:top w:val="none" w:sz="0" w:space="0" w:color="auto"/>
        <w:left w:val="none" w:sz="0" w:space="0" w:color="auto"/>
        <w:bottom w:val="none" w:sz="0" w:space="0" w:color="auto"/>
        <w:right w:val="none" w:sz="0" w:space="0" w:color="auto"/>
      </w:divBdr>
    </w:div>
    <w:div w:id="542522045">
      <w:bodyDiv w:val="1"/>
      <w:marLeft w:val="0"/>
      <w:marRight w:val="0"/>
      <w:marTop w:val="0"/>
      <w:marBottom w:val="0"/>
      <w:divBdr>
        <w:top w:val="none" w:sz="0" w:space="0" w:color="auto"/>
        <w:left w:val="none" w:sz="0" w:space="0" w:color="auto"/>
        <w:bottom w:val="none" w:sz="0" w:space="0" w:color="auto"/>
        <w:right w:val="none" w:sz="0" w:space="0" w:color="auto"/>
      </w:divBdr>
    </w:div>
    <w:div w:id="542643047">
      <w:bodyDiv w:val="1"/>
      <w:marLeft w:val="0"/>
      <w:marRight w:val="0"/>
      <w:marTop w:val="0"/>
      <w:marBottom w:val="0"/>
      <w:divBdr>
        <w:top w:val="none" w:sz="0" w:space="0" w:color="auto"/>
        <w:left w:val="none" w:sz="0" w:space="0" w:color="auto"/>
        <w:bottom w:val="none" w:sz="0" w:space="0" w:color="auto"/>
        <w:right w:val="none" w:sz="0" w:space="0" w:color="auto"/>
      </w:divBdr>
    </w:div>
    <w:div w:id="542793538">
      <w:bodyDiv w:val="1"/>
      <w:marLeft w:val="0"/>
      <w:marRight w:val="0"/>
      <w:marTop w:val="0"/>
      <w:marBottom w:val="0"/>
      <w:divBdr>
        <w:top w:val="none" w:sz="0" w:space="0" w:color="auto"/>
        <w:left w:val="none" w:sz="0" w:space="0" w:color="auto"/>
        <w:bottom w:val="none" w:sz="0" w:space="0" w:color="auto"/>
        <w:right w:val="none" w:sz="0" w:space="0" w:color="auto"/>
      </w:divBdr>
    </w:div>
    <w:div w:id="543907141">
      <w:bodyDiv w:val="1"/>
      <w:marLeft w:val="0"/>
      <w:marRight w:val="0"/>
      <w:marTop w:val="0"/>
      <w:marBottom w:val="0"/>
      <w:divBdr>
        <w:top w:val="none" w:sz="0" w:space="0" w:color="auto"/>
        <w:left w:val="none" w:sz="0" w:space="0" w:color="auto"/>
        <w:bottom w:val="none" w:sz="0" w:space="0" w:color="auto"/>
        <w:right w:val="none" w:sz="0" w:space="0" w:color="auto"/>
      </w:divBdr>
    </w:div>
    <w:div w:id="545139147">
      <w:bodyDiv w:val="1"/>
      <w:marLeft w:val="0"/>
      <w:marRight w:val="0"/>
      <w:marTop w:val="0"/>
      <w:marBottom w:val="0"/>
      <w:divBdr>
        <w:top w:val="none" w:sz="0" w:space="0" w:color="auto"/>
        <w:left w:val="none" w:sz="0" w:space="0" w:color="auto"/>
        <w:bottom w:val="none" w:sz="0" w:space="0" w:color="auto"/>
        <w:right w:val="none" w:sz="0" w:space="0" w:color="auto"/>
      </w:divBdr>
    </w:div>
    <w:div w:id="546719933">
      <w:bodyDiv w:val="1"/>
      <w:marLeft w:val="0"/>
      <w:marRight w:val="0"/>
      <w:marTop w:val="0"/>
      <w:marBottom w:val="0"/>
      <w:divBdr>
        <w:top w:val="none" w:sz="0" w:space="0" w:color="auto"/>
        <w:left w:val="none" w:sz="0" w:space="0" w:color="auto"/>
        <w:bottom w:val="none" w:sz="0" w:space="0" w:color="auto"/>
        <w:right w:val="none" w:sz="0" w:space="0" w:color="auto"/>
      </w:divBdr>
    </w:div>
    <w:div w:id="547686791">
      <w:bodyDiv w:val="1"/>
      <w:marLeft w:val="0"/>
      <w:marRight w:val="0"/>
      <w:marTop w:val="0"/>
      <w:marBottom w:val="0"/>
      <w:divBdr>
        <w:top w:val="none" w:sz="0" w:space="0" w:color="auto"/>
        <w:left w:val="none" w:sz="0" w:space="0" w:color="auto"/>
        <w:bottom w:val="none" w:sz="0" w:space="0" w:color="auto"/>
        <w:right w:val="none" w:sz="0" w:space="0" w:color="auto"/>
      </w:divBdr>
    </w:div>
    <w:div w:id="548028406">
      <w:bodyDiv w:val="1"/>
      <w:marLeft w:val="0"/>
      <w:marRight w:val="0"/>
      <w:marTop w:val="0"/>
      <w:marBottom w:val="0"/>
      <w:divBdr>
        <w:top w:val="none" w:sz="0" w:space="0" w:color="auto"/>
        <w:left w:val="none" w:sz="0" w:space="0" w:color="auto"/>
        <w:bottom w:val="none" w:sz="0" w:space="0" w:color="auto"/>
        <w:right w:val="none" w:sz="0" w:space="0" w:color="auto"/>
      </w:divBdr>
    </w:div>
    <w:div w:id="548229080">
      <w:bodyDiv w:val="1"/>
      <w:marLeft w:val="0"/>
      <w:marRight w:val="0"/>
      <w:marTop w:val="0"/>
      <w:marBottom w:val="0"/>
      <w:divBdr>
        <w:top w:val="none" w:sz="0" w:space="0" w:color="auto"/>
        <w:left w:val="none" w:sz="0" w:space="0" w:color="auto"/>
        <w:bottom w:val="none" w:sz="0" w:space="0" w:color="auto"/>
        <w:right w:val="none" w:sz="0" w:space="0" w:color="auto"/>
      </w:divBdr>
    </w:div>
    <w:div w:id="551117781">
      <w:bodyDiv w:val="1"/>
      <w:marLeft w:val="0"/>
      <w:marRight w:val="0"/>
      <w:marTop w:val="0"/>
      <w:marBottom w:val="0"/>
      <w:divBdr>
        <w:top w:val="none" w:sz="0" w:space="0" w:color="auto"/>
        <w:left w:val="none" w:sz="0" w:space="0" w:color="auto"/>
        <w:bottom w:val="none" w:sz="0" w:space="0" w:color="auto"/>
        <w:right w:val="none" w:sz="0" w:space="0" w:color="auto"/>
      </w:divBdr>
    </w:div>
    <w:div w:id="552236301">
      <w:bodyDiv w:val="1"/>
      <w:marLeft w:val="0"/>
      <w:marRight w:val="0"/>
      <w:marTop w:val="0"/>
      <w:marBottom w:val="0"/>
      <w:divBdr>
        <w:top w:val="none" w:sz="0" w:space="0" w:color="auto"/>
        <w:left w:val="none" w:sz="0" w:space="0" w:color="auto"/>
        <w:bottom w:val="none" w:sz="0" w:space="0" w:color="auto"/>
        <w:right w:val="none" w:sz="0" w:space="0" w:color="auto"/>
      </w:divBdr>
    </w:div>
    <w:div w:id="552278129">
      <w:bodyDiv w:val="1"/>
      <w:marLeft w:val="0"/>
      <w:marRight w:val="0"/>
      <w:marTop w:val="0"/>
      <w:marBottom w:val="0"/>
      <w:divBdr>
        <w:top w:val="none" w:sz="0" w:space="0" w:color="auto"/>
        <w:left w:val="none" w:sz="0" w:space="0" w:color="auto"/>
        <w:bottom w:val="none" w:sz="0" w:space="0" w:color="auto"/>
        <w:right w:val="none" w:sz="0" w:space="0" w:color="auto"/>
      </w:divBdr>
    </w:div>
    <w:div w:id="552427045">
      <w:bodyDiv w:val="1"/>
      <w:marLeft w:val="0"/>
      <w:marRight w:val="0"/>
      <w:marTop w:val="0"/>
      <w:marBottom w:val="0"/>
      <w:divBdr>
        <w:top w:val="none" w:sz="0" w:space="0" w:color="auto"/>
        <w:left w:val="none" w:sz="0" w:space="0" w:color="auto"/>
        <w:bottom w:val="none" w:sz="0" w:space="0" w:color="auto"/>
        <w:right w:val="none" w:sz="0" w:space="0" w:color="auto"/>
      </w:divBdr>
    </w:div>
    <w:div w:id="554005634">
      <w:bodyDiv w:val="1"/>
      <w:marLeft w:val="0"/>
      <w:marRight w:val="0"/>
      <w:marTop w:val="0"/>
      <w:marBottom w:val="0"/>
      <w:divBdr>
        <w:top w:val="none" w:sz="0" w:space="0" w:color="auto"/>
        <w:left w:val="none" w:sz="0" w:space="0" w:color="auto"/>
        <w:bottom w:val="none" w:sz="0" w:space="0" w:color="auto"/>
        <w:right w:val="none" w:sz="0" w:space="0" w:color="auto"/>
      </w:divBdr>
    </w:div>
    <w:div w:id="555700226">
      <w:bodyDiv w:val="1"/>
      <w:marLeft w:val="0"/>
      <w:marRight w:val="0"/>
      <w:marTop w:val="0"/>
      <w:marBottom w:val="0"/>
      <w:divBdr>
        <w:top w:val="none" w:sz="0" w:space="0" w:color="auto"/>
        <w:left w:val="none" w:sz="0" w:space="0" w:color="auto"/>
        <w:bottom w:val="none" w:sz="0" w:space="0" w:color="auto"/>
        <w:right w:val="none" w:sz="0" w:space="0" w:color="auto"/>
      </w:divBdr>
    </w:div>
    <w:div w:id="556553656">
      <w:bodyDiv w:val="1"/>
      <w:marLeft w:val="0"/>
      <w:marRight w:val="0"/>
      <w:marTop w:val="0"/>
      <w:marBottom w:val="0"/>
      <w:divBdr>
        <w:top w:val="none" w:sz="0" w:space="0" w:color="auto"/>
        <w:left w:val="none" w:sz="0" w:space="0" w:color="auto"/>
        <w:bottom w:val="none" w:sz="0" w:space="0" w:color="auto"/>
        <w:right w:val="none" w:sz="0" w:space="0" w:color="auto"/>
      </w:divBdr>
    </w:div>
    <w:div w:id="557472821">
      <w:bodyDiv w:val="1"/>
      <w:marLeft w:val="0"/>
      <w:marRight w:val="0"/>
      <w:marTop w:val="0"/>
      <w:marBottom w:val="0"/>
      <w:divBdr>
        <w:top w:val="none" w:sz="0" w:space="0" w:color="auto"/>
        <w:left w:val="none" w:sz="0" w:space="0" w:color="auto"/>
        <w:bottom w:val="none" w:sz="0" w:space="0" w:color="auto"/>
        <w:right w:val="none" w:sz="0" w:space="0" w:color="auto"/>
      </w:divBdr>
    </w:div>
    <w:div w:id="558908073">
      <w:bodyDiv w:val="1"/>
      <w:marLeft w:val="0"/>
      <w:marRight w:val="0"/>
      <w:marTop w:val="0"/>
      <w:marBottom w:val="0"/>
      <w:divBdr>
        <w:top w:val="none" w:sz="0" w:space="0" w:color="auto"/>
        <w:left w:val="none" w:sz="0" w:space="0" w:color="auto"/>
        <w:bottom w:val="none" w:sz="0" w:space="0" w:color="auto"/>
        <w:right w:val="none" w:sz="0" w:space="0" w:color="auto"/>
      </w:divBdr>
    </w:div>
    <w:div w:id="559024982">
      <w:bodyDiv w:val="1"/>
      <w:marLeft w:val="0"/>
      <w:marRight w:val="0"/>
      <w:marTop w:val="0"/>
      <w:marBottom w:val="0"/>
      <w:divBdr>
        <w:top w:val="none" w:sz="0" w:space="0" w:color="auto"/>
        <w:left w:val="none" w:sz="0" w:space="0" w:color="auto"/>
        <w:bottom w:val="none" w:sz="0" w:space="0" w:color="auto"/>
        <w:right w:val="none" w:sz="0" w:space="0" w:color="auto"/>
      </w:divBdr>
    </w:div>
    <w:div w:id="562252165">
      <w:bodyDiv w:val="1"/>
      <w:marLeft w:val="0"/>
      <w:marRight w:val="0"/>
      <w:marTop w:val="0"/>
      <w:marBottom w:val="0"/>
      <w:divBdr>
        <w:top w:val="none" w:sz="0" w:space="0" w:color="auto"/>
        <w:left w:val="none" w:sz="0" w:space="0" w:color="auto"/>
        <w:bottom w:val="none" w:sz="0" w:space="0" w:color="auto"/>
        <w:right w:val="none" w:sz="0" w:space="0" w:color="auto"/>
      </w:divBdr>
    </w:div>
    <w:div w:id="565844736">
      <w:bodyDiv w:val="1"/>
      <w:marLeft w:val="0"/>
      <w:marRight w:val="0"/>
      <w:marTop w:val="0"/>
      <w:marBottom w:val="0"/>
      <w:divBdr>
        <w:top w:val="none" w:sz="0" w:space="0" w:color="auto"/>
        <w:left w:val="none" w:sz="0" w:space="0" w:color="auto"/>
        <w:bottom w:val="none" w:sz="0" w:space="0" w:color="auto"/>
        <w:right w:val="none" w:sz="0" w:space="0" w:color="auto"/>
      </w:divBdr>
    </w:div>
    <w:div w:id="566460028">
      <w:bodyDiv w:val="1"/>
      <w:marLeft w:val="0"/>
      <w:marRight w:val="0"/>
      <w:marTop w:val="0"/>
      <w:marBottom w:val="0"/>
      <w:divBdr>
        <w:top w:val="none" w:sz="0" w:space="0" w:color="auto"/>
        <w:left w:val="none" w:sz="0" w:space="0" w:color="auto"/>
        <w:bottom w:val="none" w:sz="0" w:space="0" w:color="auto"/>
        <w:right w:val="none" w:sz="0" w:space="0" w:color="auto"/>
      </w:divBdr>
    </w:div>
    <w:div w:id="567031118">
      <w:bodyDiv w:val="1"/>
      <w:marLeft w:val="0"/>
      <w:marRight w:val="0"/>
      <w:marTop w:val="0"/>
      <w:marBottom w:val="0"/>
      <w:divBdr>
        <w:top w:val="none" w:sz="0" w:space="0" w:color="auto"/>
        <w:left w:val="none" w:sz="0" w:space="0" w:color="auto"/>
        <w:bottom w:val="none" w:sz="0" w:space="0" w:color="auto"/>
        <w:right w:val="none" w:sz="0" w:space="0" w:color="auto"/>
      </w:divBdr>
    </w:div>
    <w:div w:id="568150083">
      <w:bodyDiv w:val="1"/>
      <w:marLeft w:val="0"/>
      <w:marRight w:val="0"/>
      <w:marTop w:val="0"/>
      <w:marBottom w:val="0"/>
      <w:divBdr>
        <w:top w:val="none" w:sz="0" w:space="0" w:color="auto"/>
        <w:left w:val="none" w:sz="0" w:space="0" w:color="auto"/>
        <w:bottom w:val="none" w:sz="0" w:space="0" w:color="auto"/>
        <w:right w:val="none" w:sz="0" w:space="0" w:color="auto"/>
      </w:divBdr>
    </w:div>
    <w:div w:id="568423098">
      <w:bodyDiv w:val="1"/>
      <w:marLeft w:val="0"/>
      <w:marRight w:val="0"/>
      <w:marTop w:val="0"/>
      <w:marBottom w:val="0"/>
      <w:divBdr>
        <w:top w:val="none" w:sz="0" w:space="0" w:color="auto"/>
        <w:left w:val="none" w:sz="0" w:space="0" w:color="auto"/>
        <w:bottom w:val="none" w:sz="0" w:space="0" w:color="auto"/>
        <w:right w:val="none" w:sz="0" w:space="0" w:color="auto"/>
      </w:divBdr>
    </w:div>
    <w:div w:id="568468889">
      <w:bodyDiv w:val="1"/>
      <w:marLeft w:val="0"/>
      <w:marRight w:val="0"/>
      <w:marTop w:val="0"/>
      <w:marBottom w:val="0"/>
      <w:divBdr>
        <w:top w:val="none" w:sz="0" w:space="0" w:color="auto"/>
        <w:left w:val="none" w:sz="0" w:space="0" w:color="auto"/>
        <w:bottom w:val="none" w:sz="0" w:space="0" w:color="auto"/>
        <w:right w:val="none" w:sz="0" w:space="0" w:color="auto"/>
      </w:divBdr>
    </w:div>
    <w:div w:id="570580218">
      <w:bodyDiv w:val="1"/>
      <w:marLeft w:val="0"/>
      <w:marRight w:val="0"/>
      <w:marTop w:val="0"/>
      <w:marBottom w:val="0"/>
      <w:divBdr>
        <w:top w:val="none" w:sz="0" w:space="0" w:color="auto"/>
        <w:left w:val="none" w:sz="0" w:space="0" w:color="auto"/>
        <w:bottom w:val="none" w:sz="0" w:space="0" w:color="auto"/>
        <w:right w:val="none" w:sz="0" w:space="0" w:color="auto"/>
      </w:divBdr>
    </w:div>
    <w:div w:id="572010644">
      <w:bodyDiv w:val="1"/>
      <w:marLeft w:val="0"/>
      <w:marRight w:val="0"/>
      <w:marTop w:val="0"/>
      <w:marBottom w:val="0"/>
      <w:divBdr>
        <w:top w:val="none" w:sz="0" w:space="0" w:color="auto"/>
        <w:left w:val="none" w:sz="0" w:space="0" w:color="auto"/>
        <w:bottom w:val="none" w:sz="0" w:space="0" w:color="auto"/>
        <w:right w:val="none" w:sz="0" w:space="0" w:color="auto"/>
      </w:divBdr>
    </w:div>
    <w:div w:id="573048311">
      <w:bodyDiv w:val="1"/>
      <w:marLeft w:val="0"/>
      <w:marRight w:val="0"/>
      <w:marTop w:val="0"/>
      <w:marBottom w:val="0"/>
      <w:divBdr>
        <w:top w:val="none" w:sz="0" w:space="0" w:color="auto"/>
        <w:left w:val="none" w:sz="0" w:space="0" w:color="auto"/>
        <w:bottom w:val="none" w:sz="0" w:space="0" w:color="auto"/>
        <w:right w:val="none" w:sz="0" w:space="0" w:color="auto"/>
      </w:divBdr>
    </w:div>
    <w:div w:id="573781020">
      <w:bodyDiv w:val="1"/>
      <w:marLeft w:val="0"/>
      <w:marRight w:val="0"/>
      <w:marTop w:val="0"/>
      <w:marBottom w:val="0"/>
      <w:divBdr>
        <w:top w:val="none" w:sz="0" w:space="0" w:color="auto"/>
        <w:left w:val="none" w:sz="0" w:space="0" w:color="auto"/>
        <w:bottom w:val="none" w:sz="0" w:space="0" w:color="auto"/>
        <w:right w:val="none" w:sz="0" w:space="0" w:color="auto"/>
      </w:divBdr>
    </w:div>
    <w:div w:id="574322662">
      <w:bodyDiv w:val="1"/>
      <w:marLeft w:val="0"/>
      <w:marRight w:val="0"/>
      <w:marTop w:val="0"/>
      <w:marBottom w:val="0"/>
      <w:divBdr>
        <w:top w:val="none" w:sz="0" w:space="0" w:color="auto"/>
        <w:left w:val="none" w:sz="0" w:space="0" w:color="auto"/>
        <w:bottom w:val="none" w:sz="0" w:space="0" w:color="auto"/>
        <w:right w:val="none" w:sz="0" w:space="0" w:color="auto"/>
      </w:divBdr>
    </w:div>
    <w:div w:id="574969814">
      <w:bodyDiv w:val="1"/>
      <w:marLeft w:val="0"/>
      <w:marRight w:val="0"/>
      <w:marTop w:val="0"/>
      <w:marBottom w:val="0"/>
      <w:divBdr>
        <w:top w:val="none" w:sz="0" w:space="0" w:color="auto"/>
        <w:left w:val="none" w:sz="0" w:space="0" w:color="auto"/>
        <w:bottom w:val="none" w:sz="0" w:space="0" w:color="auto"/>
        <w:right w:val="none" w:sz="0" w:space="0" w:color="auto"/>
      </w:divBdr>
    </w:div>
    <w:div w:id="575435540">
      <w:bodyDiv w:val="1"/>
      <w:marLeft w:val="0"/>
      <w:marRight w:val="0"/>
      <w:marTop w:val="0"/>
      <w:marBottom w:val="0"/>
      <w:divBdr>
        <w:top w:val="none" w:sz="0" w:space="0" w:color="auto"/>
        <w:left w:val="none" w:sz="0" w:space="0" w:color="auto"/>
        <w:bottom w:val="none" w:sz="0" w:space="0" w:color="auto"/>
        <w:right w:val="none" w:sz="0" w:space="0" w:color="auto"/>
      </w:divBdr>
    </w:div>
    <w:div w:id="578565967">
      <w:bodyDiv w:val="1"/>
      <w:marLeft w:val="0"/>
      <w:marRight w:val="0"/>
      <w:marTop w:val="0"/>
      <w:marBottom w:val="0"/>
      <w:divBdr>
        <w:top w:val="none" w:sz="0" w:space="0" w:color="auto"/>
        <w:left w:val="none" w:sz="0" w:space="0" w:color="auto"/>
        <w:bottom w:val="none" w:sz="0" w:space="0" w:color="auto"/>
        <w:right w:val="none" w:sz="0" w:space="0" w:color="auto"/>
      </w:divBdr>
    </w:div>
    <w:div w:id="579026794">
      <w:bodyDiv w:val="1"/>
      <w:marLeft w:val="0"/>
      <w:marRight w:val="0"/>
      <w:marTop w:val="0"/>
      <w:marBottom w:val="0"/>
      <w:divBdr>
        <w:top w:val="none" w:sz="0" w:space="0" w:color="auto"/>
        <w:left w:val="none" w:sz="0" w:space="0" w:color="auto"/>
        <w:bottom w:val="none" w:sz="0" w:space="0" w:color="auto"/>
        <w:right w:val="none" w:sz="0" w:space="0" w:color="auto"/>
      </w:divBdr>
    </w:div>
    <w:div w:id="580526230">
      <w:bodyDiv w:val="1"/>
      <w:marLeft w:val="0"/>
      <w:marRight w:val="0"/>
      <w:marTop w:val="0"/>
      <w:marBottom w:val="0"/>
      <w:divBdr>
        <w:top w:val="none" w:sz="0" w:space="0" w:color="auto"/>
        <w:left w:val="none" w:sz="0" w:space="0" w:color="auto"/>
        <w:bottom w:val="none" w:sz="0" w:space="0" w:color="auto"/>
        <w:right w:val="none" w:sz="0" w:space="0" w:color="auto"/>
      </w:divBdr>
    </w:div>
    <w:div w:id="580531425">
      <w:bodyDiv w:val="1"/>
      <w:marLeft w:val="0"/>
      <w:marRight w:val="0"/>
      <w:marTop w:val="0"/>
      <w:marBottom w:val="0"/>
      <w:divBdr>
        <w:top w:val="none" w:sz="0" w:space="0" w:color="auto"/>
        <w:left w:val="none" w:sz="0" w:space="0" w:color="auto"/>
        <w:bottom w:val="none" w:sz="0" w:space="0" w:color="auto"/>
        <w:right w:val="none" w:sz="0" w:space="0" w:color="auto"/>
      </w:divBdr>
    </w:div>
    <w:div w:id="580531563">
      <w:bodyDiv w:val="1"/>
      <w:marLeft w:val="0"/>
      <w:marRight w:val="0"/>
      <w:marTop w:val="0"/>
      <w:marBottom w:val="0"/>
      <w:divBdr>
        <w:top w:val="none" w:sz="0" w:space="0" w:color="auto"/>
        <w:left w:val="none" w:sz="0" w:space="0" w:color="auto"/>
        <w:bottom w:val="none" w:sz="0" w:space="0" w:color="auto"/>
        <w:right w:val="none" w:sz="0" w:space="0" w:color="auto"/>
      </w:divBdr>
    </w:div>
    <w:div w:id="581109046">
      <w:bodyDiv w:val="1"/>
      <w:marLeft w:val="0"/>
      <w:marRight w:val="0"/>
      <w:marTop w:val="0"/>
      <w:marBottom w:val="0"/>
      <w:divBdr>
        <w:top w:val="none" w:sz="0" w:space="0" w:color="auto"/>
        <w:left w:val="none" w:sz="0" w:space="0" w:color="auto"/>
        <w:bottom w:val="none" w:sz="0" w:space="0" w:color="auto"/>
        <w:right w:val="none" w:sz="0" w:space="0" w:color="auto"/>
      </w:divBdr>
    </w:div>
    <w:div w:id="581253874">
      <w:bodyDiv w:val="1"/>
      <w:marLeft w:val="0"/>
      <w:marRight w:val="0"/>
      <w:marTop w:val="0"/>
      <w:marBottom w:val="0"/>
      <w:divBdr>
        <w:top w:val="none" w:sz="0" w:space="0" w:color="auto"/>
        <w:left w:val="none" w:sz="0" w:space="0" w:color="auto"/>
        <w:bottom w:val="none" w:sz="0" w:space="0" w:color="auto"/>
        <w:right w:val="none" w:sz="0" w:space="0" w:color="auto"/>
      </w:divBdr>
    </w:div>
    <w:div w:id="582421133">
      <w:bodyDiv w:val="1"/>
      <w:marLeft w:val="0"/>
      <w:marRight w:val="0"/>
      <w:marTop w:val="0"/>
      <w:marBottom w:val="0"/>
      <w:divBdr>
        <w:top w:val="none" w:sz="0" w:space="0" w:color="auto"/>
        <w:left w:val="none" w:sz="0" w:space="0" w:color="auto"/>
        <w:bottom w:val="none" w:sz="0" w:space="0" w:color="auto"/>
        <w:right w:val="none" w:sz="0" w:space="0" w:color="auto"/>
      </w:divBdr>
    </w:div>
    <w:div w:id="585190759">
      <w:bodyDiv w:val="1"/>
      <w:marLeft w:val="0"/>
      <w:marRight w:val="0"/>
      <w:marTop w:val="0"/>
      <w:marBottom w:val="0"/>
      <w:divBdr>
        <w:top w:val="none" w:sz="0" w:space="0" w:color="auto"/>
        <w:left w:val="none" w:sz="0" w:space="0" w:color="auto"/>
        <w:bottom w:val="none" w:sz="0" w:space="0" w:color="auto"/>
        <w:right w:val="none" w:sz="0" w:space="0" w:color="auto"/>
      </w:divBdr>
    </w:div>
    <w:div w:id="586379814">
      <w:bodyDiv w:val="1"/>
      <w:marLeft w:val="0"/>
      <w:marRight w:val="0"/>
      <w:marTop w:val="0"/>
      <w:marBottom w:val="0"/>
      <w:divBdr>
        <w:top w:val="none" w:sz="0" w:space="0" w:color="auto"/>
        <w:left w:val="none" w:sz="0" w:space="0" w:color="auto"/>
        <w:bottom w:val="none" w:sz="0" w:space="0" w:color="auto"/>
        <w:right w:val="none" w:sz="0" w:space="0" w:color="auto"/>
      </w:divBdr>
    </w:div>
    <w:div w:id="586421010">
      <w:bodyDiv w:val="1"/>
      <w:marLeft w:val="0"/>
      <w:marRight w:val="0"/>
      <w:marTop w:val="0"/>
      <w:marBottom w:val="0"/>
      <w:divBdr>
        <w:top w:val="none" w:sz="0" w:space="0" w:color="auto"/>
        <w:left w:val="none" w:sz="0" w:space="0" w:color="auto"/>
        <w:bottom w:val="none" w:sz="0" w:space="0" w:color="auto"/>
        <w:right w:val="none" w:sz="0" w:space="0" w:color="auto"/>
      </w:divBdr>
    </w:div>
    <w:div w:id="587734844">
      <w:bodyDiv w:val="1"/>
      <w:marLeft w:val="0"/>
      <w:marRight w:val="0"/>
      <w:marTop w:val="0"/>
      <w:marBottom w:val="0"/>
      <w:divBdr>
        <w:top w:val="none" w:sz="0" w:space="0" w:color="auto"/>
        <w:left w:val="none" w:sz="0" w:space="0" w:color="auto"/>
        <w:bottom w:val="none" w:sz="0" w:space="0" w:color="auto"/>
        <w:right w:val="none" w:sz="0" w:space="0" w:color="auto"/>
      </w:divBdr>
    </w:div>
    <w:div w:id="588005422">
      <w:bodyDiv w:val="1"/>
      <w:marLeft w:val="0"/>
      <w:marRight w:val="0"/>
      <w:marTop w:val="0"/>
      <w:marBottom w:val="0"/>
      <w:divBdr>
        <w:top w:val="none" w:sz="0" w:space="0" w:color="auto"/>
        <w:left w:val="none" w:sz="0" w:space="0" w:color="auto"/>
        <w:bottom w:val="none" w:sz="0" w:space="0" w:color="auto"/>
        <w:right w:val="none" w:sz="0" w:space="0" w:color="auto"/>
      </w:divBdr>
    </w:div>
    <w:div w:id="588318000">
      <w:bodyDiv w:val="1"/>
      <w:marLeft w:val="0"/>
      <w:marRight w:val="0"/>
      <w:marTop w:val="0"/>
      <w:marBottom w:val="0"/>
      <w:divBdr>
        <w:top w:val="none" w:sz="0" w:space="0" w:color="auto"/>
        <w:left w:val="none" w:sz="0" w:space="0" w:color="auto"/>
        <w:bottom w:val="none" w:sz="0" w:space="0" w:color="auto"/>
        <w:right w:val="none" w:sz="0" w:space="0" w:color="auto"/>
      </w:divBdr>
    </w:div>
    <w:div w:id="589461403">
      <w:bodyDiv w:val="1"/>
      <w:marLeft w:val="0"/>
      <w:marRight w:val="0"/>
      <w:marTop w:val="0"/>
      <w:marBottom w:val="0"/>
      <w:divBdr>
        <w:top w:val="none" w:sz="0" w:space="0" w:color="auto"/>
        <w:left w:val="none" w:sz="0" w:space="0" w:color="auto"/>
        <w:bottom w:val="none" w:sz="0" w:space="0" w:color="auto"/>
        <w:right w:val="none" w:sz="0" w:space="0" w:color="auto"/>
      </w:divBdr>
    </w:div>
    <w:div w:id="589854364">
      <w:bodyDiv w:val="1"/>
      <w:marLeft w:val="0"/>
      <w:marRight w:val="0"/>
      <w:marTop w:val="0"/>
      <w:marBottom w:val="0"/>
      <w:divBdr>
        <w:top w:val="none" w:sz="0" w:space="0" w:color="auto"/>
        <w:left w:val="none" w:sz="0" w:space="0" w:color="auto"/>
        <w:bottom w:val="none" w:sz="0" w:space="0" w:color="auto"/>
        <w:right w:val="none" w:sz="0" w:space="0" w:color="auto"/>
      </w:divBdr>
    </w:div>
    <w:div w:id="590086905">
      <w:bodyDiv w:val="1"/>
      <w:marLeft w:val="0"/>
      <w:marRight w:val="0"/>
      <w:marTop w:val="0"/>
      <w:marBottom w:val="0"/>
      <w:divBdr>
        <w:top w:val="none" w:sz="0" w:space="0" w:color="auto"/>
        <w:left w:val="none" w:sz="0" w:space="0" w:color="auto"/>
        <w:bottom w:val="none" w:sz="0" w:space="0" w:color="auto"/>
        <w:right w:val="none" w:sz="0" w:space="0" w:color="auto"/>
      </w:divBdr>
    </w:div>
    <w:div w:id="591625497">
      <w:bodyDiv w:val="1"/>
      <w:marLeft w:val="0"/>
      <w:marRight w:val="0"/>
      <w:marTop w:val="0"/>
      <w:marBottom w:val="0"/>
      <w:divBdr>
        <w:top w:val="none" w:sz="0" w:space="0" w:color="auto"/>
        <w:left w:val="none" w:sz="0" w:space="0" w:color="auto"/>
        <w:bottom w:val="none" w:sz="0" w:space="0" w:color="auto"/>
        <w:right w:val="none" w:sz="0" w:space="0" w:color="auto"/>
      </w:divBdr>
    </w:div>
    <w:div w:id="592935255">
      <w:bodyDiv w:val="1"/>
      <w:marLeft w:val="0"/>
      <w:marRight w:val="0"/>
      <w:marTop w:val="0"/>
      <w:marBottom w:val="0"/>
      <w:divBdr>
        <w:top w:val="none" w:sz="0" w:space="0" w:color="auto"/>
        <w:left w:val="none" w:sz="0" w:space="0" w:color="auto"/>
        <w:bottom w:val="none" w:sz="0" w:space="0" w:color="auto"/>
        <w:right w:val="none" w:sz="0" w:space="0" w:color="auto"/>
      </w:divBdr>
    </w:div>
    <w:div w:id="597642882">
      <w:bodyDiv w:val="1"/>
      <w:marLeft w:val="0"/>
      <w:marRight w:val="0"/>
      <w:marTop w:val="0"/>
      <w:marBottom w:val="0"/>
      <w:divBdr>
        <w:top w:val="none" w:sz="0" w:space="0" w:color="auto"/>
        <w:left w:val="none" w:sz="0" w:space="0" w:color="auto"/>
        <w:bottom w:val="none" w:sz="0" w:space="0" w:color="auto"/>
        <w:right w:val="none" w:sz="0" w:space="0" w:color="auto"/>
      </w:divBdr>
    </w:div>
    <w:div w:id="599142874">
      <w:bodyDiv w:val="1"/>
      <w:marLeft w:val="0"/>
      <w:marRight w:val="0"/>
      <w:marTop w:val="0"/>
      <w:marBottom w:val="0"/>
      <w:divBdr>
        <w:top w:val="none" w:sz="0" w:space="0" w:color="auto"/>
        <w:left w:val="none" w:sz="0" w:space="0" w:color="auto"/>
        <w:bottom w:val="none" w:sz="0" w:space="0" w:color="auto"/>
        <w:right w:val="none" w:sz="0" w:space="0" w:color="auto"/>
      </w:divBdr>
    </w:div>
    <w:div w:id="599264765">
      <w:bodyDiv w:val="1"/>
      <w:marLeft w:val="0"/>
      <w:marRight w:val="0"/>
      <w:marTop w:val="0"/>
      <w:marBottom w:val="0"/>
      <w:divBdr>
        <w:top w:val="none" w:sz="0" w:space="0" w:color="auto"/>
        <w:left w:val="none" w:sz="0" w:space="0" w:color="auto"/>
        <w:bottom w:val="none" w:sz="0" w:space="0" w:color="auto"/>
        <w:right w:val="none" w:sz="0" w:space="0" w:color="auto"/>
      </w:divBdr>
    </w:div>
    <w:div w:id="600340319">
      <w:bodyDiv w:val="1"/>
      <w:marLeft w:val="0"/>
      <w:marRight w:val="0"/>
      <w:marTop w:val="0"/>
      <w:marBottom w:val="0"/>
      <w:divBdr>
        <w:top w:val="none" w:sz="0" w:space="0" w:color="auto"/>
        <w:left w:val="none" w:sz="0" w:space="0" w:color="auto"/>
        <w:bottom w:val="none" w:sz="0" w:space="0" w:color="auto"/>
        <w:right w:val="none" w:sz="0" w:space="0" w:color="auto"/>
      </w:divBdr>
    </w:div>
    <w:div w:id="600726281">
      <w:bodyDiv w:val="1"/>
      <w:marLeft w:val="0"/>
      <w:marRight w:val="0"/>
      <w:marTop w:val="0"/>
      <w:marBottom w:val="0"/>
      <w:divBdr>
        <w:top w:val="none" w:sz="0" w:space="0" w:color="auto"/>
        <w:left w:val="none" w:sz="0" w:space="0" w:color="auto"/>
        <w:bottom w:val="none" w:sz="0" w:space="0" w:color="auto"/>
        <w:right w:val="none" w:sz="0" w:space="0" w:color="auto"/>
      </w:divBdr>
    </w:div>
    <w:div w:id="601963026">
      <w:bodyDiv w:val="1"/>
      <w:marLeft w:val="0"/>
      <w:marRight w:val="0"/>
      <w:marTop w:val="0"/>
      <w:marBottom w:val="0"/>
      <w:divBdr>
        <w:top w:val="none" w:sz="0" w:space="0" w:color="auto"/>
        <w:left w:val="none" w:sz="0" w:space="0" w:color="auto"/>
        <w:bottom w:val="none" w:sz="0" w:space="0" w:color="auto"/>
        <w:right w:val="none" w:sz="0" w:space="0" w:color="auto"/>
      </w:divBdr>
    </w:div>
    <w:div w:id="604196449">
      <w:bodyDiv w:val="1"/>
      <w:marLeft w:val="0"/>
      <w:marRight w:val="0"/>
      <w:marTop w:val="0"/>
      <w:marBottom w:val="0"/>
      <w:divBdr>
        <w:top w:val="none" w:sz="0" w:space="0" w:color="auto"/>
        <w:left w:val="none" w:sz="0" w:space="0" w:color="auto"/>
        <w:bottom w:val="none" w:sz="0" w:space="0" w:color="auto"/>
        <w:right w:val="none" w:sz="0" w:space="0" w:color="auto"/>
      </w:divBdr>
    </w:div>
    <w:div w:id="604583542">
      <w:bodyDiv w:val="1"/>
      <w:marLeft w:val="0"/>
      <w:marRight w:val="0"/>
      <w:marTop w:val="0"/>
      <w:marBottom w:val="0"/>
      <w:divBdr>
        <w:top w:val="none" w:sz="0" w:space="0" w:color="auto"/>
        <w:left w:val="none" w:sz="0" w:space="0" w:color="auto"/>
        <w:bottom w:val="none" w:sz="0" w:space="0" w:color="auto"/>
        <w:right w:val="none" w:sz="0" w:space="0" w:color="auto"/>
      </w:divBdr>
    </w:div>
    <w:div w:id="604730445">
      <w:bodyDiv w:val="1"/>
      <w:marLeft w:val="0"/>
      <w:marRight w:val="0"/>
      <w:marTop w:val="0"/>
      <w:marBottom w:val="0"/>
      <w:divBdr>
        <w:top w:val="none" w:sz="0" w:space="0" w:color="auto"/>
        <w:left w:val="none" w:sz="0" w:space="0" w:color="auto"/>
        <w:bottom w:val="none" w:sz="0" w:space="0" w:color="auto"/>
        <w:right w:val="none" w:sz="0" w:space="0" w:color="auto"/>
      </w:divBdr>
    </w:div>
    <w:div w:id="605574856">
      <w:bodyDiv w:val="1"/>
      <w:marLeft w:val="0"/>
      <w:marRight w:val="0"/>
      <w:marTop w:val="0"/>
      <w:marBottom w:val="0"/>
      <w:divBdr>
        <w:top w:val="none" w:sz="0" w:space="0" w:color="auto"/>
        <w:left w:val="none" w:sz="0" w:space="0" w:color="auto"/>
        <w:bottom w:val="none" w:sz="0" w:space="0" w:color="auto"/>
        <w:right w:val="none" w:sz="0" w:space="0" w:color="auto"/>
      </w:divBdr>
    </w:div>
    <w:div w:id="606085281">
      <w:bodyDiv w:val="1"/>
      <w:marLeft w:val="0"/>
      <w:marRight w:val="0"/>
      <w:marTop w:val="0"/>
      <w:marBottom w:val="0"/>
      <w:divBdr>
        <w:top w:val="none" w:sz="0" w:space="0" w:color="auto"/>
        <w:left w:val="none" w:sz="0" w:space="0" w:color="auto"/>
        <w:bottom w:val="none" w:sz="0" w:space="0" w:color="auto"/>
        <w:right w:val="none" w:sz="0" w:space="0" w:color="auto"/>
      </w:divBdr>
    </w:div>
    <w:div w:id="607201709">
      <w:bodyDiv w:val="1"/>
      <w:marLeft w:val="0"/>
      <w:marRight w:val="0"/>
      <w:marTop w:val="0"/>
      <w:marBottom w:val="0"/>
      <w:divBdr>
        <w:top w:val="none" w:sz="0" w:space="0" w:color="auto"/>
        <w:left w:val="none" w:sz="0" w:space="0" w:color="auto"/>
        <w:bottom w:val="none" w:sz="0" w:space="0" w:color="auto"/>
        <w:right w:val="none" w:sz="0" w:space="0" w:color="auto"/>
      </w:divBdr>
    </w:div>
    <w:div w:id="608969651">
      <w:bodyDiv w:val="1"/>
      <w:marLeft w:val="0"/>
      <w:marRight w:val="0"/>
      <w:marTop w:val="0"/>
      <w:marBottom w:val="0"/>
      <w:divBdr>
        <w:top w:val="none" w:sz="0" w:space="0" w:color="auto"/>
        <w:left w:val="none" w:sz="0" w:space="0" w:color="auto"/>
        <w:bottom w:val="none" w:sz="0" w:space="0" w:color="auto"/>
        <w:right w:val="none" w:sz="0" w:space="0" w:color="auto"/>
      </w:divBdr>
    </w:div>
    <w:div w:id="610624472">
      <w:bodyDiv w:val="1"/>
      <w:marLeft w:val="0"/>
      <w:marRight w:val="0"/>
      <w:marTop w:val="0"/>
      <w:marBottom w:val="0"/>
      <w:divBdr>
        <w:top w:val="none" w:sz="0" w:space="0" w:color="auto"/>
        <w:left w:val="none" w:sz="0" w:space="0" w:color="auto"/>
        <w:bottom w:val="none" w:sz="0" w:space="0" w:color="auto"/>
        <w:right w:val="none" w:sz="0" w:space="0" w:color="auto"/>
      </w:divBdr>
    </w:div>
    <w:div w:id="610742207">
      <w:bodyDiv w:val="1"/>
      <w:marLeft w:val="0"/>
      <w:marRight w:val="0"/>
      <w:marTop w:val="0"/>
      <w:marBottom w:val="0"/>
      <w:divBdr>
        <w:top w:val="none" w:sz="0" w:space="0" w:color="auto"/>
        <w:left w:val="none" w:sz="0" w:space="0" w:color="auto"/>
        <w:bottom w:val="none" w:sz="0" w:space="0" w:color="auto"/>
        <w:right w:val="none" w:sz="0" w:space="0" w:color="auto"/>
      </w:divBdr>
    </w:div>
    <w:div w:id="612397568">
      <w:bodyDiv w:val="1"/>
      <w:marLeft w:val="0"/>
      <w:marRight w:val="0"/>
      <w:marTop w:val="0"/>
      <w:marBottom w:val="0"/>
      <w:divBdr>
        <w:top w:val="none" w:sz="0" w:space="0" w:color="auto"/>
        <w:left w:val="none" w:sz="0" w:space="0" w:color="auto"/>
        <w:bottom w:val="none" w:sz="0" w:space="0" w:color="auto"/>
        <w:right w:val="none" w:sz="0" w:space="0" w:color="auto"/>
      </w:divBdr>
    </w:div>
    <w:div w:id="613176459">
      <w:bodyDiv w:val="1"/>
      <w:marLeft w:val="0"/>
      <w:marRight w:val="0"/>
      <w:marTop w:val="0"/>
      <w:marBottom w:val="0"/>
      <w:divBdr>
        <w:top w:val="none" w:sz="0" w:space="0" w:color="auto"/>
        <w:left w:val="none" w:sz="0" w:space="0" w:color="auto"/>
        <w:bottom w:val="none" w:sz="0" w:space="0" w:color="auto"/>
        <w:right w:val="none" w:sz="0" w:space="0" w:color="auto"/>
      </w:divBdr>
    </w:div>
    <w:div w:id="614334872">
      <w:bodyDiv w:val="1"/>
      <w:marLeft w:val="0"/>
      <w:marRight w:val="0"/>
      <w:marTop w:val="0"/>
      <w:marBottom w:val="0"/>
      <w:divBdr>
        <w:top w:val="none" w:sz="0" w:space="0" w:color="auto"/>
        <w:left w:val="none" w:sz="0" w:space="0" w:color="auto"/>
        <w:bottom w:val="none" w:sz="0" w:space="0" w:color="auto"/>
        <w:right w:val="none" w:sz="0" w:space="0" w:color="auto"/>
      </w:divBdr>
    </w:div>
    <w:div w:id="614487280">
      <w:bodyDiv w:val="1"/>
      <w:marLeft w:val="0"/>
      <w:marRight w:val="0"/>
      <w:marTop w:val="0"/>
      <w:marBottom w:val="0"/>
      <w:divBdr>
        <w:top w:val="none" w:sz="0" w:space="0" w:color="auto"/>
        <w:left w:val="none" w:sz="0" w:space="0" w:color="auto"/>
        <w:bottom w:val="none" w:sz="0" w:space="0" w:color="auto"/>
        <w:right w:val="none" w:sz="0" w:space="0" w:color="auto"/>
      </w:divBdr>
    </w:div>
    <w:div w:id="616331578">
      <w:bodyDiv w:val="1"/>
      <w:marLeft w:val="0"/>
      <w:marRight w:val="0"/>
      <w:marTop w:val="0"/>
      <w:marBottom w:val="0"/>
      <w:divBdr>
        <w:top w:val="none" w:sz="0" w:space="0" w:color="auto"/>
        <w:left w:val="none" w:sz="0" w:space="0" w:color="auto"/>
        <w:bottom w:val="none" w:sz="0" w:space="0" w:color="auto"/>
        <w:right w:val="none" w:sz="0" w:space="0" w:color="auto"/>
      </w:divBdr>
    </w:div>
    <w:div w:id="617682950">
      <w:bodyDiv w:val="1"/>
      <w:marLeft w:val="0"/>
      <w:marRight w:val="0"/>
      <w:marTop w:val="0"/>
      <w:marBottom w:val="0"/>
      <w:divBdr>
        <w:top w:val="none" w:sz="0" w:space="0" w:color="auto"/>
        <w:left w:val="none" w:sz="0" w:space="0" w:color="auto"/>
        <w:bottom w:val="none" w:sz="0" w:space="0" w:color="auto"/>
        <w:right w:val="none" w:sz="0" w:space="0" w:color="auto"/>
      </w:divBdr>
    </w:div>
    <w:div w:id="617763713">
      <w:bodyDiv w:val="1"/>
      <w:marLeft w:val="0"/>
      <w:marRight w:val="0"/>
      <w:marTop w:val="0"/>
      <w:marBottom w:val="0"/>
      <w:divBdr>
        <w:top w:val="none" w:sz="0" w:space="0" w:color="auto"/>
        <w:left w:val="none" w:sz="0" w:space="0" w:color="auto"/>
        <w:bottom w:val="none" w:sz="0" w:space="0" w:color="auto"/>
        <w:right w:val="none" w:sz="0" w:space="0" w:color="auto"/>
      </w:divBdr>
    </w:div>
    <w:div w:id="617834167">
      <w:bodyDiv w:val="1"/>
      <w:marLeft w:val="0"/>
      <w:marRight w:val="0"/>
      <w:marTop w:val="0"/>
      <w:marBottom w:val="0"/>
      <w:divBdr>
        <w:top w:val="none" w:sz="0" w:space="0" w:color="auto"/>
        <w:left w:val="none" w:sz="0" w:space="0" w:color="auto"/>
        <w:bottom w:val="none" w:sz="0" w:space="0" w:color="auto"/>
        <w:right w:val="none" w:sz="0" w:space="0" w:color="auto"/>
      </w:divBdr>
    </w:div>
    <w:div w:id="619916172">
      <w:bodyDiv w:val="1"/>
      <w:marLeft w:val="0"/>
      <w:marRight w:val="0"/>
      <w:marTop w:val="0"/>
      <w:marBottom w:val="0"/>
      <w:divBdr>
        <w:top w:val="none" w:sz="0" w:space="0" w:color="auto"/>
        <w:left w:val="none" w:sz="0" w:space="0" w:color="auto"/>
        <w:bottom w:val="none" w:sz="0" w:space="0" w:color="auto"/>
        <w:right w:val="none" w:sz="0" w:space="0" w:color="auto"/>
      </w:divBdr>
    </w:div>
    <w:div w:id="621419482">
      <w:bodyDiv w:val="1"/>
      <w:marLeft w:val="0"/>
      <w:marRight w:val="0"/>
      <w:marTop w:val="0"/>
      <w:marBottom w:val="0"/>
      <w:divBdr>
        <w:top w:val="none" w:sz="0" w:space="0" w:color="auto"/>
        <w:left w:val="none" w:sz="0" w:space="0" w:color="auto"/>
        <w:bottom w:val="none" w:sz="0" w:space="0" w:color="auto"/>
        <w:right w:val="none" w:sz="0" w:space="0" w:color="auto"/>
      </w:divBdr>
    </w:div>
    <w:div w:id="622228157">
      <w:bodyDiv w:val="1"/>
      <w:marLeft w:val="0"/>
      <w:marRight w:val="0"/>
      <w:marTop w:val="0"/>
      <w:marBottom w:val="0"/>
      <w:divBdr>
        <w:top w:val="none" w:sz="0" w:space="0" w:color="auto"/>
        <w:left w:val="none" w:sz="0" w:space="0" w:color="auto"/>
        <w:bottom w:val="none" w:sz="0" w:space="0" w:color="auto"/>
        <w:right w:val="none" w:sz="0" w:space="0" w:color="auto"/>
      </w:divBdr>
    </w:div>
    <w:div w:id="625040137">
      <w:bodyDiv w:val="1"/>
      <w:marLeft w:val="0"/>
      <w:marRight w:val="0"/>
      <w:marTop w:val="0"/>
      <w:marBottom w:val="0"/>
      <w:divBdr>
        <w:top w:val="none" w:sz="0" w:space="0" w:color="auto"/>
        <w:left w:val="none" w:sz="0" w:space="0" w:color="auto"/>
        <w:bottom w:val="none" w:sz="0" w:space="0" w:color="auto"/>
        <w:right w:val="none" w:sz="0" w:space="0" w:color="auto"/>
      </w:divBdr>
    </w:div>
    <w:div w:id="625086688">
      <w:bodyDiv w:val="1"/>
      <w:marLeft w:val="0"/>
      <w:marRight w:val="0"/>
      <w:marTop w:val="0"/>
      <w:marBottom w:val="0"/>
      <w:divBdr>
        <w:top w:val="none" w:sz="0" w:space="0" w:color="auto"/>
        <w:left w:val="none" w:sz="0" w:space="0" w:color="auto"/>
        <w:bottom w:val="none" w:sz="0" w:space="0" w:color="auto"/>
        <w:right w:val="none" w:sz="0" w:space="0" w:color="auto"/>
      </w:divBdr>
    </w:div>
    <w:div w:id="626283268">
      <w:bodyDiv w:val="1"/>
      <w:marLeft w:val="0"/>
      <w:marRight w:val="0"/>
      <w:marTop w:val="0"/>
      <w:marBottom w:val="0"/>
      <w:divBdr>
        <w:top w:val="none" w:sz="0" w:space="0" w:color="auto"/>
        <w:left w:val="none" w:sz="0" w:space="0" w:color="auto"/>
        <w:bottom w:val="none" w:sz="0" w:space="0" w:color="auto"/>
        <w:right w:val="none" w:sz="0" w:space="0" w:color="auto"/>
      </w:divBdr>
    </w:div>
    <w:div w:id="626854153">
      <w:bodyDiv w:val="1"/>
      <w:marLeft w:val="0"/>
      <w:marRight w:val="0"/>
      <w:marTop w:val="0"/>
      <w:marBottom w:val="0"/>
      <w:divBdr>
        <w:top w:val="none" w:sz="0" w:space="0" w:color="auto"/>
        <w:left w:val="none" w:sz="0" w:space="0" w:color="auto"/>
        <w:bottom w:val="none" w:sz="0" w:space="0" w:color="auto"/>
        <w:right w:val="none" w:sz="0" w:space="0" w:color="auto"/>
      </w:divBdr>
    </w:div>
    <w:div w:id="630018191">
      <w:bodyDiv w:val="1"/>
      <w:marLeft w:val="0"/>
      <w:marRight w:val="0"/>
      <w:marTop w:val="0"/>
      <w:marBottom w:val="0"/>
      <w:divBdr>
        <w:top w:val="none" w:sz="0" w:space="0" w:color="auto"/>
        <w:left w:val="none" w:sz="0" w:space="0" w:color="auto"/>
        <w:bottom w:val="none" w:sz="0" w:space="0" w:color="auto"/>
        <w:right w:val="none" w:sz="0" w:space="0" w:color="auto"/>
      </w:divBdr>
    </w:div>
    <w:div w:id="630208546">
      <w:bodyDiv w:val="1"/>
      <w:marLeft w:val="0"/>
      <w:marRight w:val="0"/>
      <w:marTop w:val="0"/>
      <w:marBottom w:val="0"/>
      <w:divBdr>
        <w:top w:val="none" w:sz="0" w:space="0" w:color="auto"/>
        <w:left w:val="none" w:sz="0" w:space="0" w:color="auto"/>
        <w:bottom w:val="none" w:sz="0" w:space="0" w:color="auto"/>
        <w:right w:val="none" w:sz="0" w:space="0" w:color="auto"/>
      </w:divBdr>
    </w:div>
    <w:div w:id="630288588">
      <w:bodyDiv w:val="1"/>
      <w:marLeft w:val="0"/>
      <w:marRight w:val="0"/>
      <w:marTop w:val="0"/>
      <w:marBottom w:val="0"/>
      <w:divBdr>
        <w:top w:val="none" w:sz="0" w:space="0" w:color="auto"/>
        <w:left w:val="none" w:sz="0" w:space="0" w:color="auto"/>
        <w:bottom w:val="none" w:sz="0" w:space="0" w:color="auto"/>
        <w:right w:val="none" w:sz="0" w:space="0" w:color="auto"/>
      </w:divBdr>
    </w:div>
    <w:div w:id="632249696">
      <w:bodyDiv w:val="1"/>
      <w:marLeft w:val="0"/>
      <w:marRight w:val="0"/>
      <w:marTop w:val="0"/>
      <w:marBottom w:val="0"/>
      <w:divBdr>
        <w:top w:val="none" w:sz="0" w:space="0" w:color="auto"/>
        <w:left w:val="none" w:sz="0" w:space="0" w:color="auto"/>
        <w:bottom w:val="none" w:sz="0" w:space="0" w:color="auto"/>
        <w:right w:val="none" w:sz="0" w:space="0" w:color="auto"/>
      </w:divBdr>
    </w:div>
    <w:div w:id="632251200">
      <w:bodyDiv w:val="1"/>
      <w:marLeft w:val="0"/>
      <w:marRight w:val="0"/>
      <w:marTop w:val="0"/>
      <w:marBottom w:val="0"/>
      <w:divBdr>
        <w:top w:val="none" w:sz="0" w:space="0" w:color="auto"/>
        <w:left w:val="none" w:sz="0" w:space="0" w:color="auto"/>
        <w:bottom w:val="none" w:sz="0" w:space="0" w:color="auto"/>
        <w:right w:val="none" w:sz="0" w:space="0" w:color="auto"/>
      </w:divBdr>
    </w:div>
    <w:div w:id="632520442">
      <w:bodyDiv w:val="1"/>
      <w:marLeft w:val="0"/>
      <w:marRight w:val="0"/>
      <w:marTop w:val="0"/>
      <w:marBottom w:val="0"/>
      <w:divBdr>
        <w:top w:val="none" w:sz="0" w:space="0" w:color="auto"/>
        <w:left w:val="none" w:sz="0" w:space="0" w:color="auto"/>
        <w:bottom w:val="none" w:sz="0" w:space="0" w:color="auto"/>
        <w:right w:val="none" w:sz="0" w:space="0" w:color="auto"/>
      </w:divBdr>
    </w:div>
    <w:div w:id="634608405">
      <w:bodyDiv w:val="1"/>
      <w:marLeft w:val="0"/>
      <w:marRight w:val="0"/>
      <w:marTop w:val="0"/>
      <w:marBottom w:val="0"/>
      <w:divBdr>
        <w:top w:val="none" w:sz="0" w:space="0" w:color="auto"/>
        <w:left w:val="none" w:sz="0" w:space="0" w:color="auto"/>
        <w:bottom w:val="none" w:sz="0" w:space="0" w:color="auto"/>
        <w:right w:val="none" w:sz="0" w:space="0" w:color="auto"/>
      </w:divBdr>
    </w:div>
    <w:div w:id="635188163">
      <w:bodyDiv w:val="1"/>
      <w:marLeft w:val="0"/>
      <w:marRight w:val="0"/>
      <w:marTop w:val="0"/>
      <w:marBottom w:val="0"/>
      <w:divBdr>
        <w:top w:val="none" w:sz="0" w:space="0" w:color="auto"/>
        <w:left w:val="none" w:sz="0" w:space="0" w:color="auto"/>
        <w:bottom w:val="none" w:sz="0" w:space="0" w:color="auto"/>
        <w:right w:val="none" w:sz="0" w:space="0" w:color="auto"/>
      </w:divBdr>
    </w:div>
    <w:div w:id="637345758">
      <w:bodyDiv w:val="1"/>
      <w:marLeft w:val="0"/>
      <w:marRight w:val="0"/>
      <w:marTop w:val="0"/>
      <w:marBottom w:val="0"/>
      <w:divBdr>
        <w:top w:val="none" w:sz="0" w:space="0" w:color="auto"/>
        <w:left w:val="none" w:sz="0" w:space="0" w:color="auto"/>
        <w:bottom w:val="none" w:sz="0" w:space="0" w:color="auto"/>
        <w:right w:val="none" w:sz="0" w:space="0" w:color="auto"/>
      </w:divBdr>
    </w:div>
    <w:div w:id="642006155">
      <w:bodyDiv w:val="1"/>
      <w:marLeft w:val="0"/>
      <w:marRight w:val="0"/>
      <w:marTop w:val="0"/>
      <w:marBottom w:val="0"/>
      <w:divBdr>
        <w:top w:val="none" w:sz="0" w:space="0" w:color="auto"/>
        <w:left w:val="none" w:sz="0" w:space="0" w:color="auto"/>
        <w:bottom w:val="none" w:sz="0" w:space="0" w:color="auto"/>
        <w:right w:val="none" w:sz="0" w:space="0" w:color="auto"/>
      </w:divBdr>
    </w:div>
    <w:div w:id="642076954">
      <w:bodyDiv w:val="1"/>
      <w:marLeft w:val="0"/>
      <w:marRight w:val="0"/>
      <w:marTop w:val="0"/>
      <w:marBottom w:val="0"/>
      <w:divBdr>
        <w:top w:val="none" w:sz="0" w:space="0" w:color="auto"/>
        <w:left w:val="none" w:sz="0" w:space="0" w:color="auto"/>
        <w:bottom w:val="none" w:sz="0" w:space="0" w:color="auto"/>
        <w:right w:val="none" w:sz="0" w:space="0" w:color="auto"/>
      </w:divBdr>
    </w:div>
    <w:div w:id="642661201">
      <w:bodyDiv w:val="1"/>
      <w:marLeft w:val="0"/>
      <w:marRight w:val="0"/>
      <w:marTop w:val="0"/>
      <w:marBottom w:val="0"/>
      <w:divBdr>
        <w:top w:val="none" w:sz="0" w:space="0" w:color="auto"/>
        <w:left w:val="none" w:sz="0" w:space="0" w:color="auto"/>
        <w:bottom w:val="none" w:sz="0" w:space="0" w:color="auto"/>
        <w:right w:val="none" w:sz="0" w:space="0" w:color="auto"/>
      </w:divBdr>
    </w:div>
    <w:div w:id="642925325">
      <w:bodyDiv w:val="1"/>
      <w:marLeft w:val="0"/>
      <w:marRight w:val="0"/>
      <w:marTop w:val="0"/>
      <w:marBottom w:val="0"/>
      <w:divBdr>
        <w:top w:val="none" w:sz="0" w:space="0" w:color="auto"/>
        <w:left w:val="none" w:sz="0" w:space="0" w:color="auto"/>
        <w:bottom w:val="none" w:sz="0" w:space="0" w:color="auto"/>
        <w:right w:val="none" w:sz="0" w:space="0" w:color="auto"/>
      </w:divBdr>
    </w:div>
    <w:div w:id="644504944">
      <w:bodyDiv w:val="1"/>
      <w:marLeft w:val="0"/>
      <w:marRight w:val="0"/>
      <w:marTop w:val="0"/>
      <w:marBottom w:val="0"/>
      <w:divBdr>
        <w:top w:val="none" w:sz="0" w:space="0" w:color="auto"/>
        <w:left w:val="none" w:sz="0" w:space="0" w:color="auto"/>
        <w:bottom w:val="none" w:sz="0" w:space="0" w:color="auto"/>
        <w:right w:val="none" w:sz="0" w:space="0" w:color="auto"/>
      </w:divBdr>
    </w:div>
    <w:div w:id="644508671">
      <w:bodyDiv w:val="1"/>
      <w:marLeft w:val="0"/>
      <w:marRight w:val="0"/>
      <w:marTop w:val="0"/>
      <w:marBottom w:val="0"/>
      <w:divBdr>
        <w:top w:val="none" w:sz="0" w:space="0" w:color="auto"/>
        <w:left w:val="none" w:sz="0" w:space="0" w:color="auto"/>
        <w:bottom w:val="none" w:sz="0" w:space="0" w:color="auto"/>
        <w:right w:val="none" w:sz="0" w:space="0" w:color="auto"/>
      </w:divBdr>
    </w:div>
    <w:div w:id="644746330">
      <w:bodyDiv w:val="1"/>
      <w:marLeft w:val="0"/>
      <w:marRight w:val="0"/>
      <w:marTop w:val="0"/>
      <w:marBottom w:val="0"/>
      <w:divBdr>
        <w:top w:val="none" w:sz="0" w:space="0" w:color="auto"/>
        <w:left w:val="none" w:sz="0" w:space="0" w:color="auto"/>
        <w:bottom w:val="none" w:sz="0" w:space="0" w:color="auto"/>
        <w:right w:val="none" w:sz="0" w:space="0" w:color="auto"/>
      </w:divBdr>
    </w:div>
    <w:div w:id="645206256">
      <w:bodyDiv w:val="1"/>
      <w:marLeft w:val="0"/>
      <w:marRight w:val="0"/>
      <w:marTop w:val="0"/>
      <w:marBottom w:val="0"/>
      <w:divBdr>
        <w:top w:val="none" w:sz="0" w:space="0" w:color="auto"/>
        <w:left w:val="none" w:sz="0" w:space="0" w:color="auto"/>
        <w:bottom w:val="none" w:sz="0" w:space="0" w:color="auto"/>
        <w:right w:val="none" w:sz="0" w:space="0" w:color="auto"/>
      </w:divBdr>
    </w:div>
    <w:div w:id="647251150">
      <w:bodyDiv w:val="1"/>
      <w:marLeft w:val="0"/>
      <w:marRight w:val="0"/>
      <w:marTop w:val="0"/>
      <w:marBottom w:val="0"/>
      <w:divBdr>
        <w:top w:val="none" w:sz="0" w:space="0" w:color="auto"/>
        <w:left w:val="none" w:sz="0" w:space="0" w:color="auto"/>
        <w:bottom w:val="none" w:sz="0" w:space="0" w:color="auto"/>
        <w:right w:val="none" w:sz="0" w:space="0" w:color="auto"/>
      </w:divBdr>
    </w:div>
    <w:div w:id="647589657">
      <w:bodyDiv w:val="1"/>
      <w:marLeft w:val="0"/>
      <w:marRight w:val="0"/>
      <w:marTop w:val="0"/>
      <w:marBottom w:val="0"/>
      <w:divBdr>
        <w:top w:val="none" w:sz="0" w:space="0" w:color="auto"/>
        <w:left w:val="none" w:sz="0" w:space="0" w:color="auto"/>
        <w:bottom w:val="none" w:sz="0" w:space="0" w:color="auto"/>
        <w:right w:val="none" w:sz="0" w:space="0" w:color="auto"/>
      </w:divBdr>
    </w:div>
    <w:div w:id="649135362">
      <w:bodyDiv w:val="1"/>
      <w:marLeft w:val="0"/>
      <w:marRight w:val="0"/>
      <w:marTop w:val="0"/>
      <w:marBottom w:val="0"/>
      <w:divBdr>
        <w:top w:val="none" w:sz="0" w:space="0" w:color="auto"/>
        <w:left w:val="none" w:sz="0" w:space="0" w:color="auto"/>
        <w:bottom w:val="none" w:sz="0" w:space="0" w:color="auto"/>
        <w:right w:val="none" w:sz="0" w:space="0" w:color="auto"/>
      </w:divBdr>
    </w:div>
    <w:div w:id="649135934">
      <w:bodyDiv w:val="1"/>
      <w:marLeft w:val="0"/>
      <w:marRight w:val="0"/>
      <w:marTop w:val="0"/>
      <w:marBottom w:val="0"/>
      <w:divBdr>
        <w:top w:val="none" w:sz="0" w:space="0" w:color="auto"/>
        <w:left w:val="none" w:sz="0" w:space="0" w:color="auto"/>
        <w:bottom w:val="none" w:sz="0" w:space="0" w:color="auto"/>
        <w:right w:val="none" w:sz="0" w:space="0" w:color="auto"/>
      </w:divBdr>
    </w:div>
    <w:div w:id="649283613">
      <w:bodyDiv w:val="1"/>
      <w:marLeft w:val="0"/>
      <w:marRight w:val="0"/>
      <w:marTop w:val="0"/>
      <w:marBottom w:val="0"/>
      <w:divBdr>
        <w:top w:val="none" w:sz="0" w:space="0" w:color="auto"/>
        <w:left w:val="none" w:sz="0" w:space="0" w:color="auto"/>
        <w:bottom w:val="none" w:sz="0" w:space="0" w:color="auto"/>
        <w:right w:val="none" w:sz="0" w:space="0" w:color="auto"/>
      </w:divBdr>
    </w:div>
    <w:div w:id="649289708">
      <w:bodyDiv w:val="1"/>
      <w:marLeft w:val="0"/>
      <w:marRight w:val="0"/>
      <w:marTop w:val="0"/>
      <w:marBottom w:val="0"/>
      <w:divBdr>
        <w:top w:val="none" w:sz="0" w:space="0" w:color="auto"/>
        <w:left w:val="none" w:sz="0" w:space="0" w:color="auto"/>
        <w:bottom w:val="none" w:sz="0" w:space="0" w:color="auto"/>
        <w:right w:val="none" w:sz="0" w:space="0" w:color="auto"/>
      </w:divBdr>
    </w:div>
    <w:div w:id="650598908">
      <w:bodyDiv w:val="1"/>
      <w:marLeft w:val="0"/>
      <w:marRight w:val="0"/>
      <w:marTop w:val="0"/>
      <w:marBottom w:val="0"/>
      <w:divBdr>
        <w:top w:val="none" w:sz="0" w:space="0" w:color="auto"/>
        <w:left w:val="none" w:sz="0" w:space="0" w:color="auto"/>
        <w:bottom w:val="none" w:sz="0" w:space="0" w:color="auto"/>
        <w:right w:val="none" w:sz="0" w:space="0" w:color="auto"/>
      </w:divBdr>
    </w:div>
    <w:div w:id="650794474">
      <w:bodyDiv w:val="1"/>
      <w:marLeft w:val="0"/>
      <w:marRight w:val="0"/>
      <w:marTop w:val="0"/>
      <w:marBottom w:val="0"/>
      <w:divBdr>
        <w:top w:val="none" w:sz="0" w:space="0" w:color="auto"/>
        <w:left w:val="none" w:sz="0" w:space="0" w:color="auto"/>
        <w:bottom w:val="none" w:sz="0" w:space="0" w:color="auto"/>
        <w:right w:val="none" w:sz="0" w:space="0" w:color="auto"/>
      </w:divBdr>
    </w:div>
    <w:div w:id="652181497">
      <w:bodyDiv w:val="1"/>
      <w:marLeft w:val="0"/>
      <w:marRight w:val="0"/>
      <w:marTop w:val="0"/>
      <w:marBottom w:val="0"/>
      <w:divBdr>
        <w:top w:val="none" w:sz="0" w:space="0" w:color="auto"/>
        <w:left w:val="none" w:sz="0" w:space="0" w:color="auto"/>
        <w:bottom w:val="none" w:sz="0" w:space="0" w:color="auto"/>
        <w:right w:val="none" w:sz="0" w:space="0" w:color="auto"/>
      </w:divBdr>
    </w:div>
    <w:div w:id="652609919">
      <w:bodyDiv w:val="1"/>
      <w:marLeft w:val="0"/>
      <w:marRight w:val="0"/>
      <w:marTop w:val="0"/>
      <w:marBottom w:val="0"/>
      <w:divBdr>
        <w:top w:val="none" w:sz="0" w:space="0" w:color="auto"/>
        <w:left w:val="none" w:sz="0" w:space="0" w:color="auto"/>
        <w:bottom w:val="none" w:sz="0" w:space="0" w:color="auto"/>
        <w:right w:val="none" w:sz="0" w:space="0" w:color="auto"/>
      </w:divBdr>
    </w:div>
    <w:div w:id="653804073">
      <w:bodyDiv w:val="1"/>
      <w:marLeft w:val="0"/>
      <w:marRight w:val="0"/>
      <w:marTop w:val="0"/>
      <w:marBottom w:val="0"/>
      <w:divBdr>
        <w:top w:val="none" w:sz="0" w:space="0" w:color="auto"/>
        <w:left w:val="none" w:sz="0" w:space="0" w:color="auto"/>
        <w:bottom w:val="none" w:sz="0" w:space="0" w:color="auto"/>
        <w:right w:val="none" w:sz="0" w:space="0" w:color="auto"/>
      </w:divBdr>
    </w:div>
    <w:div w:id="654145711">
      <w:bodyDiv w:val="1"/>
      <w:marLeft w:val="0"/>
      <w:marRight w:val="0"/>
      <w:marTop w:val="0"/>
      <w:marBottom w:val="0"/>
      <w:divBdr>
        <w:top w:val="none" w:sz="0" w:space="0" w:color="auto"/>
        <w:left w:val="none" w:sz="0" w:space="0" w:color="auto"/>
        <w:bottom w:val="none" w:sz="0" w:space="0" w:color="auto"/>
        <w:right w:val="none" w:sz="0" w:space="0" w:color="auto"/>
      </w:divBdr>
    </w:div>
    <w:div w:id="654528678">
      <w:bodyDiv w:val="1"/>
      <w:marLeft w:val="0"/>
      <w:marRight w:val="0"/>
      <w:marTop w:val="0"/>
      <w:marBottom w:val="0"/>
      <w:divBdr>
        <w:top w:val="none" w:sz="0" w:space="0" w:color="auto"/>
        <w:left w:val="none" w:sz="0" w:space="0" w:color="auto"/>
        <w:bottom w:val="none" w:sz="0" w:space="0" w:color="auto"/>
        <w:right w:val="none" w:sz="0" w:space="0" w:color="auto"/>
      </w:divBdr>
    </w:div>
    <w:div w:id="655106968">
      <w:bodyDiv w:val="1"/>
      <w:marLeft w:val="0"/>
      <w:marRight w:val="0"/>
      <w:marTop w:val="0"/>
      <w:marBottom w:val="0"/>
      <w:divBdr>
        <w:top w:val="none" w:sz="0" w:space="0" w:color="auto"/>
        <w:left w:val="none" w:sz="0" w:space="0" w:color="auto"/>
        <w:bottom w:val="none" w:sz="0" w:space="0" w:color="auto"/>
        <w:right w:val="none" w:sz="0" w:space="0" w:color="auto"/>
      </w:divBdr>
    </w:div>
    <w:div w:id="656031955">
      <w:bodyDiv w:val="1"/>
      <w:marLeft w:val="0"/>
      <w:marRight w:val="0"/>
      <w:marTop w:val="0"/>
      <w:marBottom w:val="0"/>
      <w:divBdr>
        <w:top w:val="none" w:sz="0" w:space="0" w:color="auto"/>
        <w:left w:val="none" w:sz="0" w:space="0" w:color="auto"/>
        <w:bottom w:val="none" w:sz="0" w:space="0" w:color="auto"/>
        <w:right w:val="none" w:sz="0" w:space="0" w:color="auto"/>
      </w:divBdr>
    </w:div>
    <w:div w:id="656302477">
      <w:bodyDiv w:val="1"/>
      <w:marLeft w:val="0"/>
      <w:marRight w:val="0"/>
      <w:marTop w:val="0"/>
      <w:marBottom w:val="0"/>
      <w:divBdr>
        <w:top w:val="none" w:sz="0" w:space="0" w:color="auto"/>
        <w:left w:val="none" w:sz="0" w:space="0" w:color="auto"/>
        <w:bottom w:val="none" w:sz="0" w:space="0" w:color="auto"/>
        <w:right w:val="none" w:sz="0" w:space="0" w:color="auto"/>
      </w:divBdr>
    </w:div>
    <w:div w:id="658777322">
      <w:bodyDiv w:val="1"/>
      <w:marLeft w:val="0"/>
      <w:marRight w:val="0"/>
      <w:marTop w:val="0"/>
      <w:marBottom w:val="0"/>
      <w:divBdr>
        <w:top w:val="none" w:sz="0" w:space="0" w:color="auto"/>
        <w:left w:val="none" w:sz="0" w:space="0" w:color="auto"/>
        <w:bottom w:val="none" w:sz="0" w:space="0" w:color="auto"/>
        <w:right w:val="none" w:sz="0" w:space="0" w:color="auto"/>
      </w:divBdr>
    </w:div>
    <w:div w:id="661586552">
      <w:bodyDiv w:val="1"/>
      <w:marLeft w:val="0"/>
      <w:marRight w:val="0"/>
      <w:marTop w:val="0"/>
      <w:marBottom w:val="0"/>
      <w:divBdr>
        <w:top w:val="none" w:sz="0" w:space="0" w:color="auto"/>
        <w:left w:val="none" w:sz="0" w:space="0" w:color="auto"/>
        <w:bottom w:val="none" w:sz="0" w:space="0" w:color="auto"/>
        <w:right w:val="none" w:sz="0" w:space="0" w:color="auto"/>
      </w:divBdr>
    </w:div>
    <w:div w:id="662587815">
      <w:bodyDiv w:val="1"/>
      <w:marLeft w:val="0"/>
      <w:marRight w:val="0"/>
      <w:marTop w:val="0"/>
      <w:marBottom w:val="0"/>
      <w:divBdr>
        <w:top w:val="none" w:sz="0" w:space="0" w:color="auto"/>
        <w:left w:val="none" w:sz="0" w:space="0" w:color="auto"/>
        <w:bottom w:val="none" w:sz="0" w:space="0" w:color="auto"/>
        <w:right w:val="none" w:sz="0" w:space="0" w:color="auto"/>
      </w:divBdr>
    </w:div>
    <w:div w:id="662707559">
      <w:bodyDiv w:val="1"/>
      <w:marLeft w:val="0"/>
      <w:marRight w:val="0"/>
      <w:marTop w:val="0"/>
      <w:marBottom w:val="0"/>
      <w:divBdr>
        <w:top w:val="none" w:sz="0" w:space="0" w:color="auto"/>
        <w:left w:val="none" w:sz="0" w:space="0" w:color="auto"/>
        <w:bottom w:val="none" w:sz="0" w:space="0" w:color="auto"/>
        <w:right w:val="none" w:sz="0" w:space="0" w:color="auto"/>
      </w:divBdr>
    </w:div>
    <w:div w:id="664630131">
      <w:bodyDiv w:val="1"/>
      <w:marLeft w:val="0"/>
      <w:marRight w:val="0"/>
      <w:marTop w:val="0"/>
      <w:marBottom w:val="0"/>
      <w:divBdr>
        <w:top w:val="none" w:sz="0" w:space="0" w:color="auto"/>
        <w:left w:val="none" w:sz="0" w:space="0" w:color="auto"/>
        <w:bottom w:val="none" w:sz="0" w:space="0" w:color="auto"/>
        <w:right w:val="none" w:sz="0" w:space="0" w:color="auto"/>
      </w:divBdr>
    </w:div>
    <w:div w:id="665061107">
      <w:bodyDiv w:val="1"/>
      <w:marLeft w:val="0"/>
      <w:marRight w:val="0"/>
      <w:marTop w:val="0"/>
      <w:marBottom w:val="0"/>
      <w:divBdr>
        <w:top w:val="none" w:sz="0" w:space="0" w:color="auto"/>
        <w:left w:val="none" w:sz="0" w:space="0" w:color="auto"/>
        <w:bottom w:val="none" w:sz="0" w:space="0" w:color="auto"/>
        <w:right w:val="none" w:sz="0" w:space="0" w:color="auto"/>
      </w:divBdr>
    </w:div>
    <w:div w:id="666783766">
      <w:bodyDiv w:val="1"/>
      <w:marLeft w:val="0"/>
      <w:marRight w:val="0"/>
      <w:marTop w:val="0"/>
      <w:marBottom w:val="0"/>
      <w:divBdr>
        <w:top w:val="none" w:sz="0" w:space="0" w:color="auto"/>
        <w:left w:val="none" w:sz="0" w:space="0" w:color="auto"/>
        <w:bottom w:val="none" w:sz="0" w:space="0" w:color="auto"/>
        <w:right w:val="none" w:sz="0" w:space="0" w:color="auto"/>
      </w:divBdr>
    </w:div>
    <w:div w:id="667364879">
      <w:bodyDiv w:val="1"/>
      <w:marLeft w:val="0"/>
      <w:marRight w:val="0"/>
      <w:marTop w:val="0"/>
      <w:marBottom w:val="0"/>
      <w:divBdr>
        <w:top w:val="none" w:sz="0" w:space="0" w:color="auto"/>
        <w:left w:val="none" w:sz="0" w:space="0" w:color="auto"/>
        <w:bottom w:val="none" w:sz="0" w:space="0" w:color="auto"/>
        <w:right w:val="none" w:sz="0" w:space="0" w:color="auto"/>
      </w:divBdr>
    </w:div>
    <w:div w:id="668413914">
      <w:bodyDiv w:val="1"/>
      <w:marLeft w:val="0"/>
      <w:marRight w:val="0"/>
      <w:marTop w:val="0"/>
      <w:marBottom w:val="0"/>
      <w:divBdr>
        <w:top w:val="none" w:sz="0" w:space="0" w:color="auto"/>
        <w:left w:val="none" w:sz="0" w:space="0" w:color="auto"/>
        <w:bottom w:val="none" w:sz="0" w:space="0" w:color="auto"/>
        <w:right w:val="none" w:sz="0" w:space="0" w:color="auto"/>
      </w:divBdr>
    </w:div>
    <w:div w:id="669479476">
      <w:bodyDiv w:val="1"/>
      <w:marLeft w:val="0"/>
      <w:marRight w:val="0"/>
      <w:marTop w:val="0"/>
      <w:marBottom w:val="0"/>
      <w:divBdr>
        <w:top w:val="none" w:sz="0" w:space="0" w:color="auto"/>
        <w:left w:val="none" w:sz="0" w:space="0" w:color="auto"/>
        <w:bottom w:val="none" w:sz="0" w:space="0" w:color="auto"/>
        <w:right w:val="none" w:sz="0" w:space="0" w:color="auto"/>
      </w:divBdr>
    </w:div>
    <w:div w:id="672142914">
      <w:bodyDiv w:val="1"/>
      <w:marLeft w:val="0"/>
      <w:marRight w:val="0"/>
      <w:marTop w:val="0"/>
      <w:marBottom w:val="0"/>
      <w:divBdr>
        <w:top w:val="none" w:sz="0" w:space="0" w:color="auto"/>
        <w:left w:val="none" w:sz="0" w:space="0" w:color="auto"/>
        <w:bottom w:val="none" w:sz="0" w:space="0" w:color="auto"/>
        <w:right w:val="none" w:sz="0" w:space="0" w:color="auto"/>
      </w:divBdr>
    </w:div>
    <w:div w:id="673337719">
      <w:bodyDiv w:val="1"/>
      <w:marLeft w:val="0"/>
      <w:marRight w:val="0"/>
      <w:marTop w:val="0"/>
      <w:marBottom w:val="0"/>
      <w:divBdr>
        <w:top w:val="none" w:sz="0" w:space="0" w:color="auto"/>
        <w:left w:val="none" w:sz="0" w:space="0" w:color="auto"/>
        <w:bottom w:val="none" w:sz="0" w:space="0" w:color="auto"/>
        <w:right w:val="none" w:sz="0" w:space="0" w:color="auto"/>
      </w:divBdr>
    </w:div>
    <w:div w:id="674695866">
      <w:bodyDiv w:val="1"/>
      <w:marLeft w:val="0"/>
      <w:marRight w:val="0"/>
      <w:marTop w:val="0"/>
      <w:marBottom w:val="0"/>
      <w:divBdr>
        <w:top w:val="none" w:sz="0" w:space="0" w:color="auto"/>
        <w:left w:val="none" w:sz="0" w:space="0" w:color="auto"/>
        <w:bottom w:val="none" w:sz="0" w:space="0" w:color="auto"/>
        <w:right w:val="none" w:sz="0" w:space="0" w:color="auto"/>
      </w:divBdr>
    </w:div>
    <w:div w:id="675234502">
      <w:bodyDiv w:val="1"/>
      <w:marLeft w:val="0"/>
      <w:marRight w:val="0"/>
      <w:marTop w:val="0"/>
      <w:marBottom w:val="0"/>
      <w:divBdr>
        <w:top w:val="none" w:sz="0" w:space="0" w:color="auto"/>
        <w:left w:val="none" w:sz="0" w:space="0" w:color="auto"/>
        <w:bottom w:val="none" w:sz="0" w:space="0" w:color="auto"/>
        <w:right w:val="none" w:sz="0" w:space="0" w:color="auto"/>
      </w:divBdr>
    </w:div>
    <w:div w:id="675545550">
      <w:bodyDiv w:val="1"/>
      <w:marLeft w:val="0"/>
      <w:marRight w:val="0"/>
      <w:marTop w:val="0"/>
      <w:marBottom w:val="0"/>
      <w:divBdr>
        <w:top w:val="none" w:sz="0" w:space="0" w:color="auto"/>
        <w:left w:val="none" w:sz="0" w:space="0" w:color="auto"/>
        <w:bottom w:val="none" w:sz="0" w:space="0" w:color="auto"/>
        <w:right w:val="none" w:sz="0" w:space="0" w:color="auto"/>
      </w:divBdr>
    </w:div>
    <w:div w:id="675767406">
      <w:bodyDiv w:val="1"/>
      <w:marLeft w:val="0"/>
      <w:marRight w:val="0"/>
      <w:marTop w:val="0"/>
      <w:marBottom w:val="0"/>
      <w:divBdr>
        <w:top w:val="none" w:sz="0" w:space="0" w:color="auto"/>
        <w:left w:val="none" w:sz="0" w:space="0" w:color="auto"/>
        <w:bottom w:val="none" w:sz="0" w:space="0" w:color="auto"/>
        <w:right w:val="none" w:sz="0" w:space="0" w:color="auto"/>
      </w:divBdr>
    </w:div>
    <w:div w:id="679769983">
      <w:bodyDiv w:val="1"/>
      <w:marLeft w:val="0"/>
      <w:marRight w:val="0"/>
      <w:marTop w:val="0"/>
      <w:marBottom w:val="0"/>
      <w:divBdr>
        <w:top w:val="none" w:sz="0" w:space="0" w:color="auto"/>
        <w:left w:val="none" w:sz="0" w:space="0" w:color="auto"/>
        <w:bottom w:val="none" w:sz="0" w:space="0" w:color="auto"/>
        <w:right w:val="none" w:sz="0" w:space="0" w:color="auto"/>
      </w:divBdr>
    </w:div>
    <w:div w:id="679822161">
      <w:bodyDiv w:val="1"/>
      <w:marLeft w:val="0"/>
      <w:marRight w:val="0"/>
      <w:marTop w:val="0"/>
      <w:marBottom w:val="0"/>
      <w:divBdr>
        <w:top w:val="none" w:sz="0" w:space="0" w:color="auto"/>
        <w:left w:val="none" w:sz="0" w:space="0" w:color="auto"/>
        <w:bottom w:val="none" w:sz="0" w:space="0" w:color="auto"/>
        <w:right w:val="none" w:sz="0" w:space="0" w:color="auto"/>
      </w:divBdr>
    </w:div>
    <w:div w:id="679897046">
      <w:bodyDiv w:val="1"/>
      <w:marLeft w:val="0"/>
      <w:marRight w:val="0"/>
      <w:marTop w:val="0"/>
      <w:marBottom w:val="0"/>
      <w:divBdr>
        <w:top w:val="none" w:sz="0" w:space="0" w:color="auto"/>
        <w:left w:val="none" w:sz="0" w:space="0" w:color="auto"/>
        <w:bottom w:val="none" w:sz="0" w:space="0" w:color="auto"/>
        <w:right w:val="none" w:sz="0" w:space="0" w:color="auto"/>
      </w:divBdr>
    </w:div>
    <w:div w:id="680814495">
      <w:bodyDiv w:val="1"/>
      <w:marLeft w:val="0"/>
      <w:marRight w:val="0"/>
      <w:marTop w:val="0"/>
      <w:marBottom w:val="0"/>
      <w:divBdr>
        <w:top w:val="none" w:sz="0" w:space="0" w:color="auto"/>
        <w:left w:val="none" w:sz="0" w:space="0" w:color="auto"/>
        <w:bottom w:val="none" w:sz="0" w:space="0" w:color="auto"/>
        <w:right w:val="none" w:sz="0" w:space="0" w:color="auto"/>
      </w:divBdr>
    </w:div>
    <w:div w:id="680815296">
      <w:bodyDiv w:val="1"/>
      <w:marLeft w:val="0"/>
      <w:marRight w:val="0"/>
      <w:marTop w:val="0"/>
      <w:marBottom w:val="0"/>
      <w:divBdr>
        <w:top w:val="none" w:sz="0" w:space="0" w:color="auto"/>
        <w:left w:val="none" w:sz="0" w:space="0" w:color="auto"/>
        <w:bottom w:val="none" w:sz="0" w:space="0" w:color="auto"/>
        <w:right w:val="none" w:sz="0" w:space="0" w:color="auto"/>
      </w:divBdr>
    </w:div>
    <w:div w:id="681974985">
      <w:bodyDiv w:val="1"/>
      <w:marLeft w:val="0"/>
      <w:marRight w:val="0"/>
      <w:marTop w:val="0"/>
      <w:marBottom w:val="0"/>
      <w:divBdr>
        <w:top w:val="none" w:sz="0" w:space="0" w:color="auto"/>
        <w:left w:val="none" w:sz="0" w:space="0" w:color="auto"/>
        <w:bottom w:val="none" w:sz="0" w:space="0" w:color="auto"/>
        <w:right w:val="none" w:sz="0" w:space="0" w:color="auto"/>
      </w:divBdr>
    </w:div>
    <w:div w:id="682047776">
      <w:bodyDiv w:val="1"/>
      <w:marLeft w:val="0"/>
      <w:marRight w:val="0"/>
      <w:marTop w:val="0"/>
      <w:marBottom w:val="0"/>
      <w:divBdr>
        <w:top w:val="none" w:sz="0" w:space="0" w:color="auto"/>
        <w:left w:val="none" w:sz="0" w:space="0" w:color="auto"/>
        <w:bottom w:val="none" w:sz="0" w:space="0" w:color="auto"/>
        <w:right w:val="none" w:sz="0" w:space="0" w:color="auto"/>
      </w:divBdr>
    </w:div>
    <w:div w:id="683289896">
      <w:bodyDiv w:val="1"/>
      <w:marLeft w:val="0"/>
      <w:marRight w:val="0"/>
      <w:marTop w:val="0"/>
      <w:marBottom w:val="0"/>
      <w:divBdr>
        <w:top w:val="none" w:sz="0" w:space="0" w:color="auto"/>
        <w:left w:val="none" w:sz="0" w:space="0" w:color="auto"/>
        <w:bottom w:val="none" w:sz="0" w:space="0" w:color="auto"/>
        <w:right w:val="none" w:sz="0" w:space="0" w:color="auto"/>
      </w:divBdr>
    </w:div>
    <w:div w:id="684750231">
      <w:bodyDiv w:val="1"/>
      <w:marLeft w:val="0"/>
      <w:marRight w:val="0"/>
      <w:marTop w:val="0"/>
      <w:marBottom w:val="0"/>
      <w:divBdr>
        <w:top w:val="none" w:sz="0" w:space="0" w:color="auto"/>
        <w:left w:val="none" w:sz="0" w:space="0" w:color="auto"/>
        <w:bottom w:val="none" w:sz="0" w:space="0" w:color="auto"/>
        <w:right w:val="none" w:sz="0" w:space="0" w:color="auto"/>
      </w:divBdr>
    </w:div>
    <w:div w:id="689526503">
      <w:bodyDiv w:val="1"/>
      <w:marLeft w:val="0"/>
      <w:marRight w:val="0"/>
      <w:marTop w:val="0"/>
      <w:marBottom w:val="0"/>
      <w:divBdr>
        <w:top w:val="none" w:sz="0" w:space="0" w:color="auto"/>
        <w:left w:val="none" w:sz="0" w:space="0" w:color="auto"/>
        <w:bottom w:val="none" w:sz="0" w:space="0" w:color="auto"/>
        <w:right w:val="none" w:sz="0" w:space="0" w:color="auto"/>
      </w:divBdr>
    </w:div>
    <w:div w:id="689989203">
      <w:bodyDiv w:val="1"/>
      <w:marLeft w:val="0"/>
      <w:marRight w:val="0"/>
      <w:marTop w:val="0"/>
      <w:marBottom w:val="0"/>
      <w:divBdr>
        <w:top w:val="none" w:sz="0" w:space="0" w:color="auto"/>
        <w:left w:val="none" w:sz="0" w:space="0" w:color="auto"/>
        <w:bottom w:val="none" w:sz="0" w:space="0" w:color="auto"/>
        <w:right w:val="none" w:sz="0" w:space="0" w:color="auto"/>
      </w:divBdr>
    </w:div>
    <w:div w:id="690380732">
      <w:bodyDiv w:val="1"/>
      <w:marLeft w:val="0"/>
      <w:marRight w:val="0"/>
      <w:marTop w:val="0"/>
      <w:marBottom w:val="0"/>
      <w:divBdr>
        <w:top w:val="none" w:sz="0" w:space="0" w:color="auto"/>
        <w:left w:val="none" w:sz="0" w:space="0" w:color="auto"/>
        <w:bottom w:val="none" w:sz="0" w:space="0" w:color="auto"/>
        <w:right w:val="none" w:sz="0" w:space="0" w:color="auto"/>
      </w:divBdr>
    </w:div>
    <w:div w:id="693115453">
      <w:bodyDiv w:val="1"/>
      <w:marLeft w:val="0"/>
      <w:marRight w:val="0"/>
      <w:marTop w:val="0"/>
      <w:marBottom w:val="0"/>
      <w:divBdr>
        <w:top w:val="none" w:sz="0" w:space="0" w:color="auto"/>
        <w:left w:val="none" w:sz="0" w:space="0" w:color="auto"/>
        <w:bottom w:val="none" w:sz="0" w:space="0" w:color="auto"/>
        <w:right w:val="none" w:sz="0" w:space="0" w:color="auto"/>
      </w:divBdr>
    </w:div>
    <w:div w:id="696003775">
      <w:bodyDiv w:val="1"/>
      <w:marLeft w:val="0"/>
      <w:marRight w:val="0"/>
      <w:marTop w:val="0"/>
      <w:marBottom w:val="0"/>
      <w:divBdr>
        <w:top w:val="none" w:sz="0" w:space="0" w:color="auto"/>
        <w:left w:val="none" w:sz="0" w:space="0" w:color="auto"/>
        <w:bottom w:val="none" w:sz="0" w:space="0" w:color="auto"/>
        <w:right w:val="none" w:sz="0" w:space="0" w:color="auto"/>
      </w:divBdr>
    </w:div>
    <w:div w:id="697122923">
      <w:bodyDiv w:val="1"/>
      <w:marLeft w:val="0"/>
      <w:marRight w:val="0"/>
      <w:marTop w:val="0"/>
      <w:marBottom w:val="0"/>
      <w:divBdr>
        <w:top w:val="none" w:sz="0" w:space="0" w:color="auto"/>
        <w:left w:val="none" w:sz="0" w:space="0" w:color="auto"/>
        <w:bottom w:val="none" w:sz="0" w:space="0" w:color="auto"/>
        <w:right w:val="none" w:sz="0" w:space="0" w:color="auto"/>
      </w:divBdr>
    </w:div>
    <w:div w:id="701981894">
      <w:bodyDiv w:val="1"/>
      <w:marLeft w:val="0"/>
      <w:marRight w:val="0"/>
      <w:marTop w:val="0"/>
      <w:marBottom w:val="0"/>
      <w:divBdr>
        <w:top w:val="none" w:sz="0" w:space="0" w:color="auto"/>
        <w:left w:val="none" w:sz="0" w:space="0" w:color="auto"/>
        <w:bottom w:val="none" w:sz="0" w:space="0" w:color="auto"/>
        <w:right w:val="none" w:sz="0" w:space="0" w:color="auto"/>
      </w:divBdr>
    </w:div>
    <w:div w:id="701982965">
      <w:bodyDiv w:val="1"/>
      <w:marLeft w:val="0"/>
      <w:marRight w:val="0"/>
      <w:marTop w:val="0"/>
      <w:marBottom w:val="0"/>
      <w:divBdr>
        <w:top w:val="none" w:sz="0" w:space="0" w:color="auto"/>
        <w:left w:val="none" w:sz="0" w:space="0" w:color="auto"/>
        <w:bottom w:val="none" w:sz="0" w:space="0" w:color="auto"/>
        <w:right w:val="none" w:sz="0" w:space="0" w:color="auto"/>
      </w:divBdr>
    </w:div>
    <w:div w:id="702287081">
      <w:bodyDiv w:val="1"/>
      <w:marLeft w:val="0"/>
      <w:marRight w:val="0"/>
      <w:marTop w:val="0"/>
      <w:marBottom w:val="0"/>
      <w:divBdr>
        <w:top w:val="none" w:sz="0" w:space="0" w:color="auto"/>
        <w:left w:val="none" w:sz="0" w:space="0" w:color="auto"/>
        <w:bottom w:val="none" w:sz="0" w:space="0" w:color="auto"/>
        <w:right w:val="none" w:sz="0" w:space="0" w:color="auto"/>
      </w:divBdr>
    </w:div>
    <w:div w:id="703016150">
      <w:bodyDiv w:val="1"/>
      <w:marLeft w:val="0"/>
      <w:marRight w:val="0"/>
      <w:marTop w:val="0"/>
      <w:marBottom w:val="0"/>
      <w:divBdr>
        <w:top w:val="none" w:sz="0" w:space="0" w:color="auto"/>
        <w:left w:val="none" w:sz="0" w:space="0" w:color="auto"/>
        <w:bottom w:val="none" w:sz="0" w:space="0" w:color="auto"/>
        <w:right w:val="none" w:sz="0" w:space="0" w:color="auto"/>
      </w:divBdr>
    </w:div>
    <w:div w:id="705252395">
      <w:bodyDiv w:val="1"/>
      <w:marLeft w:val="0"/>
      <w:marRight w:val="0"/>
      <w:marTop w:val="0"/>
      <w:marBottom w:val="0"/>
      <w:divBdr>
        <w:top w:val="none" w:sz="0" w:space="0" w:color="auto"/>
        <w:left w:val="none" w:sz="0" w:space="0" w:color="auto"/>
        <w:bottom w:val="none" w:sz="0" w:space="0" w:color="auto"/>
        <w:right w:val="none" w:sz="0" w:space="0" w:color="auto"/>
      </w:divBdr>
    </w:div>
    <w:div w:id="706226278">
      <w:bodyDiv w:val="1"/>
      <w:marLeft w:val="0"/>
      <w:marRight w:val="0"/>
      <w:marTop w:val="0"/>
      <w:marBottom w:val="0"/>
      <w:divBdr>
        <w:top w:val="none" w:sz="0" w:space="0" w:color="auto"/>
        <w:left w:val="none" w:sz="0" w:space="0" w:color="auto"/>
        <w:bottom w:val="none" w:sz="0" w:space="0" w:color="auto"/>
        <w:right w:val="none" w:sz="0" w:space="0" w:color="auto"/>
      </w:divBdr>
    </w:div>
    <w:div w:id="709183888">
      <w:bodyDiv w:val="1"/>
      <w:marLeft w:val="0"/>
      <w:marRight w:val="0"/>
      <w:marTop w:val="0"/>
      <w:marBottom w:val="0"/>
      <w:divBdr>
        <w:top w:val="none" w:sz="0" w:space="0" w:color="auto"/>
        <w:left w:val="none" w:sz="0" w:space="0" w:color="auto"/>
        <w:bottom w:val="none" w:sz="0" w:space="0" w:color="auto"/>
        <w:right w:val="none" w:sz="0" w:space="0" w:color="auto"/>
      </w:divBdr>
    </w:div>
    <w:div w:id="709454136">
      <w:bodyDiv w:val="1"/>
      <w:marLeft w:val="0"/>
      <w:marRight w:val="0"/>
      <w:marTop w:val="0"/>
      <w:marBottom w:val="0"/>
      <w:divBdr>
        <w:top w:val="none" w:sz="0" w:space="0" w:color="auto"/>
        <w:left w:val="none" w:sz="0" w:space="0" w:color="auto"/>
        <w:bottom w:val="none" w:sz="0" w:space="0" w:color="auto"/>
        <w:right w:val="none" w:sz="0" w:space="0" w:color="auto"/>
      </w:divBdr>
    </w:div>
    <w:div w:id="711537910">
      <w:bodyDiv w:val="1"/>
      <w:marLeft w:val="0"/>
      <w:marRight w:val="0"/>
      <w:marTop w:val="0"/>
      <w:marBottom w:val="0"/>
      <w:divBdr>
        <w:top w:val="none" w:sz="0" w:space="0" w:color="auto"/>
        <w:left w:val="none" w:sz="0" w:space="0" w:color="auto"/>
        <w:bottom w:val="none" w:sz="0" w:space="0" w:color="auto"/>
        <w:right w:val="none" w:sz="0" w:space="0" w:color="auto"/>
      </w:divBdr>
    </w:div>
    <w:div w:id="712777482">
      <w:bodyDiv w:val="1"/>
      <w:marLeft w:val="0"/>
      <w:marRight w:val="0"/>
      <w:marTop w:val="0"/>
      <w:marBottom w:val="0"/>
      <w:divBdr>
        <w:top w:val="none" w:sz="0" w:space="0" w:color="auto"/>
        <w:left w:val="none" w:sz="0" w:space="0" w:color="auto"/>
        <w:bottom w:val="none" w:sz="0" w:space="0" w:color="auto"/>
        <w:right w:val="none" w:sz="0" w:space="0" w:color="auto"/>
      </w:divBdr>
    </w:div>
    <w:div w:id="712852248">
      <w:bodyDiv w:val="1"/>
      <w:marLeft w:val="0"/>
      <w:marRight w:val="0"/>
      <w:marTop w:val="0"/>
      <w:marBottom w:val="0"/>
      <w:divBdr>
        <w:top w:val="none" w:sz="0" w:space="0" w:color="auto"/>
        <w:left w:val="none" w:sz="0" w:space="0" w:color="auto"/>
        <w:bottom w:val="none" w:sz="0" w:space="0" w:color="auto"/>
        <w:right w:val="none" w:sz="0" w:space="0" w:color="auto"/>
      </w:divBdr>
    </w:div>
    <w:div w:id="721949737">
      <w:bodyDiv w:val="1"/>
      <w:marLeft w:val="0"/>
      <w:marRight w:val="0"/>
      <w:marTop w:val="0"/>
      <w:marBottom w:val="0"/>
      <w:divBdr>
        <w:top w:val="none" w:sz="0" w:space="0" w:color="auto"/>
        <w:left w:val="none" w:sz="0" w:space="0" w:color="auto"/>
        <w:bottom w:val="none" w:sz="0" w:space="0" w:color="auto"/>
        <w:right w:val="none" w:sz="0" w:space="0" w:color="auto"/>
      </w:divBdr>
    </w:div>
    <w:div w:id="722023671">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725184807">
      <w:bodyDiv w:val="1"/>
      <w:marLeft w:val="0"/>
      <w:marRight w:val="0"/>
      <w:marTop w:val="0"/>
      <w:marBottom w:val="0"/>
      <w:divBdr>
        <w:top w:val="none" w:sz="0" w:space="0" w:color="auto"/>
        <w:left w:val="none" w:sz="0" w:space="0" w:color="auto"/>
        <w:bottom w:val="none" w:sz="0" w:space="0" w:color="auto"/>
        <w:right w:val="none" w:sz="0" w:space="0" w:color="auto"/>
      </w:divBdr>
    </w:div>
    <w:div w:id="725646439">
      <w:bodyDiv w:val="1"/>
      <w:marLeft w:val="0"/>
      <w:marRight w:val="0"/>
      <w:marTop w:val="0"/>
      <w:marBottom w:val="0"/>
      <w:divBdr>
        <w:top w:val="none" w:sz="0" w:space="0" w:color="auto"/>
        <w:left w:val="none" w:sz="0" w:space="0" w:color="auto"/>
        <w:bottom w:val="none" w:sz="0" w:space="0" w:color="auto"/>
        <w:right w:val="none" w:sz="0" w:space="0" w:color="auto"/>
      </w:divBdr>
    </w:div>
    <w:div w:id="725882257">
      <w:bodyDiv w:val="1"/>
      <w:marLeft w:val="0"/>
      <w:marRight w:val="0"/>
      <w:marTop w:val="0"/>
      <w:marBottom w:val="0"/>
      <w:divBdr>
        <w:top w:val="none" w:sz="0" w:space="0" w:color="auto"/>
        <w:left w:val="none" w:sz="0" w:space="0" w:color="auto"/>
        <w:bottom w:val="none" w:sz="0" w:space="0" w:color="auto"/>
        <w:right w:val="none" w:sz="0" w:space="0" w:color="auto"/>
      </w:divBdr>
    </w:div>
    <w:div w:id="725908851">
      <w:bodyDiv w:val="1"/>
      <w:marLeft w:val="0"/>
      <w:marRight w:val="0"/>
      <w:marTop w:val="0"/>
      <w:marBottom w:val="0"/>
      <w:divBdr>
        <w:top w:val="none" w:sz="0" w:space="0" w:color="auto"/>
        <w:left w:val="none" w:sz="0" w:space="0" w:color="auto"/>
        <w:bottom w:val="none" w:sz="0" w:space="0" w:color="auto"/>
        <w:right w:val="none" w:sz="0" w:space="0" w:color="auto"/>
      </w:divBdr>
    </w:div>
    <w:div w:id="727651576">
      <w:bodyDiv w:val="1"/>
      <w:marLeft w:val="0"/>
      <w:marRight w:val="0"/>
      <w:marTop w:val="0"/>
      <w:marBottom w:val="0"/>
      <w:divBdr>
        <w:top w:val="none" w:sz="0" w:space="0" w:color="auto"/>
        <w:left w:val="none" w:sz="0" w:space="0" w:color="auto"/>
        <w:bottom w:val="none" w:sz="0" w:space="0" w:color="auto"/>
        <w:right w:val="none" w:sz="0" w:space="0" w:color="auto"/>
      </w:divBdr>
    </w:div>
    <w:div w:id="728042391">
      <w:bodyDiv w:val="1"/>
      <w:marLeft w:val="0"/>
      <w:marRight w:val="0"/>
      <w:marTop w:val="0"/>
      <w:marBottom w:val="0"/>
      <w:divBdr>
        <w:top w:val="none" w:sz="0" w:space="0" w:color="auto"/>
        <w:left w:val="none" w:sz="0" w:space="0" w:color="auto"/>
        <w:bottom w:val="none" w:sz="0" w:space="0" w:color="auto"/>
        <w:right w:val="none" w:sz="0" w:space="0" w:color="auto"/>
      </w:divBdr>
    </w:div>
    <w:div w:id="731930905">
      <w:bodyDiv w:val="1"/>
      <w:marLeft w:val="0"/>
      <w:marRight w:val="0"/>
      <w:marTop w:val="0"/>
      <w:marBottom w:val="0"/>
      <w:divBdr>
        <w:top w:val="none" w:sz="0" w:space="0" w:color="auto"/>
        <w:left w:val="none" w:sz="0" w:space="0" w:color="auto"/>
        <w:bottom w:val="none" w:sz="0" w:space="0" w:color="auto"/>
        <w:right w:val="none" w:sz="0" w:space="0" w:color="auto"/>
      </w:divBdr>
    </w:div>
    <w:div w:id="732971445">
      <w:bodyDiv w:val="1"/>
      <w:marLeft w:val="0"/>
      <w:marRight w:val="0"/>
      <w:marTop w:val="0"/>
      <w:marBottom w:val="0"/>
      <w:divBdr>
        <w:top w:val="none" w:sz="0" w:space="0" w:color="auto"/>
        <w:left w:val="none" w:sz="0" w:space="0" w:color="auto"/>
        <w:bottom w:val="none" w:sz="0" w:space="0" w:color="auto"/>
        <w:right w:val="none" w:sz="0" w:space="0" w:color="auto"/>
      </w:divBdr>
    </w:div>
    <w:div w:id="733743590">
      <w:bodyDiv w:val="1"/>
      <w:marLeft w:val="0"/>
      <w:marRight w:val="0"/>
      <w:marTop w:val="0"/>
      <w:marBottom w:val="0"/>
      <w:divBdr>
        <w:top w:val="none" w:sz="0" w:space="0" w:color="auto"/>
        <w:left w:val="none" w:sz="0" w:space="0" w:color="auto"/>
        <w:bottom w:val="none" w:sz="0" w:space="0" w:color="auto"/>
        <w:right w:val="none" w:sz="0" w:space="0" w:color="auto"/>
      </w:divBdr>
    </w:div>
    <w:div w:id="734165423">
      <w:bodyDiv w:val="1"/>
      <w:marLeft w:val="0"/>
      <w:marRight w:val="0"/>
      <w:marTop w:val="0"/>
      <w:marBottom w:val="0"/>
      <w:divBdr>
        <w:top w:val="none" w:sz="0" w:space="0" w:color="auto"/>
        <w:left w:val="none" w:sz="0" w:space="0" w:color="auto"/>
        <w:bottom w:val="none" w:sz="0" w:space="0" w:color="auto"/>
        <w:right w:val="none" w:sz="0" w:space="0" w:color="auto"/>
      </w:divBdr>
    </w:div>
    <w:div w:id="735081162">
      <w:bodyDiv w:val="1"/>
      <w:marLeft w:val="0"/>
      <w:marRight w:val="0"/>
      <w:marTop w:val="0"/>
      <w:marBottom w:val="0"/>
      <w:divBdr>
        <w:top w:val="none" w:sz="0" w:space="0" w:color="auto"/>
        <w:left w:val="none" w:sz="0" w:space="0" w:color="auto"/>
        <w:bottom w:val="none" w:sz="0" w:space="0" w:color="auto"/>
        <w:right w:val="none" w:sz="0" w:space="0" w:color="auto"/>
      </w:divBdr>
    </w:div>
    <w:div w:id="737242479">
      <w:bodyDiv w:val="1"/>
      <w:marLeft w:val="0"/>
      <w:marRight w:val="0"/>
      <w:marTop w:val="0"/>
      <w:marBottom w:val="0"/>
      <w:divBdr>
        <w:top w:val="none" w:sz="0" w:space="0" w:color="auto"/>
        <w:left w:val="none" w:sz="0" w:space="0" w:color="auto"/>
        <w:bottom w:val="none" w:sz="0" w:space="0" w:color="auto"/>
        <w:right w:val="none" w:sz="0" w:space="0" w:color="auto"/>
      </w:divBdr>
    </w:div>
    <w:div w:id="740719267">
      <w:bodyDiv w:val="1"/>
      <w:marLeft w:val="0"/>
      <w:marRight w:val="0"/>
      <w:marTop w:val="0"/>
      <w:marBottom w:val="0"/>
      <w:divBdr>
        <w:top w:val="none" w:sz="0" w:space="0" w:color="auto"/>
        <w:left w:val="none" w:sz="0" w:space="0" w:color="auto"/>
        <w:bottom w:val="none" w:sz="0" w:space="0" w:color="auto"/>
        <w:right w:val="none" w:sz="0" w:space="0" w:color="auto"/>
      </w:divBdr>
    </w:div>
    <w:div w:id="742529204">
      <w:bodyDiv w:val="1"/>
      <w:marLeft w:val="0"/>
      <w:marRight w:val="0"/>
      <w:marTop w:val="0"/>
      <w:marBottom w:val="0"/>
      <w:divBdr>
        <w:top w:val="none" w:sz="0" w:space="0" w:color="auto"/>
        <w:left w:val="none" w:sz="0" w:space="0" w:color="auto"/>
        <w:bottom w:val="none" w:sz="0" w:space="0" w:color="auto"/>
        <w:right w:val="none" w:sz="0" w:space="0" w:color="auto"/>
      </w:divBdr>
    </w:div>
    <w:div w:id="745617469">
      <w:bodyDiv w:val="1"/>
      <w:marLeft w:val="0"/>
      <w:marRight w:val="0"/>
      <w:marTop w:val="0"/>
      <w:marBottom w:val="0"/>
      <w:divBdr>
        <w:top w:val="none" w:sz="0" w:space="0" w:color="auto"/>
        <w:left w:val="none" w:sz="0" w:space="0" w:color="auto"/>
        <w:bottom w:val="none" w:sz="0" w:space="0" w:color="auto"/>
        <w:right w:val="none" w:sz="0" w:space="0" w:color="auto"/>
      </w:divBdr>
    </w:div>
    <w:div w:id="746000195">
      <w:bodyDiv w:val="1"/>
      <w:marLeft w:val="0"/>
      <w:marRight w:val="0"/>
      <w:marTop w:val="0"/>
      <w:marBottom w:val="0"/>
      <w:divBdr>
        <w:top w:val="none" w:sz="0" w:space="0" w:color="auto"/>
        <w:left w:val="none" w:sz="0" w:space="0" w:color="auto"/>
        <w:bottom w:val="none" w:sz="0" w:space="0" w:color="auto"/>
        <w:right w:val="none" w:sz="0" w:space="0" w:color="auto"/>
      </w:divBdr>
    </w:div>
    <w:div w:id="747769131">
      <w:bodyDiv w:val="1"/>
      <w:marLeft w:val="0"/>
      <w:marRight w:val="0"/>
      <w:marTop w:val="0"/>
      <w:marBottom w:val="0"/>
      <w:divBdr>
        <w:top w:val="none" w:sz="0" w:space="0" w:color="auto"/>
        <w:left w:val="none" w:sz="0" w:space="0" w:color="auto"/>
        <w:bottom w:val="none" w:sz="0" w:space="0" w:color="auto"/>
        <w:right w:val="none" w:sz="0" w:space="0" w:color="auto"/>
      </w:divBdr>
    </w:div>
    <w:div w:id="747924363">
      <w:bodyDiv w:val="1"/>
      <w:marLeft w:val="0"/>
      <w:marRight w:val="0"/>
      <w:marTop w:val="0"/>
      <w:marBottom w:val="0"/>
      <w:divBdr>
        <w:top w:val="none" w:sz="0" w:space="0" w:color="auto"/>
        <w:left w:val="none" w:sz="0" w:space="0" w:color="auto"/>
        <w:bottom w:val="none" w:sz="0" w:space="0" w:color="auto"/>
        <w:right w:val="none" w:sz="0" w:space="0" w:color="auto"/>
      </w:divBdr>
    </w:div>
    <w:div w:id="748386535">
      <w:bodyDiv w:val="1"/>
      <w:marLeft w:val="0"/>
      <w:marRight w:val="0"/>
      <w:marTop w:val="0"/>
      <w:marBottom w:val="0"/>
      <w:divBdr>
        <w:top w:val="none" w:sz="0" w:space="0" w:color="auto"/>
        <w:left w:val="none" w:sz="0" w:space="0" w:color="auto"/>
        <w:bottom w:val="none" w:sz="0" w:space="0" w:color="auto"/>
        <w:right w:val="none" w:sz="0" w:space="0" w:color="auto"/>
      </w:divBdr>
    </w:div>
    <w:div w:id="749472123">
      <w:bodyDiv w:val="1"/>
      <w:marLeft w:val="0"/>
      <w:marRight w:val="0"/>
      <w:marTop w:val="0"/>
      <w:marBottom w:val="0"/>
      <w:divBdr>
        <w:top w:val="none" w:sz="0" w:space="0" w:color="auto"/>
        <w:left w:val="none" w:sz="0" w:space="0" w:color="auto"/>
        <w:bottom w:val="none" w:sz="0" w:space="0" w:color="auto"/>
        <w:right w:val="none" w:sz="0" w:space="0" w:color="auto"/>
      </w:divBdr>
    </w:div>
    <w:div w:id="750082005">
      <w:bodyDiv w:val="1"/>
      <w:marLeft w:val="0"/>
      <w:marRight w:val="0"/>
      <w:marTop w:val="0"/>
      <w:marBottom w:val="0"/>
      <w:divBdr>
        <w:top w:val="none" w:sz="0" w:space="0" w:color="auto"/>
        <w:left w:val="none" w:sz="0" w:space="0" w:color="auto"/>
        <w:bottom w:val="none" w:sz="0" w:space="0" w:color="auto"/>
        <w:right w:val="none" w:sz="0" w:space="0" w:color="auto"/>
      </w:divBdr>
    </w:div>
    <w:div w:id="752044995">
      <w:bodyDiv w:val="1"/>
      <w:marLeft w:val="0"/>
      <w:marRight w:val="0"/>
      <w:marTop w:val="0"/>
      <w:marBottom w:val="0"/>
      <w:divBdr>
        <w:top w:val="none" w:sz="0" w:space="0" w:color="auto"/>
        <w:left w:val="none" w:sz="0" w:space="0" w:color="auto"/>
        <w:bottom w:val="none" w:sz="0" w:space="0" w:color="auto"/>
        <w:right w:val="none" w:sz="0" w:space="0" w:color="auto"/>
      </w:divBdr>
    </w:div>
    <w:div w:id="755247076">
      <w:bodyDiv w:val="1"/>
      <w:marLeft w:val="0"/>
      <w:marRight w:val="0"/>
      <w:marTop w:val="0"/>
      <w:marBottom w:val="0"/>
      <w:divBdr>
        <w:top w:val="none" w:sz="0" w:space="0" w:color="auto"/>
        <w:left w:val="none" w:sz="0" w:space="0" w:color="auto"/>
        <w:bottom w:val="none" w:sz="0" w:space="0" w:color="auto"/>
        <w:right w:val="none" w:sz="0" w:space="0" w:color="auto"/>
      </w:divBdr>
    </w:div>
    <w:div w:id="756946448">
      <w:bodyDiv w:val="1"/>
      <w:marLeft w:val="0"/>
      <w:marRight w:val="0"/>
      <w:marTop w:val="0"/>
      <w:marBottom w:val="0"/>
      <w:divBdr>
        <w:top w:val="none" w:sz="0" w:space="0" w:color="auto"/>
        <w:left w:val="none" w:sz="0" w:space="0" w:color="auto"/>
        <w:bottom w:val="none" w:sz="0" w:space="0" w:color="auto"/>
        <w:right w:val="none" w:sz="0" w:space="0" w:color="auto"/>
      </w:divBdr>
    </w:div>
    <w:div w:id="757558875">
      <w:bodyDiv w:val="1"/>
      <w:marLeft w:val="0"/>
      <w:marRight w:val="0"/>
      <w:marTop w:val="0"/>
      <w:marBottom w:val="0"/>
      <w:divBdr>
        <w:top w:val="none" w:sz="0" w:space="0" w:color="auto"/>
        <w:left w:val="none" w:sz="0" w:space="0" w:color="auto"/>
        <w:bottom w:val="none" w:sz="0" w:space="0" w:color="auto"/>
        <w:right w:val="none" w:sz="0" w:space="0" w:color="auto"/>
      </w:divBdr>
    </w:div>
    <w:div w:id="759057463">
      <w:bodyDiv w:val="1"/>
      <w:marLeft w:val="0"/>
      <w:marRight w:val="0"/>
      <w:marTop w:val="0"/>
      <w:marBottom w:val="0"/>
      <w:divBdr>
        <w:top w:val="none" w:sz="0" w:space="0" w:color="auto"/>
        <w:left w:val="none" w:sz="0" w:space="0" w:color="auto"/>
        <w:bottom w:val="none" w:sz="0" w:space="0" w:color="auto"/>
        <w:right w:val="none" w:sz="0" w:space="0" w:color="auto"/>
      </w:divBdr>
    </w:div>
    <w:div w:id="759834911">
      <w:bodyDiv w:val="1"/>
      <w:marLeft w:val="0"/>
      <w:marRight w:val="0"/>
      <w:marTop w:val="0"/>
      <w:marBottom w:val="0"/>
      <w:divBdr>
        <w:top w:val="none" w:sz="0" w:space="0" w:color="auto"/>
        <w:left w:val="none" w:sz="0" w:space="0" w:color="auto"/>
        <w:bottom w:val="none" w:sz="0" w:space="0" w:color="auto"/>
        <w:right w:val="none" w:sz="0" w:space="0" w:color="auto"/>
      </w:divBdr>
    </w:div>
    <w:div w:id="761490707">
      <w:bodyDiv w:val="1"/>
      <w:marLeft w:val="0"/>
      <w:marRight w:val="0"/>
      <w:marTop w:val="0"/>
      <w:marBottom w:val="0"/>
      <w:divBdr>
        <w:top w:val="none" w:sz="0" w:space="0" w:color="auto"/>
        <w:left w:val="none" w:sz="0" w:space="0" w:color="auto"/>
        <w:bottom w:val="none" w:sz="0" w:space="0" w:color="auto"/>
        <w:right w:val="none" w:sz="0" w:space="0" w:color="auto"/>
      </w:divBdr>
    </w:div>
    <w:div w:id="767313032">
      <w:bodyDiv w:val="1"/>
      <w:marLeft w:val="0"/>
      <w:marRight w:val="0"/>
      <w:marTop w:val="0"/>
      <w:marBottom w:val="0"/>
      <w:divBdr>
        <w:top w:val="none" w:sz="0" w:space="0" w:color="auto"/>
        <w:left w:val="none" w:sz="0" w:space="0" w:color="auto"/>
        <w:bottom w:val="none" w:sz="0" w:space="0" w:color="auto"/>
        <w:right w:val="none" w:sz="0" w:space="0" w:color="auto"/>
      </w:divBdr>
    </w:div>
    <w:div w:id="767771901">
      <w:bodyDiv w:val="1"/>
      <w:marLeft w:val="0"/>
      <w:marRight w:val="0"/>
      <w:marTop w:val="0"/>
      <w:marBottom w:val="0"/>
      <w:divBdr>
        <w:top w:val="none" w:sz="0" w:space="0" w:color="auto"/>
        <w:left w:val="none" w:sz="0" w:space="0" w:color="auto"/>
        <w:bottom w:val="none" w:sz="0" w:space="0" w:color="auto"/>
        <w:right w:val="none" w:sz="0" w:space="0" w:color="auto"/>
      </w:divBdr>
    </w:div>
    <w:div w:id="769936677">
      <w:bodyDiv w:val="1"/>
      <w:marLeft w:val="0"/>
      <w:marRight w:val="0"/>
      <w:marTop w:val="0"/>
      <w:marBottom w:val="0"/>
      <w:divBdr>
        <w:top w:val="none" w:sz="0" w:space="0" w:color="auto"/>
        <w:left w:val="none" w:sz="0" w:space="0" w:color="auto"/>
        <w:bottom w:val="none" w:sz="0" w:space="0" w:color="auto"/>
        <w:right w:val="none" w:sz="0" w:space="0" w:color="auto"/>
      </w:divBdr>
    </w:div>
    <w:div w:id="770011626">
      <w:bodyDiv w:val="1"/>
      <w:marLeft w:val="0"/>
      <w:marRight w:val="0"/>
      <w:marTop w:val="0"/>
      <w:marBottom w:val="0"/>
      <w:divBdr>
        <w:top w:val="none" w:sz="0" w:space="0" w:color="auto"/>
        <w:left w:val="none" w:sz="0" w:space="0" w:color="auto"/>
        <w:bottom w:val="none" w:sz="0" w:space="0" w:color="auto"/>
        <w:right w:val="none" w:sz="0" w:space="0" w:color="auto"/>
      </w:divBdr>
    </w:div>
    <w:div w:id="770903914">
      <w:bodyDiv w:val="1"/>
      <w:marLeft w:val="0"/>
      <w:marRight w:val="0"/>
      <w:marTop w:val="0"/>
      <w:marBottom w:val="0"/>
      <w:divBdr>
        <w:top w:val="none" w:sz="0" w:space="0" w:color="auto"/>
        <w:left w:val="none" w:sz="0" w:space="0" w:color="auto"/>
        <w:bottom w:val="none" w:sz="0" w:space="0" w:color="auto"/>
        <w:right w:val="none" w:sz="0" w:space="0" w:color="auto"/>
      </w:divBdr>
    </w:div>
    <w:div w:id="772285041">
      <w:bodyDiv w:val="1"/>
      <w:marLeft w:val="0"/>
      <w:marRight w:val="0"/>
      <w:marTop w:val="0"/>
      <w:marBottom w:val="0"/>
      <w:divBdr>
        <w:top w:val="none" w:sz="0" w:space="0" w:color="auto"/>
        <w:left w:val="none" w:sz="0" w:space="0" w:color="auto"/>
        <w:bottom w:val="none" w:sz="0" w:space="0" w:color="auto"/>
        <w:right w:val="none" w:sz="0" w:space="0" w:color="auto"/>
      </w:divBdr>
    </w:div>
    <w:div w:id="772673291">
      <w:bodyDiv w:val="1"/>
      <w:marLeft w:val="0"/>
      <w:marRight w:val="0"/>
      <w:marTop w:val="0"/>
      <w:marBottom w:val="0"/>
      <w:divBdr>
        <w:top w:val="none" w:sz="0" w:space="0" w:color="auto"/>
        <w:left w:val="none" w:sz="0" w:space="0" w:color="auto"/>
        <w:bottom w:val="none" w:sz="0" w:space="0" w:color="auto"/>
        <w:right w:val="none" w:sz="0" w:space="0" w:color="auto"/>
      </w:divBdr>
    </w:div>
    <w:div w:id="773744720">
      <w:bodyDiv w:val="1"/>
      <w:marLeft w:val="0"/>
      <w:marRight w:val="0"/>
      <w:marTop w:val="0"/>
      <w:marBottom w:val="0"/>
      <w:divBdr>
        <w:top w:val="none" w:sz="0" w:space="0" w:color="auto"/>
        <w:left w:val="none" w:sz="0" w:space="0" w:color="auto"/>
        <w:bottom w:val="none" w:sz="0" w:space="0" w:color="auto"/>
        <w:right w:val="none" w:sz="0" w:space="0" w:color="auto"/>
      </w:divBdr>
    </w:div>
    <w:div w:id="774789502">
      <w:bodyDiv w:val="1"/>
      <w:marLeft w:val="0"/>
      <w:marRight w:val="0"/>
      <w:marTop w:val="0"/>
      <w:marBottom w:val="0"/>
      <w:divBdr>
        <w:top w:val="none" w:sz="0" w:space="0" w:color="auto"/>
        <w:left w:val="none" w:sz="0" w:space="0" w:color="auto"/>
        <w:bottom w:val="none" w:sz="0" w:space="0" w:color="auto"/>
        <w:right w:val="none" w:sz="0" w:space="0" w:color="auto"/>
      </w:divBdr>
    </w:div>
    <w:div w:id="775712335">
      <w:bodyDiv w:val="1"/>
      <w:marLeft w:val="0"/>
      <w:marRight w:val="0"/>
      <w:marTop w:val="0"/>
      <w:marBottom w:val="0"/>
      <w:divBdr>
        <w:top w:val="none" w:sz="0" w:space="0" w:color="auto"/>
        <w:left w:val="none" w:sz="0" w:space="0" w:color="auto"/>
        <w:bottom w:val="none" w:sz="0" w:space="0" w:color="auto"/>
        <w:right w:val="none" w:sz="0" w:space="0" w:color="auto"/>
      </w:divBdr>
    </w:div>
    <w:div w:id="776944665">
      <w:bodyDiv w:val="1"/>
      <w:marLeft w:val="0"/>
      <w:marRight w:val="0"/>
      <w:marTop w:val="0"/>
      <w:marBottom w:val="0"/>
      <w:divBdr>
        <w:top w:val="none" w:sz="0" w:space="0" w:color="auto"/>
        <w:left w:val="none" w:sz="0" w:space="0" w:color="auto"/>
        <w:bottom w:val="none" w:sz="0" w:space="0" w:color="auto"/>
        <w:right w:val="none" w:sz="0" w:space="0" w:color="auto"/>
      </w:divBdr>
    </w:div>
    <w:div w:id="777407434">
      <w:bodyDiv w:val="1"/>
      <w:marLeft w:val="0"/>
      <w:marRight w:val="0"/>
      <w:marTop w:val="0"/>
      <w:marBottom w:val="0"/>
      <w:divBdr>
        <w:top w:val="none" w:sz="0" w:space="0" w:color="auto"/>
        <w:left w:val="none" w:sz="0" w:space="0" w:color="auto"/>
        <w:bottom w:val="none" w:sz="0" w:space="0" w:color="auto"/>
        <w:right w:val="none" w:sz="0" w:space="0" w:color="auto"/>
      </w:divBdr>
    </w:div>
    <w:div w:id="779840345">
      <w:bodyDiv w:val="1"/>
      <w:marLeft w:val="0"/>
      <w:marRight w:val="0"/>
      <w:marTop w:val="0"/>
      <w:marBottom w:val="0"/>
      <w:divBdr>
        <w:top w:val="none" w:sz="0" w:space="0" w:color="auto"/>
        <w:left w:val="none" w:sz="0" w:space="0" w:color="auto"/>
        <w:bottom w:val="none" w:sz="0" w:space="0" w:color="auto"/>
        <w:right w:val="none" w:sz="0" w:space="0" w:color="auto"/>
      </w:divBdr>
    </w:div>
    <w:div w:id="785082328">
      <w:bodyDiv w:val="1"/>
      <w:marLeft w:val="0"/>
      <w:marRight w:val="0"/>
      <w:marTop w:val="0"/>
      <w:marBottom w:val="0"/>
      <w:divBdr>
        <w:top w:val="none" w:sz="0" w:space="0" w:color="auto"/>
        <w:left w:val="none" w:sz="0" w:space="0" w:color="auto"/>
        <w:bottom w:val="none" w:sz="0" w:space="0" w:color="auto"/>
        <w:right w:val="none" w:sz="0" w:space="0" w:color="auto"/>
      </w:divBdr>
    </w:div>
    <w:div w:id="787234491">
      <w:bodyDiv w:val="1"/>
      <w:marLeft w:val="0"/>
      <w:marRight w:val="0"/>
      <w:marTop w:val="0"/>
      <w:marBottom w:val="0"/>
      <w:divBdr>
        <w:top w:val="none" w:sz="0" w:space="0" w:color="auto"/>
        <w:left w:val="none" w:sz="0" w:space="0" w:color="auto"/>
        <w:bottom w:val="none" w:sz="0" w:space="0" w:color="auto"/>
        <w:right w:val="none" w:sz="0" w:space="0" w:color="auto"/>
      </w:divBdr>
    </w:div>
    <w:div w:id="787243340">
      <w:bodyDiv w:val="1"/>
      <w:marLeft w:val="0"/>
      <w:marRight w:val="0"/>
      <w:marTop w:val="0"/>
      <w:marBottom w:val="0"/>
      <w:divBdr>
        <w:top w:val="none" w:sz="0" w:space="0" w:color="auto"/>
        <w:left w:val="none" w:sz="0" w:space="0" w:color="auto"/>
        <w:bottom w:val="none" w:sz="0" w:space="0" w:color="auto"/>
        <w:right w:val="none" w:sz="0" w:space="0" w:color="auto"/>
      </w:divBdr>
    </w:div>
    <w:div w:id="787771620">
      <w:bodyDiv w:val="1"/>
      <w:marLeft w:val="0"/>
      <w:marRight w:val="0"/>
      <w:marTop w:val="0"/>
      <w:marBottom w:val="0"/>
      <w:divBdr>
        <w:top w:val="none" w:sz="0" w:space="0" w:color="auto"/>
        <w:left w:val="none" w:sz="0" w:space="0" w:color="auto"/>
        <w:bottom w:val="none" w:sz="0" w:space="0" w:color="auto"/>
        <w:right w:val="none" w:sz="0" w:space="0" w:color="auto"/>
      </w:divBdr>
    </w:div>
    <w:div w:id="790780262">
      <w:bodyDiv w:val="1"/>
      <w:marLeft w:val="0"/>
      <w:marRight w:val="0"/>
      <w:marTop w:val="0"/>
      <w:marBottom w:val="0"/>
      <w:divBdr>
        <w:top w:val="none" w:sz="0" w:space="0" w:color="auto"/>
        <w:left w:val="none" w:sz="0" w:space="0" w:color="auto"/>
        <w:bottom w:val="none" w:sz="0" w:space="0" w:color="auto"/>
        <w:right w:val="none" w:sz="0" w:space="0" w:color="auto"/>
      </w:divBdr>
    </w:div>
    <w:div w:id="791632624">
      <w:bodyDiv w:val="1"/>
      <w:marLeft w:val="0"/>
      <w:marRight w:val="0"/>
      <w:marTop w:val="0"/>
      <w:marBottom w:val="0"/>
      <w:divBdr>
        <w:top w:val="none" w:sz="0" w:space="0" w:color="auto"/>
        <w:left w:val="none" w:sz="0" w:space="0" w:color="auto"/>
        <w:bottom w:val="none" w:sz="0" w:space="0" w:color="auto"/>
        <w:right w:val="none" w:sz="0" w:space="0" w:color="auto"/>
      </w:divBdr>
    </w:div>
    <w:div w:id="792208379">
      <w:bodyDiv w:val="1"/>
      <w:marLeft w:val="0"/>
      <w:marRight w:val="0"/>
      <w:marTop w:val="0"/>
      <w:marBottom w:val="0"/>
      <w:divBdr>
        <w:top w:val="none" w:sz="0" w:space="0" w:color="auto"/>
        <w:left w:val="none" w:sz="0" w:space="0" w:color="auto"/>
        <w:bottom w:val="none" w:sz="0" w:space="0" w:color="auto"/>
        <w:right w:val="none" w:sz="0" w:space="0" w:color="auto"/>
      </w:divBdr>
    </w:div>
    <w:div w:id="793910657">
      <w:bodyDiv w:val="1"/>
      <w:marLeft w:val="0"/>
      <w:marRight w:val="0"/>
      <w:marTop w:val="0"/>
      <w:marBottom w:val="0"/>
      <w:divBdr>
        <w:top w:val="none" w:sz="0" w:space="0" w:color="auto"/>
        <w:left w:val="none" w:sz="0" w:space="0" w:color="auto"/>
        <w:bottom w:val="none" w:sz="0" w:space="0" w:color="auto"/>
        <w:right w:val="none" w:sz="0" w:space="0" w:color="auto"/>
      </w:divBdr>
    </w:div>
    <w:div w:id="794565676">
      <w:bodyDiv w:val="1"/>
      <w:marLeft w:val="0"/>
      <w:marRight w:val="0"/>
      <w:marTop w:val="0"/>
      <w:marBottom w:val="0"/>
      <w:divBdr>
        <w:top w:val="none" w:sz="0" w:space="0" w:color="auto"/>
        <w:left w:val="none" w:sz="0" w:space="0" w:color="auto"/>
        <w:bottom w:val="none" w:sz="0" w:space="0" w:color="auto"/>
        <w:right w:val="none" w:sz="0" w:space="0" w:color="auto"/>
      </w:divBdr>
    </w:div>
    <w:div w:id="795105526">
      <w:bodyDiv w:val="1"/>
      <w:marLeft w:val="0"/>
      <w:marRight w:val="0"/>
      <w:marTop w:val="0"/>
      <w:marBottom w:val="0"/>
      <w:divBdr>
        <w:top w:val="none" w:sz="0" w:space="0" w:color="auto"/>
        <w:left w:val="none" w:sz="0" w:space="0" w:color="auto"/>
        <w:bottom w:val="none" w:sz="0" w:space="0" w:color="auto"/>
        <w:right w:val="none" w:sz="0" w:space="0" w:color="auto"/>
      </w:divBdr>
    </w:div>
    <w:div w:id="796073537">
      <w:bodyDiv w:val="1"/>
      <w:marLeft w:val="0"/>
      <w:marRight w:val="0"/>
      <w:marTop w:val="0"/>
      <w:marBottom w:val="0"/>
      <w:divBdr>
        <w:top w:val="none" w:sz="0" w:space="0" w:color="auto"/>
        <w:left w:val="none" w:sz="0" w:space="0" w:color="auto"/>
        <w:bottom w:val="none" w:sz="0" w:space="0" w:color="auto"/>
        <w:right w:val="none" w:sz="0" w:space="0" w:color="auto"/>
      </w:divBdr>
    </w:div>
    <w:div w:id="796338385">
      <w:bodyDiv w:val="1"/>
      <w:marLeft w:val="0"/>
      <w:marRight w:val="0"/>
      <w:marTop w:val="0"/>
      <w:marBottom w:val="0"/>
      <w:divBdr>
        <w:top w:val="none" w:sz="0" w:space="0" w:color="auto"/>
        <w:left w:val="none" w:sz="0" w:space="0" w:color="auto"/>
        <w:bottom w:val="none" w:sz="0" w:space="0" w:color="auto"/>
        <w:right w:val="none" w:sz="0" w:space="0" w:color="auto"/>
      </w:divBdr>
    </w:div>
    <w:div w:id="796491375">
      <w:bodyDiv w:val="1"/>
      <w:marLeft w:val="0"/>
      <w:marRight w:val="0"/>
      <w:marTop w:val="0"/>
      <w:marBottom w:val="0"/>
      <w:divBdr>
        <w:top w:val="none" w:sz="0" w:space="0" w:color="auto"/>
        <w:left w:val="none" w:sz="0" w:space="0" w:color="auto"/>
        <w:bottom w:val="none" w:sz="0" w:space="0" w:color="auto"/>
        <w:right w:val="none" w:sz="0" w:space="0" w:color="auto"/>
      </w:divBdr>
    </w:div>
    <w:div w:id="798185711">
      <w:bodyDiv w:val="1"/>
      <w:marLeft w:val="0"/>
      <w:marRight w:val="0"/>
      <w:marTop w:val="0"/>
      <w:marBottom w:val="0"/>
      <w:divBdr>
        <w:top w:val="none" w:sz="0" w:space="0" w:color="auto"/>
        <w:left w:val="none" w:sz="0" w:space="0" w:color="auto"/>
        <w:bottom w:val="none" w:sz="0" w:space="0" w:color="auto"/>
        <w:right w:val="none" w:sz="0" w:space="0" w:color="auto"/>
      </w:divBdr>
    </w:div>
    <w:div w:id="798644338">
      <w:bodyDiv w:val="1"/>
      <w:marLeft w:val="0"/>
      <w:marRight w:val="0"/>
      <w:marTop w:val="0"/>
      <w:marBottom w:val="0"/>
      <w:divBdr>
        <w:top w:val="none" w:sz="0" w:space="0" w:color="auto"/>
        <w:left w:val="none" w:sz="0" w:space="0" w:color="auto"/>
        <w:bottom w:val="none" w:sz="0" w:space="0" w:color="auto"/>
        <w:right w:val="none" w:sz="0" w:space="0" w:color="auto"/>
      </w:divBdr>
    </w:div>
    <w:div w:id="800657993">
      <w:bodyDiv w:val="1"/>
      <w:marLeft w:val="0"/>
      <w:marRight w:val="0"/>
      <w:marTop w:val="0"/>
      <w:marBottom w:val="0"/>
      <w:divBdr>
        <w:top w:val="none" w:sz="0" w:space="0" w:color="auto"/>
        <w:left w:val="none" w:sz="0" w:space="0" w:color="auto"/>
        <w:bottom w:val="none" w:sz="0" w:space="0" w:color="auto"/>
        <w:right w:val="none" w:sz="0" w:space="0" w:color="auto"/>
      </w:divBdr>
    </w:div>
    <w:div w:id="803428683">
      <w:bodyDiv w:val="1"/>
      <w:marLeft w:val="0"/>
      <w:marRight w:val="0"/>
      <w:marTop w:val="0"/>
      <w:marBottom w:val="0"/>
      <w:divBdr>
        <w:top w:val="none" w:sz="0" w:space="0" w:color="auto"/>
        <w:left w:val="none" w:sz="0" w:space="0" w:color="auto"/>
        <w:bottom w:val="none" w:sz="0" w:space="0" w:color="auto"/>
        <w:right w:val="none" w:sz="0" w:space="0" w:color="auto"/>
      </w:divBdr>
    </w:div>
    <w:div w:id="804086048">
      <w:bodyDiv w:val="1"/>
      <w:marLeft w:val="0"/>
      <w:marRight w:val="0"/>
      <w:marTop w:val="0"/>
      <w:marBottom w:val="0"/>
      <w:divBdr>
        <w:top w:val="none" w:sz="0" w:space="0" w:color="auto"/>
        <w:left w:val="none" w:sz="0" w:space="0" w:color="auto"/>
        <w:bottom w:val="none" w:sz="0" w:space="0" w:color="auto"/>
        <w:right w:val="none" w:sz="0" w:space="0" w:color="auto"/>
      </w:divBdr>
    </w:div>
    <w:div w:id="804735513">
      <w:bodyDiv w:val="1"/>
      <w:marLeft w:val="0"/>
      <w:marRight w:val="0"/>
      <w:marTop w:val="0"/>
      <w:marBottom w:val="0"/>
      <w:divBdr>
        <w:top w:val="none" w:sz="0" w:space="0" w:color="auto"/>
        <w:left w:val="none" w:sz="0" w:space="0" w:color="auto"/>
        <w:bottom w:val="none" w:sz="0" w:space="0" w:color="auto"/>
        <w:right w:val="none" w:sz="0" w:space="0" w:color="auto"/>
      </w:divBdr>
    </w:div>
    <w:div w:id="805321213">
      <w:bodyDiv w:val="1"/>
      <w:marLeft w:val="0"/>
      <w:marRight w:val="0"/>
      <w:marTop w:val="0"/>
      <w:marBottom w:val="0"/>
      <w:divBdr>
        <w:top w:val="none" w:sz="0" w:space="0" w:color="auto"/>
        <w:left w:val="none" w:sz="0" w:space="0" w:color="auto"/>
        <w:bottom w:val="none" w:sz="0" w:space="0" w:color="auto"/>
        <w:right w:val="none" w:sz="0" w:space="0" w:color="auto"/>
      </w:divBdr>
    </w:div>
    <w:div w:id="806581273">
      <w:bodyDiv w:val="1"/>
      <w:marLeft w:val="0"/>
      <w:marRight w:val="0"/>
      <w:marTop w:val="0"/>
      <w:marBottom w:val="0"/>
      <w:divBdr>
        <w:top w:val="none" w:sz="0" w:space="0" w:color="auto"/>
        <w:left w:val="none" w:sz="0" w:space="0" w:color="auto"/>
        <w:bottom w:val="none" w:sz="0" w:space="0" w:color="auto"/>
        <w:right w:val="none" w:sz="0" w:space="0" w:color="auto"/>
      </w:divBdr>
    </w:div>
    <w:div w:id="807019000">
      <w:bodyDiv w:val="1"/>
      <w:marLeft w:val="0"/>
      <w:marRight w:val="0"/>
      <w:marTop w:val="0"/>
      <w:marBottom w:val="0"/>
      <w:divBdr>
        <w:top w:val="none" w:sz="0" w:space="0" w:color="auto"/>
        <w:left w:val="none" w:sz="0" w:space="0" w:color="auto"/>
        <w:bottom w:val="none" w:sz="0" w:space="0" w:color="auto"/>
        <w:right w:val="none" w:sz="0" w:space="0" w:color="auto"/>
      </w:divBdr>
    </w:div>
    <w:div w:id="809398737">
      <w:bodyDiv w:val="1"/>
      <w:marLeft w:val="0"/>
      <w:marRight w:val="0"/>
      <w:marTop w:val="0"/>
      <w:marBottom w:val="0"/>
      <w:divBdr>
        <w:top w:val="none" w:sz="0" w:space="0" w:color="auto"/>
        <w:left w:val="none" w:sz="0" w:space="0" w:color="auto"/>
        <w:bottom w:val="none" w:sz="0" w:space="0" w:color="auto"/>
        <w:right w:val="none" w:sz="0" w:space="0" w:color="auto"/>
      </w:divBdr>
    </w:div>
    <w:div w:id="809640381">
      <w:bodyDiv w:val="1"/>
      <w:marLeft w:val="0"/>
      <w:marRight w:val="0"/>
      <w:marTop w:val="0"/>
      <w:marBottom w:val="0"/>
      <w:divBdr>
        <w:top w:val="none" w:sz="0" w:space="0" w:color="auto"/>
        <w:left w:val="none" w:sz="0" w:space="0" w:color="auto"/>
        <w:bottom w:val="none" w:sz="0" w:space="0" w:color="auto"/>
        <w:right w:val="none" w:sz="0" w:space="0" w:color="auto"/>
      </w:divBdr>
    </w:div>
    <w:div w:id="813448548">
      <w:bodyDiv w:val="1"/>
      <w:marLeft w:val="0"/>
      <w:marRight w:val="0"/>
      <w:marTop w:val="0"/>
      <w:marBottom w:val="0"/>
      <w:divBdr>
        <w:top w:val="none" w:sz="0" w:space="0" w:color="auto"/>
        <w:left w:val="none" w:sz="0" w:space="0" w:color="auto"/>
        <w:bottom w:val="none" w:sz="0" w:space="0" w:color="auto"/>
        <w:right w:val="none" w:sz="0" w:space="0" w:color="auto"/>
      </w:divBdr>
    </w:div>
    <w:div w:id="813765254">
      <w:bodyDiv w:val="1"/>
      <w:marLeft w:val="0"/>
      <w:marRight w:val="0"/>
      <w:marTop w:val="0"/>
      <w:marBottom w:val="0"/>
      <w:divBdr>
        <w:top w:val="none" w:sz="0" w:space="0" w:color="auto"/>
        <w:left w:val="none" w:sz="0" w:space="0" w:color="auto"/>
        <w:bottom w:val="none" w:sz="0" w:space="0" w:color="auto"/>
        <w:right w:val="none" w:sz="0" w:space="0" w:color="auto"/>
      </w:divBdr>
    </w:div>
    <w:div w:id="814488116">
      <w:bodyDiv w:val="1"/>
      <w:marLeft w:val="0"/>
      <w:marRight w:val="0"/>
      <w:marTop w:val="0"/>
      <w:marBottom w:val="0"/>
      <w:divBdr>
        <w:top w:val="none" w:sz="0" w:space="0" w:color="auto"/>
        <w:left w:val="none" w:sz="0" w:space="0" w:color="auto"/>
        <w:bottom w:val="none" w:sz="0" w:space="0" w:color="auto"/>
        <w:right w:val="none" w:sz="0" w:space="0" w:color="auto"/>
      </w:divBdr>
    </w:div>
    <w:div w:id="815269417">
      <w:bodyDiv w:val="1"/>
      <w:marLeft w:val="0"/>
      <w:marRight w:val="0"/>
      <w:marTop w:val="0"/>
      <w:marBottom w:val="0"/>
      <w:divBdr>
        <w:top w:val="none" w:sz="0" w:space="0" w:color="auto"/>
        <w:left w:val="none" w:sz="0" w:space="0" w:color="auto"/>
        <w:bottom w:val="none" w:sz="0" w:space="0" w:color="auto"/>
        <w:right w:val="none" w:sz="0" w:space="0" w:color="auto"/>
      </w:divBdr>
    </w:div>
    <w:div w:id="818228275">
      <w:bodyDiv w:val="1"/>
      <w:marLeft w:val="0"/>
      <w:marRight w:val="0"/>
      <w:marTop w:val="0"/>
      <w:marBottom w:val="0"/>
      <w:divBdr>
        <w:top w:val="none" w:sz="0" w:space="0" w:color="auto"/>
        <w:left w:val="none" w:sz="0" w:space="0" w:color="auto"/>
        <w:bottom w:val="none" w:sz="0" w:space="0" w:color="auto"/>
        <w:right w:val="none" w:sz="0" w:space="0" w:color="auto"/>
      </w:divBdr>
    </w:div>
    <w:div w:id="818423472">
      <w:bodyDiv w:val="1"/>
      <w:marLeft w:val="0"/>
      <w:marRight w:val="0"/>
      <w:marTop w:val="0"/>
      <w:marBottom w:val="0"/>
      <w:divBdr>
        <w:top w:val="none" w:sz="0" w:space="0" w:color="auto"/>
        <w:left w:val="none" w:sz="0" w:space="0" w:color="auto"/>
        <w:bottom w:val="none" w:sz="0" w:space="0" w:color="auto"/>
        <w:right w:val="none" w:sz="0" w:space="0" w:color="auto"/>
      </w:divBdr>
    </w:div>
    <w:div w:id="818880724">
      <w:bodyDiv w:val="1"/>
      <w:marLeft w:val="0"/>
      <w:marRight w:val="0"/>
      <w:marTop w:val="0"/>
      <w:marBottom w:val="0"/>
      <w:divBdr>
        <w:top w:val="none" w:sz="0" w:space="0" w:color="auto"/>
        <w:left w:val="none" w:sz="0" w:space="0" w:color="auto"/>
        <w:bottom w:val="none" w:sz="0" w:space="0" w:color="auto"/>
        <w:right w:val="none" w:sz="0" w:space="0" w:color="auto"/>
      </w:divBdr>
    </w:div>
    <w:div w:id="823399908">
      <w:bodyDiv w:val="1"/>
      <w:marLeft w:val="0"/>
      <w:marRight w:val="0"/>
      <w:marTop w:val="0"/>
      <w:marBottom w:val="0"/>
      <w:divBdr>
        <w:top w:val="none" w:sz="0" w:space="0" w:color="auto"/>
        <w:left w:val="none" w:sz="0" w:space="0" w:color="auto"/>
        <w:bottom w:val="none" w:sz="0" w:space="0" w:color="auto"/>
        <w:right w:val="none" w:sz="0" w:space="0" w:color="auto"/>
      </w:divBdr>
    </w:div>
    <w:div w:id="823859608">
      <w:bodyDiv w:val="1"/>
      <w:marLeft w:val="0"/>
      <w:marRight w:val="0"/>
      <w:marTop w:val="0"/>
      <w:marBottom w:val="0"/>
      <w:divBdr>
        <w:top w:val="none" w:sz="0" w:space="0" w:color="auto"/>
        <w:left w:val="none" w:sz="0" w:space="0" w:color="auto"/>
        <w:bottom w:val="none" w:sz="0" w:space="0" w:color="auto"/>
        <w:right w:val="none" w:sz="0" w:space="0" w:color="auto"/>
      </w:divBdr>
    </w:div>
    <w:div w:id="824512627">
      <w:bodyDiv w:val="1"/>
      <w:marLeft w:val="0"/>
      <w:marRight w:val="0"/>
      <w:marTop w:val="0"/>
      <w:marBottom w:val="0"/>
      <w:divBdr>
        <w:top w:val="none" w:sz="0" w:space="0" w:color="auto"/>
        <w:left w:val="none" w:sz="0" w:space="0" w:color="auto"/>
        <w:bottom w:val="none" w:sz="0" w:space="0" w:color="auto"/>
        <w:right w:val="none" w:sz="0" w:space="0" w:color="auto"/>
      </w:divBdr>
    </w:div>
    <w:div w:id="824667006">
      <w:bodyDiv w:val="1"/>
      <w:marLeft w:val="0"/>
      <w:marRight w:val="0"/>
      <w:marTop w:val="0"/>
      <w:marBottom w:val="0"/>
      <w:divBdr>
        <w:top w:val="none" w:sz="0" w:space="0" w:color="auto"/>
        <w:left w:val="none" w:sz="0" w:space="0" w:color="auto"/>
        <w:bottom w:val="none" w:sz="0" w:space="0" w:color="auto"/>
        <w:right w:val="none" w:sz="0" w:space="0" w:color="auto"/>
      </w:divBdr>
    </w:div>
    <w:div w:id="825169117">
      <w:bodyDiv w:val="1"/>
      <w:marLeft w:val="0"/>
      <w:marRight w:val="0"/>
      <w:marTop w:val="0"/>
      <w:marBottom w:val="0"/>
      <w:divBdr>
        <w:top w:val="none" w:sz="0" w:space="0" w:color="auto"/>
        <w:left w:val="none" w:sz="0" w:space="0" w:color="auto"/>
        <w:bottom w:val="none" w:sz="0" w:space="0" w:color="auto"/>
        <w:right w:val="none" w:sz="0" w:space="0" w:color="auto"/>
      </w:divBdr>
    </w:div>
    <w:div w:id="825316783">
      <w:bodyDiv w:val="1"/>
      <w:marLeft w:val="0"/>
      <w:marRight w:val="0"/>
      <w:marTop w:val="0"/>
      <w:marBottom w:val="0"/>
      <w:divBdr>
        <w:top w:val="none" w:sz="0" w:space="0" w:color="auto"/>
        <w:left w:val="none" w:sz="0" w:space="0" w:color="auto"/>
        <w:bottom w:val="none" w:sz="0" w:space="0" w:color="auto"/>
        <w:right w:val="none" w:sz="0" w:space="0" w:color="auto"/>
      </w:divBdr>
    </w:div>
    <w:div w:id="825515112">
      <w:bodyDiv w:val="1"/>
      <w:marLeft w:val="0"/>
      <w:marRight w:val="0"/>
      <w:marTop w:val="0"/>
      <w:marBottom w:val="0"/>
      <w:divBdr>
        <w:top w:val="none" w:sz="0" w:space="0" w:color="auto"/>
        <w:left w:val="none" w:sz="0" w:space="0" w:color="auto"/>
        <w:bottom w:val="none" w:sz="0" w:space="0" w:color="auto"/>
        <w:right w:val="none" w:sz="0" w:space="0" w:color="auto"/>
      </w:divBdr>
    </w:div>
    <w:div w:id="826091114">
      <w:bodyDiv w:val="1"/>
      <w:marLeft w:val="0"/>
      <w:marRight w:val="0"/>
      <w:marTop w:val="0"/>
      <w:marBottom w:val="0"/>
      <w:divBdr>
        <w:top w:val="none" w:sz="0" w:space="0" w:color="auto"/>
        <w:left w:val="none" w:sz="0" w:space="0" w:color="auto"/>
        <w:bottom w:val="none" w:sz="0" w:space="0" w:color="auto"/>
        <w:right w:val="none" w:sz="0" w:space="0" w:color="auto"/>
      </w:divBdr>
    </w:div>
    <w:div w:id="828062201">
      <w:bodyDiv w:val="1"/>
      <w:marLeft w:val="0"/>
      <w:marRight w:val="0"/>
      <w:marTop w:val="0"/>
      <w:marBottom w:val="0"/>
      <w:divBdr>
        <w:top w:val="none" w:sz="0" w:space="0" w:color="auto"/>
        <w:left w:val="none" w:sz="0" w:space="0" w:color="auto"/>
        <w:bottom w:val="none" w:sz="0" w:space="0" w:color="auto"/>
        <w:right w:val="none" w:sz="0" w:space="0" w:color="auto"/>
      </w:divBdr>
    </w:div>
    <w:div w:id="829440690">
      <w:bodyDiv w:val="1"/>
      <w:marLeft w:val="0"/>
      <w:marRight w:val="0"/>
      <w:marTop w:val="0"/>
      <w:marBottom w:val="0"/>
      <w:divBdr>
        <w:top w:val="none" w:sz="0" w:space="0" w:color="auto"/>
        <w:left w:val="none" w:sz="0" w:space="0" w:color="auto"/>
        <w:bottom w:val="none" w:sz="0" w:space="0" w:color="auto"/>
        <w:right w:val="none" w:sz="0" w:space="0" w:color="auto"/>
      </w:divBdr>
    </w:div>
    <w:div w:id="830024901">
      <w:bodyDiv w:val="1"/>
      <w:marLeft w:val="0"/>
      <w:marRight w:val="0"/>
      <w:marTop w:val="0"/>
      <w:marBottom w:val="0"/>
      <w:divBdr>
        <w:top w:val="none" w:sz="0" w:space="0" w:color="auto"/>
        <w:left w:val="none" w:sz="0" w:space="0" w:color="auto"/>
        <w:bottom w:val="none" w:sz="0" w:space="0" w:color="auto"/>
        <w:right w:val="none" w:sz="0" w:space="0" w:color="auto"/>
      </w:divBdr>
    </w:div>
    <w:div w:id="830491426">
      <w:bodyDiv w:val="1"/>
      <w:marLeft w:val="0"/>
      <w:marRight w:val="0"/>
      <w:marTop w:val="0"/>
      <w:marBottom w:val="0"/>
      <w:divBdr>
        <w:top w:val="none" w:sz="0" w:space="0" w:color="auto"/>
        <w:left w:val="none" w:sz="0" w:space="0" w:color="auto"/>
        <w:bottom w:val="none" w:sz="0" w:space="0" w:color="auto"/>
        <w:right w:val="none" w:sz="0" w:space="0" w:color="auto"/>
      </w:divBdr>
    </w:div>
    <w:div w:id="830681566">
      <w:bodyDiv w:val="1"/>
      <w:marLeft w:val="0"/>
      <w:marRight w:val="0"/>
      <w:marTop w:val="0"/>
      <w:marBottom w:val="0"/>
      <w:divBdr>
        <w:top w:val="none" w:sz="0" w:space="0" w:color="auto"/>
        <w:left w:val="none" w:sz="0" w:space="0" w:color="auto"/>
        <w:bottom w:val="none" w:sz="0" w:space="0" w:color="auto"/>
        <w:right w:val="none" w:sz="0" w:space="0" w:color="auto"/>
      </w:divBdr>
    </w:div>
    <w:div w:id="830831285">
      <w:bodyDiv w:val="1"/>
      <w:marLeft w:val="0"/>
      <w:marRight w:val="0"/>
      <w:marTop w:val="0"/>
      <w:marBottom w:val="0"/>
      <w:divBdr>
        <w:top w:val="none" w:sz="0" w:space="0" w:color="auto"/>
        <w:left w:val="none" w:sz="0" w:space="0" w:color="auto"/>
        <w:bottom w:val="none" w:sz="0" w:space="0" w:color="auto"/>
        <w:right w:val="none" w:sz="0" w:space="0" w:color="auto"/>
      </w:divBdr>
    </w:div>
    <w:div w:id="830873047">
      <w:bodyDiv w:val="1"/>
      <w:marLeft w:val="0"/>
      <w:marRight w:val="0"/>
      <w:marTop w:val="0"/>
      <w:marBottom w:val="0"/>
      <w:divBdr>
        <w:top w:val="none" w:sz="0" w:space="0" w:color="auto"/>
        <w:left w:val="none" w:sz="0" w:space="0" w:color="auto"/>
        <w:bottom w:val="none" w:sz="0" w:space="0" w:color="auto"/>
        <w:right w:val="none" w:sz="0" w:space="0" w:color="auto"/>
      </w:divBdr>
    </w:div>
    <w:div w:id="832184202">
      <w:bodyDiv w:val="1"/>
      <w:marLeft w:val="0"/>
      <w:marRight w:val="0"/>
      <w:marTop w:val="0"/>
      <w:marBottom w:val="0"/>
      <w:divBdr>
        <w:top w:val="none" w:sz="0" w:space="0" w:color="auto"/>
        <w:left w:val="none" w:sz="0" w:space="0" w:color="auto"/>
        <w:bottom w:val="none" w:sz="0" w:space="0" w:color="auto"/>
        <w:right w:val="none" w:sz="0" w:space="0" w:color="auto"/>
      </w:divBdr>
    </w:div>
    <w:div w:id="832570547">
      <w:bodyDiv w:val="1"/>
      <w:marLeft w:val="0"/>
      <w:marRight w:val="0"/>
      <w:marTop w:val="0"/>
      <w:marBottom w:val="0"/>
      <w:divBdr>
        <w:top w:val="none" w:sz="0" w:space="0" w:color="auto"/>
        <w:left w:val="none" w:sz="0" w:space="0" w:color="auto"/>
        <w:bottom w:val="none" w:sz="0" w:space="0" w:color="auto"/>
        <w:right w:val="none" w:sz="0" w:space="0" w:color="auto"/>
      </w:divBdr>
    </w:div>
    <w:div w:id="837573956">
      <w:bodyDiv w:val="1"/>
      <w:marLeft w:val="0"/>
      <w:marRight w:val="0"/>
      <w:marTop w:val="0"/>
      <w:marBottom w:val="0"/>
      <w:divBdr>
        <w:top w:val="none" w:sz="0" w:space="0" w:color="auto"/>
        <w:left w:val="none" w:sz="0" w:space="0" w:color="auto"/>
        <w:bottom w:val="none" w:sz="0" w:space="0" w:color="auto"/>
        <w:right w:val="none" w:sz="0" w:space="0" w:color="auto"/>
      </w:divBdr>
    </w:div>
    <w:div w:id="837617496">
      <w:bodyDiv w:val="1"/>
      <w:marLeft w:val="0"/>
      <w:marRight w:val="0"/>
      <w:marTop w:val="0"/>
      <w:marBottom w:val="0"/>
      <w:divBdr>
        <w:top w:val="none" w:sz="0" w:space="0" w:color="auto"/>
        <w:left w:val="none" w:sz="0" w:space="0" w:color="auto"/>
        <w:bottom w:val="none" w:sz="0" w:space="0" w:color="auto"/>
        <w:right w:val="none" w:sz="0" w:space="0" w:color="auto"/>
      </w:divBdr>
    </w:div>
    <w:div w:id="838085205">
      <w:bodyDiv w:val="1"/>
      <w:marLeft w:val="0"/>
      <w:marRight w:val="0"/>
      <w:marTop w:val="0"/>
      <w:marBottom w:val="0"/>
      <w:divBdr>
        <w:top w:val="none" w:sz="0" w:space="0" w:color="auto"/>
        <w:left w:val="none" w:sz="0" w:space="0" w:color="auto"/>
        <w:bottom w:val="none" w:sz="0" w:space="0" w:color="auto"/>
        <w:right w:val="none" w:sz="0" w:space="0" w:color="auto"/>
      </w:divBdr>
    </w:div>
    <w:div w:id="841089638">
      <w:bodyDiv w:val="1"/>
      <w:marLeft w:val="0"/>
      <w:marRight w:val="0"/>
      <w:marTop w:val="0"/>
      <w:marBottom w:val="0"/>
      <w:divBdr>
        <w:top w:val="none" w:sz="0" w:space="0" w:color="auto"/>
        <w:left w:val="none" w:sz="0" w:space="0" w:color="auto"/>
        <w:bottom w:val="none" w:sz="0" w:space="0" w:color="auto"/>
        <w:right w:val="none" w:sz="0" w:space="0" w:color="auto"/>
      </w:divBdr>
    </w:div>
    <w:div w:id="842014648">
      <w:bodyDiv w:val="1"/>
      <w:marLeft w:val="0"/>
      <w:marRight w:val="0"/>
      <w:marTop w:val="0"/>
      <w:marBottom w:val="0"/>
      <w:divBdr>
        <w:top w:val="none" w:sz="0" w:space="0" w:color="auto"/>
        <w:left w:val="none" w:sz="0" w:space="0" w:color="auto"/>
        <w:bottom w:val="none" w:sz="0" w:space="0" w:color="auto"/>
        <w:right w:val="none" w:sz="0" w:space="0" w:color="auto"/>
      </w:divBdr>
    </w:div>
    <w:div w:id="842089151">
      <w:bodyDiv w:val="1"/>
      <w:marLeft w:val="0"/>
      <w:marRight w:val="0"/>
      <w:marTop w:val="0"/>
      <w:marBottom w:val="0"/>
      <w:divBdr>
        <w:top w:val="none" w:sz="0" w:space="0" w:color="auto"/>
        <w:left w:val="none" w:sz="0" w:space="0" w:color="auto"/>
        <w:bottom w:val="none" w:sz="0" w:space="0" w:color="auto"/>
        <w:right w:val="none" w:sz="0" w:space="0" w:color="auto"/>
      </w:divBdr>
    </w:div>
    <w:div w:id="843858337">
      <w:bodyDiv w:val="1"/>
      <w:marLeft w:val="0"/>
      <w:marRight w:val="0"/>
      <w:marTop w:val="0"/>
      <w:marBottom w:val="0"/>
      <w:divBdr>
        <w:top w:val="none" w:sz="0" w:space="0" w:color="auto"/>
        <w:left w:val="none" w:sz="0" w:space="0" w:color="auto"/>
        <w:bottom w:val="none" w:sz="0" w:space="0" w:color="auto"/>
        <w:right w:val="none" w:sz="0" w:space="0" w:color="auto"/>
      </w:divBdr>
    </w:div>
    <w:div w:id="845092252">
      <w:bodyDiv w:val="1"/>
      <w:marLeft w:val="0"/>
      <w:marRight w:val="0"/>
      <w:marTop w:val="0"/>
      <w:marBottom w:val="0"/>
      <w:divBdr>
        <w:top w:val="none" w:sz="0" w:space="0" w:color="auto"/>
        <w:left w:val="none" w:sz="0" w:space="0" w:color="auto"/>
        <w:bottom w:val="none" w:sz="0" w:space="0" w:color="auto"/>
        <w:right w:val="none" w:sz="0" w:space="0" w:color="auto"/>
      </w:divBdr>
    </w:div>
    <w:div w:id="845826804">
      <w:bodyDiv w:val="1"/>
      <w:marLeft w:val="0"/>
      <w:marRight w:val="0"/>
      <w:marTop w:val="0"/>
      <w:marBottom w:val="0"/>
      <w:divBdr>
        <w:top w:val="none" w:sz="0" w:space="0" w:color="auto"/>
        <w:left w:val="none" w:sz="0" w:space="0" w:color="auto"/>
        <w:bottom w:val="none" w:sz="0" w:space="0" w:color="auto"/>
        <w:right w:val="none" w:sz="0" w:space="0" w:color="auto"/>
      </w:divBdr>
    </w:div>
    <w:div w:id="845830046">
      <w:bodyDiv w:val="1"/>
      <w:marLeft w:val="0"/>
      <w:marRight w:val="0"/>
      <w:marTop w:val="0"/>
      <w:marBottom w:val="0"/>
      <w:divBdr>
        <w:top w:val="none" w:sz="0" w:space="0" w:color="auto"/>
        <w:left w:val="none" w:sz="0" w:space="0" w:color="auto"/>
        <w:bottom w:val="none" w:sz="0" w:space="0" w:color="auto"/>
        <w:right w:val="none" w:sz="0" w:space="0" w:color="auto"/>
      </w:divBdr>
    </w:div>
    <w:div w:id="845941249">
      <w:bodyDiv w:val="1"/>
      <w:marLeft w:val="0"/>
      <w:marRight w:val="0"/>
      <w:marTop w:val="0"/>
      <w:marBottom w:val="0"/>
      <w:divBdr>
        <w:top w:val="none" w:sz="0" w:space="0" w:color="auto"/>
        <w:left w:val="none" w:sz="0" w:space="0" w:color="auto"/>
        <w:bottom w:val="none" w:sz="0" w:space="0" w:color="auto"/>
        <w:right w:val="none" w:sz="0" w:space="0" w:color="auto"/>
      </w:divBdr>
    </w:div>
    <w:div w:id="847058895">
      <w:bodyDiv w:val="1"/>
      <w:marLeft w:val="0"/>
      <w:marRight w:val="0"/>
      <w:marTop w:val="0"/>
      <w:marBottom w:val="0"/>
      <w:divBdr>
        <w:top w:val="none" w:sz="0" w:space="0" w:color="auto"/>
        <w:left w:val="none" w:sz="0" w:space="0" w:color="auto"/>
        <w:bottom w:val="none" w:sz="0" w:space="0" w:color="auto"/>
        <w:right w:val="none" w:sz="0" w:space="0" w:color="auto"/>
      </w:divBdr>
    </w:div>
    <w:div w:id="847793370">
      <w:bodyDiv w:val="1"/>
      <w:marLeft w:val="0"/>
      <w:marRight w:val="0"/>
      <w:marTop w:val="0"/>
      <w:marBottom w:val="0"/>
      <w:divBdr>
        <w:top w:val="none" w:sz="0" w:space="0" w:color="auto"/>
        <w:left w:val="none" w:sz="0" w:space="0" w:color="auto"/>
        <w:bottom w:val="none" w:sz="0" w:space="0" w:color="auto"/>
        <w:right w:val="none" w:sz="0" w:space="0" w:color="auto"/>
      </w:divBdr>
    </w:div>
    <w:div w:id="849173514">
      <w:bodyDiv w:val="1"/>
      <w:marLeft w:val="0"/>
      <w:marRight w:val="0"/>
      <w:marTop w:val="0"/>
      <w:marBottom w:val="0"/>
      <w:divBdr>
        <w:top w:val="none" w:sz="0" w:space="0" w:color="auto"/>
        <w:left w:val="none" w:sz="0" w:space="0" w:color="auto"/>
        <w:bottom w:val="none" w:sz="0" w:space="0" w:color="auto"/>
        <w:right w:val="none" w:sz="0" w:space="0" w:color="auto"/>
      </w:divBdr>
    </w:div>
    <w:div w:id="850336337">
      <w:bodyDiv w:val="1"/>
      <w:marLeft w:val="0"/>
      <w:marRight w:val="0"/>
      <w:marTop w:val="0"/>
      <w:marBottom w:val="0"/>
      <w:divBdr>
        <w:top w:val="none" w:sz="0" w:space="0" w:color="auto"/>
        <w:left w:val="none" w:sz="0" w:space="0" w:color="auto"/>
        <w:bottom w:val="none" w:sz="0" w:space="0" w:color="auto"/>
        <w:right w:val="none" w:sz="0" w:space="0" w:color="auto"/>
      </w:divBdr>
    </w:div>
    <w:div w:id="853109417">
      <w:bodyDiv w:val="1"/>
      <w:marLeft w:val="0"/>
      <w:marRight w:val="0"/>
      <w:marTop w:val="0"/>
      <w:marBottom w:val="0"/>
      <w:divBdr>
        <w:top w:val="none" w:sz="0" w:space="0" w:color="auto"/>
        <w:left w:val="none" w:sz="0" w:space="0" w:color="auto"/>
        <w:bottom w:val="none" w:sz="0" w:space="0" w:color="auto"/>
        <w:right w:val="none" w:sz="0" w:space="0" w:color="auto"/>
      </w:divBdr>
    </w:div>
    <w:div w:id="853999631">
      <w:bodyDiv w:val="1"/>
      <w:marLeft w:val="0"/>
      <w:marRight w:val="0"/>
      <w:marTop w:val="0"/>
      <w:marBottom w:val="0"/>
      <w:divBdr>
        <w:top w:val="none" w:sz="0" w:space="0" w:color="auto"/>
        <w:left w:val="none" w:sz="0" w:space="0" w:color="auto"/>
        <w:bottom w:val="none" w:sz="0" w:space="0" w:color="auto"/>
        <w:right w:val="none" w:sz="0" w:space="0" w:color="auto"/>
      </w:divBdr>
    </w:div>
    <w:div w:id="855734967">
      <w:bodyDiv w:val="1"/>
      <w:marLeft w:val="0"/>
      <w:marRight w:val="0"/>
      <w:marTop w:val="0"/>
      <w:marBottom w:val="0"/>
      <w:divBdr>
        <w:top w:val="none" w:sz="0" w:space="0" w:color="auto"/>
        <w:left w:val="none" w:sz="0" w:space="0" w:color="auto"/>
        <w:bottom w:val="none" w:sz="0" w:space="0" w:color="auto"/>
        <w:right w:val="none" w:sz="0" w:space="0" w:color="auto"/>
      </w:divBdr>
    </w:div>
    <w:div w:id="859047503">
      <w:bodyDiv w:val="1"/>
      <w:marLeft w:val="0"/>
      <w:marRight w:val="0"/>
      <w:marTop w:val="0"/>
      <w:marBottom w:val="0"/>
      <w:divBdr>
        <w:top w:val="none" w:sz="0" w:space="0" w:color="auto"/>
        <w:left w:val="none" w:sz="0" w:space="0" w:color="auto"/>
        <w:bottom w:val="none" w:sz="0" w:space="0" w:color="auto"/>
        <w:right w:val="none" w:sz="0" w:space="0" w:color="auto"/>
      </w:divBdr>
    </w:div>
    <w:div w:id="859467832">
      <w:bodyDiv w:val="1"/>
      <w:marLeft w:val="0"/>
      <w:marRight w:val="0"/>
      <w:marTop w:val="0"/>
      <w:marBottom w:val="0"/>
      <w:divBdr>
        <w:top w:val="none" w:sz="0" w:space="0" w:color="auto"/>
        <w:left w:val="none" w:sz="0" w:space="0" w:color="auto"/>
        <w:bottom w:val="none" w:sz="0" w:space="0" w:color="auto"/>
        <w:right w:val="none" w:sz="0" w:space="0" w:color="auto"/>
      </w:divBdr>
    </w:div>
    <w:div w:id="859930290">
      <w:bodyDiv w:val="1"/>
      <w:marLeft w:val="0"/>
      <w:marRight w:val="0"/>
      <w:marTop w:val="0"/>
      <w:marBottom w:val="0"/>
      <w:divBdr>
        <w:top w:val="none" w:sz="0" w:space="0" w:color="auto"/>
        <w:left w:val="none" w:sz="0" w:space="0" w:color="auto"/>
        <w:bottom w:val="none" w:sz="0" w:space="0" w:color="auto"/>
        <w:right w:val="none" w:sz="0" w:space="0" w:color="auto"/>
      </w:divBdr>
    </w:div>
    <w:div w:id="860240859">
      <w:bodyDiv w:val="1"/>
      <w:marLeft w:val="0"/>
      <w:marRight w:val="0"/>
      <w:marTop w:val="0"/>
      <w:marBottom w:val="0"/>
      <w:divBdr>
        <w:top w:val="none" w:sz="0" w:space="0" w:color="auto"/>
        <w:left w:val="none" w:sz="0" w:space="0" w:color="auto"/>
        <w:bottom w:val="none" w:sz="0" w:space="0" w:color="auto"/>
        <w:right w:val="none" w:sz="0" w:space="0" w:color="auto"/>
      </w:divBdr>
    </w:div>
    <w:div w:id="860701474">
      <w:bodyDiv w:val="1"/>
      <w:marLeft w:val="0"/>
      <w:marRight w:val="0"/>
      <w:marTop w:val="0"/>
      <w:marBottom w:val="0"/>
      <w:divBdr>
        <w:top w:val="none" w:sz="0" w:space="0" w:color="auto"/>
        <w:left w:val="none" w:sz="0" w:space="0" w:color="auto"/>
        <w:bottom w:val="none" w:sz="0" w:space="0" w:color="auto"/>
        <w:right w:val="none" w:sz="0" w:space="0" w:color="auto"/>
      </w:divBdr>
      <w:divsChild>
        <w:div w:id="1789663882">
          <w:marLeft w:val="0"/>
          <w:marRight w:val="0"/>
          <w:marTop w:val="0"/>
          <w:marBottom w:val="0"/>
          <w:divBdr>
            <w:top w:val="none" w:sz="0" w:space="0" w:color="auto"/>
            <w:left w:val="none" w:sz="0" w:space="0" w:color="auto"/>
            <w:bottom w:val="none" w:sz="0" w:space="0" w:color="auto"/>
            <w:right w:val="none" w:sz="0" w:space="0" w:color="auto"/>
          </w:divBdr>
          <w:divsChild>
            <w:div w:id="103232468">
              <w:marLeft w:val="0"/>
              <w:marRight w:val="0"/>
              <w:marTop w:val="0"/>
              <w:marBottom w:val="0"/>
              <w:divBdr>
                <w:top w:val="none" w:sz="0" w:space="0" w:color="auto"/>
                <w:left w:val="none" w:sz="0" w:space="0" w:color="auto"/>
                <w:bottom w:val="none" w:sz="0" w:space="0" w:color="auto"/>
                <w:right w:val="none" w:sz="0" w:space="0" w:color="auto"/>
              </w:divBdr>
              <w:divsChild>
                <w:div w:id="2001929607">
                  <w:marLeft w:val="0"/>
                  <w:marRight w:val="0"/>
                  <w:marTop w:val="0"/>
                  <w:marBottom w:val="0"/>
                  <w:divBdr>
                    <w:top w:val="none" w:sz="0" w:space="0" w:color="auto"/>
                    <w:left w:val="none" w:sz="0" w:space="0" w:color="auto"/>
                    <w:bottom w:val="none" w:sz="0" w:space="0" w:color="auto"/>
                    <w:right w:val="none" w:sz="0" w:space="0" w:color="auto"/>
                  </w:divBdr>
                  <w:divsChild>
                    <w:div w:id="17570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21468">
      <w:bodyDiv w:val="1"/>
      <w:marLeft w:val="0"/>
      <w:marRight w:val="0"/>
      <w:marTop w:val="0"/>
      <w:marBottom w:val="0"/>
      <w:divBdr>
        <w:top w:val="none" w:sz="0" w:space="0" w:color="auto"/>
        <w:left w:val="none" w:sz="0" w:space="0" w:color="auto"/>
        <w:bottom w:val="none" w:sz="0" w:space="0" w:color="auto"/>
        <w:right w:val="none" w:sz="0" w:space="0" w:color="auto"/>
      </w:divBdr>
    </w:div>
    <w:div w:id="861819181">
      <w:bodyDiv w:val="1"/>
      <w:marLeft w:val="0"/>
      <w:marRight w:val="0"/>
      <w:marTop w:val="0"/>
      <w:marBottom w:val="0"/>
      <w:divBdr>
        <w:top w:val="none" w:sz="0" w:space="0" w:color="auto"/>
        <w:left w:val="none" w:sz="0" w:space="0" w:color="auto"/>
        <w:bottom w:val="none" w:sz="0" w:space="0" w:color="auto"/>
        <w:right w:val="none" w:sz="0" w:space="0" w:color="auto"/>
      </w:divBdr>
    </w:div>
    <w:div w:id="862594847">
      <w:bodyDiv w:val="1"/>
      <w:marLeft w:val="0"/>
      <w:marRight w:val="0"/>
      <w:marTop w:val="0"/>
      <w:marBottom w:val="0"/>
      <w:divBdr>
        <w:top w:val="none" w:sz="0" w:space="0" w:color="auto"/>
        <w:left w:val="none" w:sz="0" w:space="0" w:color="auto"/>
        <w:bottom w:val="none" w:sz="0" w:space="0" w:color="auto"/>
        <w:right w:val="none" w:sz="0" w:space="0" w:color="auto"/>
      </w:divBdr>
    </w:div>
    <w:div w:id="863444493">
      <w:bodyDiv w:val="1"/>
      <w:marLeft w:val="0"/>
      <w:marRight w:val="0"/>
      <w:marTop w:val="0"/>
      <w:marBottom w:val="0"/>
      <w:divBdr>
        <w:top w:val="none" w:sz="0" w:space="0" w:color="auto"/>
        <w:left w:val="none" w:sz="0" w:space="0" w:color="auto"/>
        <w:bottom w:val="none" w:sz="0" w:space="0" w:color="auto"/>
        <w:right w:val="none" w:sz="0" w:space="0" w:color="auto"/>
      </w:divBdr>
    </w:div>
    <w:div w:id="864096474">
      <w:bodyDiv w:val="1"/>
      <w:marLeft w:val="0"/>
      <w:marRight w:val="0"/>
      <w:marTop w:val="0"/>
      <w:marBottom w:val="0"/>
      <w:divBdr>
        <w:top w:val="none" w:sz="0" w:space="0" w:color="auto"/>
        <w:left w:val="none" w:sz="0" w:space="0" w:color="auto"/>
        <w:bottom w:val="none" w:sz="0" w:space="0" w:color="auto"/>
        <w:right w:val="none" w:sz="0" w:space="0" w:color="auto"/>
      </w:divBdr>
    </w:div>
    <w:div w:id="866524883">
      <w:bodyDiv w:val="1"/>
      <w:marLeft w:val="0"/>
      <w:marRight w:val="0"/>
      <w:marTop w:val="0"/>
      <w:marBottom w:val="0"/>
      <w:divBdr>
        <w:top w:val="none" w:sz="0" w:space="0" w:color="auto"/>
        <w:left w:val="none" w:sz="0" w:space="0" w:color="auto"/>
        <w:bottom w:val="none" w:sz="0" w:space="0" w:color="auto"/>
        <w:right w:val="none" w:sz="0" w:space="0" w:color="auto"/>
      </w:divBdr>
    </w:div>
    <w:div w:id="866798437">
      <w:bodyDiv w:val="1"/>
      <w:marLeft w:val="0"/>
      <w:marRight w:val="0"/>
      <w:marTop w:val="0"/>
      <w:marBottom w:val="0"/>
      <w:divBdr>
        <w:top w:val="none" w:sz="0" w:space="0" w:color="auto"/>
        <w:left w:val="none" w:sz="0" w:space="0" w:color="auto"/>
        <w:bottom w:val="none" w:sz="0" w:space="0" w:color="auto"/>
        <w:right w:val="none" w:sz="0" w:space="0" w:color="auto"/>
      </w:divBdr>
    </w:div>
    <w:div w:id="868566444">
      <w:bodyDiv w:val="1"/>
      <w:marLeft w:val="0"/>
      <w:marRight w:val="0"/>
      <w:marTop w:val="0"/>
      <w:marBottom w:val="0"/>
      <w:divBdr>
        <w:top w:val="none" w:sz="0" w:space="0" w:color="auto"/>
        <w:left w:val="none" w:sz="0" w:space="0" w:color="auto"/>
        <w:bottom w:val="none" w:sz="0" w:space="0" w:color="auto"/>
        <w:right w:val="none" w:sz="0" w:space="0" w:color="auto"/>
      </w:divBdr>
    </w:div>
    <w:div w:id="868954652">
      <w:bodyDiv w:val="1"/>
      <w:marLeft w:val="0"/>
      <w:marRight w:val="0"/>
      <w:marTop w:val="0"/>
      <w:marBottom w:val="0"/>
      <w:divBdr>
        <w:top w:val="none" w:sz="0" w:space="0" w:color="auto"/>
        <w:left w:val="none" w:sz="0" w:space="0" w:color="auto"/>
        <w:bottom w:val="none" w:sz="0" w:space="0" w:color="auto"/>
        <w:right w:val="none" w:sz="0" w:space="0" w:color="auto"/>
      </w:divBdr>
    </w:div>
    <w:div w:id="871841490">
      <w:bodyDiv w:val="1"/>
      <w:marLeft w:val="0"/>
      <w:marRight w:val="0"/>
      <w:marTop w:val="0"/>
      <w:marBottom w:val="0"/>
      <w:divBdr>
        <w:top w:val="none" w:sz="0" w:space="0" w:color="auto"/>
        <w:left w:val="none" w:sz="0" w:space="0" w:color="auto"/>
        <w:bottom w:val="none" w:sz="0" w:space="0" w:color="auto"/>
        <w:right w:val="none" w:sz="0" w:space="0" w:color="auto"/>
      </w:divBdr>
    </w:div>
    <w:div w:id="873736680">
      <w:bodyDiv w:val="1"/>
      <w:marLeft w:val="0"/>
      <w:marRight w:val="0"/>
      <w:marTop w:val="0"/>
      <w:marBottom w:val="0"/>
      <w:divBdr>
        <w:top w:val="none" w:sz="0" w:space="0" w:color="auto"/>
        <w:left w:val="none" w:sz="0" w:space="0" w:color="auto"/>
        <w:bottom w:val="none" w:sz="0" w:space="0" w:color="auto"/>
        <w:right w:val="none" w:sz="0" w:space="0" w:color="auto"/>
      </w:divBdr>
    </w:div>
    <w:div w:id="876087002">
      <w:bodyDiv w:val="1"/>
      <w:marLeft w:val="0"/>
      <w:marRight w:val="0"/>
      <w:marTop w:val="0"/>
      <w:marBottom w:val="0"/>
      <w:divBdr>
        <w:top w:val="none" w:sz="0" w:space="0" w:color="auto"/>
        <w:left w:val="none" w:sz="0" w:space="0" w:color="auto"/>
        <w:bottom w:val="none" w:sz="0" w:space="0" w:color="auto"/>
        <w:right w:val="none" w:sz="0" w:space="0" w:color="auto"/>
      </w:divBdr>
    </w:div>
    <w:div w:id="876697099">
      <w:bodyDiv w:val="1"/>
      <w:marLeft w:val="0"/>
      <w:marRight w:val="0"/>
      <w:marTop w:val="0"/>
      <w:marBottom w:val="0"/>
      <w:divBdr>
        <w:top w:val="none" w:sz="0" w:space="0" w:color="auto"/>
        <w:left w:val="none" w:sz="0" w:space="0" w:color="auto"/>
        <w:bottom w:val="none" w:sz="0" w:space="0" w:color="auto"/>
        <w:right w:val="none" w:sz="0" w:space="0" w:color="auto"/>
      </w:divBdr>
    </w:div>
    <w:div w:id="878123713">
      <w:bodyDiv w:val="1"/>
      <w:marLeft w:val="0"/>
      <w:marRight w:val="0"/>
      <w:marTop w:val="0"/>
      <w:marBottom w:val="0"/>
      <w:divBdr>
        <w:top w:val="none" w:sz="0" w:space="0" w:color="auto"/>
        <w:left w:val="none" w:sz="0" w:space="0" w:color="auto"/>
        <w:bottom w:val="none" w:sz="0" w:space="0" w:color="auto"/>
        <w:right w:val="none" w:sz="0" w:space="0" w:color="auto"/>
      </w:divBdr>
    </w:div>
    <w:div w:id="882325475">
      <w:bodyDiv w:val="1"/>
      <w:marLeft w:val="0"/>
      <w:marRight w:val="0"/>
      <w:marTop w:val="0"/>
      <w:marBottom w:val="0"/>
      <w:divBdr>
        <w:top w:val="none" w:sz="0" w:space="0" w:color="auto"/>
        <w:left w:val="none" w:sz="0" w:space="0" w:color="auto"/>
        <w:bottom w:val="none" w:sz="0" w:space="0" w:color="auto"/>
        <w:right w:val="none" w:sz="0" w:space="0" w:color="auto"/>
      </w:divBdr>
    </w:div>
    <w:div w:id="882444067">
      <w:bodyDiv w:val="1"/>
      <w:marLeft w:val="0"/>
      <w:marRight w:val="0"/>
      <w:marTop w:val="0"/>
      <w:marBottom w:val="0"/>
      <w:divBdr>
        <w:top w:val="none" w:sz="0" w:space="0" w:color="auto"/>
        <w:left w:val="none" w:sz="0" w:space="0" w:color="auto"/>
        <w:bottom w:val="none" w:sz="0" w:space="0" w:color="auto"/>
        <w:right w:val="none" w:sz="0" w:space="0" w:color="auto"/>
      </w:divBdr>
    </w:div>
    <w:div w:id="882524939">
      <w:bodyDiv w:val="1"/>
      <w:marLeft w:val="0"/>
      <w:marRight w:val="0"/>
      <w:marTop w:val="0"/>
      <w:marBottom w:val="0"/>
      <w:divBdr>
        <w:top w:val="none" w:sz="0" w:space="0" w:color="auto"/>
        <w:left w:val="none" w:sz="0" w:space="0" w:color="auto"/>
        <w:bottom w:val="none" w:sz="0" w:space="0" w:color="auto"/>
        <w:right w:val="none" w:sz="0" w:space="0" w:color="auto"/>
      </w:divBdr>
    </w:div>
    <w:div w:id="882910143">
      <w:bodyDiv w:val="1"/>
      <w:marLeft w:val="0"/>
      <w:marRight w:val="0"/>
      <w:marTop w:val="0"/>
      <w:marBottom w:val="0"/>
      <w:divBdr>
        <w:top w:val="none" w:sz="0" w:space="0" w:color="auto"/>
        <w:left w:val="none" w:sz="0" w:space="0" w:color="auto"/>
        <w:bottom w:val="none" w:sz="0" w:space="0" w:color="auto"/>
        <w:right w:val="none" w:sz="0" w:space="0" w:color="auto"/>
      </w:divBdr>
    </w:div>
    <w:div w:id="884024894">
      <w:bodyDiv w:val="1"/>
      <w:marLeft w:val="0"/>
      <w:marRight w:val="0"/>
      <w:marTop w:val="0"/>
      <w:marBottom w:val="0"/>
      <w:divBdr>
        <w:top w:val="none" w:sz="0" w:space="0" w:color="auto"/>
        <w:left w:val="none" w:sz="0" w:space="0" w:color="auto"/>
        <w:bottom w:val="none" w:sz="0" w:space="0" w:color="auto"/>
        <w:right w:val="none" w:sz="0" w:space="0" w:color="auto"/>
      </w:divBdr>
    </w:div>
    <w:div w:id="884373536">
      <w:bodyDiv w:val="1"/>
      <w:marLeft w:val="0"/>
      <w:marRight w:val="0"/>
      <w:marTop w:val="0"/>
      <w:marBottom w:val="0"/>
      <w:divBdr>
        <w:top w:val="none" w:sz="0" w:space="0" w:color="auto"/>
        <w:left w:val="none" w:sz="0" w:space="0" w:color="auto"/>
        <w:bottom w:val="none" w:sz="0" w:space="0" w:color="auto"/>
        <w:right w:val="none" w:sz="0" w:space="0" w:color="auto"/>
      </w:divBdr>
    </w:div>
    <w:div w:id="885335856">
      <w:bodyDiv w:val="1"/>
      <w:marLeft w:val="0"/>
      <w:marRight w:val="0"/>
      <w:marTop w:val="0"/>
      <w:marBottom w:val="0"/>
      <w:divBdr>
        <w:top w:val="none" w:sz="0" w:space="0" w:color="auto"/>
        <w:left w:val="none" w:sz="0" w:space="0" w:color="auto"/>
        <w:bottom w:val="none" w:sz="0" w:space="0" w:color="auto"/>
        <w:right w:val="none" w:sz="0" w:space="0" w:color="auto"/>
      </w:divBdr>
    </w:div>
    <w:div w:id="887255936">
      <w:bodyDiv w:val="1"/>
      <w:marLeft w:val="0"/>
      <w:marRight w:val="0"/>
      <w:marTop w:val="0"/>
      <w:marBottom w:val="0"/>
      <w:divBdr>
        <w:top w:val="none" w:sz="0" w:space="0" w:color="auto"/>
        <w:left w:val="none" w:sz="0" w:space="0" w:color="auto"/>
        <w:bottom w:val="none" w:sz="0" w:space="0" w:color="auto"/>
        <w:right w:val="none" w:sz="0" w:space="0" w:color="auto"/>
      </w:divBdr>
    </w:div>
    <w:div w:id="887304880">
      <w:bodyDiv w:val="1"/>
      <w:marLeft w:val="0"/>
      <w:marRight w:val="0"/>
      <w:marTop w:val="0"/>
      <w:marBottom w:val="0"/>
      <w:divBdr>
        <w:top w:val="none" w:sz="0" w:space="0" w:color="auto"/>
        <w:left w:val="none" w:sz="0" w:space="0" w:color="auto"/>
        <w:bottom w:val="none" w:sz="0" w:space="0" w:color="auto"/>
        <w:right w:val="none" w:sz="0" w:space="0" w:color="auto"/>
      </w:divBdr>
    </w:div>
    <w:div w:id="887449722">
      <w:bodyDiv w:val="1"/>
      <w:marLeft w:val="0"/>
      <w:marRight w:val="0"/>
      <w:marTop w:val="0"/>
      <w:marBottom w:val="0"/>
      <w:divBdr>
        <w:top w:val="none" w:sz="0" w:space="0" w:color="auto"/>
        <w:left w:val="none" w:sz="0" w:space="0" w:color="auto"/>
        <w:bottom w:val="none" w:sz="0" w:space="0" w:color="auto"/>
        <w:right w:val="none" w:sz="0" w:space="0" w:color="auto"/>
      </w:divBdr>
    </w:div>
    <w:div w:id="887767014">
      <w:bodyDiv w:val="1"/>
      <w:marLeft w:val="0"/>
      <w:marRight w:val="0"/>
      <w:marTop w:val="0"/>
      <w:marBottom w:val="0"/>
      <w:divBdr>
        <w:top w:val="none" w:sz="0" w:space="0" w:color="auto"/>
        <w:left w:val="none" w:sz="0" w:space="0" w:color="auto"/>
        <w:bottom w:val="none" w:sz="0" w:space="0" w:color="auto"/>
        <w:right w:val="none" w:sz="0" w:space="0" w:color="auto"/>
      </w:divBdr>
    </w:div>
    <w:div w:id="891110924">
      <w:bodyDiv w:val="1"/>
      <w:marLeft w:val="0"/>
      <w:marRight w:val="0"/>
      <w:marTop w:val="0"/>
      <w:marBottom w:val="0"/>
      <w:divBdr>
        <w:top w:val="none" w:sz="0" w:space="0" w:color="auto"/>
        <w:left w:val="none" w:sz="0" w:space="0" w:color="auto"/>
        <w:bottom w:val="none" w:sz="0" w:space="0" w:color="auto"/>
        <w:right w:val="none" w:sz="0" w:space="0" w:color="auto"/>
      </w:divBdr>
    </w:div>
    <w:div w:id="892041937">
      <w:bodyDiv w:val="1"/>
      <w:marLeft w:val="0"/>
      <w:marRight w:val="0"/>
      <w:marTop w:val="0"/>
      <w:marBottom w:val="0"/>
      <w:divBdr>
        <w:top w:val="none" w:sz="0" w:space="0" w:color="auto"/>
        <w:left w:val="none" w:sz="0" w:space="0" w:color="auto"/>
        <w:bottom w:val="none" w:sz="0" w:space="0" w:color="auto"/>
        <w:right w:val="none" w:sz="0" w:space="0" w:color="auto"/>
      </w:divBdr>
    </w:div>
    <w:div w:id="892889516">
      <w:bodyDiv w:val="1"/>
      <w:marLeft w:val="0"/>
      <w:marRight w:val="0"/>
      <w:marTop w:val="0"/>
      <w:marBottom w:val="0"/>
      <w:divBdr>
        <w:top w:val="none" w:sz="0" w:space="0" w:color="auto"/>
        <w:left w:val="none" w:sz="0" w:space="0" w:color="auto"/>
        <w:bottom w:val="none" w:sz="0" w:space="0" w:color="auto"/>
        <w:right w:val="none" w:sz="0" w:space="0" w:color="auto"/>
      </w:divBdr>
    </w:div>
    <w:div w:id="894660233">
      <w:bodyDiv w:val="1"/>
      <w:marLeft w:val="0"/>
      <w:marRight w:val="0"/>
      <w:marTop w:val="0"/>
      <w:marBottom w:val="0"/>
      <w:divBdr>
        <w:top w:val="none" w:sz="0" w:space="0" w:color="auto"/>
        <w:left w:val="none" w:sz="0" w:space="0" w:color="auto"/>
        <w:bottom w:val="none" w:sz="0" w:space="0" w:color="auto"/>
        <w:right w:val="none" w:sz="0" w:space="0" w:color="auto"/>
      </w:divBdr>
    </w:div>
    <w:div w:id="895049491">
      <w:bodyDiv w:val="1"/>
      <w:marLeft w:val="0"/>
      <w:marRight w:val="0"/>
      <w:marTop w:val="0"/>
      <w:marBottom w:val="0"/>
      <w:divBdr>
        <w:top w:val="none" w:sz="0" w:space="0" w:color="auto"/>
        <w:left w:val="none" w:sz="0" w:space="0" w:color="auto"/>
        <w:bottom w:val="none" w:sz="0" w:space="0" w:color="auto"/>
        <w:right w:val="none" w:sz="0" w:space="0" w:color="auto"/>
      </w:divBdr>
    </w:div>
    <w:div w:id="895701323">
      <w:bodyDiv w:val="1"/>
      <w:marLeft w:val="0"/>
      <w:marRight w:val="0"/>
      <w:marTop w:val="0"/>
      <w:marBottom w:val="0"/>
      <w:divBdr>
        <w:top w:val="none" w:sz="0" w:space="0" w:color="auto"/>
        <w:left w:val="none" w:sz="0" w:space="0" w:color="auto"/>
        <w:bottom w:val="none" w:sz="0" w:space="0" w:color="auto"/>
        <w:right w:val="none" w:sz="0" w:space="0" w:color="auto"/>
      </w:divBdr>
    </w:div>
    <w:div w:id="895821213">
      <w:bodyDiv w:val="1"/>
      <w:marLeft w:val="0"/>
      <w:marRight w:val="0"/>
      <w:marTop w:val="0"/>
      <w:marBottom w:val="0"/>
      <w:divBdr>
        <w:top w:val="none" w:sz="0" w:space="0" w:color="auto"/>
        <w:left w:val="none" w:sz="0" w:space="0" w:color="auto"/>
        <w:bottom w:val="none" w:sz="0" w:space="0" w:color="auto"/>
        <w:right w:val="none" w:sz="0" w:space="0" w:color="auto"/>
      </w:divBdr>
    </w:div>
    <w:div w:id="899054385">
      <w:bodyDiv w:val="1"/>
      <w:marLeft w:val="0"/>
      <w:marRight w:val="0"/>
      <w:marTop w:val="0"/>
      <w:marBottom w:val="0"/>
      <w:divBdr>
        <w:top w:val="none" w:sz="0" w:space="0" w:color="auto"/>
        <w:left w:val="none" w:sz="0" w:space="0" w:color="auto"/>
        <w:bottom w:val="none" w:sz="0" w:space="0" w:color="auto"/>
        <w:right w:val="none" w:sz="0" w:space="0" w:color="auto"/>
      </w:divBdr>
    </w:div>
    <w:div w:id="900019144">
      <w:bodyDiv w:val="1"/>
      <w:marLeft w:val="0"/>
      <w:marRight w:val="0"/>
      <w:marTop w:val="0"/>
      <w:marBottom w:val="0"/>
      <w:divBdr>
        <w:top w:val="none" w:sz="0" w:space="0" w:color="auto"/>
        <w:left w:val="none" w:sz="0" w:space="0" w:color="auto"/>
        <w:bottom w:val="none" w:sz="0" w:space="0" w:color="auto"/>
        <w:right w:val="none" w:sz="0" w:space="0" w:color="auto"/>
      </w:divBdr>
    </w:div>
    <w:div w:id="900794668">
      <w:bodyDiv w:val="1"/>
      <w:marLeft w:val="0"/>
      <w:marRight w:val="0"/>
      <w:marTop w:val="0"/>
      <w:marBottom w:val="0"/>
      <w:divBdr>
        <w:top w:val="none" w:sz="0" w:space="0" w:color="auto"/>
        <w:left w:val="none" w:sz="0" w:space="0" w:color="auto"/>
        <w:bottom w:val="none" w:sz="0" w:space="0" w:color="auto"/>
        <w:right w:val="none" w:sz="0" w:space="0" w:color="auto"/>
      </w:divBdr>
    </w:div>
    <w:div w:id="903487641">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
    <w:div w:id="906839995">
      <w:bodyDiv w:val="1"/>
      <w:marLeft w:val="0"/>
      <w:marRight w:val="0"/>
      <w:marTop w:val="0"/>
      <w:marBottom w:val="0"/>
      <w:divBdr>
        <w:top w:val="none" w:sz="0" w:space="0" w:color="auto"/>
        <w:left w:val="none" w:sz="0" w:space="0" w:color="auto"/>
        <w:bottom w:val="none" w:sz="0" w:space="0" w:color="auto"/>
        <w:right w:val="none" w:sz="0" w:space="0" w:color="auto"/>
      </w:divBdr>
    </w:div>
    <w:div w:id="906845633">
      <w:bodyDiv w:val="1"/>
      <w:marLeft w:val="0"/>
      <w:marRight w:val="0"/>
      <w:marTop w:val="0"/>
      <w:marBottom w:val="0"/>
      <w:divBdr>
        <w:top w:val="none" w:sz="0" w:space="0" w:color="auto"/>
        <w:left w:val="none" w:sz="0" w:space="0" w:color="auto"/>
        <w:bottom w:val="none" w:sz="0" w:space="0" w:color="auto"/>
        <w:right w:val="none" w:sz="0" w:space="0" w:color="auto"/>
      </w:divBdr>
    </w:div>
    <w:div w:id="906958840">
      <w:bodyDiv w:val="1"/>
      <w:marLeft w:val="0"/>
      <w:marRight w:val="0"/>
      <w:marTop w:val="0"/>
      <w:marBottom w:val="0"/>
      <w:divBdr>
        <w:top w:val="none" w:sz="0" w:space="0" w:color="auto"/>
        <w:left w:val="none" w:sz="0" w:space="0" w:color="auto"/>
        <w:bottom w:val="none" w:sz="0" w:space="0" w:color="auto"/>
        <w:right w:val="none" w:sz="0" w:space="0" w:color="auto"/>
      </w:divBdr>
    </w:div>
    <w:div w:id="907809748">
      <w:bodyDiv w:val="1"/>
      <w:marLeft w:val="0"/>
      <w:marRight w:val="0"/>
      <w:marTop w:val="0"/>
      <w:marBottom w:val="0"/>
      <w:divBdr>
        <w:top w:val="none" w:sz="0" w:space="0" w:color="auto"/>
        <w:left w:val="none" w:sz="0" w:space="0" w:color="auto"/>
        <w:bottom w:val="none" w:sz="0" w:space="0" w:color="auto"/>
        <w:right w:val="none" w:sz="0" w:space="0" w:color="auto"/>
      </w:divBdr>
    </w:div>
    <w:div w:id="908001686">
      <w:bodyDiv w:val="1"/>
      <w:marLeft w:val="0"/>
      <w:marRight w:val="0"/>
      <w:marTop w:val="0"/>
      <w:marBottom w:val="0"/>
      <w:divBdr>
        <w:top w:val="none" w:sz="0" w:space="0" w:color="auto"/>
        <w:left w:val="none" w:sz="0" w:space="0" w:color="auto"/>
        <w:bottom w:val="none" w:sz="0" w:space="0" w:color="auto"/>
        <w:right w:val="none" w:sz="0" w:space="0" w:color="auto"/>
      </w:divBdr>
    </w:div>
    <w:div w:id="908611521">
      <w:bodyDiv w:val="1"/>
      <w:marLeft w:val="0"/>
      <w:marRight w:val="0"/>
      <w:marTop w:val="0"/>
      <w:marBottom w:val="0"/>
      <w:divBdr>
        <w:top w:val="none" w:sz="0" w:space="0" w:color="auto"/>
        <w:left w:val="none" w:sz="0" w:space="0" w:color="auto"/>
        <w:bottom w:val="none" w:sz="0" w:space="0" w:color="auto"/>
        <w:right w:val="none" w:sz="0" w:space="0" w:color="auto"/>
      </w:divBdr>
    </w:div>
    <w:div w:id="909391716">
      <w:bodyDiv w:val="1"/>
      <w:marLeft w:val="0"/>
      <w:marRight w:val="0"/>
      <w:marTop w:val="0"/>
      <w:marBottom w:val="0"/>
      <w:divBdr>
        <w:top w:val="none" w:sz="0" w:space="0" w:color="auto"/>
        <w:left w:val="none" w:sz="0" w:space="0" w:color="auto"/>
        <w:bottom w:val="none" w:sz="0" w:space="0" w:color="auto"/>
        <w:right w:val="none" w:sz="0" w:space="0" w:color="auto"/>
      </w:divBdr>
    </w:div>
    <w:div w:id="909731388">
      <w:bodyDiv w:val="1"/>
      <w:marLeft w:val="0"/>
      <w:marRight w:val="0"/>
      <w:marTop w:val="0"/>
      <w:marBottom w:val="0"/>
      <w:divBdr>
        <w:top w:val="none" w:sz="0" w:space="0" w:color="auto"/>
        <w:left w:val="none" w:sz="0" w:space="0" w:color="auto"/>
        <w:bottom w:val="none" w:sz="0" w:space="0" w:color="auto"/>
        <w:right w:val="none" w:sz="0" w:space="0" w:color="auto"/>
      </w:divBdr>
    </w:div>
    <w:div w:id="911810736">
      <w:bodyDiv w:val="1"/>
      <w:marLeft w:val="0"/>
      <w:marRight w:val="0"/>
      <w:marTop w:val="0"/>
      <w:marBottom w:val="0"/>
      <w:divBdr>
        <w:top w:val="none" w:sz="0" w:space="0" w:color="auto"/>
        <w:left w:val="none" w:sz="0" w:space="0" w:color="auto"/>
        <w:bottom w:val="none" w:sz="0" w:space="0" w:color="auto"/>
        <w:right w:val="none" w:sz="0" w:space="0" w:color="auto"/>
      </w:divBdr>
    </w:div>
    <w:div w:id="913272561">
      <w:bodyDiv w:val="1"/>
      <w:marLeft w:val="0"/>
      <w:marRight w:val="0"/>
      <w:marTop w:val="0"/>
      <w:marBottom w:val="0"/>
      <w:divBdr>
        <w:top w:val="none" w:sz="0" w:space="0" w:color="auto"/>
        <w:left w:val="none" w:sz="0" w:space="0" w:color="auto"/>
        <w:bottom w:val="none" w:sz="0" w:space="0" w:color="auto"/>
        <w:right w:val="none" w:sz="0" w:space="0" w:color="auto"/>
      </w:divBdr>
    </w:div>
    <w:div w:id="915896540">
      <w:bodyDiv w:val="1"/>
      <w:marLeft w:val="0"/>
      <w:marRight w:val="0"/>
      <w:marTop w:val="0"/>
      <w:marBottom w:val="0"/>
      <w:divBdr>
        <w:top w:val="none" w:sz="0" w:space="0" w:color="auto"/>
        <w:left w:val="none" w:sz="0" w:space="0" w:color="auto"/>
        <w:bottom w:val="none" w:sz="0" w:space="0" w:color="auto"/>
        <w:right w:val="none" w:sz="0" w:space="0" w:color="auto"/>
      </w:divBdr>
    </w:div>
    <w:div w:id="917520015">
      <w:bodyDiv w:val="1"/>
      <w:marLeft w:val="0"/>
      <w:marRight w:val="0"/>
      <w:marTop w:val="0"/>
      <w:marBottom w:val="0"/>
      <w:divBdr>
        <w:top w:val="none" w:sz="0" w:space="0" w:color="auto"/>
        <w:left w:val="none" w:sz="0" w:space="0" w:color="auto"/>
        <w:bottom w:val="none" w:sz="0" w:space="0" w:color="auto"/>
        <w:right w:val="none" w:sz="0" w:space="0" w:color="auto"/>
      </w:divBdr>
    </w:div>
    <w:div w:id="919172602">
      <w:bodyDiv w:val="1"/>
      <w:marLeft w:val="0"/>
      <w:marRight w:val="0"/>
      <w:marTop w:val="0"/>
      <w:marBottom w:val="0"/>
      <w:divBdr>
        <w:top w:val="none" w:sz="0" w:space="0" w:color="auto"/>
        <w:left w:val="none" w:sz="0" w:space="0" w:color="auto"/>
        <w:bottom w:val="none" w:sz="0" w:space="0" w:color="auto"/>
        <w:right w:val="none" w:sz="0" w:space="0" w:color="auto"/>
      </w:divBdr>
    </w:div>
    <w:div w:id="919293987">
      <w:bodyDiv w:val="1"/>
      <w:marLeft w:val="0"/>
      <w:marRight w:val="0"/>
      <w:marTop w:val="0"/>
      <w:marBottom w:val="0"/>
      <w:divBdr>
        <w:top w:val="none" w:sz="0" w:space="0" w:color="auto"/>
        <w:left w:val="none" w:sz="0" w:space="0" w:color="auto"/>
        <w:bottom w:val="none" w:sz="0" w:space="0" w:color="auto"/>
        <w:right w:val="none" w:sz="0" w:space="0" w:color="auto"/>
      </w:divBdr>
    </w:div>
    <w:div w:id="919295464">
      <w:bodyDiv w:val="1"/>
      <w:marLeft w:val="0"/>
      <w:marRight w:val="0"/>
      <w:marTop w:val="0"/>
      <w:marBottom w:val="0"/>
      <w:divBdr>
        <w:top w:val="none" w:sz="0" w:space="0" w:color="auto"/>
        <w:left w:val="none" w:sz="0" w:space="0" w:color="auto"/>
        <w:bottom w:val="none" w:sz="0" w:space="0" w:color="auto"/>
        <w:right w:val="none" w:sz="0" w:space="0" w:color="auto"/>
      </w:divBdr>
    </w:div>
    <w:div w:id="919559397">
      <w:bodyDiv w:val="1"/>
      <w:marLeft w:val="0"/>
      <w:marRight w:val="0"/>
      <w:marTop w:val="0"/>
      <w:marBottom w:val="0"/>
      <w:divBdr>
        <w:top w:val="none" w:sz="0" w:space="0" w:color="auto"/>
        <w:left w:val="none" w:sz="0" w:space="0" w:color="auto"/>
        <w:bottom w:val="none" w:sz="0" w:space="0" w:color="auto"/>
        <w:right w:val="none" w:sz="0" w:space="0" w:color="auto"/>
      </w:divBdr>
    </w:div>
    <w:div w:id="920480709">
      <w:bodyDiv w:val="1"/>
      <w:marLeft w:val="0"/>
      <w:marRight w:val="0"/>
      <w:marTop w:val="0"/>
      <w:marBottom w:val="0"/>
      <w:divBdr>
        <w:top w:val="none" w:sz="0" w:space="0" w:color="auto"/>
        <w:left w:val="none" w:sz="0" w:space="0" w:color="auto"/>
        <w:bottom w:val="none" w:sz="0" w:space="0" w:color="auto"/>
        <w:right w:val="none" w:sz="0" w:space="0" w:color="auto"/>
      </w:divBdr>
    </w:div>
    <w:div w:id="920872894">
      <w:bodyDiv w:val="1"/>
      <w:marLeft w:val="0"/>
      <w:marRight w:val="0"/>
      <w:marTop w:val="0"/>
      <w:marBottom w:val="0"/>
      <w:divBdr>
        <w:top w:val="none" w:sz="0" w:space="0" w:color="auto"/>
        <w:left w:val="none" w:sz="0" w:space="0" w:color="auto"/>
        <w:bottom w:val="none" w:sz="0" w:space="0" w:color="auto"/>
        <w:right w:val="none" w:sz="0" w:space="0" w:color="auto"/>
      </w:divBdr>
    </w:div>
    <w:div w:id="924457973">
      <w:bodyDiv w:val="1"/>
      <w:marLeft w:val="0"/>
      <w:marRight w:val="0"/>
      <w:marTop w:val="0"/>
      <w:marBottom w:val="0"/>
      <w:divBdr>
        <w:top w:val="none" w:sz="0" w:space="0" w:color="auto"/>
        <w:left w:val="none" w:sz="0" w:space="0" w:color="auto"/>
        <w:bottom w:val="none" w:sz="0" w:space="0" w:color="auto"/>
        <w:right w:val="none" w:sz="0" w:space="0" w:color="auto"/>
      </w:divBdr>
    </w:div>
    <w:div w:id="926231523">
      <w:bodyDiv w:val="1"/>
      <w:marLeft w:val="0"/>
      <w:marRight w:val="0"/>
      <w:marTop w:val="0"/>
      <w:marBottom w:val="0"/>
      <w:divBdr>
        <w:top w:val="none" w:sz="0" w:space="0" w:color="auto"/>
        <w:left w:val="none" w:sz="0" w:space="0" w:color="auto"/>
        <w:bottom w:val="none" w:sz="0" w:space="0" w:color="auto"/>
        <w:right w:val="none" w:sz="0" w:space="0" w:color="auto"/>
      </w:divBdr>
    </w:div>
    <w:div w:id="926501246">
      <w:bodyDiv w:val="1"/>
      <w:marLeft w:val="0"/>
      <w:marRight w:val="0"/>
      <w:marTop w:val="0"/>
      <w:marBottom w:val="0"/>
      <w:divBdr>
        <w:top w:val="none" w:sz="0" w:space="0" w:color="auto"/>
        <w:left w:val="none" w:sz="0" w:space="0" w:color="auto"/>
        <w:bottom w:val="none" w:sz="0" w:space="0" w:color="auto"/>
        <w:right w:val="none" w:sz="0" w:space="0" w:color="auto"/>
      </w:divBdr>
    </w:div>
    <w:div w:id="927230852">
      <w:bodyDiv w:val="1"/>
      <w:marLeft w:val="0"/>
      <w:marRight w:val="0"/>
      <w:marTop w:val="0"/>
      <w:marBottom w:val="0"/>
      <w:divBdr>
        <w:top w:val="none" w:sz="0" w:space="0" w:color="auto"/>
        <w:left w:val="none" w:sz="0" w:space="0" w:color="auto"/>
        <w:bottom w:val="none" w:sz="0" w:space="0" w:color="auto"/>
        <w:right w:val="none" w:sz="0" w:space="0" w:color="auto"/>
      </w:divBdr>
    </w:div>
    <w:div w:id="928318671">
      <w:bodyDiv w:val="1"/>
      <w:marLeft w:val="0"/>
      <w:marRight w:val="0"/>
      <w:marTop w:val="0"/>
      <w:marBottom w:val="0"/>
      <w:divBdr>
        <w:top w:val="none" w:sz="0" w:space="0" w:color="auto"/>
        <w:left w:val="none" w:sz="0" w:space="0" w:color="auto"/>
        <w:bottom w:val="none" w:sz="0" w:space="0" w:color="auto"/>
        <w:right w:val="none" w:sz="0" w:space="0" w:color="auto"/>
      </w:divBdr>
    </w:div>
    <w:div w:id="930553273">
      <w:bodyDiv w:val="1"/>
      <w:marLeft w:val="0"/>
      <w:marRight w:val="0"/>
      <w:marTop w:val="0"/>
      <w:marBottom w:val="0"/>
      <w:divBdr>
        <w:top w:val="none" w:sz="0" w:space="0" w:color="auto"/>
        <w:left w:val="none" w:sz="0" w:space="0" w:color="auto"/>
        <w:bottom w:val="none" w:sz="0" w:space="0" w:color="auto"/>
        <w:right w:val="none" w:sz="0" w:space="0" w:color="auto"/>
      </w:divBdr>
    </w:div>
    <w:div w:id="930896192">
      <w:bodyDiv w:val="1"/>
      <w:marLeft w:val="0"/>
      <w:marRight w:val="0"/>
      <w:marTop w:val="0"/>
      <w:marBottom w:val="0"/>
      <w:divBdr>
        <w:top w:val="none" w:sz="0" w:space="0" w:color="auto"/>
        <w:left w:val="none" w:sz="0" w:space="0" w:color="auto"/>
        <w:bottom w:val="none" w:sz="0" w:space="0" w:color="auto"/>
        <w:right w:val="none" w:sz="0" w:space="0" w:color="auto"/>
      </w:divBdr>
    </w:div>
    <w:div w:id="932906419">
      <w:bodyDiv w:val="1"/>
      <w:marLeft w:val="0"/>
      <w:marRight w:val="0"/>
      <w:marTop w:val="0"/>
      <w:marBottom w:val="0"/>
      <w:divBdr>
        <w:top w:val="none" w:sz="0" w:space="0" w:color="auto"/>
        <w:left w:val="none" w:sz="0" w:space="0" w:color="auto"/>
        <w:bottom w:val="none" w:sz="0" w:space="0" w:color="auto"/>
        <w:right w:val="none" w:sz="0" w:space="0" w:color="auto"/>
      </w:divBdr>
    </w:div>
    <w:div w:id="933829847">
      <w:bodyDiv w:val="1"/>
      <w:marLeft w:val="0"/>
      <w:marRight w:val="0"/>
      <w:marTop w:val="0"/>
      <w:marBottom w:val="0"/>
      <w:divBdr>
        <w:top w:val="none" w:sz="0" w:space="0" w:color="auto"/>
        <w:left w:val="none" w:sz="0" w:space="0" w:color="auto"/>
        <w:bottom w:val="none" w:sz="0" w:space="0" w:color="auto"/>
        <w:right w:val="none" w:sz="0" w:space="0" w:color="auto"/>
      </w:divBdr>
    </w:div>
    <w:div w:id="934240917">
      <w:bodyDiv w:val="1"/>
      <w:marLeft w:val="0"/>
      <w:marRight w:val="0"/>
      <w:marTop w:val="0"/>
      <w:marBottom w:val="0"/>
      <w:divBdr>
        <w:top w:val="none" w:sz="0" w:space="0" w:color="auto"/>
        <w:left w:val="none" w:sz="0" w:space="0" w:color="auto"/>
        <w:bottom w:val="none" w:sz="0" w:space="0" w:color="auto"/>
        <w:right w:val="none" w:sz="0" w:space="0" w:color="auto"/>
      </w:divBdr>
    </w:div>
    <w:div w:id="934871467">
      <w:bodyDiv w:val="1"/>
      <w:marLeft w:val="0"/>
      <w:marRight w:val="0"/>
      <w:marTop w:val="0"/>
      <w:marBottom w:val="0"/>
      <w:divBdr>
        <w:top w:val="none" w:sz="0" w:space="0" w:color="auto"/>
        <w:left w:val="none" w:sz="0" w:space="0" w:color="auto"/>
        <w:bottom w:val="none" w:sz="0" w:space="0" w:color="auto"/>
        <w:right w:val="none" w:sz="0" w:space="0" w:color="auto"/>
      </w:divBdr>
    </w:div>
    <w:div w:id="937101369">
      <w:bodyDiv w:val="1"/>
      <w:marLeft w:val="0"/>
      <w:marRight w:val="0"/>
      <w:marTop w:val="0"/>
      <w:marBottom w:val="0"/>
      <w:divBdr>
        <w:top w:val="none" w:sz="0" w:space="0" w:color="auto"/>
        <w:left w:val="none" w:sz="0" w:space="0" w:color="auto"/>
        <w:bottom w:val="none" w:sz="0" w:space="0" w:color="auto"/>
        <w:right w:val="none" w:sz="0" w:space="0" w:color="auto"/>
      </w:divBdr>
    </w:div>
    <w:div w:id="938179869">
      <w:bodyDiv w:val="1"/>
      <w:marLeft w:val="0"/>
      <w:marRight w:val="0"/>
      <w:marTop w:val="0"/>
      <w:marBottom w:val="0"/>
      <w:divBdr>
        <w:top w:val="none" w:sz="0" w:space="0" w:color="auto"/>
        <w:left w:val="none" w:sz="0" w:space="0" w:color="auto"/>
        <w:bottom w:val="none" w:sz="0" w:space="0" w:color="auto"/>
        <w:right w:val="none" w:sz="0" w:space="0" w:color="auto"/>
      </w:divBdr>
    </w:div>
    <w:div w:id="938413073">
      <w:bodyDiv w:val="1"/>
      <w:marLeft w:val="0"/>
      <w:marRight w:val="0"/>
      <w:marTop w:val="0"/>
      <w:marBottom w:val="0"/>
      <w:divBdr>
        <w:top w:val="none" w:sz="0" w:space="0" w:color="auto"/>
        <w:left w:val="none" w:sz="0" w:space="0" w:color="auto"/>
        <w:bottom w:val="none" w:sz="0" w:space="0" w:color="auto"/>
        <w:right w:val="none" w:sz="0" w:space="0" w:color="auto"/>
      </w:divBdr>
    </w:div>
    <w:div w:id="940794707">
      <w:bodyDiv w:val="1"/>
      <w:marLeft w:val="0"/>
      <w:marRight w:val="0"/>
      <w:marTop w:val="0"/>
      <w:marBottom w:val="0"/>
      <w:divBdr>
        <w:top w:val="none" w:sz="0" w:space="0" w:color="auto"/>
        <w:left w:val="none" w:sz="0" w:space="0" w:color="auto"/>
        <w:bottom w:val="none" w:sz="0" w:space="0" w:color="auto"/>
        <w:right w:val="none" w:sz="0" w:space="0" w:color="auto"/>
      </w:divBdr>
    </w:div>
    <w:div w:id="941491593">
      <w:bodyDiv w:val="1"/>
      <w:marLeft w:val="0"/>
      <w:marRight w:val="0"/>
      <w:marTop w:val="0"/>
      <w:marBottom w:val="0"/>
      <w:divBdr>
        <w:top w:val="none" w:sz="0" w:space="0" w:color="auto"/>
        <w:left w:val="none" w:sz="0" w:space="0" w:color="auto"/>
        <w:bottom w:val="none" w:sz="0" w:space="0" w:color="auto"/>
        <w:right w:val="none" w:sz="0" w:space="0" w:color="auto"/>
      </w:divBdr>
    </w:div>
    <w:div w:id="942688035">
      <w:bodyDiv w:val="1"/>
      <w:marLeft w:val="0"/>
      <w:marRight w:val="0"/>
      <w:marTop w:val="0"/>
      <w:marBottom w:val="0"/>
      <w:divBdr>
        <w:top w:val="none" w:sz="0" w:space="0" w:color="auto"/>
        <w:left w:val="none" w:sz="0" w:space="0" w:color="auto"/>
        <w:bottom w:val="none" w:sz="0" w:space="0" w:color="auto"/>
        <w:right w:val="none" w:sz="0" w:space="0" w:color="auto"/>
      </w:divBdr>
    </w:div>
    <w:div w:id="942805380">
      <w:bodyDiv w:val="1"/>
      <w:marLeft w:val="0"/>
      <w:marRight w:val="0"/>
      <w:marTop w:val="0"/>
      <w:marBottom w:val="0"/>
      <w:divBdr>
        <w:top w:val="none" w:sz="0" w:space="0" w:color="auto"/>
        <w:left w:val="none" w:sz="0" w:space="0" w:color="auto"/>
        <w:bottom w:val="none" w:sz="0" w:space="0" w:color="auto"/>
        <w:right w:val="none" w:sz="0" w:space="0" w:color="auto"/>
      </w:divBdr>
    </w:div>
    <w:div w:id="945237982">
      <w:bodyDiv w:val="1"/>
      <w:marLeft w:val="0"/>
      <w:marRight w:val="0"/>
      <w:marTop w:val="0"/>
      <w:marBottom w:val="0"/>
      <w:divBdr>
        <w:top w:val="none" w:sz="0" w:space="0" w:color="auto"/>
        <w:left w:val="none" w:sz="0" w:space="0" w:color="auto"/>
        <w:bottom w:val="none" w:sz="0" w:space="0" w:color="auto"/>
        <w:right w:val="none" w:sz="0" w:space="0" w:color="auto"/>
      </w:divBdr>
    </w:div>
    <w:div w:id="945305884">
      <w:bodyDiv w:val="1"/>
      <w:marLeft w:val="0"/>
      <w:marRight w:val="0"/>
      <w:marTop w:val="0"/>
      <w:marBottom w:val="0"/>
      <w:divBdr>
        <w:top w:val="none" w:sz="0" w:space="0" w:color="auto"/>
        <w:left w:val="none" w:sz="0" w:space="0" w:color="auto"/>
        <w:bottom w:val="none" w:sz="0" w:space="0" w:color="auto"/>
        <w:right w:val="none" w:sz="0" w:space="0" w:color="auto"/>
      </w:divBdr>
    </w:div>
    <w:div w:id="946695853">
      <w:bodyDiv w:val="1"/>
      <w:marLeft w:val="0"/>
      <w:marRight w:val="0"/>
      <w:marTop w:val="0"/>
      <w:marBottom w:val="0"/>
      <w:divBdr>
        <w:top w:val="none" w:sz="0" w:space="0" w:color="auto"/>
        <w:left w:val="none" w:sz="0" w:space="0" w:color="auto"/>
        <w:bottom w:val="none" w:sz="0" w:space="0" w:color="auto"/>
        <w:right w:val="none" w:sz="0" w:space="0" w:color="auto"/>
      </w:divBdr>
    </w:div>
    <w:div w:id="947003084">
      <w:bodyDiv w:val="1"/>
      <w:marLeft w:val="0"/>
      <w:marRight w:val="0"/>
      <w:marTop w:val="0"/>
      <w:marBottom w:val="0"/>
      <w:divBdr>
        <w:top w:val="none" w:sz="0" w:space="0" w:color="auto"/>
        <w:left w:val="none" w:sz="0" w:space="0" w:color="auto"/>
        <w:bottom w:val="none" w:sz="0" w:space="0" w:color="auto"/>
        <w:right w:val="none" w:sz="0" w:space="0" w:color="auto"/>
      </w:divBdr>
    </w:div>
    <w:div w:id="949241207">
      <w:bodyDiv w:val="1"/>
      <w:marLeft w:val="0"/>
      <w:marRight w:val="0"/>
      <w:marTop w:val="0"/>
      <w:marBottom w:val="0"/>
      <w:divBdr>
        <w:top w:val="none" w:sz="0" w:space="0" w:color="auto"/>
        <w:left w:val="none" w:sz="0" w:space="0" w:color="auto"/>
        <w:bottom w:val="none" w:sz="0" w:space="0" w:color="auto"/>
        <w:right w:val="none" w:sz="0" w:space="0" w:color="auto"/>
      </w:divBdr>
    </w:div>
    <w:div w:id="949777508">
      <w:bodyDiv w:val="1"/>
      <w:marLeft w:val="0"/>
      <w:marRight w:val="0"/>
      <w:marTop w:val="0"/>
      <w:marBottom w:val="0"/>
      <w:divBdr>
        <w:top w:val="none" w:sz="0" w:space="0" w:color="auto"/>
        <w:left w:val="none" w:sz="0" w:space="0" w:color="auto"/>
        <w:bottom w:val="none" w:sz="0" w:space="0" w:color="auto"/>
        <w:right w:val="none" w:sz="0" w:space="0" w:color="auto"/>
      </w:divBdr>
    </w:div>
    <w:div w:id="950822019">
      <w:bodyDiv w:val="1"/>
      <w:marLeft w:val="0"/>
      <w:marRight w:val="0"/>
      <w:marTop w:val="0"/>
      <w:marBottom w:val="0"/>
      <w:divBdr>
        <w:top w:val="none" w:sz="0" w:space="0" w:color="auto"/>
        <w:left w:val="none" w:sz="0" w:space="0" w:color="auto"/>
        <w:bottom w:val="none" w:sz="0" w:space="0" w:color="auto"/>
        <w:right w:val="none" w:sz="0" w:space="0" w:color="auto"/>
      </w:divBdr>
    </w:div>
    <w:div w:id="951209186">
      <w:bodyDiv w:val="1"/>
      <w:marLeft w:val="0"/>
      <w:marRight w:val="0"/>
      <w:marTop w:val="0"/>
      <w:marBottom w:val="0"/>
      <w:divBdr>
        <w:top w:val="none" w:sz="0" w:space="0" w:color="auto"/>
        <w:left w:val="none" w:sz="0" w:space="0" w:color="auto"/>
        <w:bottom w:val="none" w:sz="0" w:space="0" w:color="auto"/>
        <w:right w:val="none" w:sz="0" w:space="0" w:color="auto"/>
      </w:divBdr>
    </w:div>
    <w:div w:id="953638883">
      <w:bodyDiv w:val="1"/>
      <w:marLeft w:val="0"/>
      <w:marRight w:val="0"/>
      <w:marTop w:val="0"/>
      <w:marBottom w:val="0"/>
      <w:divBdr>
        <w:top w:val="none" w:sz="0" w:space="0" w:color="auto"/>
        <w:left w:val="none" w:sz="0" w:space="0" w:color="auto"/>
        <w:bottom w:val="none" w:sz="0" w:space="0" w:color="auto"/>
        <w:right w:val="none" w:sz="0" w:space="0" w:color="auto"/>
      </w:divBdr>
    </w:div>
    <w:div w:id="957838973">
      <w:bodyDiv w:val="1"/>
      <w:marLeft w:val="0"/>
      <w:marRight w:val="0"/>
      <w:marTop w:val="0"/>
      <w:marBottom w:val="0"/>
      <w:divBdr>
        <w:top w:val="none" w:sz="0" w:space="0" w:color="auto"/>
        <w:left w:val="none" w:sz="0" w:space="0" w:color="auto"/>
        <w:bottom w:val="none" w:sz="0" w:space="0" w:color="auto"/>
        <w:right w:val="none" w:sz="0" w:space="0" w:color="auto"/>
      </w:divBdr>
    </w:div>
    <w:div w:id="958338222">
      <w:bodyDiv w:val="1"/>
      <w:marLeft w:val="0"/>
      <w:marRight w:val="0"/>
      <w:marTop w:val="0"/>
      <w:marBottom w:val="0"/>
      <w:divBdr>
        <w:top w:val="none" w:sz="0" w:space="0" w:color="auto"/>
        <w:left w:val="none" w:sz="0" w:space="0" w:color="auto"/>
        <w:bottom w:val="none" w:sz="0" w:space="0" w:color="auto"/>
        <w:right w:val="none" w:sz="0" w:space="0" w:color="auto"/>
      </w:divBdr>
    </w:div>
    <w:div w:id="960766758">
      <w:bodyDiv w:val="1"/>
      <w:marLeft w:val="0"/>
      <w:marRight w:val="0"/>
      <w:marTop w:val="0"/>
      <w:marBottom w:val="0"/>
      <w:divBdr>
        <w:top w:val="none" w:sz="0" w:space="0" w:color="auto"/>
        <w:left w:val="none" w:sz="0" w:space="0" w:color="auto"/>
        <w:bottom w:val="none" w:sz="0" w:space="0" w:color="auto"/>
        <w:right w:val="none" w:sz="0" w:space="0" w:color="auto"/>
      </w:divBdr>
    </w:div>
    <w:div w:id="964388659">
      <w:bodyDiv w:val="1"/>
      <w:marLeft w:val="0"/>
      <w:marRight w:val="0"/>
      <w:marTop w:val="0"/>
      <w:marBottom w:val="0"/>
      <w:divBdr>
        <w:top w:val="none" w:sz="0" w:space="0" w:color="auto"/>
        <w:left w:val="none" w:sz="0" w:space="0" w:color="auto"/>
        <w:bottom w:val="none" w:sz="0" w:space="0" w:color="auto"/>
        <w:right w:val="none" w:sz="0" w:space="0" w:color="auto"/>
      </w:divBdr>
    </w:div>
    <w:div w:id="965425144">
      <w:bodyDiv w:val="1"/>
      <w:marLeft w:val="0"/>
      <w:marRight w:val="0"/>
      <w:marTop w:val="0"/>
      <w:marBottom w:val="0"/>
      <w:divBdr>
        <w:top w:val="none" w:sz="0" w:space="0" w:color="auto"/>
        <w:left w:val="none" w:sz="0" w:space="0" w:color="auto"/>
        <w:bottom w:val="none" w:sz="0" w:space="0" w:color="auto"/>
        <w:right w:val="none" w:sz="0" w:space="0" w:color="auto"/>
      </w:divBdr>
    </w:div>
    <w:div w:id="965937555">
      <w:bodyDiv w:val="1"/>
      <w:marLeft w:val="0"/>
      <w:marRight w:val="0"/>
      <w:marTop w:val="0"/>
      <w:marBottom w:val="0"/>
      <w:divBdr>
        <w:top w:val="none" w:sz="0" w:space="0" w:color="auto"/>
        <w:left w:val="none" w:sz="0" w:space="0" w:color="auto"/>
        <w:bottom w:val="none" w:sz="0" w:space="0" w:color="auto"/>
        <w:right w:val="none" w:sz="0" w:space="0" w:color="auto"/>
      </w:divBdr>
    </w:div>
    <w:div w:id="966622214">
      <w:bodyDiv w:val="1"/>
      <w:marLeft w:val="0"/>
      <w:marRight w:val="0"/>
      <w:marTop w:val="0"/>
      <w:marBottom w:val="0"/>
      <w:divBdr>
        <w:top w:val="none" w:sz="0" w:space="0" w:color="auto"/>
        <w:left w:val="none" w:sz="0" w:space="0" w:color="auto"/>
        <w:bottom w:val="none" w:sz="0" w:space="0" w:color="auto"/>
        <w:right w:val="none" w:sz="0" w:space="0" w:color="auto"/>
      </w:divBdr>
    </w:div>
    <w:div w:id="967470182">
      <w:bodyDiv w:val="1"/>
      <w:marLeft w:val="0"/>
      <w:marRight w:val="0"/>
      <w:marTop w:val="0"/>
      <w:marBottom w:val="0"/>
      <w:divBdr>
        <w:top w:val="none" w:sz="0" w:space="0" w:color="auto"/>
        <w:left w:val="none" w:sz="0" w:space="0" w:color="auto"/>
        <w:bottom w:val="none" w:sz="0" w:space="0" w:color="auto"/>
        <w:right w:val="none" w:sz="0" w:space="0" w:color="auto"/>
      </w:divBdr>
    </w:div>
    <w:div w:id="968322437">
      <w:bodyDiv w:val="1"/>
      <w:marLeft w:val="0"/>
      <w:marRight w:val="0"/>
      <w:marTop w:val="0"/>
      <w:marBottom w:val="0"/>
      <w:divBdr>
        <w:top w:val="none" w:sz="0" w:space="0" w:color="auto"/>
        <w:left w:val="none" w:sz="0" w:space="0" w:color="auto"/>
        <w:bottom w:val="none" w:sz="0" w:space="0" w:color="auto"/>
        <w:right w:val="none" w:sz="0" w:space="0" w:color="auto"/>
      </w:divBdr>
    </w:div>
    <w:div w:id="968710017">
      <w:bodyDiv w:val="1"/>
      <w:marLeft w:val="0"/>
      <w:marRight w:val="0"/>
      <w:marTop w:val="0"/>
      <w:marBottom w:val="0"/>
      <w:divBdr>
        <w:top w:val="none" w:sz="0" w:space="0" w:color="auto"/>
        <w:left w:val="none" w:sz="0" w:space="0" w:color="auto"/>
        <w:bottom w:val="none" w:sz="0" w:space="0" w:color="auto"/>
        <w:right w:val="none" w:sz="0" w:space="0" w:color="auto"/>
      </w:divBdr>
    </w:div>
    <w:div w:id="969479225">
      <w:bodyDiv w:val="1"/>
      <w:marLeft w:val="0"/>
      <w:marRight w:val="0"/>
      <w:marTop w:val="0"/>
      <w:marBottom w:val="0"/>
      <w:divBdr>
        <w:top w:val="none" w:sz="0" w:space="0" w:color="auto"/>
        <w:left w:val="none" w:sz="0" w:space="0" w:color="auto"/>
        <w:bottom w:val="none" w:sz="0" w:space="0" w:color="auto"/>
        <w:right w:val="none" w:sz="0" w:space="0" w:color="auto"/>
      </w:divBdr>
    </w:div>
    <w:div w:id="969939855">
      <w:bodyDiv w:val="1"/>
      <w:marLeft w:val="0"/>
      <w:marRight w:val="0"/>
      <w:marTop w:val="0"/>
      <w:marBottom w:val="0"/>
      <w:divBdr>
        <w:top w:val="none" w:sz="0" w:space="0" w:color="auto"/>
        <w:left w:val="none" w:sz="0" w:space="0" w:color="auto"/>
        <w:bottom w:val="none" w:sz="0" w:space="0" w:color="auto"/>
        <w:right w:val="none" w:sz="0" w:space="0" w:color="auto"/>
      </w:divBdr>
    </w:div>
    <w:div w:id="969940166">
      <w:bodyDiv w:val="1"/>
      <w:marLeft w:val="0"/>
      <w:marRight w:val="0"/>
      <w:marTop w:val="0"/>
      <w:marBottom w:val="0"/>
      <w:divBdr>
        <w:top w:val="none" w:sz="0" w:space="0" w:color="auto"/>
        <w:left w:val="none" w:sz="0" w:space="0" w:color="auto"/>
        <w:bottom w:val="none" w:sz="0" w:space="0" w:color="auto"/>
        <w:right w:val="none" w:sz="0" w:space="0" w:color="auto"/>
      </w:divBdr>
    </w:div>
    <w:div w:id="970938767">
      <w:bodyDiv w:val="1"/>
      <w:marLeft w:val="0"/>
      <w:marRight w:val="0"/>
      <w:marTop w:val="0"/>
      <w:marBottom w:val="0"/>
      <w:divBdr>
        <w:top w:val="none" w:sz="0" w:space="0" w:color="auto"/>
        <w:left w:val="none" w:sz="0" w:space="0" w:color="auto"/>
        <w:bottom w:val="none" w:sz="0" w:space="0" w:color="auto"/>
        <w:right w:val="none" w:sz="0" w:space="0" w:color="auto"/>
      </w:divBdr>
    </w:div>
    <w:div w:id="971248039">
      <w:bodyDiv w:val="1"/>
      <w:marLeft w:val="0"/>
      <w:marRight w:val="0"/>
      <w:marTop w:val="0"/>
      <w:marBottom w:val="0"/>
      <w:divBdr>
        <w:top w:val="none" w:sz="0" w:space="0" w:color="auto"/>
        <w:left w:val="none" w:sz="0" w:space="0" w:color="auto"/>
        <w:bottom w:val="none" w:sz="0" w:space="0" w:color="auto"/>
        <w:right w:val="none" w:sz="0" w:space="0" w:color="auto"/>
      </w:divBdr>
    </w:div>
    <w:div w:id="971909365">
      <w:bodyDiv w:val="1"/>
      <w:marLeft w:val="0"/>
      <w:marRight w:val="0"/>
      <w:marTop w:val="0"/>
      <w:marBottom w:val="0"/>
      <w:divBdr>
        <w:top w:val="none" w:sz="0" w:space="0" w:color="auto"/>
        <w:left w:val="none" w:sz="0" w:space="0" w:color="auto"/>
        <w:bottom w:val="none" w:sz="0" w:space="0" w:color="auto"/>
        <w:right w:val="none" w:sz="0" w:space="0" w:color="auto"/>
      </w:divBdr>
    </w:div>
    <w:div w:id="973681154">
      <w:bodyDiv w:val="1"/>
      <w:marLeft w:val="0"/>
      <w:marRight w:val="0"/>
      <w:marTop w:val="0"/>
      <w:marBottom w:val="0"/>
      <w:divBdr>
        <w:top w:val="none" w:sz="0" w:space="0" w:color="auto"/>
        <w:left w:val="none" w:sz="0" w:space="0" w:color="auto"/>
        <w:bottom w:val="none" w:sz="0" w:space="0" w:color="auto"/>
        <w:right w:val="none" w:sz="0" w:space="0" w:color="auto"/>
      </w:divBdr>
    </w:div>
    <w:div w:id="974220025">
      <w:bodyDiv w:val="1"/>
      <w:marLeft w:val="0"/>
      <w:marRight w:val="0"/>
      <w:marTop w:val="0"/>
      <w:marBottom w:val="0"/>
      <w:divBdr>
        <w:top w:val="none" w:sz="0" w:space="0" w:color="auto"/>
        <w:left w:val="none" w:sz="0" w:space="0" w:color="auto"/>
        <w:bottom w:val="none" w:sz="0" w:space="0" w:color="auto"/>
        <w:right w:val="none" w:sz="0" w:space="0" w:color="auto"/>
      </w:divBdr>
    </w:div>
    <w:div w:id="974793666">
      <w:bodyDiv w:val="1"/>
      <w:marLeft w:val="0"/>
      <w:marRight w:val="0"/>
      <w:marTop w:val="0"/>
      <w:marBottom w:val="0"/>
      <w:divBdr>
        <w:top w:val="none" w:sz="0" w:space="0" w:color="auto"/>
        <w:left w:val="none" w:sz="0" w:space="0" w:color="auto"/>
        <w:bottom w:val="none" w:sz="0" w:space="0" w:color="auto"/>
        <w:right w:val="none" w:sz="0" w:space="0" w:color="auto"/>
      </w:divBdr>
    </w:div>
    <w:div w:id="974868476">
      <w:bodyDiv w:val="1"/>
      <w:marLeft w:val="0"/>
      <w:marRight w:val="0"/>
      <w:marTop w:val="0"/>
      <w:marBottom w:val="0"/>
      <w:divBdr>
        <w:top w:val="none" w:sz="0" w:space="0" w:color="auto"/>
        <w:left w:val="none" w:sz="0" w:space="0" w:color="auto"/>
        <w:bottom w:val="none" w:sz="0" w:space="0" w:color="auto"/>
        <w:right w:val="none" w:sz="0" w:space="0" w:color="auto"/>
      </w:divBdr>
    </w:div>
    <w:div w:id="974876430">
      <w:bodyDiv w:val="1"/>
      <w:marLeft w:val="0"/>
      <w:marRight w:val="0"/>
      <w:marTop w:val="0"/>
      <w:marBottom w:val="0"/>
      <w:divBdr>
        <w:top w:val="none" w:sz="0" w:space="0" w:color="auto"/>
        <w:left w:val="none" w:sz="0" w:space="0" w:color="auto"/>
        <w:bottom w:val="none" w:sz="0" w:space="0" w:color="auto"/>
        <w:right w:val="none" w:sz="0" w:space="0" w:color="auto"/>
      </w:divBdr>
    </w:div>
    <w:div w:id="975336046">
      <w:bodyDiv w:val="1"/>
      <w:marLeft w:val="0"/>
      <w:marRight w:val="0"/>
      <w:marTop w:val="0"/>
      <w:marBottom w:val="0"/>
      <w:divBdr>
        <w:top w:val="none" w:sz="0" w:space="0" w:color="auto"/>
        <w:left w:val="none" w:sz="0" w:space="0" w:color="auto"/>
        <w:bottom w:val="none" w:sz="0" w:space="0" w:color="auto"/>
        <w:right w:val="none" w:sz="0" w:space="0" w:color="auto"/>
      </w:divBdr>
    </w:div>
    <w:div w:id="976572665">
      <w:bodyDiv w:val="1"/>
      <w:marLeft w:val="0"/>
      <w:marRight w:val="0"/>
      <w:marTop w:val="0"/>
      <w:marBottom w:val="0"/>
      <w:divBdr>
        <w:top w:val="none" w:sz="0" w:space="0" w:color="auto"/>
        <w:left w:val="none" w:sz="0" w:space="0" w:color="auto"/>
        <w:bottom w:val="none" w:sz="0" w:space="0" w:color="auto"/>
        <w:right w:val="none" w:sz="0" w:space="0" w:color="auto"/>
      </w:divBdr>
    </w:div>
    <w:div w:id="980690496">
      <w:bodyDiv w:val="1"/>
      <w:marLeft w:val="0"/>
      <w:marRight w:val="0"/>
      <w:marTop w:val="0"/>
      <w:marBottom w:val="0"/>
      <w:divBdr>
        <w:top w:val="none" w:sz="0" w:space="0" w:color="auto"/>
        <w:left w:val="none" w:sz="0" w:space="0" w:color="auto"/>
        <w:bottom w:val="none" w:sz="0" w:space="0" w:color="auto"/>
        <w:right w:val="none" w:sz="0" w:space="0" w:color="auto"/>
      </w:divBdr>
    </w:div>
    <w:div w:id="981427607">
      <w:bodyDiv w:val="1"/>
      <w:marLeft w:val="0"/>
      <w:marRight w:val="0"/>
      <w:marTop w:val="0"/>
      <w:marBottom w:val="0"/>
      <w:divBdr>
        <w:top w:val="none" w:sz="0" w:space="0" w:color="auto"/>
        <w:left w:val="none" w:sz="0" w:space="0" w:color="auto"/>
        <w:bottom w:val="none" w:sz="0" w:space="0" w:color="auto"/>
        <w:right w:val="none" w:sz="0" w:space="0" w:color="auto"/>
      </w:divBdr>
    </w:div>
    <w:div w:id="981735973">
      <w:bodyDiv w:val="1"/>
      <w:marLeft w:val="0"/>
      <w:marRight w:val="0"/>
      <w:marTop w:val="0"/>
      <w:marBottom w:val="0"/>
      <w:divBdr>
        <w:top w:val="none" w:sz="0" w:space="0" w:color="auto"/>
        <w:left w:val="none" w:sz="0" w:space="0" w:color="auto"/>
        <w:bottom w:val="none" w:sz="0" w:space="0" w:color="auto"/>
        <w:right w:val="none" w:sz="0" w:space="0" w:color="auto"/>
      </w:divBdr>
    </w:div>
    <w:div w:id="982463871">
      <w:bodyDiv w:val="1"/>
      <w:marLeft w:val="0"/>
      <w:marRight w:val="0"/>
      <w:marTop w:val="0"/>
      <w:marBottom w:val="0"/>
      <w:divBdr>
        <w:top w:val="none" w:sz="0" w:space="0" w:color="auto"/>
        <w:left w:val="none" w:sz="0" w:space="0" w:color="auto"/>
        <w:bottom w:val="none" w:sz="0" w:space="0" w:color="auto"/>
        <w:right w:val="none" w:sz="0" w:space="0" w:color="auto"/>
      </w:divBdr>
    </w:div>
    <w:div w:id="983852270">
      <w:bodyDiv w:val="1"/>
      <w:marLeft w:val="0"/>
      <w:marRight w:val="0"/>
      <w:marTop w:val="0"/>
      <w:marBottom w:val="0"/>
      <w:divBdr>
        <w:top w:val="none" w:sz="0" w:space="0" w:color="auto"/>
        <w:left w:val="none" w:sz="0" w:space="0" w:color="auto"/>
        <w:bottom w:val="none" w:sz="0" w:space="0" w:color="auto"/>
        <w:right w:val="none" w:sz="0" w:space="0" w:color="auto"/>
      </w:divBdr>
    </w:div>
    <w:div w:id="984696406">
      <w:bodyDiv w:val="1"/>
      <w:marLeft w:val="0"/>
      <w:marRight w:val="0"/>
      <w:marTop w:val="0"/>
      <w:marBottom w:val="0"/>
      <w:divBdr>
        <w:top w:val="none" w:sz="0" w:space="0" w:color="auto"/>
        <w:left w:val="none" w:sz="0" w:space="0" w:color="auto"/>
        <w:bottom w:val="none" w:sz="0" w:space="0" w:color="auto"/>
        <w:right w:val="none" w:sz="0" w:space="0" w:color="auto"/>
      </w:divBdr>
    </w:div>
    <w:div w:id="984745179">
      <w:bodyDiv w:val="1"/>
      <w:marLeft w:val="0"/>
      <w:marRight w:val="0"/>
      <w:marTop w:val="0"/>
      <w:marBottom w:val="0"/>
      <w:divBdr>
        <w:top w:val="none" w:sz="0" w:space="0" w:color="auto"/>
        <w:left w:val="none" w:sz="0" w:space="0" w:color="auto"/>
        <w:bottom w:val="none" w:sz="0" w:space="0" w:color="auto"/>
        <w:right w:val="none" w:sz="0" w:space="0" w:color="auto"/>
      </w:divBdr>
    </w:div>
    <w:div w:id="984821203">
      <w:bodyDiv w:val="1"/>
      <w:marLeft w:val="0"/>
      <w:marRight w:val="0"/>
      <w:marTop w:val="0"/>
      <w:marBottom w:val="0"/>
      <w:divBdr>
        <w:top w:val="none" w:sz="0" w:space="0" w:color="auto"/>
        <w:left w:val="none" w:sz="0" w:space="0" w:color="auto"/>
        <w:bottom w:val="none" w:sz="0" w:space="0" w:color="auto"/>
        <w:right w:val="none" w:sz="0" w:space="0" w:color="auto"/>
      </w:divBdr>
    </w:div>
    <w:div w:id="985285727">
      <w:bodyDiv w:val="1"/>
      <w:marLeft w:val="0"/>
      <w:marRight w:val="0"/>
      <w:marTop w:val="0"/>
      <w:marBottom w:val="0"/>
      <w:divBdr>
        <w:top w:val="none" w:sz="0" w:space="0" w:color="auto"/>
        <w:left w:val="none" w:sz="0" w:space="0" w:color="auto"/>
        <w:bottom w:val="none" w:sz="0" w:space="0" w:color="auto"/>
        <w:right w:val="none" w:sz="0" w:space="0" w:color="auto"/>
      </w:divBdr>
    </w:div>
    <w:div w:id="985821130">
      <w:bodyDiv w:val="1"/>
      <w:marLeft w:val="0"/>
      <w:marRight w:val="0"/>
      <w:marTop w:val="0"/>
      <w:marBottom w:val="0"/>
      <w:divBdr>
        <w:top w:val="none" w:sz="0" w:space="0" w:color="auto"/>
        <w:left w:val="none" w:sz="0" w:space="0" w:color="auto"/>
        <w:bottom w:val="none" w:sz="0" w:space="0" w:color="auto"/>
        <w:right w:val="none" w:sz="0" w:space="0" w:color="auto"/>
      </w:divBdr>
    </w:div>
    <w:div w:id="988481809">
      <w:bodyDiv w:val="1"/>
      <w:marLeft w:val="0"/>
      <w:marRight w:val="0"/>
      <w:marTop w:val="0"/>
      <w:marBottom w:val="0"/>
      <w:divBdr>
        <w:top w:val="none" w:sz="0" w:space="0" w:color="auto"/>
        <w:left w:val="none" w:sz="0" w:space="0" w:color="auto"/>
        <w:bottom w:val="none" w:sz="0" w:space="0" w:color="auto"/>
        <w:right w:val="none" w:sz="0" w:space="0" w:color="auto"/>
      </w:divBdr>
    </w:div>
    <w:div w:id="989552355">
      <w:bodyDiv w:val="1"/>
      <w:marLeft w:val="0"/>
      <w:marRight w:val="0"/>
      <w:marTop w:val="0"/>
      <w:marBottom w:val="0"/>
      <w:divBdr>
        <w:top w:val="none" w:sz="0" w:space="0" w:color="auto"/>
        <w:left w:val="none" w:sz="0" w:space="0" w:color="auto"/>
        <w:bottom w:val="none" w:sz="0" w:space="0" w:color="auto"/>
        <w:right w:val="none" w:sz="0" w:space="0" w:color="auto"/>
      </w:divBdr>
    </w:div>
    <w:div w:id="990908057">
      <w:bodyDiv w:val="1"/>
      <w:marLeft w:val="0"/>
      <w:marRight w:val="0"/>
      <w:marTop w:val="0"/>
      <w:marBottom w:val="0"/>
      <w:divBdr>
        <w:top w:val="none" w:sz="0" w:space="0" w:color="auto"/>
        <w:left w:val="none" w:sz="0" w:space="0" w:color="auto"/>
        <w:bottom w:val="none" w:sz="0" w:space="0" w:color="auto"/>
        <w:right w:val="none" w:sz="0" w:space="0" w:color="auto"/>
      </w:divBdr>
    </w:div>
    <w:div w:id="991329597">
      <w:bodyDiv w:val="1"/>
      <w:marLeft w:val="0"/>
      <w:marRight w:val="0"/>
      <w:marTop w:val="0"/>
      <w:marBottom w:val="0"/>
      <w:divBdr>
        <w:top w:val="none" w:sz="0" w:space="0" w:color="auto"/>
        <w:left w:val="none" w:sz="0" w:space="0" w:color="auto"/>
        <w:bottom w:val="none" w:sz="0" w:space="0" w:color="auto"/>
        <w:right w:val="none" w:sz="0" w:space="0" w:color="auto"/>
      </w:divBdr>
    </w:div>
    <w:div w:id="993417303">
      <w:bodyDiv w:val="1"/>
      <w:marLeft w:val="0"/>
      <w:marRight w:val="0"/>
      <w:marTop w:val="0"/>
      <w:marBottom w:val="0"/>
      <w:divBdr>
        <w:top w:val="none" w:sz="0" w:space="0" w:color="auto"/>
        <w:left w:val="none" w:sz="0" w:space="0" w:color="auto"/>
        <w:bottom w:val="none" w:sz="0" w:space="0" w:color="auto"/>
        <w:right w:val="none" w:sz="0" w:space="0" w:color="auto"/>
      </w:divBdr>
    </w:div>
    <w:div w:id="995232051">
      <w:bodyDiv w:val="1"/>
      <w:marLeft w:val="0"/>
      <w:marRight w:val="0"/>
      <w:marTop w:val="0"/>
      <w:marBottom w:val="0"/>
      <w:divBdr>
        <w:top w:val="none" w:sz="0" w:space="0" w:color="auto"/>
        <w:left w:val="none" w:sz="0" w:space="0" w:color="auto"/>
        <w:bottom w:val="none" w:sz="0" w:space="0" w:color="auto"/>
        <w:right w:val="none" w:sz="0" w:space="0" w:color="auto"/>
      </w:divBdr>
    </w:div>
    <w:div w:id="996612892">
      <w:bodyDiv w:val="1"/>
      <w:marLeft w:val="0"/>
      <w:marRight w:val="0"/>
      <w:marTop w:val="0"/>
      <w:marBottom w:val="0"/>
      <w:divBdr>
        <w:top w:val="none" w:sz="0" w:space="0" w:color="auto"/>
        <w:left w:val="none" w:sz="0" w:space="0" w:color="auto"/>
        <w:bottom w:val="none" w:sz="0" w:space="0" w:color="auto"/>
        <w:right w:val="none" w:sz="0" w:space="0" w:color="auto"/>
      </w:divBdr>
    </w:div>
    <w:div w:id="997801443">
      <w:bodyDiv w:val="1"/>
      <w:marLeft w:val="0"/>
      <w:marRight w:val="0"/>
      <w:marTop w:val="0"/>
      <w:marBottom w:val="0"/>
      <w:divBdr>
        <w:top w:val="none" w:sz="0" w:space="0" w:color="auto"/>
        <w:left w:val="none" w:sz="0" w:space="0" w:color="auto"/>
        <w:bottom w:val="none" w:sz="0" w:space="0" w:color="auto"/>
        <w:right w:val="none" w:sz="0" w:space="0" w:color="auto"/>
      </w:divBdr>
    </w:div>
    <w:div w:id="1000615864">
      <w:bodyDiv w:val="1"/>
      <w:marLeft w:val="0"/>
      <w:marRight w:val="0"/>
      <w:marTop w:val="0"/>
      <w:marBottom w:val="0"/>
      <w:divBdr>
        <w:top w:val="none" w:sz="0" w:space="0" w:color="auto"/>
        <w:left w:val="none" w:sz="0" w:space="0" w:color="auto"/>
        <w:bottom w:val="none" w:sz="0" w:space="0" w:color="auto"/>
        <w:right w:val="none" w:sz="0" w:space="0" w:color="auto"/>
      </w:divBdr>
    </w:div>
    <w:div w:id="1001546366">
      <w:bodyDiv w:val="1"/>
      <w:marLeft w:val="0"/>
      <w:marRight w:val="0"/>
      <w:marTop w:val="0"/>
      <w:marBottom w:val="0"/>
      <w:divBdr>
        <w:top w:val="none" w:sz="0" w:space="0" w:color="auto"/>
        <w:left w:val="none" w:sz="0" w:space="0" w:color="auto"/>
        <w:bottom w:val="none" w:sz="0" w:space="0" w:color="auto"/>
        <w:right w:val="none" w:sz="0" w:space="0" w:color="auto"/>
      </w:divBdr>
    </w:div>
    <w:div w:id="1003892394">
      <w:bodyDiv w:val="1"/>
      <w:marLeft w:val="0"/>
      <w:marRight w:val="0"/>
      <w:marTop w:val="0"/>
      <w:marBottom w:val="0"/>
      <w:divBdr>
        <w:top w:val="none" w:sz="0" w:space="0" w:color="auto"/>
        <w:left w:val="none" w:sz="0" w:space="0" w:color="auto"/>
        <w:bottom w:val="none" w:sz="0" w:space="0" w:color="auto"/>
        <w:right w:val="none" w:sz="0" w:space="0" w:color="auto"/>
      </w:divBdr>
    </w:div>
    <w:div w:id="1004085529">
      <w:bodyDiv w:val="1"/>
      <w:marLeft w:val="0"/>
      <w:marRight w:val="0"/>
      <w:marTop w:val="0"/>
      <w:marBottom w:val="0"/>
      <w:divBdr>
        <w:top w:val="none" w:sz="0" w:space="0" w:color="auto"/>
        <w:left w:val="none" w:sz="0" w:space="0" w:color="auto"/>
        <w:bottom w:val="none" w:sz="0" w:space="0" w:color="auto"/>
        <w:right w:val="none" w:sz="0" w:space="0" w:color="auto"/>
      </w:divBdr>
    </w:div>
    <w:div w:id="1004816537">
      <w:bodyDiv w:val="1"/>
      <w:marLeft w:val="0"/>
      <w:marRight w:val="0"/>
      <w:marTop w:val="0"/>
      <w:marBottom w:val="0"/>
      <w:divBdr>
        <w:top w:val="none" w:sz="0" w:space="0" w:color="auto"/>
        <w:left w:val="none" w:sz="0" w:space="0" w:color="auto"/>
        <w:bottom w:val="none" w:sz="0" w:space="0" w:color="auto"/>
        <w:right w:val="none" w:sz="0" w:space="0" w:color="auto"/>
      </w:divBdr>
    </w:div>
    <w:div w:id="1006591332">
      <w:bodyDiv w:val="1"/>
      <w:marLeft w:val="0"/>
      <w:marRight w:val="0"/>
      <w:marTop w:val="0"/>
      <w:marBottom w:val="0"/>
      <w:divBdr>
        <w:top w:val="none" w:sz="0" w:space="0" w:color="auto"/>
        <w:left w:val="none" w:sz="0" w:space="0" w:color="auto"/>
        <w:bottom w:val="none" w:sz="0" w:space="0" w:color="auto"/>
        <w:right w:val="none" w:sz="0" w:space="0" w:color="auto"/>
      </w:divBdr>
    </w:div>
    <w:div w:id="1007751838">
      <w:bodyDiv w:val="1"/>
      <w:marLeft w:val="0"/>
      <w:marRight w:val="0"/>
      <w:marTop w:val="0"/>
      <w:marBottom w:val="0"/>
      <w:divBdr>
        <w:top w:val="none" w:sz="0" w:space="0" w:color="auto"/>
        <w:left w:val="none" w:sz="0" w:space="0" w:color="auto"/>
        <w:bottom w:val="none" w:sz="0" w:space="0" w:color="auto"/>
        <w:right w:val="none" w:sz="0" w:space="0" w:color="auto"/>
      </w:divBdr>
    </w:div>
    <w:div w:id="1007826091">
      <w:bodyDiv w:val="1"/>
      <w:marLeft w:val="0"/>
      <w:marRight w:val="0"/>
      <w:marTop w:val="0"/>
      <w:marBottom w:val="0"/>
      <w:divBdr>
        <w:top w:val="none" w:sz="0" w:space="0" w:color="auto"/>
        <w:left w:val="none" w:sz="0" w:space="0" w:color="auto"/>
        <w:bottom w:val="none" w:sz="0" w:space="0" w:color="auto"/>
        <w:right w:val="none" w:sz="0" w:space="0" w:color="auto"/>
      </w:divBdr>
    </w:div>
    <w:div w:id="1009910460">
      <w:bodyDiv w:val="1"/>
      <w:marLeft w:val="0"/>
      <w:marRight w:val="0"/>
      <w:marTop w:val="0"/>
      <w:marBottom w:val="0"/>
      <w:divBdr>
        <w:top w:val="none" w:sz="0" w:space="0" w:color="auto"/>
        <w:left w:val="none" w:sz="0" w:space="0" w:color="auto"/>
        <w:bottom w:val="none" w:sz="0" w:space="0" w:color="auto"/>
        <w:right w:val="none" w:sz="0" w:space="0" w:color="auto"/>
      </w:divBdr>
    </w:div>
    <w:div w:id="1010183166">
      <w:bodyDiv w:val="1"/>
      <w:marLeft w:val="0"/>
      <w:marRight w:val="0"/>
      <w:marTop w:val="0"/>
      <w:marBottom w:val="0"/>
      <w:divBdr>
        <w:top w:val="none" w:sz="0" w:space="0" w:color="auto"/>
        <w:left w:val="none" w:sz="0" w:space="0" w:color="auto"/>
        <w:bottom w:val="none" w:sz="0" w:space="0" w:color="auto"/>
        <w:right w:val="none" w:sz="0" w:space="0" w:color="auto"/>
      </w:divBdr>
    </w:div>
    <w:div w:id="1010370057">
      <w:bodyDiv w:val="1"/>
      <w:marLeft w:val="0"/>
      <w:marRight w:val="0"/>
      <w:marTop w:val="0"/>
      <w:marBottom w:val="0"/>
      <w:divBdr>
        <w:top w:val="none" w:sz="0" w:space="0" w:color="auto"/>
        <w:left w:val="none" w:sz="0" w:space="0" w:color="auto"/>
        <w:bottom w:val="none" w:sz="0" w:space="0" w:color="auto"/>
        <w:right w:val="none" w:sz="0" w:space="0" w:color="auto"/>
      </w:divBdr>
    </w:div>
    <w:div w:id="1010446199">
      <w:bodyDiv w:val="1"/>
      <w:marLeft w:val="0"/>
      <w:marRight w:val="0"/>
      <w:marTop w:val="0"/>
      <w:marBottom w:val="0"/>
      <w:divBdr>
        <w:top w:val="none" w:sz="0" w:space="0" w:color="auto"/>
        <w:left w:val="none" w:sz="0" w:space="0" w:color="auto"/>
        <w:bottom w:val="none" w:sz="0" w:space="0" w:color="auto"/>
        <w:right w:val="none" w:sz="0" w:space="0" w:color="auto"/>
      </w:divBdr>
    </w:div>
    <w:div w:id="1010647867">
      <w:bodyDiv w:val="1"/>
      <w:marLeft w:val="0"/>
      <w:marRight w:val="0"/>
      <w:marTop w:val="0"/>
      <w:marBottom w:val="0"/>
      <w:divBdr>
        <w:top w:val="none" w:sz="0" w:space="0" w:color="auto"/>
        <w:left w:val="none" w:sz="0" w:space="0" w:color="auto"/>
        <w:bottom w:val="none" w:sz="0" w:space="0" w:color="auto"/>
        <w:right w:val="none" w:sz="0" w:space="0" w:color="auto"/>
      </w:divBdr>
    </w:div>
    <w:div w:id="1013459553">
      <w:bodyDiv w:val="1"/>
      <w:marLeft w:val="0"/>
      <w:marRight w:val="0"/>
      <w:marTop w:val="0"/>
      <w:marBottom w:val="0"/>
      <w:divBdr>
        <w:top w:val="none" w:sz="0" w:space="0" w:color="auto"/>
        <w:left w:val="none" w:sz="0" w:space="0" w:color="auto"/>
        <w:bottom w:val="none" w:sz="0" w:space="0" w:color="auto"/>
        <w:right w:val="none" w:sz="0" w:space="0" w:color="auto"/>
      </w:divBdr>
    </w:div>
    <w:div w:id="1014235333">
      <w:bodyDiv w:val="1"/>
      <w:marLeft w:val="0"/>
      <w:marRight w:val="0"/>
      <w:marTop w:val="0"/>
      <w:marBottom w:val="0"/>
      <w:divBdr>
        <w:top w:val="none" w:sz="0" w:space="0" w:color="auto"/>
        <w:left w:val="none" w:sz="0" w:space="0" w:color="auto"/>
        <w:bottom w:val="none" w:sz="0" w:space="0" w:color="auto"/>
        <w:right w:val="none" w:sz="0" w:space="0" w:color="auto"/>
      </w:divBdr>
    </w:div>
    <w:div w:id="1015421300">
      <w:bodyDiv w:val="1"/>
      <w:marLeft w:val="0"/>
      <w:marRight w:val="0"/>
      <w:marTop w:val="0"/>
      <w:marBottom w:val="0"/>
      <w:divBdr>
        <w:top w:val="none" w:sz="0" w:space="0" w:color="auto"/>
        <w:left w:val="none" w:sz="0" w:space="0" w:color="auto"/>
        <w:bottom w:val="none" w:sz="0" w:space="0" w:color="auto"/>
        <w:right w:val="none" w:sz="0" w:space="0" w:color="auto"/>
      </w:divBdr>
    </w:div>
    <w:div w:id="1017855002">
      <w:bodyDiv w:val="1"/>
      <w:marLeft w:val="0"/>
      <w:marRight w:val="0"/>
      <w:marTop w:val="0"/>
      <w:marBottom w:val="0"/>
      <w:divBdr>
        <w:top w:val="none" w:sz="0" w:space="0" w:color="auto"/>
        <w:left w:val="none" w:sz="0" w:space="0" w:color="auto"/>
        <w:bottom w:val="none" w:sz="0" w:space="0" w:color="auto"/>
        <w:right w:val="none" w:sz="0" w:space="0" w:color="auto"/>
      </w:divBdr>
    </w:div>
    <w:div w:id="1019771331">
      <w:bodyDiv w:val="1"/>
      <w:marLeft w:val="0"/>
      <w:marRight w:val="0"/>
      <w:marTop w:val="0"/>
      <w:marBottom w:val="0"/>
      <w:divBdr>
        <w:top w:val="none" w:sz="0" w:space="0" w:color="auto"/>
        <w:left w:val="none" w:sz="0" w:space="0" w:color="auto"/>
        <w:bottom w:val="none" w:sz="0" w:space="0" w:color="auto"/>
        <w:right w:val="none" w:sz="0" w:space="0" w:color="auto"/>
      </w:divBdr>
    </w:div>
    <w:div w:id="1019889467">
      <w:bodyDiv w:val="1"/>
      <w:marLeft w:val="0"/>
      <w:marRight w:val="0"/>
      <w:marTop w:val="0"/>
      <w:marBottom w:val="0"/>
      <w:divBdr>
        <w:top w:val="none" w:sz="0" w:space="0" w:color="auto"/>
        <w:left w:val="none" w:sz="0" w:space="0" w:color="auto"/>
        <w:bottom w:val="none" w:sz="0" w:space="0" w:color="auto"/>
        <w:right w:val="none" w:sz="0" w:space="0" w:color="auto"/>
      </w:divBdr>
    </w:div>
    <w:div w:id="1022703582">
      <w:bodyDiv w:val="1"/>
      <w:marLeft w:val="0"/>
      <w:marRight w:val="0"/>
      <w:marTop w:val="0"/>
      <w:marBottom w:val="0"/>
      <w:divBdr>
        <w:top w:val="none" w:sz="0" w:space="0" w:color="auto"/>
        <w:left w:val="none" w:sz="0" w:space="0" w:color="auto"/>
        <w:bottom w:val="none" w:sz="0" w:space="0" w:color="auto"/>
        <w:right w:val="none" w:sz="0" w:space="0" w:color="auto"/>
      </w:divBdr>
    </w:div>
    <w:div w:id="1023943608">
      <w:bodyDiv w:val="1"/>
      <w:marLeft w:val="0"/>
      <w:marRight w:val="0"/>
      <w:marTop w:val="0"/>
      <w:marBottom w:val="0"/>
      <w:divBdr>
        <w:top w:val="none" w:sz="0" w:space="0" w:color="auto"/>
        <w:left w:val="none" w:sz="0" w:space="0" w:color="auto"/>
        <w:bottom w:val="none" w:sz="0" w:space="0" w:color="auto"/>
        <w:right w:val="none" w:sz="0" w:space="0" w:color="auto"/>
      </w:divBdr>
    </w:div>
    <w:div w:id="1025518529">
      <w:bodyDiv w:val="1"/>
      <w:marLeft w:val="0"/>
      <w:marRight w:val="0"/>
      <w:marTop w:val="0"/>
      <w:marBottom w:val="0"/>
      <w:divBdr>
        <w:top w:val="none" w:sz="0" w:space="0" w:color="auto"/>
        <w:left w:val="none" w:sz="0" w:space="0" w:color="auto"/>
        <w:bottom w:val="none" w:sz="0" w:space="0" w:color="auto"/>
        <w:right w:val="none" w:sz="0" w:space="0" w:color="auto"/>
      </w:divBdr>
    </w:div>
    <w:div w:id="1025709698">
      <w:bodyDiv w:val="1"/>
      <w:marLeft w:val="0"/>
      <w:marRight w:val="0"/>
      <w:marTop w:val="0"/>
      <w:marBottom w:val="0"/>
      <w:divBdr>
        <w:top w:val="none" w:sz="0" w:space="0" w:color="auto"/>
        <w:left w:val="none" w:sz="0" w:space="0" w:color="auto"/>
        <w:bottom w:val="none" w:sz="0" w:space="0" w:color="auto"/>
        <w:right w:val="none" w:sz="0" w:space="0" w:color="auto"/>
      </w:divBdr>
    </w:div>
    <w:div w:id="1026757014">
      <w:bodyDiv w:val="1"/>
      <w:marLeft w:val="0"/>
      <w:marRight w:val="0"/>
      <w:marTop w:val="0"/>
      <w:marBottom w:val="0"/>
      <w:divBdr>
        <w:top w:val="none" w:sz="0" w:space="0" w:color="auto"/>
        <w:left w:val="none" w:sz="0" w:space="0" w:color="auto"/>
        <w:bottom w:val="none" w:sz="0" w:space="0" w:color="auto"/>
        <w:right w:val="none" w:sz="0" w:space="0" w:color="auto"/>
      </w:divBdr>
    </w:div>
    <w:div w:id="1027022759">
      <w:bodyDiv w:val="1"/>
      <w:marLeft w:val="0"/>
      <w:marRight w:val="0"/>
      <w:marTop w:val="0"/>
      <w:marBottom w:val="0"/>
      <w:divBdr>
        <w:top w:val="none" w:sz="0" w:space="0" w:color="auto"/>
        <w:left w:val="none" w:sz="0" w:space="0" w:color="auto"/>
        <w:bottom w:val="none" w:sz="0" w:space="0" w:color="auto"/>
        <w:right w:val="none" w:sz="0" w:space="0" w:color="auto"/>
      </w:divBdr>
    </w:div>
    <w:div w:id="1027830797">
      <w:bodyDiv w:val="1"/>
      <w:marLeft w:val="0"/>
      <w:marRight w:val="0"/>
      <w:marTop w:val="0"/>
      <w:marBottom w:val="0"/>
      <w:divBdr>
        <w:top w:val="none" w:sz="0" w:space="0" w:color="auto"/>
        <w:left w:val="none" w:sz="0" w:space="0" w:color="auto"/>
        <w:bottom w:val="none" w:sz="0" w:space="0" w:color="auto"/>
        <w:right w:val="none" w:sz="0" w:space="0" w:color="auto"/>
      </w:divBdr>
    </w:div>
    <w:div w:id="1029067718">
      <w:bodyDiv w:val="1"/>
      <w:marLeft w:val="0"/>
      <w:marRight w:val="0"/>
      <w:marTop w:val="0"/>
      <w:marBottom w:val="0"/>
      <w:divBdr>
        <w:top w:val="none" w:sz="0" w:space="0" w:color="auto"/>
        <w:left w:val="none" w:sz="0" w:space="0" w:color="auto"/>
        <w:bottom w:val="none" w:sz="0" w:space="0" w:color="auto"/>
        <w:right w:val="none" w:sz="0" w:space="0" w:color="auto"/>
      </w:divBdr>
    </w:div>
    <w:div w:id="1031147709">
      <w:bodyDiv w:val="1"/>
      <w:marLeft w:val="0"/>
      <w:marRight w:val="0"/>
      <w:marTop w:val="0"/>
      <w:marBottom w:val="0"/>
      <w:divBdr>
        <w:top w:val="none" w:sz="0" w:space="0" w:color="auto"/>
        <w:left w:val="none" w:sz="0" w:space="0" w:color="auto"/>
        <w:bottom w:val="none" w:sz="0" w:space="0" w:color="auto"/>
        <w:right w:val="none" w:sz="0" w:space="0" w:color="auto"/>
      </w:divBdr>
    </w:div>
    <w:div w:id="1032534065">
      <w:bodyDiv w:val="1"/>
      <w:marLeft w:val="0"/>
      <w:marRight w:val="0"/>
      <w:marTop w:val="0"/>
      <w:marBottom w:val="0"/>
      <w:divBdr>
        <w:top w:val="none" w:sz="0" w:space="0" w:color="auto"/>
        <w:left w:val="none" w:sz="0" w:space="0" w:color="auto"/>
        <w:bottom w:val="none" w:sz="0" w:space="0" w:color="auto"/>
        <w:right w:val="none" w:sz="0" w:space="0" w:color="auto"/>
      </w:divBdr>
    </w:div>
    <w:div w:id="1034622605">
      <w:bodyDiv w:val="1"/>
      <w:marLeft w:val="0"/>
      <w:marRight w:val="0"/>
      <w:marTop w:val="0"/>
      <w:marBottom w:val="0"/>
      <w:divBdr>
        <w:top w:val="none" w:sz="0" w:space="0" w:color="auto"/>
        <w:left w:val="none" w:sz="0" w:space="0" w:color="auto"/>
        <w:bottom w:val="none" w:sz="0" w:space="0" w:color="auto"/>
        <w:right w:val="none" w:sz="0" w:space="0" w:color="auto"/>
      </w:divBdr>
    </w:div>
    <w:div w:id="1034648090">
      <w:bodyDiv w:val="1"/>
      <w:marLeft w:val="0"/>
      <w:marRight w:val="0"/>
      <w:marTop w:val="0"/>
      <w:marBottom w:val="0"/>
      <w:divBdr>
        <w:top w:val="none" w:sz="0" w:space="0" w:color="auto"/>
        <w:left w:val="none" w:sz="0" w:space="0" w:color="auto"/>
        <w:bottom w:val="none" w:sz="0" w:space="0" w:color="auto"/>
        <w:right w:val="none" w:sz="0" w:space="0" w:color="auto"/>
      </w:divBdr>
    </w:div>
    <w:div w:id="1035691033">
      <w:bodyDiv w:val="1"/>
      <w:marLeft w:val="0"/>
      <w:marRight w:val="0"/>
      <w:marTop w:val="0"/>
      <w:marBottom w:val="0"/>
      <w:divBdr>
        <w:top w:val="none" w:sz="0" w:space="0" w:color="auto"/>
        <w:left w:val="none" w:sz="0" w:space="0" w:color="auto"/>
        <w:bottom w:val="none" w:sz="0" w:space="0" w:color="auto"/>
        <w:right w:val="none" w:sz="0" w:space="0" w:color="auto"/>
      </w:divBdr>
    </w:div>
    <w:div w:id="1039015174">
      <w:bodyDiv w:val="1"/>
      <w:marLeft w:val="0"/>
      <w:marRight w:val="0"/>
      <w:marTop w:val="0"/>
      <w:marBottom w:val="0"/>
      <w:divBdr>
        <w:top w:val="none" w:sz="0" w:space="0" w:color="auto"/>
        <w:left w:val="none" w:sz="0" w:space="0" w:color="auto"/>
        <w:bottom w:val="none" w:sz="0" w:space="0" w:color="auto"/>
        <w:right w:val="none" w:sz="0" w:space="0" w:color="auto"/>
      </w:divBdr>
    </w:div>
    <w:div w:id="1040085822">
      <w:bodyDiv w:val="1"/>
      <w:marLeft w:val="0"/>
      <w:marRight w:val="0"/>
      <w:marTop w:val="0"/>
      <w:marBottom w:val="0"/>
      <w:divBdr>
        <w:top w:val="none" w:sz="0" w:space="0" w:color="auto"/>
        <w:left w:val="none" w:sz="0" w:space="0" w:color="auto"/>
        <w:bottom w:val="none" w:sz="0" w:space="0" w:color="auto"/>
        <w:right w:val="none" w:sz="0" w:space="0" w:color="auto"/>
      </w:divBdr>
    </w:div>
    <w:div w:id="1043793003">
      <w:bodyDiv w:val="1"/>
      <w:marLeft w:val="0"/>
      <w:marRight w:val="0"/>
      <w:marTop w:val="0"/>
      <w:marBottom w:val="0"/>
      <w:divBdr>
        <w:top w:val="none" w:sz="0" w:space="0" w:color="auto"/>
        <w:left w:val="none" w:sz="0" w:space="0" w:color="auto"/>
        <w:bottom w:val="none" w:sz="0" w:space="0" w:color="auto"/>
        <w:right w:val="none" w:sz="0" w:space="0" w:color="auto"/>
      </w:divBdr>
    </w:div>
    <w:div w:id="1044060075">
      <w:bodyDiv w:val="1"/>
      <w:marLeft w:val="0"/>
      <w:marRight w:val="0"/>
      <w:marTop w:val="0"/>
      <w:marBottom w:val="0"/>
      <w:divBdr>
        <w:top w:val="none" w:sz="0" w:space="0" w:color="auto"/>
        <w:left w:val="none" w:sz="0" w:space="0" w:color="auto"/>
        <w:bottom w:val="none" w:sz="0" w:space="0" w:color="auto"/>
        <w:right w:val="none" w:sz="0" w:space="0" w:color="auto"/>
      </w:divBdr>
    </w:div>
    <w:div w:id="1044212249">
      <w:bodyDiv w:val="1"/>
      <w:marLeft w:val="0"/>
      <w:marRight w:val="0"/>
      <w:marTop w:val="0"/>
      <w:marBottom w:val="0"/>
      <w:divBdr>
        <w:top w:val="none" w:sz="0" w:space="0" w:color="auto"/>
        <w:left w:val="none" w:sz="0" w:space="0" w:color="auto"/>
        <w:bottom w:val="none" w:sz="0" w:space="0" w:color="auto"/>
        <w:right w:val="none" w:sz="0" w:space="0" w:color="auto"/>
      </w:divBdr>
    </w:div>
    <w:div w:id="1044331668">
      <w:bodyDiv w:val="1"/>
      <w:marLeft w:val="0"/>
      <w:marRight w:val="0"/>
      <w:marTop w:val="0"/>
      <w:marBottom w:val="0"/>
      <w:divBdr>
        <w:top w:val="none" w:sz="0" w:space="0" w:color="auto"/>
        <w:left w:val="none" w:sz="0" w:space="0" w:color="auto"/>
        <w:bottom w:val="none" w:sz="0" w:space="0" w:color="auto"/>
        <w:right w:val="none" w:sz="0" w:space="0" w:color="auto"/>
      </w:divBdr>
    </w:div>
    <w:div w:id="1044600948">
      <w:bodyDiv w:val="1"/>
      <w:marLeft w:val="0"/>
      <w:marRight w:val="0"/>
      <w:marTop w:val="0"/>
      <w:marBottom w:val="0"/>
      <w:divBdr>
        <w:top w:val="none" w:sz="0" w:space="0" w:color="auto"/>
        <w:left w:val="none" w:sz="0" w:space="0" w:color="auto"/>
        <w:bottom w:val="none" w:sz="0" w:space="0" w:color="auto"/>
        <w:right w:val="none" w:sz="0" w:space="0" w:color="auto"/>
      </w:divBdr>
    </w:div>
    <w:div w:id="1047224968">
      <w:bodyDiv w:val="1"/>
      <w:marLeft w:val="0"/>
      <w:marRight w:val="0"/>
      <w:marTop w:val="0"/>
      <w:marBottom w:val="0"/>
      <w:divBdr>
        <w:top w:val="none" w:sz="0" w:space="0" w:color="auto"/>
        <w:left w:val="none" w:sz="0" w:space="0" w:color="auto"/>
        <w:bottom w:val="none" w:sz="0" w:space="0" w:color="auto"/>
        <w:right w:val="none" w:sz="0" w:space="0" w:color="auto"/>
      </w:divBdr>
    </w:div>
    <w:div w:id="1048458378">
      <w:bodyDiv w:val="1"/>
      <w:marLeft w:val="0"/>
      <w:marRight w:val="0"/>
      <w:marTop w:val="0"/>
      <w:marBottom w:val="0"/>
      <w:divBdr>
        <w:top w:val="none" w:sz="0" w:space="0" w:color="auto"/>
        <w:left w:val="none" w:sz="0" w:space="0" w:color="auto"/>
        <w:bottom w:val="none" w:sz="0" w:space="0" w:color="auto"/>
        <w:right w:val="none" w:sz="0" w:space="0" w:color="auto"/>
      </w:divBdr>
    </w:div>
    <w:div w:id="1048607631">
      <w:bodyDiv w:val="1"/>
      <w:marLeft w:val="0"/>
      <w:marRight w:val="0"/>
      <w:marTop w:val="0"/>
      <w:marBottom w:val="0"/>
      <w:divBdr>
        <w:top w:val="none" w:sz="0" w:space="0" w:color="auto"/>
        <w:left w:val="none" w:sz="0" w:space="0" w:color="auto"/>
        <w:bottom w:val="none" w:sz="0" w:space="0" w:color="auto"/>
        <w:right w:val="none" w:sz="0" w:space="0" w:color="auto"/>
      </w:divBdr>
    </w:div>
    <w:div w:id="1050224330">
      <w:bodyDiv w:val="1"/>
      <w:marLeft w:val="0"/>
      <w:marRight w:val="0"/>
      <w:marTop w:val="0"/>
      <w:marBottom w:val="0"/>
      <w:divBdr>
        <w:top w:val="none" w:sz="0" w:space="0" w:color="auto"/>
        <w:left w:val="none" w:sz="0" w:space="0" w:color="auto"/>
        <w:bottom w:val="none" w:sz="0" w:space="0" w:color="auto"/>
        <w:right w:val="none" w:sz="0" w:space="0" w:color="auto"/>
      </w:divBdr>
    </w:div>
    <w:div w:id="1051729034">
      <w:bodyDiv w:val="1"/>
      <w:marLeft w:val="0"/>
      <w:marRight w:val="0"/>
      <w:marTop w:val="0"/>
      <w:marBottom w:val="0"/>
      <w:divBdr>
        <w:top w:val="none" w:sz="0" w:space="0" w:color="auto"/>
        <w:left w:val="none" w:sz="0" w:space="0" w:color="auto"/>
        <w:bottom w:val="none" w:sz="0" w:space="0" w:color="auto"/>
        <w:right w:val="none" w:sz="0" w:space="0" w:color="auto"/>
      </w:divBdr>
    </w:div>
    <w:div w:id="1052995644">
      <w:bodyDiv w:val="1"/>
      <w:marLeft w:val="0"/>
      <w:marRight w:val="0"/>
      <w:marTop w:val="0"/>
      <w:marBottom w:val="0"/>
      <w:divBdr>
        <w:top w:val="none" w:sz="0" w:space="0" w:color="auto"/>
        <w:left w:val="none" w:sz="0" w:space="0" w:color="auto"/>
        <w:bottom w:val="none" w:sz="0" w:space="0" w:color="auto"/>
        <w:right w:val="none" w:sz="0" w:space="0" w:color="auto"/>
      </w:divBdr>
    </w:div>
    <w:div w:id="1054042621">
      <w:bodyDiv w:val="1"/>
      <w:marLeft w:val="0"/>
      <w:marRight w:val="0"/>
      <w:marTop w:val="0"/>
      <w:marBottom w:val="0"/>
      <w:divBdr>
        <w:top w:val="none" w:sz="0" w:space="0" w:color="auto"/>
        <w:left w:val="none" w:sz="0" w:space="0" w:color="auto"/>
        <w:bottom w:val="none" w:sz="0" w:space="0" w:color="auto"/>
        <w:right w:val="none" w:sz="0" w:space="0" w:color="auto"/>
      </w:divBdr>
    </w:div>
    <w:div w:id="1055202271">
      <w:bodyDiv w:val="1"/>
      <w:marLeft w:val="0"/>
      <w:marRight w:val="0"/>
      <w:marTop w:val="0"/>
      <w:marBottom w:val="0"/>
      <w:divBdr>
        <w:top w:val="none" w:sz="0" w:space="0" w:color="auto"/>
        <w:left w:val="none" w:sz="0" w:space="0" w:color="auto"/>
        <w:bottom w:val="none" w:sz="0" w:space="0" w:color="auto"/>
        <w:right w:val="none" w:sz="0" w:space="0" w:color="auto"/>
      </w:divBdr>
    </w:div>
    <w:div w:id="1055786007">
      <w:bodyDiv w:val="1"/>
      <w:marLeft w:val="0"/>
      <w:marRight w:val="0"/>
      <w:marTop w:val="0"/>
      <w:marBottom w:val="0"/>
      <w:divBdr>
        <w:top w:val="none" w:sz="0" w:space="0" w:color="auto"/>
        <w:left w:val="none" w:sz="0" w:space="0" w:color="auto"/>
        <w:bottom w:val="none" w:sz="0" w:space="0" w:color="auto"/>
        <w:right w:val="none" w:sz="0" w:space="0" w:color="auto"/>
      </w:divBdr>
    </w:div>
    <w:div w:id="1057124698">
      <w:bodyDiv w:val="1"/>
      <w:marLeft w:val="0"/>
      <w:marRight w:val="0"/>
      <w:marTop w:val="0"/>
      <w:marBottom w:val="0"/>
      <w:divBdr>
        <w:top w:val="none" w:sz="0" w:space="0" w:color="auto"/>
        <w:left w:val="none" w:sz="0" w:space="0" w:color="auto"/>
        <w:bottom w:val="none" w:sz="0" w:space="0" w:color="auto"/>
        <w:right w:val="none" w:sz="0" w:space="0" w:color="auto"/>
      </w:divBdr>
    </w:div>
    <w:div w:id="1058164959">
      <w:bodyDiv w:val="1"/>
      <w:marLeft w:val="0"/>
      <w:marRight w:val="0"/>
      <w:marTop w:val="0"/>
      <w:marBottom w:val="0"/>
      <w:divBdr>
        <w:top w:val="none" w:sz="0" w:space="0" w:color="auto"/>
        <w:left w:val="none" w:sz="0" w:space="0" w:color="auto"/>
        <w:bottom w:val="none" w:sz="0" w:space="0" w:color="auto"/>
        <w:right w:val="none" w:sz="0" w:space="0" w:color="auto"/>
      </w:divBdr>
    </w:div>
    <w:div w:id="1058360521">
      <w:bodyDiv w:val="1"/>
      <w:marLeft w:val="0"/>
      <w:marRight w:val="0"/>
      <w:marTop w:val="0"/>
      <w:marBottom w:val="0"/>
      <w:divBdr>
        <w:top w:val="none" w:sz="0" w:space="0" w:color="auto"/>
        <w:left w:val="none" w:sz="0" w:space="0" w:color="auto"/>
        <w:bottom w:val="none" w:sz="0" w:space="0" w:color="auto"/>
        <w:right w:val="none" w:sz="0" w:space="0" w:color="auto"/>
      </w:divBdr>
    </w:div>
    <w:div w:id="1058892454">
      <w:bodyDiv w:val="1"/>
      <w:marLeft w:val="0"/>
      <w:marRight w:val="0"/>
      <w:marTop w:val="0"/>
      <w:marBottom w:val="0"/>
      <w:divBdr>
        <w:top w:val="none" w:sz="0" w:space="0" w:color="auto"/>
        <w:left w:val="none" w:sz="0" w:space="0" w:color="auto"/>
        <w:bottom w:val="none" w:sz="0" w:space="0" w:color="auto"/>
        <w:right w:val="none" w:sz="0" w:space="0" w:color="auto"/>
      </w:divBdr>
    </w:div>
    <w:div w:id="1059790593">
      <w:bodyDiv w:val="1"/>
      <w:marLeft w:val="0"/>
      <w:marRight w:val="0"/>
      <w:marTop w:val="0"/>
      <w:marBottom w:val="0"/>
      <w:divBdr>
        <w:top w:val="none" w:sz="0" w:space="0" w:color="auto"/>
        <w:left w:val="none" w:sz="0" w:space="0" w:color="auto"/>
        <w:bottom w:val="none" w:sz="0" w:space="0" w:color="auto"/>
        <w:right w:val="none" w:sz="0" w:space="0" w:color="auto"/>
      </w:divBdr>
    </w:div>
    <w:div w:id="1059792657">
      <w:bodyDiv w:val="1"/>
      <w:marLeft w:val="0"/>
      <w:marRight w:val="0"/>
      <w:marTop w:val="0"/>
      <w:marBottom w:val="0"/>
      <w:divBdr>
        <w:top w:val="none" w:sz="0" w:space="0" w:color="auto"/>
        <w:left w:val="none" w:sz="0" w:space="0" w:color="auto"/>
        <w:bottom w:val="none" w:sz="0" w:space="0" w:color="auto"/>
        <w:right w:val="none" w:sz="0" w:space="0" w:color="auto"/>
      </w:divBdr>
    </w:div>
    <w:div w:id="1061055089">
      <w:bodyDiv w:val="1"/>
      <w:marLeft w:val="0"/>
      <w:marRight w:val="0"/>
      <w:marTop w:val="0"/>
      <w:marBottom w:val="0"/>
      <w:divBdr>
        <w:top w:val="none" w:sz="0" w:space="0" w:color="auto"/>
        <w:left w:val="none" w:sz="0" w:space="0" w:color="auto"/>
        <w:bottom w:val="none" w:sz="0" w:space="0" w:color="auto"/>
        <w:right w:val="none" w:sz="0" w:space="0" w:color="auto"/>
      </w:divBdr>
    </w:div>
    <w:div w:id="1062869306">
      <w:bodyDiv w:val="1"/>
      <w:marLeft w:val="0"/>
      <w:marRight w:val="0"/>
      <w:marTop w:val="0"/>
      <w:marBottom w:val="0"/>
      <w:divBdr>
        <w:top w:val="none" w:sz="0" w:space="0" w:color="auto"/>
        <w:left w:val="none" w:sz="0" w:space="0" w:color="auto"/>
        <w:bottom w:val="none" w:sz="0" w:space="0" w:color="auto"/>
        <w:right w:val="none" w:sz="0" w:space="0" w:color="auto"/>
      </w:divBdr>
    </w:div>
    <w:div w:id="1063599726">
      <w:bodyDiv w:val="1"/>
      <w:marLeft w:val="0"/>
      <w:marRight w:val="0"/>
      <w:marTop w:val="0"/>
      <w:marBottom w:val="0"/>
      <w:divBdr>
        <w:top w:val="none" w:sz="0" w:space="0" w:color="auto"/>
        <w:left w:val="none" w:sz="0" w:space="0" w:color="auto"/>
        <w:bottom w:val="none" w:sz="0" w:space="0" w:color="auto"/>
        <w:right w:val="none" w:sz="0" w:space="0" w:color="auto"/>
      </w:divBdr>
    </w:div>
    <w:div w:id="1063866803">
      <w:bodyDiv w:val="1"/>
      <w:marLeft w:val="0"/>
      <w:marRight w:val="0"/>
      <w:marTop w:val="0"/>
      <w:marBottom w:val="0"/>
      <w:divBdr>
        <w:top w:val="none" w:sz="0" w:space="0" w:color="auto"/>
        <w:left w:val="none" w:sz="0" w:space="0" w:color="auto"/>
        <w:bottom w:val="none" w:sz="0" w:space="0" w:color="auto"/>
        <w:right w:val="none" w:sz="0" w:space="0" w:color="auto"/>
      </w:divBdr>
    </w:div>
    <w:div w:id="1064917336">
      <w:bodyDiv w:val="1"/>
      <w:marLeft w:val="0"/>
      <w:marRight w:val="0"/>
      <w:marTop w:val="0"/>
      <w:marBottom w:val="0"/>
      <w:divBdr>
        <w:top w:val="none" w:sz="0" w:space="0" w:color="auto"/>
        <w:left w:val="none" w:sz="0" w:space="0" w:color="auto"/>
        <w:bottom w:val="none" w:sz="0" w:space="0" w:color="auto"/>
        <w:right w:val="none" w:sz="0" w:space="0" w:color="auto"/>
      </w:divBdr>
    </w:div>
    <w:div w:id="1064989731">
      <w:bodyDiv w:val="1"/>
      <w:marLeft w:val="0"/>
      <w:marRight w:val="0"/>
      <w:marTop w:val="0"/>
      <w:marBottom w:val="0"/>
      <w:divBdr>
        <w:top w:val="none" w:sz="0" w:space="0" w:color="auto"/>
        <w:left w:val="none" w:sz="0" w:space="0" w:color="auto"/>
        <w:bottom w:val="none" w:sz="0" w:space="0" w:color="auto"/>
        <w:right w:val="none" w:sz="0" w:space="0" w:color="auto"/>
      </w:divBdr>
    </w:div>
    <w:div w:id="1065253231">
      <w:bodyDiv w:val="1"/>
      <w:marLeft w:val="0"/>
      <w:marRight w:val="0"/>
      <w:marTop w:val="0"/>
      <w:marBottom w:val="0"/>
      <w:divBdr>
        <w:top w:val="none" w:sz="0" w:space="0" w:color="auto"/>
        <w:left w:val="none" w:sz="0" w:space="0" w:color="auto"/>
        <w:bottom w:val="none" w:sz="0" w:space="0" w:color="auto"/>
        <w:right w:val="none" w:sz="0" w:space="0" w:color="auto"/>
      </w:divBdr>
    </w:div>
    <w:div w:id="1067726540">
      <w:bodyDiv w:val="1"/>
      <w:marLeft w:val="0"/>
      <w:marRight w:val="0"/>
      <w:marTop w:val="0"/>
      <w:marBottom w:val="0"/>
      <w:divBdr>
        <w:top w:val="none" w:sz="0" w:space="0" w:color="auto"/>
        <w:left w:val="none" w:sz="0" w:space="0" w:color="auto"/>
        <w:bottom w:val="none" w:sz="0" w:space="0" w:color="auto"/>
        <w:right w:val="none" w:sz="0" w:space="0" w:color="auto"/>
      </w:divBdr>
    </w:div>
    <w:div w:id="1068066083">
      <w:bodyDiv w:val="1"/>
      <w:marLeft w:val="0"/>
      <w:marRight w:val="0"/>
      <w:marTop w:val="0"/>
      <w:marBottom w:val="0"/>
      <w:divBdr>
        <w:top w:val="none" w:sz="0" w:space="0" w:color="auto"/>
        <w:left w:val="none" w:sz="0" w:space="0" w:color="auto"/>
        <w:bottom w:val="none" w:sz="0" w:space="0" w:color="auto"/>
        <w:right w:val="none" w:sz="0" w:space="0" w:color="auto"/>
      </w:divBdr>
    </w:div>
    <w:div w:id="1069887126">
      <w:bodyDiv w:val="1"/>
      <w:marLeft w:val="0"/>
      <w:marRight w:val="0"/>
      <w:marTop w:val="0"/>
      <w:marBottom w:val="0"/>
      <w:divBdr>
        <w:top w:val="none" w:sz="0" w:space="0" w:color="auto"/>
        <w:left w:val="none" w:sz="0" w:space="0" w:color="auto"/>
        <w:bottom w:val="none" w:sz="0" w:space="0" w:color="auto"/>
        <w:right w:val="none" w:sz="0" w:space="0" w:color="auto"/>
      </w:divBdr>
    </w:div>
    <w:div w:id="1069961495">
      <w:bodyDiv w:val="1"/>
      <w:marLeft w:val="0"/>
      <w:marRight w:val="0"/>
      <w:marTop w:val="0"/>
      <w:marBottom w:val="0"/>
      <w:divBdr>
        <w:top w:val="none" w:sz="0" w:space="0" w:color="auto"/>
        <w:left w:val="none" w:sz="0" w:space="0" w:color="auto"/>
        <w:bottom w:val="none" w:sz="0" w:space="0" w:color="auto"/>
        <w:right w:val="none" w:sz="0" w:space="0" w:color="auto"/>
      </w:divBdr>
    </w:div>
    <w:div w:id="1075589247">
      <w:bodyDiv w:val="1"/>
      <w:marLeft w:val="0"/>
      <w:marRight w:val="0"/>
      <w:marTop w:val="0"/>
      <w:marBottom w:val="0"/>
      <w:divBdr>
        <w:top w:val="none" w:sz="0" w:space="0" w:color="auto"/>
        <w:left w:val="none" w:sz="0" w:space="0" w:color="auto"/>
        <w:bottom w:val="none" w:sz="0" w:space="0" w:color="auto"/>
        <w:right w:val="none" w:sz="0" w:space="0" w:color="auto"/>
      </w:divBdr>
    </w:div>
    <w:div w:id="1076784705">
      <w:bodyDiv w:val="1"/>
      <w:marLeft w:val="0"/>
      <w:marRight w:val="0"/>
      <w:marTop w:val="0"/>
      <w:marBottom w:val="0"/>
      <w:divBdr>
        <w:top w:val="none" w:sz="0" w:space="0" w:color="auto"/>
        <w:left w:val="none" w:sz="0" w:space="0" w:color="auto"/>
        <w:bottom w:val="none" w:sz="0" w:space="0" w:color="auto"/>
        <w:right w:val="none" w:sz="0" w:space="0" w:color="auto"/>
      </w:divBdr>
    </w:div>
    <w:div w:id="1078136811">
      <w:bodyDiv w:val="1"/>
      <w:marLeft w:val="0"/>
      <w:marRight w:val="0"/>
      <w:marTop w:val="0"/>
      <w:marBottom w:val="0"/>
      <w:divBdr>
        <w:top w:val="none" w:sz="0" w:space="0" w:color="auto"/>
        <w:left w:val="none" w:sz="0" w:space="0" w:color="auto"/>
        <w:bottom w:val="none" w:sz="0" w:space="0" w:color="auto"/>
        <w:right w:val="none" w:sz="0" w:space="0" w:color="auto"/>
      </w:divBdr>
    </w:div>
    <w:div w:id="1078751127">
      <w:bodyDiv w:val="1"/>
      <w:marLeft w:val="0"/>
      <w:marRight w:val="0"/>
      <w:marTop w:val="0"/>
      <w:marBottom w:val="0"/>
      <w:divBdr>
        <w:top w:val="none" w:sz="0" w:space="0" w:color="auto"/>
        <w:left w:val="none" w:sz="0" w:space="0" w:color="auto"/>
        <w:bottom w:val="none" w:sz="0" w:space="0" w:color="auto"/>
        <w:right w:val="none" w:sz="0" w:space="0" w:color="auto"/>
      </w:divBdr>
    </w:div>
    <w:div w:id="1079059177">
      <w:bodyDiv w:val="1"/>
      <w:marLeft w:val="0"/>
      <w:marRight w:val="0"/>
      <w:marTop w:val="0"/>
      <w:marBottom w:val="0"/>
      <w:divBdr>
        <w:top w:val="none" w:sz="0" w:space="0" w:color="auto"/>
        <w:left w:val="none" w:sz="0" w:space="0" w:color="auto"/>
        <w:bottom w:val="none" w:sz="0" w:space="0" w:color="auto"/>
        <w:right w:val="none" w:sz="0" w:space="0" w:color="auto"/>
      </w:divBdr>
    </w:div>
    <w:div w:id="1083797366">
      <w:bodyDiv w:val="1"/>
      <w:marLeft w:val="0"/>
      <w:marRight w:val="0"/>
      <w:marTop w:val="0"/>
      <w:marBottom w:val="0"/>
      <w:divBdr>
        <w:top w:val="none" w:sz="0" w:space="0" w:color="auto"/>
        <w:left w:val="none" w:sz="0" w:space="0" w:color="auto"/>
        <w:bottom w:val="none" w:sz="0" w:space="0" w:color="auto"/>
        <w:right w:val="none" w:sz="0" w:space="0" w:color="auto"/>
      </w:divBdr>
    </w:div>
    <w:div w:id="1083798268">
      <w:bodyDiv w:val="1"/>
      <w:marLeft w:val="0"/>
      <w:marRight w:val="0"/>
      <w:marTop w:val="0"/>
      <w:marBottom w:val="0"/>
      <w:divBdr>
        <w:top w:val="none" w:sz="0" w:space="0" w:color="auto"/>
        <w:left w:val="none" w:sz="0" w:space="0" w:color="auto"/>
        <w:bottom w:val="none" w:sz="0" w:space="0" w:color="auto"/>
        <w:right w:val="none" w:sz="0" w:space="0" w:color="auto"/>
      </w:divBdr>
    </w:div>
    <w:div w:id="1088573592">
      <w:bodyDiv w:val="1"/>
      <w:marLeft w:val="0"/>
      <w:marRight w:val="0"/>
      <w:marTop w:val="0"/>
      <w:marBottom w:val="0"/>
      <w:divBdr>
        <w:top w:val="none" w:sz="0" w:space="0" w:color="auto"/>
        <w:left w:val="none" w:sz="0" w:space="0" w:color="auto"/>
        <w:bottom w:val="none" w:sz="0" w:space="0" w:color="auto"/>
        <w:right w:val="none" w:sz="0" w:space="0" w:color="auto"/>
      </w:divBdr>
    </w:div>
    <w:div w:id="1089041097">
      <w:bodyDiv w:val="1"/>
      <w:marLeft w:val="0"/>
      <w:marRight w:val="0"/>
      <w:marTop w:val="0"/>
      <w:marBottom w:val="0"/>
      <w:divBdr>
        <w:top w:val="none" w:sz="0" w:space="0" w:color="auto"/>
        <w:left w:val="none" w:sz="0" w:space="0" w:color="auto"/>
        <w:bottom w:val="none" w:sz="0" w:space="0" w:color="auto"/>
        <w:right w:val="none" w:sz="0" w:space="0" w:color="auto"/>
      </w:divBdr>
    </w:div>
    <w:div w:id="1089428410">
      <w:bodyDiv w:val="1"/>
      <w:marLeft w:val="0"/>
      <w:marRight w:val="0"/>
      <w:marTop w:val="0"/>
      <w:marBottom w:val="0"/>
      <w:divBdr>
        <w:top w:val="none" w:sz="0" w:space="0" w:color="auto"/>
        <w:left w:val="none" w:sz="0" w:space="0" w:color="auto"/>
        <w:bottom w:val="none" w:sz="0" w:space="0" w:color="auto"/>
        <w:right w:val="none" w:sz="0" w:space="0" w:color="auto"/>
      </w:divBdr>
    </w:div>
    <w:div w:id="1090660572">
      <w:bodyDiv w:val="1"/>
      <w:marLeft w:val="0"/>
      <w:marRight w:val="0"/>
      <w:marTop w:val="0"/>
      <w:marBottom w:val="0"/>
      <w:divBdr>
        <w:top w:val="none" w:sz="0" w:space="0" w:color="auto"/>
        <w:left w:val="none" w:sz="0" w:space="0" w:color="auto"/>
        <w:bottom w:val="none" w:sz="0" w:space="0" w:color="auto"/>
        <w:right w:val="none" w:sz="0" w:space="0" w:color="auto"/>
      </w:divBdr>
    </w:div>
    <w:div w:id="1091513363">
      <w:bodyDiv w:val="1"/>
      <w:marLeft w:val="0"/>
      <w:marRight w:val="0"/>
      <w:marTop w:val="0"/>
      <w:marBottom w:val="0"/>
      <w:divBdr>
        <w:top w:val="none" w:sz="0" w:space="0" w:color="auto"/>
        <w:left w:val="none" w:sz="0" w:space="0" w:color="auto"/>
        <w:bottom w:val="none" w:sz="0" w:space="0" w:color="auto"/>
        <w:right w:val="none" w:sz="0" w:space="0" w:color="auto"/>
      </w:divBdr>
    </w:div>
    <w:div w:id="1092169898">
      <w:bodyDiv w:val="1"/>
      <w:marLeft w:val="0"/>
      <w:marRight w:val="0"/>
      <w:marTop w:val="0"/>
      <w:marBottom w:val="0"/>
      <w:divBdr>
        <w:top w:val="none" w:sz="0" w:space="0" w:color="auto"/>
        <w:left w:val="none" w:sz="0" w:space="0" w:color="auto"/>
        <w:bottom w:val="none" w:sz="0" w:space="0" w:color="auto"/>
        <w:right w:val="none" w:sz="0" w:space="0" w:color="auto"/>
      </w:divBdr>
    </w:div>
    <w:div w:id="1094860364">
      <w:bodyDiv w:val="1"/>
      <w:marLeft w:val="0"/>
      <w:marRight w:val="0"/>
      <w:marTop w:val="0"/>
      <w:marBottom w:val="0"/>
      <w:divBdr>
        <w:top w:val="none" w:sz="0" w:space="0" w:color="auto"/>
        <w:left w:val="none" w:sz="0" w:space="0" w:color="auto"/>
        <w:bottom w:val="none" w:sz="0" w:space="0" w:color="auto"/>
        <w:right w:val="none" w:sz="0" w:space="0" w:color="auto"/>
      </w:divBdr>
    </w:div>
    <w:div w:id="1097366546">
      <w:bodyDiv w:val="1"/>
      <w:marLeft w:val="0"/>
      <w:marRight w:val="0"/>
      <w:marTop w:val="0"/>
      <w:marBottom w:val="0"/>
      <w:divBdr>
        <w:top w:val="none" w:sz="0" w:space="0" w:color="auto"/>
        <w:left w:val="none" w:sz="0" w:space="0" w:color="auto"/>
        <w:bottom w:val="none" w:sz="0" w:space="0" w:color="auto"/>
        <w:right w:val="none" w:sz="0" w:space="0" w:color="auto"/>
      </w:divBdr>
    </w:div>
    <w:div w:id="1097868894">
      <w:bodyDiv w:val="1"/>
      <w:marLeft w:val="0"/>
      <w:marRight w:val="0"/>
      <w:marTop w:val="0"/>
      <w:marBottom w:val="0"/>
      <w:divBdr>
        <w:top w:val="none" w:sz="0" w:space="0" w:color="auto"/>
        <w:left w:val="none" w:sz="0" w:space="0" w:color="auto"/>
        <w:bottom w:val="none" w:sz="0" w:space="0" w:color="auto"/>
        <w:right w:val="none" w:sz="0" w:space="0" w:color="auto"/>
      </w:divBdr>
    </w:div>
    <w:div w:id="1097873963">
      <w:bodyDiv w:val="1"/>
      <w:marLeft w:val="0"/>
      <w:marRight w:val="0"/>
      <w:marTop w:val="0"/>
      <w:marBottom w:val="0"/>
      <w:divBdr>
        <w:top w:val="none" w:sz="0" w:space="0" w:color="auto"/>
        <w:left w:val="none" w:sz="0" w:space="0" w:color="auto"/>
        <w:bottom w:val="none" w:sz="0" w:space="0" w:color="auto"/>
        <w:right w:val="none" w:sz="0" w:space="0" w:color="auto"/>
      </w:divBdr>
    </w:div>
    <w:div w:id="1098018985">
      <w:bodyDiv w:val="1"/>
      <w:marLeft w:val="0"/>
      <w:marRight w:val="0"/>
      <w:marTop w:val="0"/>
      <w:marBottom w:val="0"/>
      <w:divBdr>
        <w:top w:val="none" w:sz="0" w:space="0" w:color="auto"/>
        <w:left w:val="none" w:sz="0" w:space="0" w:color="auto"/>
        <w:bottom w:val="none" w:sz="0" w:space="0" w:color="auto"/>
        <w:right w:val="none" w:sz="0" w:space="0" w:color="auto"/>
      </w:divBdr>
    </w:div>
    <w:div w:id="1098135560">
      <w:bodyDiv w:val="1"/>
      <w:marLeft w:val="0"/>
      <w:marRight w:val="0"/>
      <w:marTop w:val="0"/>
      <w:marBottom w:val="0"/>
      <w:divBdr>
        <w:top w:val="none" w:sz="0" w:space="0" w:color="auto"/>
        <w:left w:val="none" w:sz="0" w:space="0" w:color="auto"/>
        <w:bottom w:val="none" w:sz="0" w:space="0" w:color="auto"/>
        <w:right w:val="none" w:sz="0" w:space="0" w:color="auto"/>
      </w:divBdr>
    </w:div>
    <w:div w:id="1098864909">
      <w:bodyDiv w:val="1"/>
      <w:marLeft w:val="0"/>
      <w:marRight w:val="0"/>
      <w:marTop w:val="0"/>
      <w:marBottom w:val="0"/>
      <w:divBdr>
        <w:top w:val="none" w:sz="0" w:space="0" w:color="auto"/>
        <w:left w:val="none" w:sz="0" w:space="0" w:color="auto"/>
        <w:bottom w:val="none" w:sz="0" w:space="0" w:color="auto"/>
        <w:right w:val="none" w:sz="0" w:space="0" w:color="auto"/>
      </w:divBdr>
    </w:div>
    <w:div w:id="1099565926">
      <w:bodyDiv w:val="1"/>
      <w:marLeft w:val="0"/>
      <w:marRight w:val="0"/>
      <w:marTop w:val="0"/>
      <w:marBottom w:val="0"/>
      <w:divBdr>
        <w:top w:val="none" w:sz="0" w:space="0" w:color="auto"/>
        <w:left w:val="none" w:sz="0" w:space="0" w:color="auto"/>
        <w:bottom w:val="none" w:sz="0" w:space="0" w:color="auto"/>
        <w:right w:val="none" w:sz="0" w:space="0" w:color="auto"/>
      </w:divBdr>
    </w:div>
    <w:div w:id="1102071125">
      <w:bodyDiv w:val="1"/>
      <w:marLeft w:val="0"/>
      <w:marRight w:val="0"/>
      <w:marTop w:val="0"/>
      <w:marBottom w:val="0"/>
      <w:divBdr>
        <w:top w:val="none" w:sz="0" w:space="0" w:color="auto"/>
        <w:left w:val="none" w:sz="0" w:space="0" w:color="auto"/>
        <w:bottom w:val="none" w:sz="0" w:space="0" w:color="auto"/>
        <w:right w:val="none" w:sz="0" w:space="0" w:color="auto"/>
      </w:divBdr>
    </w:div>
    <w:div w:id="1104767588">
      <w:bodyDiv w:val="1"/>
      <w:marLeft w:val="0"/>
      <w:marRight w:val="0"/>
      <w:marTop w:val="0"/>
      <w:marBottom w:val="0"/>
      <w:divBdr>
        <w:top w:val="none" w:sz="0" w:space="0" w:color="auto"/>
        <w:left w:val="none" w:sz="0" w:space="0" w:color="auto"/>
        <w:bottom w:val="none" w:sz="0" w:space="0" w:color="auto"/>
        <w:right w:val="none" w:sz="0" w:space="0" w:color="auto"/>
      </w:divBdr>
    </w:div>
    <w:div w:id="1106189910">
      <w:bodyDiv w:val="1"/>
      <w:marLeft w:val="0"/>
      <w:marRight w:val="0"/>
      <w:marTop w:val="0"/>
      <w:marBottom w:val="0"/>
      <w:divBdr>
        <w:top w:val="none" w:sz="0" w:space="0" w:color="auto"/>
        <w:left w:val="none" w:sz="0" w:space="0" w:color="auto"/>
        <w:bottom w:val="none" w:sz="0" w:space="0" w:color="auto"/>
        <w:right w:val="none" w:sz="0" w:space="0" w:color="auto"/>
      </w:divBdr>
    </w:div>
    <w:div w:id="1107117909">
      <w:bodyDiv w:val="1"/>
      <w:marLeft w:val="0"/>
      <w:marRight w:val="0"/>
      <w:marTop w:val="0"/>
      <w:marBottom w:val="0"/>
      <w:divBdr>
        <w:top w:val="none" w:sz="0" w:space="0" w:color="auto"/>
        <w:left w:val="none" w:sz="0" w:space="0" w:color="auto"/>
        <w:bottom w:val="none" w:sz="0" w:space="0" w:color="auto"/>
        <w:right w:val="none" w:sz="0" w:space="0" w:color="auto"/>
      </w:divBdr>
    </w:div>
    <w:div w:id="1107459275">
      <w:bodyDiv w:val="1"/>
      <w:marLeft w:val="0"/>
      <w:marRight w:val="0"/>
      <w:marTop w:val="0"/>
      <w:marBottom w:val="0"/>
      <w:divBdr>
        <w:top w:val="none" w:sz="0" w:space="0" w:color="auto"/>
        <w:left w:val="none" w:sz="0" w:space="0" w:color="auto"/>
        <w:bottom w:val="none" w:sz="0" w:space="0" w:color="auto"/>
        <w:right w:val="none" w:sz="0" w:space="0" w:color="auto"/>
      </w:divBdr>
    </w:div>
    <w:div w:id="1108739239">
      <w:bodyDiv w:val="1"/>
      <w:marLeft w:val="0"/>
      <w:marRight w:val="0"/>
      <w:marTop w:val="0"/>
      <w:marBottom w:val="0"/>
      <w:divBdr>
        <w:top w:val="none" w:sz="0" w:space="0" w:color="auto"/>
        <w:left w:val="none" w:sz="0" w:space="0" w:color="auto"/>
        <w:bottom w:val="none" w:sz="0" w:space="0" w:color="auto"/>
        <w:right w:val="none" w:sz="0" w:space="0" w:color="auto"/>
      </w:divBdr>
    </w:div>
    <w:div w:id="1109931201">
      <w:bodyDiv w:val="1"/>
      <w:marLeft w:val="0"/>
      <w:marRight w:val="0"/>
      <w:marTop w:val="0"/>
      <w:marBottom w:val="0"/>
      <w:divBdr>
        <w:top w:val="none" w:sz="0" w:space="0" w:color="auto"/>
        <w:left w:val="none" w:sz="0" w:space="0" w:color="auto"/>
        <w:bottom w:val="none" w:sz="0" w:space="0" w:color="auto"/>
        <w:right w:val="none" w:sz="0" w:space="0" w:color="auto"/>
      </w:divBdr>
    </w:div>
    <w:div w:id="1109935440">
      <w:bodyDiv w:val="1"/>
      <w:marLeft w:val="0"/>
      <w:marRight w:val="0"/>
      <w:marTop w:val="0"/>
      <w:marBottom w:val="0"/>
      <w:divBdr>
        <w:top w:val="none" w:sz="0" w:space="0" w:color="auto"/>
        <w:left w:val="none" w:sz="0" w:space="0" w:color="auto"/>
        <w:bottom w:val="none" w:sz="0" w:space="0" w:color="auto"/>
        <w:right w:val="none" w:sz="0" w:space="0" w:color="auto"/>
      </w:divBdr>
    </w:div>
    <w:div w:id="1110127058">
      <w:bodyDiv w:val="1"/>
      <w:marLeft w:val="0"/>
      <w:marRight w:val="0"/>
      <w:marTop w:val="0"/>
      <w:marBottom w:val="0"/>
      <w:divBdr>
        <w:top w:val="none" w:sz="0" w:space="0" w:color="auto"/>
        <w:left w:val="none" w:sz="0" w:space="0" w:color="auto"/>
        <w:bottom w:val="none" w:sz="0" w:space="0" w:color="auto"/>
        <w:right w:val="none" w:sz="0" w:space="0" w:color="auto"/>
      </w:divBdr>
    </w:div>
    <w:div w:id="1114592037">
      <w:bodyDiv w:val="1"/>
      <w:marLeft w:val="0"/>
      <w:marRight w:val="0"/>
      <w:marTop w:val="0"/>
      <w:marBottom w:val="0"/>
      <w:divBdr>
        <w:top w:val="none" w:sz="0" w:space="0" w:color="auto"/>
        <w:left w:val="none" w:sz="0" w:space="0" w:color="auto"/>
        <w:bottom w:val="none" w:sz="0" w:space="0" w:color="auto"/>
        <w:right w:val="none" w:sz="0" w:space="0" w:color="auto"/>
      </w:divBdr>
    </w:div>
    <w:div w:id="1115371477">
      <w:bodyDiv w:val="1"/>
      <w:marLeft w:val="0"/>
      <w:marRight w:val="0"/>
      <w:marTop w:val="0"/>
      <w:marBottom w:val="0"/>
      <w:divBdr>
        <w:top w:val="none" w:sz="0" w:space="0" w:color="auto"/>
        <w:left w:val="none" w:sz="0" w:space="0" w:color="auto"/>
        <w:bottom w:val="none" w:sz="0" w:space="0" w:color="auto"/>
        <w:right w:val="none" w:sz="0" w:space="0" w:color="auto"/>
      </w:divBdr>
    </w:div>
    <w:div w:id="1115947118">
      <w:bodyDiv w:val="1"/>
      <w:marLeft w:val="0"/>
      <w:marRight w:val="0"/>
      <w:marTop w:val="0"/>
      <w:marBottom w:val="0"/>
      <w:divBdr>
        <w:top w:val="none" w:sz="0" w:space="0" w:color="auto"/>
        <w:left w:val="none" w:sz="0" w:space="0" w:color="auto"/>
        <w:bottom w:val="none" w:sz="0" w:space="0" w:color="auto"/>
        <w:right w:val="none" w:sz="0" w:space="0" w:color="auto"/>
      </w:divBdr>
    </w:div>
    <w:div w:id="1117137091">
      <w:bodyDiv w:val="1"/>
      <w:marLeft w:val="0"/>
      <w:marRight w:val="0"/>
      <w:marTop w:val="0"/>
      <w:marBottom w:val="0"/>
      <w:divBdr>
        <w:top w:val="none" w:sz="0" w:space="0" w:color="auto"/>
        <w:left w:val="none" w:sz="0" w:space="0" w:color="auto"/>
        <w:bottom w:val="none" w:sz="0" w:space="0" w:color="auto"/>
        <w:right w:val="none" w:sz="0" w:space="0" w:color="auto"/>
      </w:divBdr>
    </w:div>
    <w:div w:id="1118178541">
      <w:bodyDiv w:val="1"/>
      <w:marLeft w:val="0"/>
      <w:marRight w:val="0"/>
      <w:marTop w:val="0"/>
      <w:marBottom w:val="0"/>
      <w:divBdr>
        <w:top w:val="none" w:sz="0" w:space="0" w:color="auto"/>
        <w:left w:val="none" w:sz="0" w:space="0" w:color="auto"/>
        <w:bottom w:val="none" w:sz="0" w:space="0" w:color="auto"/>
        <w:right w:val="none" w:sz="0" w:space="0" w:color="auto"/>
      </w:divBdr>
    </w:div>
    <w:div w:id="1122070542">
      <w:bodyDiv w:val="1"/>
      <w:marLeft w:val="0"/>
      <w:marRight w:val="0"/>
      <w:marTop w:val="0"/>
      <w:marBottom w:val="0"/>
      <w:divBdr>
        <w:top w:val="none" w:sz="0" w:space="0" w:color="auto"/>
        <w:left w:val="none" w:sz="0" w:space="0" w:color="auto"/>
        <w:bottom w:val="none" w:sz="0" w:space="0" w:color="auto"/>
        <w:right w:val="none" w:sz="0" w:space="0" w:color="auto"/>
      </w:divBdr>
    </w:div>
    <w:div w:id="1122118509">
      <w:bodyDiv w:val="1"/>
      <w:marLeft w:val="0"/>
      <w:marRight w:val="0"/>
      <w:marTop w:val="0"/>
      <w:marBottom w:val="0"/>
      <w:divBdr>
        <w:top w:val="none" w:sz="0" w:space="0" w:color="auto"/>
        <w:left w:val="none" w:sz="0" w:space="0" w:color="auto"/>
        <w:bottom w:val="none" w:sz="0" w:space="0" w:color="auto"/>
        <w:right w:val="none" w:sz="0" w:space="0" w:color="auto"/>
      </w:divBdr>
    </w:div>
    <w:div w:id="1124541797">
      <w:bodyDiv w:val="1"/>
      <w:marLeft w:val="0"/>
      <w:marRight w:val="0"/>
      <w:marTop w:val="0"/>
      <w:marBottom w:val="0"/>
      <w:divBdr>
        <w:top w:val="none" w:sz="0" w:space="0" w:color="auto"/>
        <w:left w:val="none" w:sz="0" w:space="0" w:color="auto"/>
        <w:bottom w:val="none" w:sz="0" w:space="0" w:color="auto"/>
        <w:right w:val="none" w:sz="0" w:space="0" w:color="auto"/>
      </w:divBdr>
    </w:div>
    <w:div w:id="1127505577">
      <w:bodyDiv w:val="1"/>
      <w:marLeft w:val="0"/>
      <w:marRight w:val="0"/>
      <w:marTop w:val="0"/>
      <w:marBottom w:val="0"/>
      <w:divBdr>
        <w:top w:val="none" w:sz="0" w:space="0" w:color="auto"/>
        <w:left w:val="none" w:sz="0" w:space="0" w:color="auto"/>
        <w:bottom w:val="none" w:sz="0" w:space="0" w:color="auto"/>
        <w:right w:val="none" w:sz="0" w:space="0" w:color="auto"/>
      </w:divBdr>
    </w:div>
    <w:div w:id="1128013573">
      <w:bodyDiv w:val="1"/>
      <w:marLeft w:val="0"/>
      <w:marRight w:val="0"/>
      <w:marTop w:val="0"/>
      <w:marBottom w:val="0"/>
      <w:divBdr>
        <w:top w:val="none" w:sz="0" w:space="0" w:color="auto"/>
        <w:left w:val="none" w:sz="0" w:space="0" w:color="auto"/>
        <w:bottom w:val="none" w:sz="0" w:space="0" w:color="auto"/>
        <w:right w:val="none" w:sz="0" w:space="0" w:color="auto"/>
      </w:divBdr>
    </w:div>
    <w:div w:id="1128548828">
      <w:bodyDiv w:val="1"/>
      <w:marLeft w:val="0"/>
      <w:marRight w:val="0"/>
      <w:marTop w:val="0"/>
      <w:marBottom w:val="0"/>
      <w:divBdr>
        <w:top w:val="none" w:sz="0" w:space="0" w:color="auto"/>
        <w:left w:val="none" w:sz="0" w:space="0" w:color="auto"/>
        <w:bottom w:val="none" w:sz="0" w:space="0" w:color="auto"/>
        <w:right w:val="none" w:sz="0" w:space="0" w:color="auto"/>
      </w:divBdr>
    </w:div>
    <w:div w:id="1129784138">
      <w:bodyDiv w:val="1"/>
      <w:marLeft w:val="0"/>
      <w:marRight w:val="0"/>
      <w:marTop w:val="0"/>
      <w:marBottom w:val="0"/>
      <w:divBdr>
        <w:top w:val="none" w:sz="0" w:space="0" w:color="auto"/>
        <w:left w:val="none" w:sz="0" w:space="0" w:color="auto"/>
        <w:bottom w:val="none" w:sz="0" w:space="0" w:color="auto"/>
        <w:right w:val="none" w:sz="0" w:space="0" w:color="auto"/>
      </w:divBdr>
    </w:div>
    <w:div w:id="1132675360">
      <w:bodyDiv w:val="1"/>
      <w:marLeft w:val="0"/>
      <w:marRight w:val="0"/>
      <w:marTop w:val="0"/>
      <w:marBottom w:val="0"/>
      <w:divBdr>
        <w:top w:val="none" w:sz="0" w:space="0" w:color="auto"/>
        <w:left w:val="none" w:sz="0" w:space="0" w:color="auto"/>
        <w:bottom w:val="none" w:sz="0" w:space="0" w:color="auto"/>
        <w:right w:val="none" w:sz="0" w:space="0" w:color="auto"/>
      </w:divBdr>
    </w:div>
    <w:div w:id="1132987068">
      <w:bodyDiv w:val="1"/>
      <w:marLeft w:val="0"/>
      <w:marRight w:val="0"/>
      <w:marTop w:val="0"/>
      <w:marBottom w:val="0"/>
      <w:divBdr>
        <w:top w:val="none" w:sz="0" w:space="0" w:color="auto"/>
        <w:left w:val="none" w:sz="0" w:space="0" w:color="auto"/>
        <w:bottom w:val="none" w:sz="0" w:space="0" w:color="auto"/>
        <w:right w:val="none" w:sz="0" w:space="0" w:color="auto"/>
      </w:divBdr>
    </w:div>
    <w:div w:id="1133979978">
      <w:bodyDiv w:val="1"/>
      <w:marLeft w:val="0"/>
      <w:marRight w:val="0"/>
      <w:marTop w:val="0"/>
      <w:marBottom w:val="0"/>
      <w:divBdr>
        <w:top w:val="none" w:sz="0" w:space="0" w:color="auto"/>
        <w:left w:val="none" w:sz="0" w:space="0" w:color="auto"/>
        <w:bottom w:val="none" w:sz="0" w:space="0" w:color="auto"/>
        <w:right w:val="none" w:sz="0" w:space="0" w:color="auto"/>
      </w:divBdr>
    </w:div>
    <w:div w:id="1135442284">
      <w:bodyDiv w:val="1"/>
      <w:marLeft w:val="0"/>
      <w:marRight w:val="0"/>
      <w:marTop w:val="0"/>
      <w:marBottom w:val="0"/>
      <w:divBdr>
        <w:top w:val="none" w:sz="0" w:space="0" w:color="auto"/>
        <w:left w:val="none" w:sz="0" w:space="0" w:color="auto"/>
        <w:bottom w:val="none" w:sz="0" w:space="0" w:color="auto"/>
        <w:right w:val="none" w:sz="0" w:space="0" w:color="auto"/>
      </w:divBdr>
    </w:div>
    <w:div w:id="1135872176">
      <w:bodyDiv w:val="1"/>
      <w:marLeft w:val="0"/>
      <w:marRight w:val="0"/>
      <w:marTop w:val="0"/>
      <w:marBottom w:val="0"/>
      <w:divBdr>
        <w:top w:val="none" w:sz="0" w:space="0" w:color="auto"/>
        <w:left w:val="none" w:sz="0" w:space="0" w:color="auto"/>
        <w:bottom w:val="none" w:sz="0" w:space="0" w:color="auto"/>
        <w:right w:val="none" w:sz="0" w:space="0" w:color="auto"/>
      </w:divBdr>
    </w:div>
    <w:div w:id="1136683931">
      <w:bodyDiv w:val="1"/>
      <w:marLeft w:val="0"/>
      <w:marRight w:val="0"/>
      <w:marTop w:val="0"/>
      <w:marBottom w:val="0"/>
      <w:divBdr>
        <w:top w:val="none" w:sz="0" w:space="0" w:color="auto"/>
        <w:left w:val="none" w:sz="0" w:space="0" w:color="auto"/>
        <w:bottom w:val="none" w:sz="0" w:space="0" w:color="auto"/>
        <w:right w:val="none" w:sz="0" w:space="0" w:color="auto"/>
      </w:divBdr>
    </w:div>
    <w:div w:id="1137725890">
      <w:bodyDiv w:val="1"/>
      <w:marLeft w:val="0"/>
      <w:marRight w:val="0"/>
      <w:marTop w:val="0"/>
      <w:marBottom w:val="0"/>
      <w:divBdr>
        <w:top w:val="none" w:sz="0" w:space="0" w:color="auto"/>
        <w:left w:val="none" w:sz="0" w:space="0" w:color="auto"/>
        <w:bottom w:val="none" w:sz="0" w:space="0" w:color="auto"/>
        <w:right w:val="none" w:sz="0" w:space="0" w:color="auto"/>
      </w:divBdr>
    </w:div>
    <w:div w:id="1139423501">
      <w:bodyDiv w:val="1"/>
      <w:marLeft w:val="0"/>
      <w:marRight w:val="0"/>
      <w:marTop w:val="0"/>
      <w:marBottom w:val="0"/>
      <w:divBdr>
        <w:top w:val="none" w:sz="0" w:space="0" w:color="auto"/>
        <w:left w:val="none" w:sz="0" w:space="0" w:color="auto"/>
        <w:bottom w:val="none" w:sz="0" w:space="0" w:color="auto"/>
        <w:right w:val="none" w:sz="0" w:space="0" w:color="auto"/>
      </w:divBdr>
    </w:div>
    <w:div w:id="1140028831">
      <w:bodyDiv w:val="1"/>
      <w:marLeft w:val="0"/>
      <w:marRight w:val="0"/>
      <w:marTop w:val="0"/>
      <w:marBottom w:val="0"/>
      <w:divBdr>
        <w:top w:val="none" w:sz="0" w:space="0" w:color="auto"/>
        <w:left w:val="none" w:sz="0" w:space="0" w:color="auto"/>
        <w:bottom w:val="none" w:sz="0" w:space="0" w:color="auto"/>
        <w:right w:val="none" w:sz="0" w:space="0" w:color="auto"/>
      </w:divBdr>
    </w:div>
    <w:div w:id="1140658243">
      <w:bodyDiv w:val="1"/>
      <w:marLeft w:val="0"/>
      <w:marRight w:val="0"/>
      <w:marTop w:val="0"/>
      <w:marBottom w:val="0"/>
      <w:divBdr>
        <w:top w:val="none" w:sz="0" w:space="0" w:color="auto"/>
        <w:left w:val="none" w:sz="0" w:space="0" w:color="auto"/>
        <w:bottom w:val="none" w:sz="0" w:space="0" w:color="auto"/>
        <w:right w:val="none" w:sz="0" w:space="0" w:color="auto"/>
      </w:divBdr>
    </w:div>
    <w:div w:id="1143085533">
      <w:bodyDiv w:val="1"/>
      <w:marLeft w:val="0"/>
      <w:marRight w:val="0"/>
      <w:marTop w:val="0"/>
      <w:marBottom w:val="0"/>
      <w:divBdr>
        <w:top w:val="none" w:sz="0" w:space="0" w:color="auto"/>
        <w:left w:val="none" w:sz="0" w:space="0" w:color="auto"/>
        <w:bottom w:val="none" w:sz="0" w:space="0" w:color="auto"/>
        <w:right w:val="none" w:sz="0" w:space="0" w:color="auto"/>
      </w:divBdr>
    </w:div>
    <w:div w:id="1143542151">
      <w:bodyDiv w:val="1"/>
      <w:marLeft w:val="0"/>
      <w:marRight w:val="0"/>
      <w:marTop w:val="0"/>
      <w:marBottom w:val="0"/>
      <w:divBdr>
        <w:top w:val="none" w:sz="0" w:space="0" w:color="auto"/>
        <w:left w:val="none" w:sz="0" w:space="0" w:color="auto"/>
        <w:bottom w:val="none" w:sz="0" w:space="0" w:color="auto"/>
        <w:right w:val="none" w:sz="0" w:space="0" w:color="auto"/>
      </w:divBdr>
      <w:divsChild>
        <w:div w:id="1741903726">
          <w:marLeft w:val="0"/>
          <w:marRight w:val="0"/>
          <w:marTop w:val="0"/>
          <w:marBottom w:val="0"/>
          <w:divBdr>
            <w:top w:val="none" w:sz="0" w:space="0" w:color="auto"/>
            <w:left w:val="none" w:sz="0" w:space="0" w:color="auto"/>
            <w:bottom w:val="none" w:sz="0" w:space="0" w:color="auto"/>
            <w:right w:val="none" w:sz="0" w:space="0" w:color="auto"/>
          </w:divBdr>
        </w:div>
      </w:divsChild>
    </w:div>
    <w:div w:id="1144199137">
      <w:bodyDiv w:val="1"/>
      <w:marLeft w:val="0"/>
      <w:marRight w:val="0"/>
      <w:marTop w:val="0"/>
      <w:marBottom w:val="0"/>
      <w:divBdr>
        <w:top w:val="none" w:sz="0" w:space="0" w:color="auto"/>
        <w:left w:val="none" w:sz="0" w:space="0" w:color="auto"/>
        <w:bottom w:val="none" w:sz="0" w:space="0" w:color="auto"/>
        <w:right w:val="none" w:sz="0" w:space="0" w:color="auto"/>
      </w:divBdr>
    </w:div>
    <w:div w:id="1147432317">
      <w:bodyDiv w:val="1"/>
      <w:marLeft w:val="0"/>
      <w:marRight w:val="0"/>
      <w:marTop w:val="0"/>
      <w:marBottom w:val="0"/>
      <w:divBdr>
        <w:top w:val="none" w:sz="0" w:space="0" w:color="auto"/>
        <w:left w:val="none" w:sz="0" w:space="0" w:color="auto"/>
        <w:bottom w:val="none" w:sz="0" w:space="0" w:color="auto"/>
        <w:right w:val="none" w:sz="0" w:space="0" w:color="auto"/>
      </w:divBdr>
    </w:div>
    <w:div w:id="1148933246">
      <w:bodyDiv w:val="1"/>
      <w:marLeft w:val="0"/>
      <w:marRight w:val="0"/>
      <w:marTop w:val="0"/>
      <w:marBottom w:val="0"/>
      <w:divBdr>
        <w:top w:val="none" w:sz="0" w:space="0" w:color="auto"/>
        <w:left w:val="none" w:sz="0" w:space="0" w:color="auto"/>
        <w:bottom w:val="none" w:sz="0" w:space="0" w:color="auto"/>
        <w:right w:val="none" w:sz="0" w:space="0" w:color="auto"/>
      </w:divBdr>
    </w:div>
    <w:div w:id="1150708845">
      <w:bodyDiv w:val="1"/>
      <w:marLeft w:val="0"/>
      <w:marRight w:val="0"/>
      <w:marTop w:val="0"/>
      <w:marBottom w:val="0"/>
      <w:divBdr>
        <w:top w:val="none" w:sz="0" w:space="0" w:color="auto"/>
        <w:left w:val="none" w:sz="0" w:space="0" w:color="auto"/>
        <w:bottom w:val="none" w:sz="0" w:space="0" w:color="auto"/>
        <w:right w:val="none" w:sz="0" w:space="0" w:color="auto"/>
      </w:divBdr>
    </w:div>
    <w:div w:id="1150749959">
      <w:bodyDiv w:val="1"/>
      <w:marLeft w:val="0"/>
      <w:marRight w:val="0"/>
      <w:marTop w:val="0"/>
      <w:marBottom w:val="0"/>
      <w:divBdr>
        <w:top w:val="none" w:sz="0" w:space="0" w:color="auto"/>
        <w:left w:val="none" w:sz="0" w:space="0" w:color="auto"/>
        <w:bottom w:val="none" w:sz="0" w:space="0" w:color="auto"/>
        <w:right w:val="none" w:sz="0" w:space="0" w:color="auto"/>
      </w:divBdr>
    </w:div>
    <w:div w:id="1150904267">
      <w:bodyDiv w:val="1"/>
      <w:marLeft w:val="0"/>
      <w:marRight w:val="0"/>
      <w:marTop w:val="0"/>
      <w:marBottom w:val="0"/>
      <w:divBdr>
        <w:top w:val="none" w:sz="0" w:space="0" w:color="auto"/>
        <w:left w:val="none" w:sz="0" w:space="0" w:color="auto"/>
        <w:bottom w:val="none" w:sz="0" w:space="0" w:color="auto"/>
        <w:right w:val="none" w:sz="0" w:space="0" w:color="auto"/>
      </w:divBdr>
    </w:div>
    <w:div w:id="1151599798">
      <w:bodyDiv w:val="1"/>
      <w:marLeft w:val="0"/>
      <w:marRight w:val="0"/>
      <w:marTop w:val="0"/>
      <w:marBottom w:val="0"/>
      <w:divBdr>
        <w:top w:val="none" w:sz="0" w:space="0" w:color="auto"/>
        <w:left w:val="none" w:sz="0" w:space="0" w:color="auto"/>
        <w:bottom w:val="none" w:sz="0" w:space="0" w:color="auto"/>
        <w:right w:val="none" w:sz="0" w:space="0" w:color="auto"/>
      </w:divBdr>
    </w:div>
    <w:div w:id="1152058858">
      <w:bodyDiv w:val="1"/>
      <w:marLeft w:val="0"/>
      <w:marRight w:val="0"/>
      <w:marTop w:val="0"/>
      <w:marBottom w:val="0"/>
      <w:divBdr>
        <w:top w:val="none" w:sz="0" w:space="0" w:color="auto"/>
        <w:left w:val="none" w:sz="0" w:space="0" w:color="auto"/>
        <w:bottom w:val="none" w:sz="0" w:space="0" w:color="auto"/>
        <w:right w:val="none" w:sz="0" w:space="0" w:color="auto"/>
      </w:divBdr>
    </w:div>
    <w:div w:id="1152216170">
      <w:bodyDiv w:val="1"/>
      <w:marLeft w:val="0"/>
      <w:marRight w:val="0"/>
      <w:marTop w:val="0"/>
      <w:marBottom w:val="0"/>
      <w:divBdr>
        <w:top w:val="none" w:sz="0" w:space="0" w:color="auto"/>
        <w:left w:val="none" w:sz="0" w:space="0" w:color="auto"/>
        <w:bottom w:val="none" w:sz="0" w:space="0" w:color="auto"/>
        <w:right w:val="none" w:sz="0" w:space="0" w:color="auto"/>
      </w:divBdr>
    </w:div>
    <w:div w:id="1152480369">
      <w:bodyDiv w:val="1"/>
      <w:marLeft w:val="0"/>
      <w:marRight w:val="0"/>
      <w:marTop w:val="0"/>
      <w:marBottom w:val="0"/>
      <w:divBdr>
        <w:top w:val="none" w:sz="0" w:space="0" w:color="auto"/>
        <w:left w:val="none" w:sz="0" w:space="0" w:color="auto"/>
        <w:bottom w:val="none" w:sz="0" w:space="0" w:color="auto"/>
        <w:right w:val="none" w:sz="0" w:space="0" w:color="auto"/>
      </w:divBdr>
    </w:div>
    <w:div w:id="1152987000">
      <w:bodyDiv w:val="1"/>
      <w:marLeft w:val="0"/>
      <w:marRight w:val="0"/>
      <w:marTop w:val="0"/>
      <w:marBottom w:val="0"/>
      <w:divBdr>
        <w:top w:val="none" w:sz="0" w:space="0" w:color="auto"/>
        <w:left w:val="none" w:sz="0" w:space="0" w:color="auto"/>
        <w:bottom w:val="none" w:sz="0" w:space="0" w:color="auto"/>
        <w:right w:val="none" w:sz="0" w:space="0" w:color="auto"/>
      </w:divBdr>
    </w:div>
    <w:div w:id="1152988266">
      <w:bodyDiv w:val="1"/>
      <w:marLeft w:val="0"/>
      <w:marRight w:val="0"/>
      <w:marTop w:val="0"/>
      <w:marBottom w:val="0"/>
      <w:divBdr>
        <w:top w:val="none" w:sz="0" w:space="0" w:color="auto"/>
        <w:left w:val="none" w:sz="0" w:space="0" w:color="auto"/>
        <w:bottom w:val="none" w:sz="0" w:space="0" w:color="auto"/>
        <w:right w:val="none" w:sz="0" w:space="0" w:color="auto"/>
      </w:divBdr>
    </w:div>
    <w:div w:id="1153372974">
      <w:bodyDiv w:val="1"/>
      <w:marLeft w:val="0"/>
      <w:marRight w:val="0"/>
      <w:marTop w:val="0"/>
      <w:marBottom w:val="0"/>
      <w:divBdr>
        <w:top w:val="none" w:sz="0" w:space="0" w:color="auto"/>
        <w:left w:val="none" w:sz="0" w:space="0" w:color="auto"/>
        <w:bottom w:val="none" w:sz="0" w:space="0" w:color="auto"/>
        <w:right w:val="none" w:sz="0" w:space="0" w:color="auto"/>
      </w:divBdr>
      <w:divsChild>
        <w:div w:id="1628195113">
          <w:marLeft w:val="0"/>
          <w:marRight w:val="0"/>
          <w:marTop w:val="0"/>
          <w:marBottom w:val="0"/>
          <w:divBdr>
            <w:top w:val="none" w:sz="0" w:space="0" w:color="auto"/>
            <w:left w:val="none" w:sz="0" w:space="0" w:color="auto"/>
            <w:bottom w:val="none" w:sz="0" w:space="0" w:color="auto"/>
            <w:right w:val="none" w:sz="0" w:space="0" w:color="auto"/>
          </w:divBdr>
          <w:divsChild>
            <w:div w:id="352921755">
              <w:marLeft w:val="0"/>
              <w:marRight w:val="0"/>
              <w:marTop w:val="0"/>
              <w:marBottom w:val="0"/>
              <w:divBdr>
                <w:top w:val="none" w:sz="0" w:space="0" w:color="auto"/>
                <w:left w:val="none" w:sz="0" w:space="0" w:color="auto"/>
                <w:bottom w:val="none" w:sz="0" w:space="0" w:color="auto"/>
                <w:right w:val="none" w:sz="0" w:space="0" w:color="auto"/>
              </w:divBdr>
              <w:divsChild>
                <w:div w:id="75708627">
                  <w:marLeft w:val="0"/>
                  <w:marRight w:val="0"/>
                  <w:marTop w:val="0"/>
                  <w:marBottom w:val="0"/>
                  <w:divBdr>
                    <w:top w:val="none" w:sz="0" w:space="0" w:color="auto"/>
                    <w:left w:val="none" w:sz="0" w:space="0" w:color="auto"/>
                    <w:bottom w:val="none" w:sz="0" w:space="0" w:color="auto"/>
                    <w:right w:val="none" w:sz="0" w:space="0" w:color="auto"/>
                  </w:divBdr>
                  <w:divsChild>
                    <w:div w:id="987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4742">
      <w:bodyDiv w:val="1"/>
      <w:marLeft w:val="0"/>
      <w:marRight w:val="0"/>
      <w:marTop w:val="0"/>
      <w:marBottom w:val="0"/>
      <w:divBdr>
        <w:top w:val="none" w:sz="0" w:space="0" w:color="auto"/>
        <w:left w:val="none" w:sz="0" w:space="0" w:color="auto"/>
        <w:bottom w:val="none" w:sz="0" w:space="0" w:color="auto"/>
        <w:right w:val="none" w:sz="0" w:space="0" w:color="auto"/>
      </w:divBdr>
    </w:div>
    <w:div w:id="1154954640">
      <w:bodyDiv w:val="1"/>
      <w:marLeft w:val="0"/>
      <w:marRight w:val="0"/>
      <w:marTop w:val="0"/>
      <w:marBottom w:val="0"/>
      <w:divBdr>
        <w:top w:val="none" w:sz="0" w:space="0" w:color="auto"/>
        <w:left w:val="none" w:sz="0" w:space="0" w:color="auto"/>
        <w:bottom w:val="none" w:sz="0" w:space="0" w:color="auto"/>
        <w:right w:val="none" w:sz="0" w:space="0" w:color="auto"/>
      </w:divBdr>
    </w:div>
    <w:div w:id="1155142033">
      <w:bodyDiv w:val="1"/>
      <w:marLeft w:val="0"/>
      <w:marRight w:val="0"/>
      <w:marTop w:val="0"/>
      <w:marBottom w:val="0"/>
      <w:divBdr>
        <w:top w:val="none" w:sz="0" w:space="0" w:color="auto"/>
        <w:left w:val="none" w:sz="0" w:space="0" w:color="auto"/>
        <w:bottom w:val="none" w:sz="0" w:space="0" w:color="auto"/>
        <w:right w:val="none" w:sz="0" w:space="0" w:color="auto"/>
      </w:divBdr>
    </w:div>
    <w:div w:id="1157918014">
      <w:bodyDiv w:val="1"/>
      <w:marLeft w:val="0"/>
      <w:marRight w:val="0"/>
      <w:marTop w:val="0"/>
      <w:marBottom w:val="0"/>
      <w:divBdr>
        <w:top w:val="none" w:sz="0" w:space="0" w:color="auto"/>
        <w:left w:val="none" w:sz="0" w:space="0" w:color="auto"/>
        <w:bottom w:val="none" w:sz="0" w:space="0" w:color="auto"/>
        <w:right w:val="none" w:sz="0" w:space="0" w:color="auto"/>
      </w:divBdr>
    </w:div>
    <w:div w:id="1158111311">
      <w:bodyDiv w:val="1"/>
      <w:marLeft w:val="0"/>
      <w:marRight w:val="0"/>
      <w:marTop w:val="0"/>
      <w:marBottom w:val="0"/>
      <w:divBdr>
        <w:top w:val="none" w:sz="0" w:space="0" w:color="auto"/>
        <w:left w:val="none" w:sz="0" w:space="0" w:color="auto"/>
        <w:bottom w:val="none" w:sz="0" w:space="0" w:color="auto"/>
        <w:right w:val="none" w:sz="0" w:space="0" w:color="auto"/>
      </w:divBdr>
    </w:div>
    <w:div w:id="1158423626">
      <w:bodyDiv w:val="1"/>
      <w:marLeft w:val="0"/>
      <w:marRight w:val="0"/>
      <w:marTop w:val="0"/>
      <w:marBottom w:val="0"/>
      <w:divBdr>
        <w:top w:val="none" w:sz="0" w:space="0" w:color="auto"/>
        <w:left w:val="none" w:sz="0" w:space="0" w:color="auto"/>
        <w:bottom w:val="none" w:sz="0" w:space="0" w:color="auto"/>
        <w:right w:val="none" w:sz="0" w:space="0" w:color="auto"/>
      </w:divBdr>
    </w:div>
    <w:div w:id="1158576536">
      <w:bodyDiv w:val="1"/>
      <w:marLeft w:val="0"/>
      <w:marRight w:val="0"/>
      <w:marTop w:val="0"/>
      <w:marBottom w:val="0"/>
      <w:divBdr>
        <w:top w:val="none" w:sz="0" w:space="0" w:color="auto"/>
        <w:left w:val="none" w:sz="0" w:space="0" w:color="auto"/>
        <w:bottom w:val="none" w:sz="0" w:space="0" w:color="auto"/>
        <w:right w:val="none" w:sz="0" w:space="0" w:color="auto"/>
      </w:divBdr>
    </w:div>
    <w:div w:id="1160273532">
      <w:bodyDiv w:val="1"/>
      <w:marLeft w:val="0"/>
      <w:marRight w:val="0"/>
      <w:marTop w:val="0"/>
      <w:marBottom w:val="0"/>
      <w:divBdr>
        <w:top w:val="none" w:sz="0" w:space="0" w:color="auto"/>
        <w:left w:val="none" w:sz="0" w:space="0" w:color="auto"/>
        <w:bottom w:val="none" w:sz="0" w:space="0" w:color="auto"/>
        <w:right w:val="none" w:sz="0" w:space="0" w:color="auto"/>
      </w:divBdr>
    </w:div>
    <w:div w:id="1162090069">
      <w:bodyDiv w:val="1"/>
      <w:marLeft w:val="0"/>
      <w:marRight w:val="0"/>
      <w:marTop w:val="0"/>
      <w:marBottom w:val="0"/>
      <w:divBdr>
        <w:top w:val="none" w:sz="0" w:space="0" w:color="auto"/>
        <w:left w:val="none" w:sz="0" w:space="0" w:color="auto"/>
        <w:bottom w:val="none" w:sz="0" w:space="0" w:color="auto"/>
        <w:right w:val="none" w:sz="0" w:space="0" w:color="auto"/>
      </w:divBdr>
    </w:div>
    <w:div w:id="1163280240">
      <w:bodyDiv w:val="1"/>
      <w:marLeft w:val="0"/>
      <w:marRight w:val="0"/>
      <w:marTop w:val="0"/>
      <w:marBottom w:val="0"/>
      <w:divBdr>
        <w:top w:val="none" w:sz="0" w:space="0" w:color="auto"/>
        <w:left w:val="none" w:sz="0" w:space="0" w:color="auto"/>
        <w:bottom w:val="none" w:sz="0" w:space="0" w:color="auto"/>
        <w:right w:val="none" w:sz="0" w:space="0" w:color="auto"/>
      </w:divBdr>
    </w:div>
    <w:div w:id="1164472213">
      <w:bodyDiv w:val="1"/>
      <w:marLeft w:val="0"/>
      <w:marRight w:val="0"/>
      <w:marTop w:val="0"/>
      <w:marBottom w:val="0"/>
      <w:divBdr>
        <w:top w:val="none" w:sz="0" w:space="0" w:color="auto"/>
        <w:left w:val="none" w:sz="0" w:space="0" w:color="auto"/>
        <w:bottom w:val="none" w:sz="0" w:space="0" w:color="auto"/>
        <w:right w:val="none" w:sz="0" w:space="0" w:color="auto"/>
      </w:divBdr>
    </w:div>
    <w:div w:id="1164473067">
      <w:bodyDiv w:val="1"/>
      <w:marLeft w:val="0"/>
      <w:marRight w:val="0"/>
      <w:marTop w:val="0"/>
      <w:marBottom w:val="0"/>
      <w:divBdr>
        <w:top w:val="none" w:sz="0" w:space="0" w:color="auto"/>
        <w:left w:val="none" w:sz="0" w:space="0" w:color="auto"/>
        <w:bottom w:val="none" w:sz="0" w:space="0" w:color="auto"/>
        <w:right w:val="none" w:sz="0" w:space="0" w:color="auto"/>
      </w:divBdr>
    </w:div>
    <w:div w:id="1164511773">
      <w:bodyDiv w:val="1"/>
      <w:marLeft w:val="0"/>
      <w:marRight w:val="0"/>
      <w:marTop w:val="0"/>
      <w:marBottom w:val="0"/>
      <w:divBdr>
        <w:top w:val="none" w:sz="0" w:space="0" w:color="auto"/>
        <w:left w:val="none" w:sz="0" w:space="0" w:color="auto"/>
        <w:bottom w:val="none" w:sz="0" w:space="0" w:color="auto"/>
        <w:right w:val="none" w:sz="0" w:space="0" w:color="auto"/>
      </w:divBdr>
    </w:div>
    <w:div w:id="1165588127">
      <w:bodyDiv w:val="1"/>
      <w:marLeft w:val="0"/>
      <w:marRight w:val="0"/>
      <w:marTop w:val="0"/>
      <w:marBottom w:val="0"/>
      <w:divBdr>
        <w:top w:val="none" w:sz="0" w:space="0" w:color="auto"/>
        <w:left w:val="none" w:sz="0" w:space="0" w:color="auto"/>
        <w:bottom w:val="none" w:sz="0" w:space="0" w:color="auto"/>
        <w:right w:val="none" w:sz="0" w:space="0" w:color="auto"/>
      </w:divBdr>
    </w:div>
    <w:div w:id="1166092373">
      <w:bodyDiv w:val="1"/>
      <w:marLeft w:val="0"/>
      <w:marRight w:val="0"/>
      <w:marTop w:val="0"/>
      <w:marBottom w:val="0"/>
      <w:divBdr>
        <w:top w:val="none" w:sz="0" w:space="0" w:color="auto"/>
        <w:left w:val="none" w:sz="0" w:space="0" w:color="auto"/>
        <w:bottom w:val="none" w:sz="0" w:space="0" w:color="auto"/>
        <w:right w:val="none" w:sz="0" w:space="0" w:color="auto"/>
      </w:divBdr>
    </w:div>
    <w:div w:id="1166095553">
      <w:bodyDiv w:val="1"/>
      <w:marLeft w:val="0"/>
      <w:marRight w:val="0"/>
      <w:marTop w:val="0"/>
      <w:marBottom w:val="0"/>
      <w:divBdr>
        <w:top w:val="none" w:sz="0" w:space="0" w:color="auto"/>
        <w:left w:val="none" w:sz="0" w:space="0" w:color="auto"/>
        <w:bottom w:val="none" w:sz="0" w:space="0" w:color="auto"/>
        <w:right w:val="none" w:sz="0" w:space="0" w:color="auto"/>
      </w:divBdr>
    </w:div>
    <w:div w:id="1166358869">
      <w:bodyDiv w:val="1"/>
      <w:marLeft w:val="0"/>
      <w:marRight w:val="0"/>
      <w:marTop w:val="0"/>
      <w:marBottom w:val="0"/>
      <w:divBdr>
        <w:top w:val="none" w:sz="0" w:space="0" w:color="auto"/>
        <w:left w:val="none" w:sz="0" w:space="0" w:color="auto"/>
        <w:bottom w:val="none" w:sz="0" w:space="0" w:color="auto"/>
        <w:right w:val="none" w:sz="0" w:space="0" w:color="auto"/>
      </w:divBdr>
    </w:div>
    <w:div w:id="1167133099">
      <w:bodyDiv w:val="1"/>
      <w:marLeft w:val="0"/>
      <w:marRight w:val="0"/>
      <w:marTop w:val="0"/>
      <w:marBottom w:val="0"/>
      <w:divBdr>
        <w:top w:val="none" w:sz="0" w:space="0" w:color="auto"/>
        <w:left w:val="none" w:sz="0" w:space="0" w:color="auto"/>
        <w:bottom w:val="none" w:sz="0" w:space="0" w:color="auto"/>
        <w:right w:val="none" w:sz="0" w:space="0" w:color="auto"/>
      </w:divBdr>
    </w:div>
    <w:div w:id="1168983952">
      <w:bodyDiv w:val="1"/>
      <w:marLeft w:val="0"/>
      <w:marRight w:val="0"/>
      <w:marTop w:val="0"/>
      <w:marBottom w:val="0"/>
      <w:divBdr>
        <w:top w:val="none" w:sz="0" w:space="0" w:color="auto"/>
        <w:left w:val="none" w:sz="0" w:space="0" w:color="auto"/>
        <w:bottom w:val="none" w:sz="0" w:space="0" w:color="auto"/>
        <w:right w:val="none" w:sz="0" w:space="0" w:color="auto"/>
      </w:divBdr>
    </w:div>
    <w:div w:id="1169101672">
      <w:bodyDiv w:val="1"/>
      <w:marLeft w:val="0"/>
      <w:marRight w:val="0"/>
      <w:marTop w:val="0"/>
      <w:marBottom w:val="0"/>
      <w:divBdr>
        <w:top w:val="none" w:sz="0" w:space="0" w:color="auto"/>
        <w:left w:val="none" w:sz="0" w:space="0" w:color="auto"/>
        <w:bottom w:val="none" w:sz="0" w:space="0" w:color="auto"/>
        <w:right w:val="none" w:sz="0" w:space="0" w:color="auto"/>
      </w:divBdr>
    </w:div>
    <w:div w:id="1169442317">
      <w:bodyDiv w:val="1"/>
      <w:marLeft w:val="0"/>
      <w:marRight w:val="0"/>
      <w:marTop w:val="0"/>
      <w:marBottom w:val="0"/>
      <w:divBdr>
        <w:top w:val="none" w:sz="0" w:space="0" w:color="auto"/>
        <w:left w:val="none" w:sz="0" w:space="0" w:color="auto"/>
        <w:bottom w:val="none" w:sz="0" w:space="0" w:color="auto"/>
        <w:right w:val="none" w:sz="0" w:space="0" w:color="auto"/>
      </w:divBdr>
    </w:div>
    <w:div w:id="1169758862">
      <w:bodyDiv w:val="1"/>
      <w:marLeft w:val="0"/>
      <w:marRight w:val="0"/>
      <w:marTop w:val="0"/>
      <w:marBottom w:val="0"/>
      <w:divBdr>
        <w:top w:val="none" w:sz="0" w:space="0" w:color="auto"/>
        <w:left w:val="none" w:sz="0" w:space="0" w:color="auto"/>
        <w:bottom w:val="none" w:sz="0" w:space="0" w:color="auto"/>
        <w:right w:val="none" w:sz="0" w:space="0" w:color="auto"/>
      </w:divBdr>
    </w:div>
    <w:div w:id="1170829523">
      <w:bodyDiv w:val="1"/>
      <w:marLeft w:val="0"/>
      <w:marRight w:val="0"/>
      <w:marTop w:val="0"/>
      <w:marBottom w:val="0"/>
      <w:divBdr>
        <w:top w:val="none" w:sz="0" w:space="0" w:color="auto"/>
        <w:left w:val="none" w:sz="0" w:space="0" w:color="auto"/>
        <w:bottom w:val="none" w:sz="0" w:space="0" w:color="auto"/>
        <w:right w:val="none" w:sz="0" w:space="0" w:color="auto"/>
      </w:divBdr>
    </w:div>
    <w:div w:id="1170831294">
      <w:bodyDiv w:val="1"/>
      <w:marLeft w:val="0"/>
      <w:marRight w:val="0"/>
      <w:marTop w:val="0"/>
      <w:marBottom w:val="0"/>
      <w:divBdr>
        <w:top w:val="none" w:sz="0" w:space="0" w:color="auto"/>
        <w:left w:val="none" w:sz="0" w:space="0" w:color="auto"/>
        <w:bottom w:val="none" w:sz="0" w:space="0" w:color="auto"/>
        <w:right w:val="none" w:sz="0" w:space="0" w:color="auto"/>
      </w:divBdr>
    </w:div>
    <w:div w:id="1171263553">
      <w:bodyDiv w:val="1"/>
      <w:marLeft w:val="0"/>
      <w:marRight w:val="0"/>
      <w:marTop w:val="0"/>
      <w:marBottom w:val="0"/>
      <w:divBdr>
        <w:top w:val="none" w:sz="0" w:space="0" w:color="auto"/>
        <w:left w:val="none" w:sz="0" w:space="0" w:color="auto"/>
        <w:bottom w:val="none" w:sz="0" w:space="0" w:color="auto"/>
        <w:right w:val="none" w:sz="0" w:space="0" w:color="auto"/>
      </w:divBdr>
    </w:div>
    <w:div w:id="1171674848">
      <w:bodyDiv w:val="1"/>
      <w:marLeft w:val="0"/>
      <w:marRight w:val="0"/>
      <w:marTop w:val="0"/>
      <w:marBottom w:val="0"/>
      <w:divBdr>
        <w:top w:val="none" w:sz="0" w:space="0" w:color="auto"/>
        <w:left w:val="none" w:sz="0" w:space="0" w:color="auto"/>
        <w:bottom w:val="none" w:sz="0" w:space="0" w:color="auto"/>
        <w:right w:val="none" w:sz="0" w:space="0" w:color="auto"/>
      </w:divBdr>
    </w:div>
    <w:div w:id="1173641325">
      <w:bodyDiv w:val="1"/>
      <w:marLeft w:val="0"/>
      <w:marRight w:val="0"/>
      <w:marTop w:val="0"/>
      <w:marBottom w:val="0"/>
      <w:divBdr>
        <w:top w:val="none" w:sz="0" w:space="0" w:color="auto"/>
        <w:left w:val="none" w:sz="0" w:space="0" w:color="auto"/>
        <w:bottom w:val="none" w:sz="0" w:space="0" w:color="auto"/>
        <w:right w:val="none" w:sz="0" w:space="0" w:color="auto"/>
      </w:divBdr>
    </w:div>
    <w:div w:id="1174297992">
      <w:bodyDiv w:val="1"/>
      <w:marLeft w:val="0"/>
      <w:marRight w:val="0"/>
      <w:marTop w:val="0"/>
      <w:marBottom w:val="0"/>
      <w:divBdr>
        <w:top w:val="none" w:sz="0" w:space="0" w:color="auto"/>
        <w:left w:val="none" w:sz="0" w:space="0" w:color="auto"/>
        <w:bottom w:val="none" w:sz="0" w:space="0" w:color="auto"/>
        <w:right w:val="none" w:sz="0" w:space="0" w:color="auto"/>
      </w:divBdr>
    </w:div>
    <w:div w:id="1174496049">
      <w:bodyDiv w:val="1"/>
      <w:marLeft w:val="0"/>
      <w:marRight w:val="0"/>
      <w:marTop w:val="0"/>
      <w:marBottom w:val="0"/>
      <w:divBdr>
        <w:top w:val="none" w:sz="0" w:space="0" w:color="auto"/>
        <w:left w:val="none" w:sz="0" w:space="0" w:color="auto"/>
        <w:bottom w:val="none" w:sz="0" w:space="0" w:color="auto"/>
        <w:right w:val="none" w:sz="0" w:space="0" w:color="auto"/>
      </w:divBdr>
    </w:div>
    <w:div w:id="1174612316">
      <w:bodyDiv w:val="1"/>
      <w:marLeft w:val="0"/>
      <w:marRight w:val="0"/>
      <w:marTop w:val="0"/>
      <w:marBottom w:val="0"/>
      <w:divBdr>
        <w:top w:val="none" w:sz="0" w:space="0" w:color="auto"/>
        <w:left w:val="none" w:sz="0" w:space="0" w:color="auto"/>
        <w:bottom w:val="none" w:sz="0" w:space="0" w:color="auto"/>
        <w:right w:val="none" w:sz="0" w:space="0" w:color="auto"/>
      </w:divBdr>
    </w:div>
    <w:div w:id="1176919650">
      <w:bodyDiv w:val="1"/>
      <w:marLeft w:val="0"/>
      <w:marRight w:val="0"/>
      <w:marTop w:val="0"/>
      <w:marBottom w:val="0"/>
      <w:divBdr>
        <w:top w:val="none" w:sz="0" w:space="0" w:color="auto"/>
        <w:left w:val="none" w:sz="0" w:space="0" w:color="auto"/>
        <w:bottom w:val="none" w:sz="0" w:space="0" w:color="auto"/>
        <w:right w:val="none" w:sz="0" w:space="0" w:color="auto"/>
      </w:divBdr>
    </w:div>
    <w:div w:id="1177115703">
      <w:bodyDiv w:val="1"/>
      <w:marLeft w:val="0"/>
      <w:marRight w:val="0"/>
      <w:marTop w:val="0"/>
      <w:marBottom w:val="0"/>
      <w:divBdr>
        <w:top w:val="none" w:sz="0" w:space="0" w:color="auto"/>
        <w:left w:val="none" w:sz="0" w:space="0" w:color="auto"/>
        <w:bottom w:val="none" w:sz="0" w:space="0" w:color="auto"/>
        <w:right w:val="none" w:sz="0" w:space="0" w:color="auto"/>
      </w:divBdr>
    </w:div>
    <w:div w:id="1178158122">
      <w:bodyDiv w:val="1"/>
      <w:marLeft w:val="0"/>
      <w:marRight w:val="0"/>
      <w:marTop w:val="0"/>
      <w:marBottom w:val="0"/>
      <w:divBdr>
        <w:top w:val="none" w:sz="0" w:space="0" w:color="auto"/>
        <w:left w:val="none" w:sz="0" w:space="0" w:color="auto"/>
        <w:bottom w:val="none" w:sz="0" w:space="0" w:color="auto"/>
        <w:right w:val="none" w:sz="0" w:space="0" w:color="auto"/>
      </w:divBdr>
    </w:div>
    <w:div w:id="1180849691">
      <w:bodyDiv w:val="1"/>
      <w:marLeft w:val="0"/>
      <w:marRight w:val="0"/>
      <w:marTop w:val="0"/>
      <w:marBottom w:val="0"/>
      <w:divBdr>
        <w:top w:val="none" w:sz="0" w:space="0" w:color="auto"/>
        <w:left w:val="none" w:sz="0" w:space="0" w:color="auto"/>
        <w:bottom w:val="none" w:sz="0" w:space="0" w:color="auto"/>
        <w:right w:val="none" w:sz="0" w:space="0" w:color="auto"/>
      </w:divBdr>
    </w:div>
    <w:div w:id="1181428541">
      <w:bodyDiv w:val="1"/>
      <w:marLeft w:val="0"/>
      <w:marRight w:val="0"/>
      <w:marTop w:val="0"/>
      <w:marBottom w:val="0"/>
      <w:divBdr>
        <w:top w:val="none" w:sz="0" w:space="0" w:color="auto"/>
        <w:left w:val="none" w:sz="0" w:space="0" w:color="auto"/>
        <w:bottom w:val="none" w:sz="0" w:space="0" w:color="auto"/>
        <w:right w:val="none" w:sz="0" w:space="0" w:color="auto"/>
      </w:divBdr>
    </w:div>
    <w:div w:id="1181622457">
      <w:bodyDiv w:val="1"/>
      <w:marLeft w:val="0"/>
      <w:marRight w:val="0"/>
      <w:marTop w:val="0"/>
      <w:marBottom w:val="0"/>
      <w:divBdr>
        <w:top w:val="none" w:sz="0" w:space="0" w:color="auto"/>
        <w:left w:val="none" w:sz="0" w:space="0" w:color="auto"/>
        <w:bottom w:val="none" w:sz="0" w:space="0" w:color="auto"/>
        <w:right w:val="none" w:sz="0" w:space="0" w:color="auto"/>
      </w:divBdr>
    </w:div>
    <w:div w:id="1181823620">
      <w:bodyDiv w:val="1"/>
      <w:marLeft w:val="0"/>
      <w:marRight w:val="0"/>
      <w:marTop w:val="0"/>
      <w:marBottom w:val="0"/>
      <w:divBdr>
        <w:top w:val="none" w:sz="0" w:space="0" w:color="auto"/>
        <w:left w:val="none" w:sz="0" w:space="0" w:color="auto"/>
        <w:bottom w:val="none" w:sz="0" w:space="0" w:color="auto"/>
        <w:right w:val="none" w:sz="0" w:space="0" w:color="auto"/>
      </w:divBdr>
    </w:div>
    <w:div w:id="1187645882">
      <w:bodyDiv w:val="1"/>
      <w:marLeft w:val="0"/>
      <w:marRight w:val="0"/>
      <w:marTop w:val="0"/>
      <w:marBottom w:val="0"/>
      <w:divBdr>
        <w:top w:val="none" w:sz="0" w:space="0" w:color="auto"/>
        <w:left w:val="none" w:sz="0" w:space="0" w:color="auto"/>
        <w:bottom w:val="none" w:sz="0" w:space="0" w:color="auto"/>
        <w:right w:val="none" w:sz="0" w:space="0" w:color="auto"/>
      </w:divBdr>
    </w:div>
    <w:div w:id="1187789675">
      <w:bodyDiv w:val="1"/>
      <w:marLeft w:val="0"/>
      <w:marRight w:val="0"/>
      <w:marTop w:val="0"/>
      <w:marBottom w:val="0"/>
      <w:divBdr>
        <w:top w:val="none" w:sz="0" w:space="0" w:color="auto"/>
        <w:left w:val="none" w:sz="0" w:space="0" w:color="auto"/>
        <w:bottom w:val="none" w:sz="0" w:space="0" w:color="auto"/>
        <w:right w:val="none" w:sz="0" w:space="0" w:color="auto"/>
      </w:divBdr>
    </w:div>
    <w:div w:id="1192181148">
      <w:bodyDiv w:val="1"/>
      <w:marLeft w:val="0"/>
      <w:marRight w:val="0"/>
      <w:marTop w:val="0"/>
      <w:marBottom w:val="0"/>
      <w:divBdr>
        <w:top w:val="none" w:sz="0" w:space="0" w:color="auto"/>
        <w:left w:val="none" w:sz="0" w:space="0" w:color="auto"/>
        <w:bottom w:val="none" w:sz="0" w:space="0" w:color="auto"/>
        <w:right w:val="none" w:sz="0" w:space="0" w:color="auto"/>
      </w:divBdr>
    </w:div>
    <w:div w:id="1192381036">
      <w:bodyDiv w:val="1"/>
      <w:marLeft w:val="0"/>
      <w:marRight w:val="0"/>
      <w:marTop w:val="0"/>
      <w:marBottom w:val="0"/>
      <w:divBdr>
        <w:top w:val="none" w:sz="0" w:space="0" w:color="auto"/>
        <w:left w:val="none" w:sz="0" w:space="0" w:color="auto"/>
        <w:bottom w:val="none" w:sz="0" w:space="0" w:color="auto"/>
        <w:right w:val="none" w:sz="0" w:space="0" w:color="auto"/>
      </w:divBdr>
    </w:div>
    <w:div w:id="1195732205">
      <w:bodyDiv w:val="1"/>
      <w:marLeft w:val="0"/>
      <w:marRight w:val="0"/>
      <w:marTop w:val="0"/>
      <w:marBottom w:val="0"/>
      <w:divBdr>
        <w:top w:val="none" w:sz="0" w:space="0" w:color="auto"/>
        <w:left w:val="none" w:sz="0" w:space="0" w:color="auto"/>
        <w:bottom w:val="none" w:sz="0" w:space="0" w:color="auto"/>
        <w:right w:val="none" w:sz="0" w:space="0" w:color="auto"/>
      </w:divBdr>
    </w:div>
    <w:div w:id="1196621903">
      <w:bodyDiv w:val="1"/>
      <w:marLeft w:val="0"/>
      <w:marRight w:val="0"/>
      <w:marTop w:val="0"/>
      <w:marBottom w:val="0"/>
      <w:divBdr>
        <w:top w:val="none" w:sz="0" w:space="0" w:color="auto"/>
        <w:left w:val="none" w:sz="0" w:space="0" w:color="auto"/>
        <w:bottom w:val="none" w:sz="0" w:space="0" w:color="auto"/>
        <w:right w:val="none" w:sz="0" w:space="0" w:color="auto"/>
      </w:divBdr>
    </w:div>
    <w:div w:id="1198006997">
      <w:bodyDiv w:val="1"/>
      <w:marLeft w:val="0"/>
      <w:marRight w:val="0"/>
      <w:marTop w:val="0"/>
      <w:marBottom w:val="0"/>
      <w:divBdr>
        <w:top w:val="none" w:sz="0" w:space="0" w:color="auto"/>
        <w:left w:val="none" w:sz="0" w:space="0" w:color="auto"/>
        <w:bottom w:val="none" w:sz="0" w:space="0" w:color="auto"/>
        <w:right w:val="none" w:sz="0" w:space="0" w:color="auto"/>
      </w:divBdr>
    </w:div>
    <w:div w:id="1199203453">
      <w:bodyDiv w:val="1"/>
      <w:marLeft w:val="0"/>
      <w:marRight w:val="0"/>
      <w:marTop w:val="0"/>
      <w:marBottom w:val="0"/>
      <w:divBdr>
        <w:top w:val="none" w:sz="0" w:space="0" w:color="auto"/>
        <w:left w:val="none" w:sz="0" w:space="0" w:color="auto"/>
        <w:bottom w:val="none" w:sz="0" w:space="0" w:color="auto"/>
        <w:right w:val="none" w:sz="0" w:space="0" w:color="auto"/>
      </w:divBdr>
    </w:div>
    <w:div w:id="1199661217">
      <w:bodyDiv w:val="1"/>
      <w:marLeft w:val="0"/>
      <w:marRight w:val="0"/>
      <w:marTop w:val="0"/>
      <w:marBottom w:val="0"/>
      <w:divBdr>
        <w:top w:val="none" w:sz="0" w:space="0" w:color="auto"/>
        <w:left w:val="none" w:sz="0" w:space="0" w:color="auto"/>
        <w:bottom w:val="none" w:sz="0" w:space="0" w:color="auto"/>
        <w:right w:val="none" w:sz="0" w:space="0" w:color="auto"/>
      </w:divBdr>
    </w:div>
    <w:div w:id="1200163812">
      <w:bodyDiv w:val="1"/>
      <w:marLeft w:val="0"/>
      <w:marRight w:val="0"/>
      <w:marTop w:val="0"/>
      <w:marBottom w:val="0"/>
      <w:divBdr>
        <w:top w:val="none" w:sz="0" w:space="0" w:color="auto"/>
        <w:left w:val="none" w:sz="0" w:space="0" w:color="auto"/>
        <w:bottom w:val="none" w:sz="0" w:space="0" w:color="auto"/>
        <w:right w:val="none" w:sz="0" w:space="0" w:color="auto"/>
      </w:divBdr>
    </w:div>
    <w:div w:id="1201937284">
      <w:bodyDiv w:val="1"/>
      <w:marLeft w:val="0"/>
      <w:marRight w:val="0"/>
      <w:marTop w:val="0"/>
      <w:marBottom w:val="0"/>
      <w:divBdr>
        <w:top w:val="none" w:sz="0" w:space="0" w:color="auto"/>
        <w:left w:val="none" w:sz="0" w:space="0" w:color="auto"/>
        <w:bottom w:val="none" w:sz="0" w:space="0" w:color="auto"/>
        <w:right w:val="none" w:sz="0" w:space="0" w:color="auto"/>
      </w:divBdr>
    </w:div>
    <w:div w:id="1202862376">
      <w:bodyDiv w:val="1"/>
      <w:marLeft w:val="0"/>
      <w:marRight w:val="0"/>
      <w:marTop w:val="0"/>
      <w:marBottom w:val="0"/>
      <w:divBdr>
        <w:top w:val="none" w:sz="0" w:space="0" w:color="auto"/>
        <w:left w:val="none" w:sz="0" w:space="0" w:color="auto"/>
        <w:bottom w:val="none" w:sz="0" w:space="0" w:color="auto"/>
        <w:right w:val="none" w:sz="0" w:space="0" w:color="auto"/>
      </w:divBdr>
    </w:div>
    <w:div w:id="1203786572">
      <w:bodyDiv w:val="1"/>
      <w:marLeft w:val="0"/>
      <w:marRight w:val="0"/>
      <w:marTop w:val="0"/>
      <w:marBottom w:val="0"/>
      <w:divBdr>
        <w:top w:val="none" w:sz="0" w:space="0" w:color="auto"/>
        <w:left w:val="none" w:sz="0" w:space="0" w:color="auto"/>
        <w:bottom w:val="none" w:sz="0" w:space="0" w:color="auto"/>
        <w:right w:val="none" w:sz="0" w:space="0" w:color="auto"/>
      </w:divBdr>
    </w:div>
    <w:div w:id="1204757971">
      <w:bodyDiv w:val="1"/>
      <w:marLeft w:val="0"/>
      <w:marRight w:val="0"/>
      <w:marTop w:val="0"/>
      <w:marBottom w:val="0"/>
      <w:divBdr>
        <w:top w:val="none" w:sz="0" w:space="0" w:color="auto"/>
        <w:left w:val="none" w:sz="0" w:space="0" w:color="auto"/>
        <w:bottom w:val="none" w:sz="0" w:space="0" w:color="auto"/>
        <w:right w:val="none" w:sz="0" w:space="0" w:color="auto"/>
      </w:divBdr>
    </w:div>
    <w:div w:id="1204950968">
      <w:bodyDiv w:val="1"/>
      <w:marLeft w:val="0"/>
      <w:marRight w:val="0"/>
      <w:marTop w:val="0"/>
      <w:marBottom w:val="0"/>
      <w:divBdr>
        <w:top w:val="none" w:sz="0" w:space="0" w:color="auto"/>
        <w:left w:val="none" w:sz="0" w:space="0" w:color="auto"/>
        <w:bottom w:val="none" w:sz="0" w:space="0" w:color="auto"/>
        <w:right w:val="none" w:sz="0" w:space="0" w:color="auto"/>
      </w:divBdr>
    </w:div>
    <w:div w:id="1207180698">
      <w:bodyDiv w:val="1"/>
      <w:marLeft w:val="0"/>
      <w:marRight w:val="0"/>
      <w:marTop w:val="0"/>
      <w:marBottom w:val="0"/>
      <w:divBdr>
        <w:top w:val="none" w:sz="0" w:space="0" w:color="auto"/>
        <w:left w:val="none" w:sz="0" w:space="0" w:color="auto"/>
        <w:bottom w:val="none" w:sz="0" w:space="0" w:color="auto"/>
        <w:right w:val="none" w:sz="0" w:space="0" w:color="auto"/>
      </w:divBdr>
    </w:div>
    <w:div w:id="1207183690">
      <w:bodyDiv w:val="1"/>
      <w:marLeft w:val="0"/>
      <w:marRight w:val="0"/>
      <w:marTop w:val="0"/>
      <w:marBottom w:val="0"/>
      <w:divBdr>
        <w:top w:val="none" w:sz="0" w:space="0" w:color="auto"/>
        <w:left w:val="none" w:sz="0" w:space="0" w:color="auto"/>
        <w:bottom w:val="none" w:sz="0" w:space="0" w:color="auto"/>
        <w:right w:val="none" w:sz="0" w:space="0" w:color="auto"/>
      </w:divBdr>
    </w:div>
    <w:div w:id="1208033996">
      <w:bodyDiv w:val="1"/>
      <w:marLeft w:val="0"/>
      <w:marRight w:val="0"/>
      <w:marTop w:val="0"/>
      <w:marBottom w:val="0"/>
      <w:divBdr>
        <w:top w:val="none" w:sz="0" w:space="0" w:color="auto"/>
        <w:left w:val="none" w:sz="0" w:space="0" w:color="auto"/>
        <w:bottom w:val="none" w:sz="0" w:space="0" w:color="auto"/>
        <w:right w:val="none" w:sz="0" w:space="0" w:color="auto"/>
      </w:divBdr>
    </w:div>
    <w:div w:id="1208224862">
      <w:bodyDiv w:val="1"/>
      <w:marLeft w:val="0"/>
      <w:marRight w:val="0"/>
      <w:marTop w:val="0"/>
      <w:marBottom w:val="0"/>
      <w:divBdr>
        <w:top w:val="none" w:sz="0" w:space="0" w:color="auto"/>
        <w:left w:val="none" w:sz="0" w:space="0" w:color="auto"/>
        <w:bottom w:val="none" w:sz="0" w:space="0" w:color="auto"/>
        <w:right w:val="none" w:sz="0" w:space="0" w:color="auto"/>
      </w:divBdr>
    </w:div>
    <w:div w:id="1209683755">
      <w:bodyDiv w:val="1"/>
      <w:marLeft w:val="0"/>
      <w:marRight w:val="0"/>
      <w:marTop w:val="0"/>
      <w:marBottom w:val="0"/>
      <w:divBdr>
        <w:top w:val="none" w:sz="0" w:space="0" w:color="auto"/>
        <w:left w:val="none" w:sz="0" w:space="0" w:color="auto"/>
        <w:bottom w:val="none" w:sz="0" w:space="0" w:color="auto"/>
        <w:right w:val="none" w:sz="0" w:space="0" w:color="auto"/>
      </w:divBdr>
    </w:div>
    <w:div w:id="1209799216">
      <w:bodyDiv w:val="1"/>
      <w:marLeft w:val="0"/>
      <w:marRight w:val="0"/>
      <w:marTop w:val="0"/>
      <w:marBottom w:val="0"/>
      <w:divBdr>
        <w:top w:val="none" w:sz="0" w:space="0" w:color="auto"/>
        <w:left w:val="none" w:sz="0" w:space="0" w:color="auto"/>
        <w:bottom w:val="none" w:sz="0" w:space="0" w:color="auto"/>
        <w:right w:val="none" w:sz="0" w:space="0" w:color="auto"/>
      </w:divBdr>
    </w:div>
    <w:div w:id="1217427454">
      <w:bodyDiv w:val="1"/>
      <w:marLeft w:val="0"/>
      <w:marRight w:val="0"/>
      <w:marTop w:val="0"/>
      <w:marBottom w:val="0"/>
      <w:divBdr>
        <w:top w:val="none" w:sz="0" w:space="0" w:color="auto"/>
        <w:left w:val="none" w:sz="0" w:space="0" w:color="auto"/>
        <w:bottom w:val="none" w:sz="0" w:space="0" w:color="auto"/>
        <w:right w:val="none" w:sz="0" w:space="0" w:color="auto"/>
      </w:divBdr>
    </w:div>
    <w:div w:id="1218738511">
      <w:bodyDiv w:val="1"/>
      <w:marLeft w:val="0"/>
      <w:marRight w:val="0"/>
      <w:marTop w:val="0"/>
      <w:marBottom w:val="0"/>
      <w:divBdr>
        <w:top w:val="none" w:sz="0" w:space="0" w:color="auto"/>
        <w:left w:val="none" w:sz="0" w:space="0" w:color="auto"/>
        <w:bottom w:val="none" w:sz="0" w:space="0" w:color="auto"/>
        <w:right w:val="none" w:sz="0" w:space="0" w:color="auto"/>
      </w:divBdr>
    </w:div>
    <w:div w:id="1220288596">
      <w:bodyDiv w:val="1"/>
      <w:marLeft w:val="0"/>
      <w:marRight w:val="0"/>
      <w:marTop w:val="0"/>
      <w:marBottom w:val="0"/>
      <w:divBdr>
        <w:top w:val="none" w:sz="0" w:space="0" w:color="auto"/>
        <w:left w:val="none" w:sz="0" w:space="0" w:color="auto"/>
        <w:bottom w:val="none" w:sz="0" w:space="0" w:color="auto"/>
        <w:right w:val="none" w:sz="0" w:space="0" w:color="auto"/>
      </w:divBdr>
    </w:div>
    <w:div w:id="1220820268">
      <w:bodyDiv w:val="1"/>
      <w:marLeft w:val="0"/>
      <w:marRight w:val="0"/>
      <w:marTop w:val="0"/>
      <w:marBottom w:val="0"/>
      <w:divBdr>
        <w:top w:val="none" w:sz="0" w:space="0" w:color="auto"/>
        <w:left w:val="none" w:sz="0" w:space="0" w:color="auto"/>
        <w:bottom w:val="none" w:sz="0" w:space="0" w:color="auto"/>
        <w:right w:val="none" w:sz="0" w:space="0" w:color="auto"/>
      </w:divBdr>
    </w:div>
    <w:div w:id="1221211016">
      <w:bodyDiv w:val="1"/>
      <w:marLeft w:val="0"/>
      <w:marRight w:val="0"/>
      <w:marTop w:val="0"/>
      <w:marBottom w:val="0"/>
      <w:divBdr>
        <w:top w:val="none" w:sz="0" w:space="0" w:color="auto"/>
        <w:left w:val="none" w:sz="0" w:space="0" w:color="auto"/>
        <w:bottom w:val="none" w:sz="0" w:space="0" w:color="auto"/>
        <w:right w:val="none" w:sz="0" w:space="0" w:color="auto"/>
      </w:divBdr>
    </w:div>
    <w:div w:id="1221329222">
      <w:bodyDiv w:val="1"/>
      <w:marLeft w:val="0"/>
      <w:marRight w:val="0"/>
      <w:marTop w:val="0"/>
      <w:marBottom w:val="0"/>
      <w:divBdr>
        <w:top w:val="none" w:sz="0" w:space="0" w:color="auto"/>
        <w:left w:val="none" w:sz="0" w:space="0" w:color="auto"/>
        <w:bottom w:val="none" w:sz="0" w:space="0" w:color="auto"/>
        <w:right w:val="none" w:sz="0" w:space="0" w:color="auto"/>
      </w:divBdr>
    </w:div>
    <w:div w:id="1224636450">
      <w:bodyDiv w:val="1"/>
      <w:marLeft w:val="0"/>
      <w:marRight w:val="0"/>
      <w:marTop w:val="0"/>
      <w:marBottom w:val="0"/>
      <w:divBdr>
        <w:top w:val="none" w:sz="0" w:space="0" w:color="auto"/>
        <w:left w:val="none" w:sz="0" w:space="0" w:color="auto"/>
        <w:bottom w:val="none" w:sz="0" w:space="0" w:color="auto"/>
        <w:right w:val="none" w:sz="0" w:space="0" w:color="auto"/>
      </w:divBdr>
    </w:div>
    <w:div w:id="1225217319">
      <w:bodyDiv w:val="1"/>
      <w:marLeft w:val="0"/>
      <w:marRight w:val="0"/>
      <w:marTop w:val="0"/>
      <w:marBottom w:val="0"/>
      <w:divBdr>
        <w:top w:val="none" w:sz="0" w:space="0" w:color="auto"/>
        <w:left w:val="none" w:sz="0" w:space="0" w:color="auto"/>
        <w:bottom w:val="none" w:sz="0" w:space="0" w:color="auto"/>
        <w:right w:val="none" w:sz="0" w:space="0" w:color="auto"/>
      </w:divBdr>
    </w:div>
    <w:div w:id="1227302634">
      <w:bodyDiv w:val="1"/>
      <w:marLeft w:val="0"/>
      <w:marRight w:val="0"/>
      <w:marTop w:val="0"/>
      <w:marBottom w:val="0"/>
      <w:divBdr>
        <w:top w:val="none" w:sz="0" w:space="0" w:color="auto"/>
        <w:left w:val="none" w:sz="0" w:space="0" w:color="auto"/>
        <w:bottom w:val="none" w:sz="0" w:space="0" w:color="auto"/>
        <w:right w:val="none" w:sz="0" w:space="0" w:color="auto"/>
      </w:divBdr>
    </w:div>
    <w:div w:id="1227689595">
      <w:bodyDiv w:val="1"/>
      <w:marLeft w:val="0"/>
      <w:marRight w:val="0"/>
      <w:marTop w:val="0"/>
      <w:marBottom w:val="0"/>
      <w:divBdr>
        <w:top w:val="none" w:sz="0" w:space="0" w:color="auto"/>
        <w:left w:val="none" w:sz="0" w:space="0" w:color="auto"/>
        <w:bottom w:val="none" w:sz="0" w:space="0" w:color="auto"/>
        <w:right w:val="none" w:sz="0" w:space="0" w:color="auto"/>
      </w:divBdr>
    </w:div>
    <w:div w:id="1229000595">
      <w:bodyDiv w:val="1"/>
      <w:marLeft w:val="0"/>
      <w:marRight w:val="0"/>
      <w:marTop w:val="0"/>
      <w:marBottom w:val="0"/>
      <w:divBdr>
        <w:top w:val="none" w:sz="0" w:space="0" w:color="auto"/>
        <w:left w:val="none" w:sz="0" w:space="0" w:color="auto"/>
        <w:bottom w:val="none" w:sz="0" w:space="0" w:color="auto"/>
        <w:right w:val="none" w:sz="0" w:space="0" w:color="auto"/>
      </w:divBdr>
    </w:div>
    <w:div w:id="1229195531">
      <w:bodyDiv w:val="1"/>
      <w:marLeft w:val="0"/>
      <w:marRight w:val="0"/>
      <w:marTop w:val="0"/>
      <w:marBottom w:val="0"/>
      <w:divBdr>
        <w:top w:val="none" w:sz="0" w:space="0" w:color="auto"/>
        <w:left w:val="none" w:sz="0" w:space="0" w:color="auto"/>
        <w:bottom w:val="none" w:sz="0" w:space="0" w:color="auto"/>
        <w:right w:val="none" w:sz="0" w:space="0" w:color="auto"/>
      </w:divBdr>
    </w:div>
    <w:div w:id="1230924324">
      <w:bodyDiv w:val="1"/>
      <w:marLeft w:val="0"/>
      <w:marRight w:val="0"/>
      <w:marTop w:val="0"/>
      <w:marBottom w:val="0"/>
      <w:divBdr>
        <w:top w:val="none" w:sz="0" w:space="0" w:color="auto"/>
        <w:left w:val="none" w:sz="0" w:space="0" w:color="auto"/>
        <w:bottom w:val="none" w:sz="0" w:space="0" w:color="auto"/>
        <w:right w:val="none" w:sz="0" w:space="0" w:color="auto"/>
      </w:divBdr>
    </w:div>
    <w:div w:id="1231773653">
      <w:bodyDiv w:val="1"/>
      <w:marLeft w:val="0"/>
      <w:marRight w:val="0"/>
      <w:marTop w:val="0"/>
      <w:marBottom w:val="0"/>
      <w:divBdr>
        <w:top w:val="none" w:sz="0" w:space="0" w:color="auto"/>
        <w:left w:val="none" w:sz="0" w:space="0" w:color="auto"/>
        <w:bottom w:val="none" w:sz="0" w:space="0" w:color="auto"/>
        <w:right w:val="none" w:sz="0" w:space="0" w:color="auto"/>
      </w:divBdr>
    </w:div>
    <w:div w:id="1232233943">
      <w:bodyDiv w:val="1"/>
      <w:marLeft w:val="0"/>
      <w:marRight w:val="0"/>
      <w:marTop w:val="0"/>
      <w:marBottom w:val="0"/>
      <w:divBdr>
        <w:top w:val="none" w:sz="0" w:space="0" w:color="auto"/>
        <w:left w:val="none" w:sz="0" w:space="0" w:color="auto"/>
        <w:bottom w:val="none" w:sz="0" w:space="0" w:color="auto"/>
        <w:right w:val="none" w:sz="0" w:space="0" w:color="auto"/>
      </w:divBdr>
    </w:div>
    <w:div w:id="1232886563">
      <w:bodyDiv w:val="1"/>
      <w:marLeft w:val="0"/>
      <w:marRight w:val="0"/>
      <w:marTop w:val="0"/>
      <w:marBottom w:val="0"/>
      <w:divBdr>
        <w:top w:val="none" w:sz="0" w:space="0" w:color="auto"/>
        <w:left w:val="none" w:sz="0" w:space="0" w:color="auto"/>
        <w:bottom w:val="none" w:sz="0" w:space="0" w:color="auto"/>
        <w:right w:val="none" w:sz="0" w:space="0" w:color="auto"/>
      </w:divBdr>
    </w:div>
    <w:div w:id="1236167926">
      <w:bodyDiv w:val="1"/>
      <w:marLeft w:val="0"/>
      <w:marRight w:val="0"/>
      <w:marTop w:val="0"/>
      <w:marBottom w:val="0"/>
      <w:divBdr>
        <w:top w:val="none" w:sz="0" w:space="0" w:color="auto"/>
        <w:left w:val="none" w:sz="0" w:space="0" w:color="auto"/>
        <w:bottom w:val="none" w:sz="0" w:space="0" w:color="auto"/>
        <w:right w:val="none" w:sz="0" w:space="0" w:color="auto"/>
      </w:divBdr>
    </w:div>
    <w:div w:id="1236666938">
      <w:bodyDiv w:val="1"/>
      <w:marLeft w:val="0"/>
      <w:marRight w:val="0"/>
      <w:marTop w:val="0"/>
      <w:marBottom w:val="0"/>
      <w:divBdr>
        <w:top w:val="none" w:sz="0" w:space="0" w:color="auto"/>
        <w:left w:val="none" w:sz="0" w:space="0" w:color="auto"/>
        <w:bottom w:val="none" w:sz="0" w:space="0" w:color="auto"/>
        <w:right w:val="none" w:sz="0" w:space="0" w:color="auto"/>
      </w:divBdr>
    </w:div>
    <w:div w:id="1237015183">
      <w:bodyDiv w:val="1"/>
      <w:marLeft w:val="0"/>
      <w:marRight w:val="0"/>
      <w:marTop w:val="0"/>
      <w:marBottom w:val="0"/>
      <w:divBdr>
        <w:top w:val="none" w:sz="0" w:space="0" w:color="auto"/>
        <w:left w:val="none" w:sz="0" w:space="0" w:color="auto"/>
        <w:bottom w:val="none" w:sz="0" w:space="0" w:color="auto"/>
        <w:right w:val="none" w:sz="0" w:space="0" w:color="auto"/>
      </w:divBdr>
    </w:div>
    <w:div w:id="1237277274">
      <w:bodyDiv w:val="1"/>
      <w:marLeft w:val="0"/>
      <w:marRight w:val="0"/>
      <w:marTop w:val="0"/>
      <w:marBottom w:val="0"/>
      <w:divBdr>
        <w:top w:val="none" w:sz="0" w:space="0" w:color="auto"/>
        <w:left w:val="none" w:sz="0" w:space="0" w:color="auto"/>
        <w:bottom w:val="none" w:sz="0" w:space="0" w:color="auto"/>
        <w:right w:val="none" w:sz="0" w:space="0" w:color="auto"/>
      </w:divBdr>
    </w:div>
    <w:div w:id="1238172567">
      <w:bodyDiv w:val="1"/>
      <w:marLeft w:val="0"/>
      <w:marRight w:val="0"/>
      <w:marTop w:val="0"/>
      <w:marBottom w:val="0"/>
      <w:divBdr>
        <w:top w:val="none" w:sz="0" w:space="0" w:color="auto"/>
        <w:left w:val="none" w:sz="0" w:space="0" w:color="auto"/>
        <w:bottom w:val="none" w:sz="0" w:space="0" w:color="auto"/>
        <w:right w:val="none" w:sz="0" w:space="0" w:color="auto"/>
      </w:divBdr>
    </w:div>
    <w:div w:id="1240095242">
      <w:bodyDiv w:val="1"/>
      <w:marLeft w:val="0"/>
      <w:marRight w:val="0"/>
      <w:marTop w:val="0"/>
      <w:marBottom w:val="0"/>
      <w:divBdr>
        <w:top w:val="none" w:sz="0" w:space="0" w:color="auto"/>
        <w:left w:val="none" w:sz="0" w:space="0" w:color="auto"/>
        <w:bottom w:val="none" w:sz="0" w:space="0" w:color="auto"/>
        <w:right w:val="none" w:sz="0" w:space="0" w:color="auto"/>
      </w:divBdr>
    </w:div>
    <w:div w:id="1240747962">
      <w:bodyDiv w:val="1"/>
      <w:marLeft w:val="0"/>
      <w:marRight w:val="0"/>
      <w:marTop w:val="0"/>
      <w:marBottom w:val="0"/>
      <w:divBdr>
        <w:top w:val="none" w:sz="0" w:space="0" w:color="auto"/>
        <w:left w:val="none" w:sz="0" w:space="0" w:color="auto"/>
        <w:bottom w:val="none" w:sz="0" w:space="0" w:color="auto"/>
        <w:right w:val="none" w:sz="0" w:space="0" w:color="auto"/>
      </w:divBdr>
    </w:div>
    <w:div w:id="1241137059">
      <w:bodyDiv w:val="1"/>
      <w:marLeft w:val="0"/>
      <w:marRight w:val="0"/>
      <w:marTop w:val="0"/>
      <w:marBottom w:val="0"/>
      <w:divBdr>
        <w:top w:val="none" w:sz="0" w:space="0" w:color="auto"/>
        <w:left w:val="none" w:sz="0" w:space="0" w:color="auto"/>
        <w:bottom w:val="none" w:sz="0" w:space="0" w:color="auto"/>
        <w:right w:val="none" w:sz="0" w:space="0" w:color="auto"/>
      </w:divBdr>
    </w:div>
    <w:div w:id="1242063683">
      <w:bodyDiv w:val="1"/>
      <w:marLeft w:val="0"/>
      <w:marRight w:val="0"/>
      <w:marTop w:val="0"/>
      <w:marBottom w:val="0"/>
      <w:divBdr>
        <w:top w:val="none" w:sz="0" w:space="0" w:color="auto"/>
        <w:left w:val="none" w:sz="0" w:space="0" w:color="auto"/>
        <w:bottom w:val="none" w:sz="0" w:space="0" w:color="auto"/>
        <w:right w:val="none" w:sz="0" w:space="0" w:color="auto"/>
      </w:divBdr>
    </w:div>
    <w:div w:id="1243873487">
      <w:bodyDiv w:val="1"/>
      <w:marLeft w:val="0"/>
      <w:marRight w:val="0"/>
      <w:marTop w:val="0"/>
      <w:marBottom w:val="0"/>
      <w:divBdr>
        <w:top w:val="none" w:sz="0" w:space="0" w:color="auto"/>
        <w:left w:val="none" w:sz="0" w:space="0" w:color="auto"/>
        <w:bottom w:val="none" w:sz="0" w:space="0" w:color="auto"/>
        <w:right w:val="none" w:sz="0" w:space="0" w:color="auto"/>
      </w:divBdr>
    </w:div>
    <w:div w:id="1244878202">
      <w:bodyDiv w:val="1"/>
      <w:marLeft w:val="0"/>
      <w:marRight w:val="0"/>
      <w:marTop w:val="0"/>
      <w:marBottom w:val="0"/>
      <w:divBdr>
        <w:top w:val="none" w:sz="0" w:space="0" w:color="auto"/>
        <w:left w:val="none" w:sz="0" w:space="0" w:color="auto"/>
        <w:bottom w:val="none" w:sz="0" w:space="0" w:color="auto"/>
        <w:right w:val="none" w:sz="0" w:space="0" w:color="auto"/>
      </w:divBdr>
    </w:div>
    <w:div w:id="1245143709">
      <w:bodyDiv w:val="1"/>
      <w:marLeft w:val="0"/>
      <w:marRight w:val="0"/>
      <w:marTop w:val="0"/>
      <w:marBottom w:val="0"/>
      <w:divBdr>
        <w:top w:val="none" w:sz="0" w:space="0" w:color="auto"/>
        <w:left w:val="none" w:sz="0" w:space="0" w:color="auto"/>
        <w:bottom w:val="none" w:sz="0" w:space="0" w:color="auto"/>
        <w:right w:val="none" w:sz="0" w:space="0" w:color="auto"/>
      </w:divBdr>
    </w:div>
    <w:div w:id="1245458091">
      <w:bodyDiv w:val="1"/>
      <w:marLeft w:val="0"/>
      <w:marRight w:val="0"/>
      <w:marTop w:val="0"/>
      <w:marBottom w:val="0"/>
      <w:divBdr>
        <w:top w:val="none" w:sz="0" w:space="0" w:color="auto"/>
        <w:left w:val="none" w:sz="0" w:space="0" w:color="auto"/>
        <w:bottom w:val="none" w:sz="0" w:space="0" w:color="auto"/>
        <w:right w:val="none" w:sz="0" w:space="0" w:color="auto"/>
      </w:divBdr>
    </w:div>
    <w:div w:id="1245801114">
      <w:bodyDiv w:val="1"/>
      <w:marLeft w:val="0"/>
      <w:marRight w:val="0"/>
      <w:marTop w:val="0"/>
      <w:marBottom w:val="0"/>
      <w:divBdr>
        <w:top w:val="none" w:sz="0" w:space="0" w:color="auto"/>
        <w:left w:val="none" w:sz="0" w:space="0" w:color="auto"/>
        <w:bottom w:val="none" w:sz="0" w:space="0" w:color="auto"/>
        <w:right w:val="none" w:sz="0" w:space="0" w:color="auto"/>
      </w:divBdr>
    </w:div>
    <w:div w:id="1245995277">
      <w:bodyDiv w:val="1"/>
      <w:marLeft w:val="0"/>
      <w:marRight w:val="0"/>
      <w:marTop w:val="0"/>
      <w:marBottom w:val="0"/>
      <w:divBdr>
        <w:top w:val="none" w:sz="0" w:space="0" w:color="auto"/>
        <w:left w:val="none" w:sz="0" w:space="0" w:color="auto"/>
        <w:bottom w:val="none" w:sz="0" w:space="0" w:color="auto"/>
        <w:right w:val="none" w:sz="0" w:space="0" w:color="auto"/>
      </w:divBdr>
    </w:div>
    <w:div w:id="1246527076">
      <w:bodyDiv w:val="1"/>
      <w:marLeft w:val="0"/>
      <w:marRight w:val="0"/>
      <w:marTop w:val="0"/>
      <w:marBottom w:val="0"/>
      <w:divBdr>
        <w:top w:val="none" w:sz="0" w:space="0" w:color="auto"/>
        <w:left w:val="none" w:sz="0" w:space="0" w:color="auto"/>
        <w:bottom w:val="none" w:sz="0" w:space="0" w:color="auto"/>
        <w:right w:val="none" w:sz="0" w:space="0" w:color="auto"/>
      </w:divBdr>
    </w:div>
    <w:div w:id="1248465477">
      <w:bodyDiv w:val="1"/>
      <w:marLeft w:val="0"/>
      <w:marRight w:val="0"/>
      <w:marTop w:val="0"/>
      <w:marBottom w:val="0"/>
      <w:divBdr>
        <w:top w:val="none" w:sz="0" w:space="0" w:color="auto"/>
        <w:left w:val="none" w:sz="0" w:space="0" w:color="auto"/>
        <w:bottom w:val="none" w:sz="0" w:space="0" w:color="auto"/>
        <w:right w:val="none" w:sz="0" w:space="0" w:color="auto"/>
      </w:divBdr>
    </w:div>
    <w:div w:id="1250776605">
      <w:bodyDiv w:val="1"/>
      <w:marLeft w:val="0"/>
      <w:marRight w:val="0"/>
      <w:marTop w:val="0"/>
      <w:marBottom w:val="0"/>
      <w:divBdr>
        <w:top w:val="none" w:sz="0" w:space="0" w:color="auto"/>
        <w:left w:val="none" w:sz="0" w:space="0" w:color="auto"/>
        <w:bottom w:val="none" w:sz="0" w:space="0" w:color="auto"/>
        <w:right w:val="none" w:sz="0" w:space="0" w:color="auto"/>
      </w:divBdr>
    </w:div>
    <w:div w:id="1251961683">
      <w:bodyDiv w:val="1"/>
      <w:marLeft w:val="0"/>
      <w:marRight w:val="0"/>
      <w:marTop w:val="0"/>
      <w:marBottom w:val="0"/>
      <w:divBdr>
        <w:top w:val="none" w:sz="0" w:space="0" w:color="auto"/>
        <w:left w:val="none" w:sz="0" w:space="0" w:color="auto"/>
        <w:bottom w:val="none" w:sz="0" w:space="0" w:color="auto"/>
        <w:right w:val="none" w:sz="0" w:space="0" w:color="auto"/>
      </w:divBdr>
    </w:div>
    <w:div w:id="1252930473">
      <w:bodyDiv w:val="1"/>
      <w:marLeft w:val="0"/>
      <w:marRight w:val="0"/>
      <w:marTop w:val="0"/>
      <w:marBottom w:val="0"/>
      <w:divBdr>
        <w:top w:val="none" w:sz="0" w:space="0" w:color="auto"/>
        <w:left w:val="none" w:sz="0" w:space="0" w:color="auto"/>
        <w:bottom w:val="none" w:sz="0" w:space="0" w:color="auto"/>
        <w:right w:val="none" w:sz="0" w:space="0" w:color="auto"/>
      </w:divBdr>
    </w:div>
    <w:div w:id="1253054002">
      <w:bodyDiv w:val="1"/>
      <w:marLeft w:val="0"/>
      <w:marRight w:val="0"/>
      <w:marTop w:val="0"/>
      <w:marBottom w:val="0"/>
      <w:divBdr>
        <w:top w:val="none" w:sz="0" w:space="0" w:color="auto"/>
        <w:left w:val="none" w:sz="0" w:space="0" w:color="auto"/>
        <w:bottom w:val="none" w:sz="0" w:space="0" w:color="auto"/>
        <w:right w:val="none" w:sz="0" w:space="0" w:color="auto"/>
      </w:divBdr>
    </w:div>
    <w:div w:id="1253513140">
      <w:bodyDiv w:val="1"/>
      <w:marLeft w:val="0"/>
      <w:marRight w:val="0"/>
      <w:marTop w:val="0"/>
      <w:marBottom w:val="0"/>
      <w:divBdr>
        <w:top w:val="none" w:sz="0" w:space="0" w:color="auto"/>
        <w:left w:val="none" w:sz="0" w:space="0" w:color="auto"/>
        <w:bottom w:val="none" w:sz="0" w:space="0" w:color="auto"/>
        <w:right w:val="none" w:sz="0" w:space="0" w:color="auto"/>
      </w:divBdr>
    </w:div>
    <w:div w:id="1254316664">
      <w:bodyDiv w:val="1"/>
      <w:marLeft w:val="0"/>
      <w:marRight w:val="0"/>
      <w:marTop w:val="0"/>
      <w:marBottom w:val="0"/>
      <w:divBdr>
        <w:top w:val="none" w:sz="0" w:space="0" w:color="auto"/>
        <w:left w:val="none" w:sz="0" w:space="0" w:color="auto"/>
        <w:bottom w:val="none" w:sz="0" w:space="0" w:color="auto"/>
        <w:right w:val="none" w:sz="0" w:space="0" w:color="auto"/>
      </w:divBdr>
    </w:div>
    <w:div w:id="1254827116">
      <w:bodyDiv w:val="1"/>
      <w:marLeft w:val="0"/>
      <w:marRight w:val="0"/>
      <w:marTop w:val="0"/>
      <w:marBottom w:val="0"/>
      <w:divBdr>
        <w:top w:val="none" w:sz="0" w:space="0" w:color="auto"/>
        <w:left w:val="none" w:sz="0" w:space="0" w:color="auto"/>
        <w:bottom w:val="none" w:sz="0" w:space="0" w:color="auto"/>
        <w:right w:val="none" w:sz="0" w:space="0" w:color="auto"/>
      </w:divBdr>
    </w:div>
    <w:div w:id="1255556496">
      <w:bodyDiv w:val="1"/>
      <w:marLeft w:val="0"/>
      <w:marRight w:val="0"/>
      <w:marTop w:val="0"/>
      <w:marBottom w:val="0"/>
      <w:divBdr>
        <w:top w:val="none" w:sz="0" w:space="0" w:color="auto"/>
        <w:left w:val="none" w:sz="0" w:space="0" w:color="auto"/>
        <w:bottom w:val="none" w:sz="0" w:space="0" w:color="auto"/>
        <w:right w:val="none" w:sz="0" w:space="0" w:color="auto"/>
      </w:divBdr>
    </w:div>
    <w:div w:id="1256016986">
      <w:bodyDiv w:val="1"/>
      <w:marLeft w:val="0"/>
      <w:marRight w:val="0"/>
      <w:marTop w:val="0"/>
      <w:marBottom w:val="0"/>
      <w:divBdr>
        <w:top w:val="none" w:sz="0" w:space="0" w:color="auto"/>
        <w:left w:val="none" w:sz="0" w:space="0" w:color="auto"/>
        <w:bottom w:val="none" w:sz="0" w:space="0" w:color="auto"/>
        <w:right w:val="none" w:sz="0" w:space="0" w:color="auto"/>
      </w:divBdr>
    </w:div>
    <w:div w:id="1257792370">
      <w:bodyDiv w:val="1"/>
      <w:marLeft w:val="0"/>
      <w:marRight w:val="0"/>
      <w:marTop w:val="0"/>
      <w:marBottom w:val="0"/>
      <w:divBdr>
        <w:top w:val="none" w:sz="0" w:space="0" w:color="auto"/>
        <w:left w:val="none" w:sz="0" w:space="0" w:color="auto"/>
        <w:bottom w:val="none" w:sz="0" w:space="0" w:color="auto"/>
        <w:right w:val="none" w:sz="0" w:space="0" w:color="auto"/>
      </w:divBdr>
    </w:div>
    <w:div w:id="1258292758">
      <w:bodyDiv w:val="1"/>
      <w:marLeft w:val="0"/>
      <w:marRight w:val="0"/>
      <w:marTop w:val="0"/>
      <w:marBottom w:val="0"/>
      <w:divBdr>
        <w:top w:val="none" w:sz="0" w:space="0" w:color="auto"/>
        <w:left w:val="none" w:sz="0" w:space="0" w:color="auto"/>
        <w:bottom w:val="none" w:sz="0" w:space="0" w:color="auto"/>
        <w:right w:val="none" w:sz="0" w:space="0" w:color="auto"/>
      </w:divBdr>
    </w:div>
    <w:div w:id="1258909646">
      <w:bodyDiv w:val="1"/>
      <w:marLeft w:val="0"/>
      <w:marRight w:val="0"/>
      <w:marTop w:val="0"/>
      <w:marBottom w:val="0"/>
      <w:divBdr>
        <w:top w:val="none" w:sz="0" w:space="0" w:color="auto"/>
        <w:left w:val="none" w:sz="0" w:space="0" w:color="auto"/>
        <w:bottom w:val="none" w:sz="0" w:space="0" w:color="auto"/>
        <w:right w:val="none" w:sz="0" w:space="0" w:color="auto"/>
      </w:divBdr>
    </w:div>
    <w:div w:id="1259555270">
      <w:bodyDiv w:val="1"/>
      <w:marLeft w:val="0"/>
      <w:marRight w:val="0"/>
      <w:marTop w:val="0"/>
      <w:marBottom w:val="0"/>
      <w:divBdr>
        <w:top w:val="none" w:sz="0" w:space="0" w:color="auto"/>
        <w:left w:val="none" w:sz="0" w:space="0" w:color="auto"/>
        <w:bottom w:val="none" w:sz="0" w:space="0" w:color="auto"/>
        <w:right w:val="none" w:sz="0" w:space="0" w:color="auto"/>
      </w:divBdr>
    </w:div>
    <w:div w:id="1261912149">
      <w:bodyDiv w:val="1"/>
      <w:marLeft w:val="0"/>
      <w:marRight w:val="0"/>
      <w:marTop w:val="0"/>
      <w:marBottom w:val="0"/>
      <w:divBdr>
        <w:top w:val="none" w:sz="0" w:space="0" w:color="auto"/>
        <w:left w:val="none" w:sz="0" w:space="0" w:color="auto"/>
        <w:bottom w:val="none" w:sz="0" w:space="0" w:color="auto"/>
        <w:right w:val="none" w:sz="0" w:space="0" w:color="auto"/>
      </w:divBdr>
    </w:div>
    <w:div w:id="1265580033">
      <w:bodyDiv w:val="1"/>
      <w:marLeft w:val="0"/>
      <w:marRight w:val="0"/>
      <w:marTop w:val="0"/>
      <w:marBottom w:val="0"/>
      <w:divBdr>
        <w:top w:val="none" w:sz="0" w:space="0" w:color="auto"/>
        <w:left w:val="none" w:sz="0" w:space="0" w:color="auto"/>
        <w:bottom w:val="none" w:sz="0" w:space="0" w:color="auto"/>
        <w:right w:val="none" w:sz="0" w:space="0" w:color="auto"/>
      </w:divBdr>
    </w:div>
    <w:div w:id="1267617014">
      <w:bodyDiv w:val="1"/>
      <w:marLeft w:val="0"/>
      <w:marRight w:val="0"/>
      <w:marTop w:val="0"/>
      <w:marBottom w:val="0"/>
      <w:divBdr>
        <w:top w:val="none" w:sz="0" w:space="0" w:color="auto"/>
        <w:left w:val="none" w:sz="0" w:space="0" w:color="auto"/>
        <w:bottom w:val="none" w:sz="0" w:space="0" w:color="auto"/>
        <w:right w:val="none" w:sz="0" w:space="0" w:color="auto"/>
      </w:divBdr>
    </w:div>
    <w:div w:id="1270772084">
      <w:bodyDiv w:val="1"/>
      <w:marLeft w:val="0"/>
      <w:marRight w:val="0"/>
      <w:marTop w:val="0"/>
      <w:marBottom w:val="0"/>
      <w:divBdr>
        <w:top w:val="none" w:sz="0" w:space="0" w:color="auto"/>
        <w:left w:val="none" w:sz="0" w:space="0" w:color="auto"/>
        <w:bottom w:val="none" w:sz="0" w:space="0" w:color="auto"/>
        <w:right w:val="none" w:sz="0" w:space="0" w:color="auto"/>
      </w:divBdr>
    </w:div>
    <w:div w:id="1272203453">
      <w:bodyDiv w:val="1"/>
      <w:marLeft w:val="0"/>
      <w:marRight w:val="0"/>
      <w:marTop w:val="0"/>
      <w:marBottom w:val="0"/>
      <w:divBdr>
        <w:top w:val="none" w:sz="0" w:space="0" w:color="auto"/>
        <w:left w:val="none" w:sz="0" w:space="0" w:color="auto"/>
        <w:bottom w:val="none" w:sz="0" w:space="0" w:color="auto"/>
        <w:right w:val="none" w:sz="0" w:space="0" w:color="auto"/>
      </w:divBdr>
    </w:div>
    <w:div w:id="1272543764">
      <w:bodyDiv w:val="1"/>
      <w:marLeft w:val="0"/>
      <w:marRight w:val="0"/>
      <w:marTop w:val="0"/>
      <w:marBottom w:val="0"/>
      <w:divBdr>
        <w:top w:val="none" w:sz="0" w:space="0" w:color="auto"/>
        <w:left w:val="none" w:sz="0" w:space="0" w:color="auto"/>
        <w:bottom w:val="none" w:sz="0" w:space="0" w:color="auto"/>
        <w:right w:val="none" w:sz="0" w:space="0" w:color="auto"/>
      </w:divBdr>
    </w:div>
    <w:div w:id="1275209880">
      <w:bodyDiv w:val="1"/>
      <w:marLeft w:val="0"/>
      <w:marRight w:val="0"/>
      <w:marTop w:val="0"/>
      <w:marBottom w:val="0"/>
      <w:divBdr>
        <w:top w:val="none" w:sz="0" w:space="0" w:color="auto"/>
        <w:left w:val="none" w:sz="0" w:space="0" w:color="auto"/>
        <w:bottom w:val="none" w:sz="0" w:space="0" w:color="auto"/>
        <w:right w:val="none" w:sz="0" w:space="0" w:color="auto"/>
      </w:divBdr>
    </w:div>
    <w:div w:id="1276406322">
      <w:bodyDiv w:val="1"/>
      <w:marLeft w:val="0"/>
      <w:marRight w:val="0"/>
      <w:marTop w:val="0"/>
      <w:marBottom w:val="0"/>
      <w:divBdr>
        <w:top w:val="none" w:sz="0" w:space="0" w:color="auto"/>
        <w:left w:val="none" w:sz="0" w:space="0" w:color="auto"/>
        <w:bottom w:val="none" w:sz="0" w:space="0" w:color="auto"/>
        <w:right w:val="none" w:sz="0" w:space="0" w:color="auto"/>
      </w:divBdr>
    </w:div>
    <w:div w:id="1276601801">
      <w:bodyDiv w:val="1"/>
      <w:marLeft w:val="0"/>
      <w:marRight w:val="0"/>
      <w:marTop w:val="0"/>
      <w:marBottom w:val="0"/>
      <w:divBdr>
        <w:top w:val="none" w:sz="0" w:space="0" w:color="auto"/>
        <w:left w:val="none" w:sz="0" w:space="0" w:color="auto"/>
        <w:bottom w:val="none" w:sz="0" w:space="0" w:color="auto"/>
        <w:right w:val="none" w:sz="0" w:space="0" w:color="auto"/>
      </w:divBdr>
    </w:div>
    <w:div w:id="1278871492">
      <w:bodyDiv w:val="1"/>
      <w:marLeft w:val="0"/>
      <w:marRight w:val="0"/>
      <w:marTop w:val="0"/>
      <w:marBottom w:val="0"/>
      <w:divBdr>
        <w:top w:val="none" w:sz="0" w:space="0" w:color="auto"/>
        <w:left w:val="none" w:sz="0" w:space="0" w:color="auto"/>
        <w:bottom w:val="none" w:sz="0" w:space="0" w:color="auto"/>
        <w:right w:val="none" w:sz="0" w:space="0" w:color="auto"/>
      </w:divBdr>
    </w:div>
    <w:div w:id="1279218605">
      <w:bodyDiv w:val="1"/>
      <w:marLeft w:val="0"/>
      <w:marRight w:val="0"/>
      <w:marTop w:val="0"/>
      <w:marBottom w:val="0"/>
      <w:divBdr>
        <w:top w:val="none" w:sz="0" w:space="0" w:color="auto"/>
        <w:left w:val="none" w:sz="0" w:space="0" w:color="auto"/>
        <w:bottom w:val="none" w:sz="0" w:space="0" w:color="auto"/>
        <w:right w:val="none" w:sz="0" w:space="0" w:color="auto"/>
      </w:divBdr>
    </w:div>
    <w:div w:id="1280601703">
      <w:bodyDiv w:val="1"/>
      <w:marLeft w:val="0"/>
      <w:marRight w:val="0"/>
      <w:marTop w:val="0"/>
      <w:marBottom w:val="0"/>
      <w:divBdr>
        <w:top w:val="none" w:sz="0" w:space="0" w:color="auto"/>
        <w:left w:val="none" w:sz="0" w:space="0" w:color="auto"/>
        <w:bottom w:val="none" w:sz="0" w:space="0" w:color="auto"/>
        <w:right w:val="none" w:sz="0" w:space="0" w:color="auto"/>
      </w:divBdr>
    </w:div>
    <w:div w:id="1281499474">
      <w:bodyDiv w:val="1"/>
      <w:marLeft w:val="0"/>
      <w:marRight w:val="0"/>
      <w:marTop w:val="0"/>
      <w:marBottom w:val="0"/>
      <w:divBdr>
        <w:top w:val="none" w:sz="0" w:space="0" w:color="auto"/>
        <w:left w:val="none" w:sz="0" w:space="0" w:color="auto"/>
        <w:bottom w:val="none" w:sz="0" w:space="0" w:color="auto"/>
        <w:right w:val="none" w:sz="0" w:space="0" w:color="auto"/>
      </w:divBdr>
    </w:div>
    <w:div w:id="1281718564">
      <w:bodyDiv w:val="1"/>
      <w:marLeft w:val="0"/>
      <w:marRight w:val="0"/>
      <w:marTop w:val="0"/>
      <w:marBottom w:val="0"/>
      <w:divBdr>
        <w:top w:val="none" w:sz="0" w:space="0" w:color="auto"/>
        <w:left w:val="none" w:sz="0" w:space="0" w:color="auto"/>
        <w:bottom w:val="none" w:sz="0" w:space="0" w:color="auto"/>
        <w:right w:val="none" w:sz="0" w:space="0" w:color="auto"/>
      </w:divBdr>
    </w:div>
    <w:div w:id="1281958711">
      <w:bodyDiv w:val="1"/>
      <w:marLeft w:val="0"/>
      <w:marRight w:val="0"/>
      <w:marTop w:val="0"/>
      <w:marBottom w:val="0"/>
      <w:divBdr>
        <w:top w:val="none" w:sz="0" w:space="0" w:color="auto"/>
        <w:left w:val="none" w:sz="0" w:space="0" w:color="auto"/>
        <w:bottom w:val="none" w:sz="0" w:space="0" w:color="auto"/>
        <w:right w:val="none" w:sz="0" w:space="0" w:color="auto"/>
      </w:divBdr>
    </w:div>
    <w:div w:id="1282765056">
      <w:bodyDiv w:val="1"/>
      <w:marLeft w:val="0"/>
      <w:marRight w:val="0"/>
      <w:marTop w:val="0"/>
      <w:marBottom w:val="0"/>
      <w:divBdr>
        <w:top w:val="none" w:sz="0" w:space="0" w:color="auto"/>
        <w:left w:val="none" w:sz="0" w:space="0" w:color="auto"/>
        <w:bottom w:val="none" w:sz="0" w:space="0" w:color="auto"/>
        <w:right w:val="none" w:sz="0" w:space="0" w:color="auto"/>
      </w:divBdr>
    </w:div>
    <w:div w:id="1282806925">
      <w:bodyDiv w:val="1"/>
      <w:marLeft w:val="0"/>
      <w:marRight w:val="0"/>
      <w:marTop w:val="0"/>
      <w:marBottom w:val="0"/>
      <w:divBdr>
        <w:top w:val="none" w:sz="0" w:space="0" w:color="auto"/>
        <w:left w:val="none" w:sz="0" w:space="0" w:color="auto"/>
        <w:bottom w:val="none" w:sz="0" w:space="0" w:color="auto"/>
        <w:right w:val="none" w:sz="0" w:space="0" w:color="auto"/>
      </w:divBdr>
    </w:div>
    <w:div w:id="1282876813">
      <w:bodyDiv w:val="1"/>
      <w:marLeft w:val="0"/>
      <w:marRight w:val="0"/>
      <w:marTop w:val="0"/>
      <w:marBottom w:val="0"/>
      <w:divBdr>
        <w:top w:val="none" w:sz="0" w:space="0" w:color="auto"/>
        <w:left w:val="none" w:sz="0" w:space="0" w:color="auto"/>
        <w:bottom w:val="none" w:sz="0" w:space="0" w:color="auto"/>
        <w:right w:val="none" w:sz="0" w:space="0" w:color="auto"/>
      </w:divBdr>
    </w:div>
    <w:div w:id="1283879128">
      <w:bodyDiv w:val="1"/>
      <w:marLeft w:val="0"/>
      <w:marRight w:val="0"/>
      <w:marTop w:val="0"/>
      <w:marBottom w:val="0"/>
      <w:divBdr>
        <w:top w:val="none" w:sz="0" w:space="0" w:color="auto"/>
        <w:left w:val="none" w:sz="0" w:space="0" w:color="auto"/>
        <w:bottom w:val="none" w:sz="0" w:space="0" w:color="auto"/>
        <w:right w:val="none" w:sz="0" w:space="0" w:color="auto"/>
      </w:divBdr>
    </w:div>
    <w:div w:id="1286735390">
      <w:bodyDiv w:val="1"/>
      <w:marLeft w:val="0"/>
      <w:marRight w:val="0"/>
      <w:marTop w:val="0"/>
      <w:marBottom w:val="0"/>
      <w:divBdr>
        <w:top w:val="none" w:sz="0" w:space="0" w:color="auto"/>
        <w:left w:val="none" w:sz="0" w:space="0" w:color="auto"/>
        <w:bottom w:val="none" w:sz="0" w:space="0" w:color="auto"/>
        <w:right w:val="none" w:sz="0" w:space="0" w:color="auto"/>
      </w:divBdr>
    </w:div>
    <w:div w:id="1288513764">
      <w:bodyDiv w:val="1"/>
      <w:marLeft w:val="0"/>
      <w:marRight w:val="0"/>
      <w:marTop w:val="0"/>
      <w:marBottom w:val="0"/>
      <w:divBdr>
        <w:top w:val="none" w:sz="0" w:space="0" w:color="auto"/>
        <w:left w:val="none" w:sz="0" w:space="0" w:color="auto"/>
        <w:bottom w:val="none" w:sz="0" w:space="0" w:color="auto"/>
        <w:right w:val="none" w:sz="0" w:space="0" w:color="auto"/>
      </w:divBdr>
    </w:div>
    <w:div w:id="1288588373">
      <w:bodyDiv w:val="1"/>
      <w:marLeft w:val="0"/>
      <w:marRight w:val="0"/>
      <w:marTop w:val="0"/>
      <w:marBottom w:val="0"/>
      <w:divBdr>
        <w:top w:val="none" w:sz="0" w:space="0" w:color="auto"/>
        <w:left w:val="none" w:sz="0" w:space="0" w:color="auto"/>
        <w:bottom w:val="none" w:sz="0" w:space="0" w:color="auto"/>
        <w:right w:val="none" w:sz="0" w:space="0" w:color="auto"/>
      </w:divBdr>
    </w:div>
    <w:div w:id="1288968466">
      <w:bodyDiv w:val="1"/>
      <w:marLeft w:val="0"/>
      <w:marRight w:val="0"/>
      <w:marTop w:val="0"/>
      <w:marBottom w:val="0"/>
      <w:divBdr>
        <w:top w:val="none" w:sz="0" w:space="0" w:color="auto"/>
        <w:left w:val="none" w:sz="0" w:space="0" w:color="auto"/>
        <w:bottom w:val="none" w:sz="0" w:space="0" w:color="auto"/>
        <w:right w:val="none" w:sz="0" w:space="0" w:color="auto"/>
      </w:divBdr>
    </w:div>
    <w:div w:id="1289162027">
      <w:bodyDiv w:val="1"/>
      <w:marLeft w:val="0"/>
      <w:marRight w:val="0"/>
      <w:marTop w:val="0"/>
      <w:marBottom w:val="0"/>
      <w:divBdr>
        <w:top w:val="none" w:sz="0" w:space="0" w:color="auto"/>
        <w:left w:val="none" w:sz="0" w:space="0" w:color="auto"/>
        <w:bottom w:val="none" w:sz="0" w:space="0" w:color="auto"/>
        <w:right w:val="none" w:sz="0" w:space="0" w:color="auto"/>
      </w:divBdr>
    </w:div>
    <w:div w:id="1290863804">
      <w:bodyDiv w:val="1"/>
      <w:marLeft w:val="0"/>
      <w:marRight w:val="0"/>
      <w:marTop w:val="0"/>
      <w:marBottom w:val="0"/>
      <w:divBdr>
        <w:top w:val="none" w:sz="0" w:space="0" w:color="auto"/>
        <w:left w:val="none" w:sz="0" w:space="0" w:color="auto"/>
        <w:bottom w:val="none" w:sz="0" w:space="0" w:color="auto"/>
        <w:right w:val="none" w:sz="0" w:space="0" w:color="auto"/>
      </w:divBdr>
    </w:div>
    <w:div w:id="1294366143">
      <w:bodyDiv w:val="1"/>
      <w:marLeft w:val="0"/>
      <w:marRight w:val="0"/>
      <w:marTop w:val="0"/>
      <w:marBottom w:val="0"/>
      <w:divBdr>
        <w:top w:val="none" w:sz="0" w:space="0" w:color="auto"/>
        <w:left w:val="none" w:sz="0" w:space="0" w:color="auto"/>
        <w:bottom w:val="none" w:sz="0" w:space="0" w:color="auto"/>
        <w:right w:val="none" w:sz="0" w:space="0" w:color="auto"/>
      </w:divBdr>
    </w:div>
    <w:div w:id="1295409077">
      <w:bodyDiv w:val="1"/>
      <w:marLeft w:val="0"/>
      <w:marRight w:val="0"/>
      <w:marTop w:val="0"/>
      <w:marBottom w:val="0"/>
      <w:divBdr>
        <w:top w:val="none" w:sz="0" w:space="0" w:color="auto"/>
        <w:left w:val="none" w:sz="0" w:space="0" w:color="auto"/>
        <w:bottom w:val="none" w:sz="0" w:space="0" w:color="auto"/>
        <w:right w:val="none" w:sz="0" w:space="0" w:color="auto"/>
      </w:divBdr>
    </w:div>
    <w:div w:id="1296136821">
      <w:bodyDiv w:val="1"/>
      <w:marLeft w:val="0"/>
      <w:marRight w:val="0"/>
      <w:marTop w:val="0"/>
      <w:marBottom w:val="0"/>
      <w:divBdr>
        <w:top w:val="none" w:sz="0" w:space="0" w:color="auto"/>
        <w:left w:val="none" w:sz="0" w:space="0" w:color="auto"/>
        <w:bottom w:val="none" w:sz="0" w:space="0" w:color="auto"/>
        <w:right w:val="none" w:sz="0" w:space="0" w:color="auto"/>
      </w:divBdr>
    </w:div>
    <w:div w:id="1296792413">
      <w:bodyDiv w:val="1"/>
      <w:marLeft w:val="0"/>
      <w:marRight w:val="0"/>
      <w:marTop w:val="0"/>
      <w:marBottom w:val="0"/>
      <w:divBdr>
        <w:top w:val="none" w:sz="0" w:space="0" w:color="auto"/>
        <w:left w:val="none" w:sz="0" w:space="0" w:color="auto"/>
        <w:bottom w:val="none" w:sz="0" w:space="0" w:color="auto"/>
        <w:right w:val="none" w:sz="0" w:space="0" w:color="auto"/>
      </w:divBdr>
    </w:div>
    <w:div w:id="1297219985">
      <w:bodyDiv w:val="1"/>
      <w:marLeft w:val="0"/>
      <w:marRight w:val="0"/>
      <w:marTop w:val="0"/>
      <w:marBottom w:val="0"/>
      <w:divBdr>
        <w:top w:val="none" w:sz="0" w:space="0" w:color="auto"/>
        <w:left w:val="none" w:sz="0" w:space="0" w:color="auto"/>
        <w:bottom w:val="none" w:sz="0" w:space="0" w:color="auto"/>
        <w:right w:val="none" w:sz="0" w:space="0" w:color="auto"/>
      </w:divBdr>
    </w:div>
    <w:div w:id="1300452869">
      <w:bodyDiv w:val="1"/>
      <w:marLeft w:val="0"/>
      <w:marRight w:val="0"/>
      <w:marTop w:val="0"/>
      <w:marBottom w:val="0"/>
      <w:divBdr>
        <w:top w:val="none" w:sz="0" w:space="0" w:color="auto"/>
        <w:left w:val="none" w:sz="0" w:space="0" w:color="auto"/>
        <w:bottom w:val="none" w:sz="0" w:space="0" w:color="auto"/>
        <w:right w:val="none" w:sz="0" w:space="0" w:color="auto"/>
      </w:divBdr>
    </w:div>
    <w:div w:id="1302811988">
      <w:bodyDiv w:val="1"/>
      <w:marLeft w:val="0"/>
      <w:marRight w:val="0"/>
      <w:marTop w:val="0"/>
      <w:marBottom w:val="0"/>
      <w:divBdr>
        <w:top w:val="none" w:sz="0" w:space="0" w:color="auto"/>
        <w:left w:val="none" w:sz="0" w:space="0" w:color="auto"/>
        <w:bottom w:val="none" w:sz="0" w:space="0" w:color="auto"/>
        <w:right w:val="none" w:sz="0" w:space="0" w:color="auto"/>
      </w:divBdr>
    </w:div>
    <w:div w:id="1303004793">
      <w:bodyDiv w:val="1"/>
      <w:marLeft w:val="0"/>
      <w:marRight w:val="0"/>
      <w:marTop w:val="0"/>
      <w:marBottom w:val="0"/>
      <w:divBdr>
        <w:top w:val="none" w:sz="0" w:space="0" w:color="auto"/>
        <w:left w:val="none" w:sz="0" w:space="0" w:color="auto"/>
        <w:bottom w:val="none" w:sz="0" w:space="0" w:color="auto"/>
        <w:right w:val="none" w:sz="0" w:space="0" w:color="auto"/>
      </w:divBdr>
    </w:div>
    <w:div w:id="1309213199">
      <w:bodyDiv w:val="1"/>
      <w:marLeft w:val="0"/>
      <w:marRight w:val="0"/>
      <w:marTop w:val="0"/>
      <w:marBottom w:val="0"/>
      <w:divBdr>
        <w:top w:val="none" w:sz="0" w:space="0" w:color="auto"/>
        <w:left w:val="none" w:sz="0" w:space="0" w:color="auto"/>
        <w:bottom w:val="none" w:sz="0" w:space="0" w:color="auto"/>
        <w:right w:val="none" w:sz="0" w:space="0" w:color="auto"/>
      </w:divBdr>
    </w:div>
    <w:div w:id="1310482224">
      <w:bodyDiv w:val="1"/>
      <w:marLeft w:val="0"/>
      <w:marRight w:val="0"/>
      <w:marTop w:val="0"/>
      <w:marBottom w:val="0"/>
      <w:divBdr>
        <w:top w:val="none" w:sz="0" w:space="0" w:color="auto"/>
        <w:left w:val="none" w:sz="0" w:space="0" w:color="auto"/>
        <w:bottom w:val="none" w:sz="0" w:space="0" w:color="auto"/>
        <w:right w:val="none" w:sz="0" w:space="0" w:color="auto"/>
      </w:divBdr>
    </w:div>
    <w:div w:id="1311596302">
      <w:bodyDiv w:val="1"/>
      <w:marLeft w:val="0"/>
      <w:marRight w:val="0"/>
      <w:marTop w:val="0"/>
      <w:marBottom w:val="0"/>
      <w:divBdr>
        <w:top w:val="none" w:sz="0" w:space="0" w:color="auto"/>
        <w:left w:val="none" w:sz="0" w:space="0" w:color="auto"/>
        <w:bottom w:val="none" w:sz="0" w:space="0" w:color="auto"/>
        <w:right w:val="none" w:sz="0" w:space="0" w:color="auto"/>
      </w:divBdr>
    </w:div>
    <w:div w:id="1312827288">
      <w:bodyDiv w:val="1"/>
      <w:marLeft w:val="0"/>
      <w:marRight w:val="0"/>
      <w:marTop w:val="0"/>
      <w:marBottom w:val="0"/>
      <w:divBdr>
        <w:top w:val="none" w:sz="0" w:space="0" w:color="auto"/>
        <w:left w:val="none" w:sz="0" w:space="0" w:color="auto"/>
        <w:bottom w:val="none" w:sz="0" w:space="0" w:color="auto"/>
        <w:right w:val="none" w:sz="0" w:space="0" w:color="auto"/>
      </w:divBdr>
    </w:div>
    <w:div w:id="1312903334">
      <w:bodyDiv w:val="1"/>
      <w:marLeft w:val="0"/>
      <w:marRight w:val="0"/>
      <w:marTop w:val="0"/>
      <w:marBottom w:val="0"/>
      <w:divBdr>
        <w:top w:val="none" w:sz="0" w:space="0" w:color="auto"/>
        <w:left w:val="none" w:sz="0" w:space="0" w:color="auto"/>
        <w:bottom w:val="none" w:sz="0" w:space="0" w:color="auto"/>
        <w:right w:val="none" w:sz="0" w:space="0" w:color="auto"/>
      </w:divBdr>
    </w:div>
    <w:div w:id="1314798007">
      <w:bodyDiv w:val="1"/>
      <w:marLeft w:val="0"/>
      <w:marRight w:val="0"/>
      <w:marTop w:val="0"/>
      <w:marBottom w:val="0"/>
      <w:divBdr>
        <w:top w:val="none" w:sz="0" w:space="0" w:color="auto"/>
        <w:left w:val="none" w:sz="0" w:space="0" w:color="auto"/>
        <w:bottom w:val="none" w:sz="0" w:space="0" w:color="auto"/>
        <w:right w:val="none" w:sz="0" w:space="0" w:color="auto"/>
      </w:divBdr>
    </w:div>
    <w:div w:id="1316908048">
      <w:bodyDiv w:val="1"/>
      <w:marLeft w:val="0"/>
      <w:marRight w:val="0"/>
      <w:marTop w:val="0"/>
      <w:marBottom w:val="0"/>
      <w:divBdr>
        <w:top w:val="none" w:sz="0" w:space="0" w:color="auto"/>
        <w:left w:val="none" w:sz="0" w:space="0" w:color="auto"/>
        <w:bottom w:val="none" w:sz="0" w:space="0" w:color="auto"/>
        <w:right w:val="none" w:sz="0" w:space="0" w:color="auto"/>
      </w:divBdr>
    </w:div>
    <w:div w:id="1317030955">
      <w:bodyDiv w:val="1"/>
      <w:marLeft w:val="0"/>
      <w:marRight w:val="0"/>
      <w:marTop w:val="0"/>
      <w:marBottom w:val="0"/>
      <w:divBdr>
        <w:top w:val="none" w:sz="0" w:space="0" w:color="auto"/>
        <w:left w:val="none" w:sz="0" w:space="0" w:color="auto"/>
        <w:bottom w:val="none" w:sz="0" w:space="0" w:color="auto"/>
        <w:right w:val="none" w:sz="0" w:space="0" w:color="auto"/>
      </w:divBdr>
    </w:div>
    <w:div w:id="1317145352">
      <w:bodyDiv w:val="1"/>
      <w:marLeft w:val="0"/>
      <w:marRight w:val="0"/>
      <w:marTop w:val="0"/>
      <w:marBottom w:val="0"/>
      <w:divBdr>
        <w:top w:val="none" w:sz="0" w:space="0" w:color="auto"/>
        <w:left w:val="none" w:sz="0" w:space="0" w:color="auto"/>
        <w:bottom w:val="none" w:sz="0" w:space="0" w:color="auto"/>
        <w:right w:val="none" w:sz="0" w:space="0" w:color="auto"/>
      </w:divBdr>
    </w:div>
    <w:div w:id="1317150228">
      <w:bodyDiv w:val="1"/>
      <w:marLeft w:val="0"/>
      <w:marRight w:val="0"/>
      <w:marTop w:val="0"/>
      <w:marBottom w:val="0"/>
      <w:divBdr>
        <w:top w:val="none" w:sz="0" w:space="0" w:color="auto"/>
        <w:left w:val="none" w:sz="0" w:space="0" w:color="auto"/>
        <w:bottom w:val="none" w:sz="0" w:space="0" w:color="auto"/>
        <w:right w:val="none" w:sz="0" w:space="0" w:color="auto"/>
      </w:divBdr>
    </w:div>
    <w:div w:id="1318612371">
      <w:bodyDiv w:val="1"/>
      <w:marLeft w:val="0"/>
      <w:marRight w:val="0"/>
      <w:marTop w:val="0"/>
      <w:marBottom w:val="0"/>
      <w:divBdr>
        <w:top w:val="none" w:sz="0" w:space="0" w:color="auto"/>
        <w:left w:val="none" w:sz="0" w:space="0" w:color="auto"/>
        <w:bottom w:val="none" w:sz="0" w:space="0" w:color="auto"/>
        <w:right w:val="none" w:sz="0" w:space="0" w:color="auto"/>
      </w:divBdr>
    </w:div>
    <w:div w:id="1319765813">
      <w:bodyDiv w:val="1"/>
      <w:marLeft w:val="0"/>
      <w:marRight w:val="0"/>
      <w:marTop w:val="0"/>
      <w:marBottom w:val="0"/>
      <w:divBdr>
        <w:top w:val="none" w:sz="0" w:space="0" w:color="auto"/>
        <w:left w:val="none" w:sz="0" w:space="0" w:color="auto"/>
        <w:bottom w:val="none" w:sz="0" w:space="0" w:color="auto"/>
        <w:right w:val="none" w:sz="0" w:space="0" w:color="auto"/>
      </w:divBdr>
    </w:div>
    <w:div w:id="1323895472">
      <w:bodyDiv w:val="1"/>
      <w:marLeft w:val="0"/>
      <w:marRight w:val="0"/>
      <w:marTop w:val="0"/>
      <w:marBottom w:val="0"/>
      <w:divBdr>
        <w:top w:val="none" w:sz="0" w:space="0" w:color="auto"/>
        <w:left w:val="none" w:sz="0" w:space="0" w:color="auto"/>
        <w:bottom w:val="none" w:sz="0" w:space="0" w:color="auto"/>
        <w:right w:val="none" w:sz="0" w:space="0" w:color="auto"/>
      </w:divBdr>
    </w:div>
    <w:div w:id="1325619593">
      <w:bodyDiv w:val="1"/>
      <w:marLeft w:val="0"/>
      <w:marRight w:val="0"/>
      <w:marTop w:val="0"/>
      <w:marBottom w:val="0"/>
      <w:divBdr>
        <w:top w:val="none" w:sz="0" w:space="0" w:color="auto"/>
        <w:left w:val="none" w:sz="0" w:space="0" w:color="auto"/>
        <w:bottom w:val="none" w:sz="0" w:space="0" w:color="auto"/>
        <w:right w:val="none" w:sz="0" w:space="0" w:color="auto"/>
      </w:divBdr>
    </w:div>
    <w:div w:id="1325665739">
      <w:bodyDiv w:val="1"/>
      <w:marLeft w:val="0"/>
      <w:marRight w:val="0"/>
      <w:marTop w:val="0"/>
      <w:marBottom w:val="0"/>
      <w:divBdr>
        <w:top w:val="none" w:sz="0" w:space="0" w:color="auto"/>
        <w:left w:val="none" w:sz="0" w:space="0" w:color="auto"/>
        <w:bottom w:val="none" w:sz="0" w:space="0" w:color="auto"/>
        <w:right w:val="none" w:sz="0" w:space="0" w:color="auto"/>
      </w:divBdr>
    </w:div>
    <w:div w:id="1326544144">
      <w:bodyDiv w:val="1"/>
      <w:marLeft w:val="0"/>
      <w:marRight w:val="0"/>
      <w:marTop w:val="0"/>
      <w:marBottom w:val="0"/>
      <w:divBdr>
        <w:top w:val="none" w:sz="0" w:space="0" w:color="auto"/>
        <w:left w:val="none" w:sz="0" w:space="0" w:color="auto"/>
        <w:bottom w:val="none" w:sz="0" w:space="0" w:color="auto"/>
        <w:right w:val="none" w:sz="0" w:space="0" w:color="auto"/>
      </w:divBdr>
    </w:div>
    <w:div w:id="1327124635">
      <w:bodyDiv w:val="1"/>
      <w:marLeft w:val="0"/>
      <w:marRight w:val="0"/>
      <w:marTop w:val="0"/>
      <w:marBottom w:val="0"/>
      <w:divBdr>
        <w:top w:val="none" w:sz="0" w:space="0" w:color="auto"/>
        <w:left w:val="none" w:sz="0" w:space="0" w:color="auto"/>
        <w:bottom w:val="none" w:sz="0" w:space="0" w:color="auto"/>
        <w:right w:val="none" w:sz="0" w:space="0" w:color="auto"/>
      </w:divBdr>
    </w:div>
    <w:div w:id="1327977292">
      <w:bodyDiv w:val="1"/>
      <w:marLeft w:val="0"/>
      <w:marRight w:val="0"/>
      <w:marTop w:val="0"/>
      <w:marBottom w:val="0"/>
      <w:divBdr>
        <w:top w:val="none" w:sz="0" w:space="0" w:color="auto"/>
        <w:left w:val="none" w:sz="0" w:space="0" w:color="auto"/>
        <w:bottom w:val="none" w:sz="0" w:space="0" w:color="auto"/>
        <w:right w:val="none" w:sz="0" w:space="0" w:color="auto"/>
      </w:divBdr>
    </w:div>
    <w:div w:id="1328248080">
      <w:bodyDiv w:val="1"/>
      <w:marLeft w:val="0"/>
      <w:marRight w:val="0"/>
      <w:marTop w:val="0"/>
      <w:marBottom w:val="0"/>
      <w:divBdr>
        <w:top w:val="none" w:sz="0" w:space="0" w:color="auto"/>
        <w:left w:val="none" w:sz="0" w:space="0" w:color="auto"/>
        <w:bottom w:val="none" w:sz="0" w:space="0" w:color="auto"/>
        <w:right w:val="none" w:sz="0" w:space="0" w:color="auto"/>
      </w:divBdr>
    </w:div>
    <w:div w:id="1328901952">
      <w:bodyDiv w:val="1"/>
      <w:marLeft w:val="0"/>
      <w:marRight w:val="0"/>
      <w:marTop w:val="0"/>
      <w:marBottom w:val="0"/>
      <w:divBdr>
        <w:top w:val="none" w:sz="0" w:space="0" w:color="auto"/>
        <w:left w:val="none" w:sz="0" w:space="0" w:color="auto"/>
        <w:bottom w:val="none" w:sz="0" w:space="0" w:color="auto"/>
        <w:right w:val="none" w:sz="0" w:space="0" w:color="auto"/>
      </w:divBdr>
    </w:div>
    <w:div w:id="1330979549">
      <w:bodyDiv w:val="1"/>
      <w:marLeft w:val="0"/>
      <w:marRight w:val="0"/>
      <w:marTop w:val="0"/>
      <w:marBottom w:val="0"/>
      <w:divBdr>
        <w:top w:val="none" w:sz="0" w:space="0" w:color="auto"/>
        <w:left w:val="none" w:sz="0" w:space="0" w:color="auto"/>
        <w:bottom w:val="none" w:sz="0" w:space="0" w:color="auto"/>
        <w:right w:val="none" w:sz="0" w:space="0" w:color="auto"/>
      </w:divBdr>
    </w:div>
    <w:div w:id="1330984702">
      <w:bodyDiv w:val="1"/>
      <w:marLeft w:val="0"/>
      <w:marRight w:val="0"/>
      <w:marTop w:val="0"/>
      <w:marBottom w:val="0"/>
      <w:divBdr>
        <w:top w:val="none" w:sz="0" w:space="0" w:color="auto"/>
        <w:left w:val="none" w:sz="0" w:space="0" w:color="auto"/>
        <w:bottom w:val="none" w:sz="0" w:space="0" w:color="auto"/>
        <w:right w:val="none" w:sz="0" w:space="0" w:color="auto"/>
      </w:divBdr>
    </w:div>
    <w:div w:id="1335182814">
      <w:bodyDiv w:val="1"/>
      <w:marLeft w:val="0"/>
      <w:marRight w:val="0"/>
      <w:marTop w:val="0"/>
      <w:marBottom w:val="0"/>
      <w:divBdr>
        <w:top w:val="none" w:sz="0" w:space="0" w:color="auto"/>
        <w:left w:val="none" w:sz="0" w:space="0" w:color="auto"/>
        <w:bottom w:val="none" w:sz="0" w:space="0" w:color="auto"/>
        <w:right w:val="none" w:sz="0" w:space="0" w:color="auto"/>
      </w:divBdr>
    </w:div>
    <w:div w:id="1336491274">
      <w:bodyDiv w:val="1"/>
      <w:marLeft w:val="0"/>
      <w:marRight w:val="0"/>
      <w:marTop w:val="0"/>
      <w:marBottom w:val="0"/>
      <w:divBdr>
        <w:top w:val="none" w:sz="0" w:space="0" w:color="auto"/>
        <w:left w:val="none" w:sz="0" w:space="0" w:color="auto"/>
        <w:bottom w:val="none" w:sz="0" w:space="0" w:color="auto"/>
        <w:right w:val="none" w:sz="0" w:space="0" w:color="auto"/>
      </w:divBdr>
    </w:div>
    <w:div w:id="1341082037">
      <w:bodyDiv w:val="1"/>
      <w:marLeft w:val="0"/>
      <w:marRight w:val="0"/>
      <w:marTop w:val="0"/>
      <w:marBottom w:val="0"/>
      <w:divBdr>
        <w:top w:val="none" w:sz="0" w:space="0" w:color="auto"/>
        <w:left w:val="none" w:sz="0" w:space="0" w:color="auto"/>
        <w:bottom w:val="none" w:sz="0" w:space="0" w:color="auto"/>
        <w:right w:val="none" w:sz="0" w:space="0" w:color="auto"/>
      </w:divBdr>
    </w:div>
    <w:div w:id="1342005980">
      <w:bodyDiv w:val="1"/>
      <w:marLeft w:val="0"/>
      <w:marRight w:val="0"/>
      <w:marTop w:val="0"/>
      <w:marBottom w:val="0"/>
      <w:divBdr>
        <w:top w:val="none" w:sz="0" w:space="0" w:color="auto"/>
        <w:left w:val="none" w:sz="0" w:space="0" w:color="auto"/>
        <w:bottom w:val="none" w:sz="0" w:space="0" w:color="auto"/>
        <w:right w:val="none" w:sz="0" w:space="0" w:color="auto"/>
      </w:divBdr>
    </w:div>
    <w:div w:id="1343119321">
      <w:bodyDiv w:val="1"/>
      <w:marLeft w:val="0"/>
      <w:marRight w:val="0"/>
      <w:marTop w:val="0"/>
      <w:marBottom w:val="0"/>
      <w:divBdr>
        <w:top w:val="none" w:sz="0" w:space="0" w:color="auto"/>
        <w:left w:val="none" w:sz="0" w:space="0" w:color="auto"/>
        <w:bottom w:val="none" w:sz="0" w:space="0" w:color="auto"/>
        <w:right w:val="none" w:sz="0" w:space="0" w:color="auto"/>
      </w:divBdr>
    </w:div>
    <w:div w:id="1345742027">
      <w:bodyDiv w:val="1"/>
      <w:marLeft w:val="0"/>
      <w:marRight w:val="0"/>
      <w:marTop w:val="0"/>
      <w:marBottom w:val="0"/>
      <w:divBdr>
        <w:top w:val="none" w:sz="0" w:space="0" w:color="auto"/>
        <w:left w:val="none" w:sz="0" w:space="0" w:color="auto"/>
        <w:bottom w:val="none" w:sz="0" w:space="0" w:color="auto"/>
        <w:right w:val="none" w:sz="0" w:space="0" w:color="auto"/>
      </w:divBdr>
    </w:div>
    <w:div w:id="1345978626">
      <w:bodyDiv w:val="1"/>
      <w:marLeft w:val="0"/>
      <w:marRight w:val="0"/>
      <w:marTop w:val="0"/>
      <w:marBottom w:val="0"/>
      <w:divBdr>
        <w:top w:val="none" w:sz="0" w:space="0" w:color="auto"/>
        <w:left w:val="none" w:sz="0" w:space="0" w:color="auto"/>
        <w:bottom w:val="none" w:sz="0" w:space="0" w:color="auto"/>
        <w:right w:val="none" w:sz="0" w:space="0" w:color="auto"/>
      </w:divBdr>
    </w:div>
    <w:div w:id="1346058987">
      <w:bodyDiv w:val="1"/>
      <w:marLeft w:val="0"/>
      <w:marRight w:val="0"/>
      <w:marTop w:val="0"/>
      <w:marBottom w:val="0"/>
      <w:divBdr>
        <w:top w:val="none" w:sz="0" w:space="0" w:color="auto"/>
        <w:left w:val="none" w:sz="0" w:space="0" w:color="auto"/>
        <w:bottom w:val="none" w:sz="0" w:space="0" w:color="auto"/>
        <w:right w:val="none" w:sz="0" w:space="0" w:color="auto"/>
      </w:divBdr>
    </w:div>
    <w:div w:id="1349137567">
      <w:bodyDiv w:val="1"/>
      <w:marLeft w:val="0"/>
      <w:marRight w:val="0"/>
      <w:marTop w:val="0"/>
      <w:marBottom w:val="0"/>
      <w:divBdr>
        <w:top w:val="none" w:sz="0" w:space="0" w:color="auto"/>
        <w:left w:val="none" w:sz="0" w:space="0" w:color="auto"/>
        <w:bottom w:val="none" w:sz="0" w:space="0" w:color="auto"/>
        <w:right w:val="none" w:sz="0" w:space="0" w:color="auto"/>
      </w:divBdr>
    </w:div>
    <w:div w:id="1350253699">
      <w:bodyDiv w:val="1"/>
      <w:marLeft w:val="0"/>
      <w:marRight w:val="0"/>
      <w:marTop w:val="0"/>
      <w:marBottom w:val="0"/>
      <w:divBdr>
        <w:top w:val="none" w:sz="0" w:space="0" w:color="auto"/>
        <w:left w:val="none" w:sz="0" w:space="0" w:color="auto"/>
        <w:bottom w:val="none" w:sz="0" w:space="0" w:color="auto"/>
        <w:right w:val="none" w:sz="0" w:space="0" w:color="auto"/>
      </w:divBdr>
    </w:div>
    <w:div w:id="1350452930">
      <w:bodyDiv w:val="1"/>
      <w:marLeft w:val="0"/>
      <w:marRight w:val="0"/>
      <w:marTop w:val="0"/>
      <w:marBottom w:val="0"/>
      <w:divBdr>
        <w:top w:val="none" w:sz="0" w:space="0" w:color="auto"/>
        <w:left w:val="none" w:sz="0" w:space="0" w:color="auto"/>
        <w:bottom w:val="none" w:sz="0" w:space="0" w:color="auto"/>
        <w:right w:val="none" w:sz="0" w:space="0" w:color="auto"/>
      </w:divBdr>
    </w:div>
    <w:div w:id="1350638048">
      <w:bodyDiv w:val="1"/>
      <w:marLeft w:val="0"/>
      <w:marRight w:val="0"/>
      <w:marTop w:val="0"/>
      <w:marBottom w:val="0"/>
      <w:divBdr>
        <w:top w:val="none" w:sz="0" w:space="0" w:color="auto"/>
        <w:left w:val="none" w:sz="0" w:space="0" w:color="auto"/>
        <w:bottom w:val="none" w:sz="0" w:space="0" w:color="auto"/>
        <w:right w:val="none" w:sz="0" w:space="0" w:color="auto"/>
      </w:divBdr>
    </w:div>
    <w:div w:id="1352075093">
      <w:bodyDiv w:val="1"/>
      <w:marLeft w:val="0"/>
      <w:marRight w:val="0"/>
      <w:marTop w:val="0"/>
      <w:marBottom w:val="0"/>
      <w:divBdr>
        <w:top w:val="none" w:sz="0" w:space="0" w:color="auto"/>
        <w:left w:val="none" w:sz="0" w:space="0" w:color="auto"/>
        <w:bottom w:val="none" w:sz="0" w:space="0" w:color="auto"/>
        <w:right w:val="none" w:sz="0" w:space="0" w:color="auto"/>
      </w:divBdr>
    </w:div>
    <w:div w:id="1353458201">
      <w:bodyDiv w:val="1"/>
      <w:marLeft w:val="0"/>
      <w:marRight w:val="0"/>
      <w:marTop w:val="0"/>
      <w:marBottom w:val="0"/>
      <w:divBdr>
        <w:top w:val="none" w:sz="0" w:space="0" w:color="auto"/>
        <w:left w:val="none" w:sz="0" w:space="0" w:color="auto"/>
        <w:bottom w:val="none" w:sz="0" w:space="0" w:color="auto"/>
        <w:right w:val="none" w:sz="0" w:space="0" w:color="auto"/>
      </w:divBdr>
    </w:div>
    <w:div w:id="1353535378">
      <w:bodyDiv w:val="1"/>
      <w:marLeft w:val="0"/>
      <w:marRight w:val="0"/>
      <w:marTop w:val="0"/>
      <w:marBottom w:val="0"/>
      <w:divBdr>
        <w:top w:val="none" w:sz="0" w:space="0" w:color="auto"/>
        <w:left w:val="none" w:sz="0" w:space="0" w:color="auto"/>
        <w:bottom w:val="none" w:sz="0" w:space="0" w:color="auto"/>
        <w:right w:val="none" w:sz="0" w:space="0" w:color="auto"/>
      </w:divBdr>
    </w:div>
    <w:div w:id="1354648263">
      <w:bodyDiv w:val="1"/>
      <w:marLeft w:val="0"/>
      <w:marRight w:val="0"/>
      <w:marTop w:val="0"/>
      <w:marBottom w:val="0"/>
      <w:divBdr>
        <w:top w:val="none" w:sz="0" w:space="0" w:color="auto"/>
        <w:left w:val="none" w:sz="0" w:space="0" w:color="auto"/>
        <w:bottom w:val="none" w:sz="0" w:space="0" w:color="auto"/>
        <w:right w:val="none" w:sz="0" w:space="0" w:color="auto"/>
      </w:divBdr>
    </w:div>
    <w:div w:id="1356543231">
      <w:bodyDiv w:val="1"/>
      <w:marLeft w:val="0"/>
      <w:marRight w:val="0"/>
      <w:marTop w:val="0"/>
      <w:marBottom w:val="0"/>
      <w:divBdr>
        <w:top w:val="none" w:sz="0" w:space="0" w:color="auto"/>
        <w:left w:val="none" w:sz="0" w:space="0" w:color="auto"/>
        <w:bottom w:val="none" w:sz="0" w:space="0" w:color="auto"/>
        <w:right w:val="none" w:sz="0" w:space="0" w:color="auto"/>
      </w:divBdr>
    </w:div>
    <w:div w:id="1357652708">
      <w:bodyDiv w:val="1"/>
      <w:marLeft w:val="0"/>
      <w:marRight w:val="0"/>
      <w:marTop w:val="0"/>
      <w:marBottom w:val="0"/>
      <w:divBdr>
        <w:top w:val="none" w:sz="0" w:space="0" w:color="auto"/>
        <w:left w:val="none" w:sz="0" w:space="0" w:color="auto"/>
        <w:bottom w:val="none" w:sz="0" w:space="0" w:color="auto"/>
        <w:right w:val="none" w:sz="0" w:space="0" w:color="auto"/>
      </w:divBdr>
    </w:div>
    <w:div w:id="1360470301">
      <w:bodyDiv w:val="1"/>
      <w:marLeft w:val="0"/>
      <w:marRight w:val="0"/>
      <w:marTop w:val="0"/>
      <w:marBottom w:val="0"/>
      <w:divBdr>
        <w:top w:val="none" w:sz="0" w:space="0" w:color="auto"/>
        <w:left w:val="none" w:sz="0" w:space="0" w:color="auto"/>
        <w:bottom w:val="none" w:sz="0" w:space="0" w:color="auto"/>
        <w:right w:val="none" w:sz="0" w:space="0" w:color="auto"/>
      </w:divBdr>
    </w:div>
    <w:div w:id="1360929841">
      <w:bodyDiv w:val="1"/>
      <w:marLeft w:val="0"/>
      <w:marRight w:val="0"/>
      <w:marTop w:val="0"/>
      <w:marBottom w:val="0"/>
      <w:divBdr>
        <w:top w:val="none" w:sz="0" w:space="0" w:color="auto"/>
        <w:left w:val="none" w:sz="0" w:space="0" w:color="auto"/>
        <w:bottom w:val="none" w:sz="0" w:space="0" w:color="auto"/>
        <w:right w:val="none" w:sz="0" w:space="0" w:color="auto"/>
      </w:divBdr>
    </w:div>
    <w:div w:id="1362782281">
      <w:bodyDiv w:val="1"/>
      <w:marLeft w:val="0"/>
      <w:marRight w:val="0"/>
      <w:marTop w:val="0"/>
      <w:marBottom w:val="0"/>
      <w:divBdr>
        <w:top w:val="none" w:sz="0" w:space="0" w:color="auto"/>
        <w:left w:val="none" w:sz="0" w:space="0" w:color="auto"/>
        <w:bottom w:val="none" w:sz="0" w:space="0" w:color="auto"/>
        <w:right w:val="none" w:sz="0" w:space="0" w:color="auto"/>
      </w:divBdr>
    </w:div>
    <w:div w:id="1363675774">
      <w:bodyDiv w:val="1"/>
      <w:marLeft w:val="0"/>
      <w:marRight w:val="0"/>
      <w:marTop w:val="0"/>
      <w:marBottom w:val="0"/>
      <w:divBdr>
        <w:top w:val="none" w:sz="0" w:space="0" w:color="auto"/>
        <w:left w:val="none" w:sz="0" w:space="0" w:color="auto"/>
        <w:bottom w:val="none" w:sz="0" w:space="0" w:color="auto"/>
        <w:right w:val="none" w:sz="0" w:space="0" w:color="auto"/>
      </w:divBdr>
    </w:div>
    <w:div w:id="1364406779">
      <w:bodyDiv w:val="1"/>
      <w:marLeft w:val="0"/>
      <w:marRight w:val="0"/>
      <w:marTop w:val="0"/>
      <w:marBottom w:val="0"/>
      <w:divBdr>
        <w:top w:val="none" w:sz="0" w:space="0" w:color="auto"/>
        <w:left w:val="none" w:sz="0" w:space="0" w:color="auto"/>
        <w:bottom w:val="none" w:sz="0" w:space="0" w:color="auto"/>
        <w:right w:val="none" w:sz="0" w:space="0" w:color="auto"/>
      </w:divBdr>
    </w:div>
    <w:div w:id="1364819772">
      <w:bodyDiv w:val="1"/>
      <w:marLeft w:val="0"/>
      <w:marRight w:val="0"/>
      <w:marTop w:val="0"/>
      <w:marBottom w:val="0"/>
      <w:divBdr>
        <w:top w:val="none" w:sz="0" w:space="0" w:color="auto"/>
        <w:left w:val="none" w:sz="0" w:space="0" w:color="auto"/>
        <w:bottom w:val="none" w:sz="0" w:space="0" w:color="auto"/>
        <w:right w:val="none" w:sz="0" w:space="0" w:color="auto"/>
      </w:divBdr>
    </w:div>
    <w:div w:id="1365671476">
      <w:bodyDiv w:val="1"/>
      <w:marLeft w:val="0"/>
      <w:marRight w:val="0"/>
      <w:marTop w:val="0"/>
      <w:marBottom w:val="0"/>
      <w:divBdr>
        <w:top w:val="none" w:sz="0" w:space="0" w:color="auto"/>
        <w:left w:val="none" w:sz="0" w:space="0" w:color="auto"/>
        <w:bottom w:val="none" w:sz="0" w:space="0" w:color="auto"/>
        <w:right w:val="none" w:sz="0" w:space="0" w:color="auto"/>
      </w:divBdr>
    </w:div>
    <w:div w:id="1366368934">
      <w:bodyDiv w:val="1"/>
      <w:marLeft w:val="0"/>
      <w:marRight w:val="0"/>
      <w:marTop w:val="0"/>
      <w:marBottom w:val="0"/>
      <w:divBdr>
        <w:top w:val="none" w:sz="0" w:space="0" w:color="auto"/>
        <w:left w:val="none" w:sz="0" w:space="0" w:color="auto"/>
        <w:bottom w:val="none" w:sz="0" w:space="0" w:color="auto"/>
        <w:right w:val="none" w:sz="0" w:space="0" w:color="auto"/>
      </w:divBdr>
    </w:div>
    <w:div w:id="1367486461">
      <w:bodyDiv w:val="1"/>
      <w:marLeft w:val="0"/>
      <w:marRight w:val="0"/>
      <w:marTop w:val="0"/>
      <w:marBottom w:val="0"/>
      <w:divBdr>
        <w:top w:val="none" w:sz="0" w:space="0" w:color="auto"/>
        <w:left w:val="none" w:sz="0" w:space="0" w:color="auto"/>
        <w:bottom w:val="none" w:sz="0" w:space="0" w:color="auto"/>
        <w:right w:val="none" w:sz="0" w:space="0" w:color="auto"/>
      </w:divBdr>
    </w:div>
    <w:div w:id="1368214590">
      <w:bodyDiv w:val="1"/>
      <w:marLeft w:val="0"/>
      <w:marRight w:val="0"/>
      <w:marTop w:val="0"/>
      <w:marBottom w:val="0"/>
      <w:divBdr>
        <w:top w:val="none" w:sz="0" w:space="0" w:color="auto"/>
        <w:left w:val="none" w:sz="0" w:space="0" w:color="auto"/>
        <w:bottom w:val="none" w:sz="0" w:space="0" w:color="auto"/>
        <w:right w:val="none" w:sz="0" w:space="0" w:color="auto"/>
      </w:divBdr>
    </w:div>
    <w:div w:id="1368524878">
      <w:bodyDiv w:val="1"/>
      <w:marLeft w:val="0"/>
      <w:marRight w:val="0"/>
      <w:marTop w:val="0"/>
      <w:marBottom w:val="0"/>
      <w:divBdr>
        <w:top w:val="none" w:sz="0" w:space="0" w:color="auto"/>
        <w:left w:val="none" w:sz="0" w:space="0" w:color="auto"/>
        <w:bottom w:val="none" w:sz="0" w:space="0" w:color="auto"/>
        <w:right w:val="none" w:sz="0" w:space="0" w:color="auto"/>
      </w:divBdr>
    </w:div>
    <w:div w:id="1375231035">
      <w:bodyDiv w:val="1"/>
      <w:marLeft w:val="0"/>
      <w:marRight w:val="0"/>
      <w:marTop w:val="0"/>
      <w:marBottom w:val="0"/>
      <w:divBdr>
        <w:top w:val="none" w:sz="0" w:space="0" w:color="auto"/>
        <w:left w:val="none" w:sz="0" w:space="0" w:color="auto"/>
        <w:bottom w:val="none" w:sz="0" w:space="0" w:color="auto"/>
        <w:right w:val="none" w:sz="0" w:space="0" w:color="auto"/>
      </w:divBdr>
    </w:div>
    <w:div w:id="1375500583">
      <w:bodyDiv w:val="1"/>
      <w:marLeft w:val="0"/>
      <w:marRight w:val="0"/>
      <w:marTop w:val="0"/>
      <w:marBottom w:val="0"/>
      <w:divBdr>
        <w:top w:val="none" w:sz="0" w:space="0" w:color="auto"/>
        <w:left w:val="none" w:sz="0" w:space="0" w:color="auto"/>
        <w:bottom w:val="none" w:sz="0" w:space="0" w:color="auto"/>
        <w:right w:val="none" w:sz="0" w:space="0" w:color="auto"/>
      </w:divBdr>
    </w:div>
    <w:div w:id="1375889499">
      <w:bodyDiv w:val="1"/>
      <w:marLeft w:val="0"/>
      <w:marRight w:val="0"/>
      <w:marTop w:val="0"/>
      <w:marBottom w:val="0"/>
      <w:divBdr>
        <w:top w:val="none" w:sz="0" w:space="0" w:color="auto"/>
        <w:left w:val="none" w:sz="0" w:space="0" w:color="auto"/>
        <w:bottom w:val="none" w:sz="0" w:space="0" w:color="auto"/>
        <w:right w:val="none" w:sz="0" w:space="0" w:color="auto"/>
      </w:divBdr>
    </w:div>
    <w:div w:id="1376077810">
      <w:bodyDiv w:val="1"/>
      <w:marLeft w:val="0"/>
      <w:marRight w:val="0"/>
      <w:marTop w:val="0"/>
      <w:marBottom w:val="0"/>
      <w:divBdr>
        <w:top w:val="none" w:sz="0" w:space="0" w:color="auto"/>
        <w:left w:val="none" w:sz="0" w:space="0" w:color="auto"/>
        <w:bottom w:val="none" w:sz="0" w:space="0" w:color="auto"/>
        <w:right w:val="none" w:sz="0" w:space="0" w:color="auto"/>
      </w:divBdr>
    </w:div>
    <w:div w:id="1376084879">
      <w:bodyDiv w:val="1"/>
      <w:marLeft w:val="0"/>
      <w:marRight w:val="0"/>
      <w:marTop w:val="0"/>
      <w:marBottom w:val="0"/>
      <w:divBdr>
        <w:top w:val="none" w:sz="0" w:space="0" w:color="auto"/>
        <w:left w:val="none" w:sz="0" w:space="0" w:color="auto"/>
        <w:bottom w:val="none" w:sz="0" w:space="0" w:color="auto"/>
        <w:right w:val="none" w:sz="0" w:space="0" w:color="auto"/>
      </w:divBdr>
    </w:div>
    <w:div w:id="1376394166">
      <w:bodyDiv w:val="1"/>
      <w:marLeft w:val="0"/>
      <w:marRight w:val="0"/>
      <w:marTop w:val="0"/>
      <w:marBottom w:val="0"/>
      <w:divBdr>
        <w:top w:val="none" w:sz="0" w:space="0" w:color="auto"/>
        <w:left w:val="none" w:sz="0" w:space="0" w:color="auto"/>
        <w:bottom w:val="none" w:sz="0" w:space="0" w:color="auto"/>
        <w:right w:val="none" w:sz="0" w:space="0" w:color="auto"/>
      </w:divBdr>
    </w:div>
    <w:div w:id="1376661666">
      <w:bodyDiv w:val="1"/>
      <w:marLeft w:val="0"/>
      <w:marRight w:val="0"/>
      <w:marTop w:val="0"/>
      <w:marBottom w:val="0"/>
      <w:divBdr>
        <w:top w:val="none" w:sz="0" w:space="0" w:color="auto"/>
        <w:left w:val="none" w:sz="0" w:space="0" w:color="auto"/>
        <w:bottom w:val="none" w:sz="0" w:space="0" w:color="auto"/>
        <w:right w:val="none" w:sz="0" w:space="0" w:color="auto"/>
      </w:divBdr>
    </w:div>
    <w:div w:id="1379550444">
      <w:bodyDiv w:val="1"/>
      <w:marLeft w:val="0"/>
      <w:marRight w:val="0"/>
      <w:marTop w:val="0"/>
      <w:marBottom w:val="0"/>
      <w:divBdr>
        <w:top w:val="none" w:sz="0" w:space="0" w:color="auto"/>
        <w:left w:val="none" w:sz="0" w:space="0" w:color="auto"/>
        <w:bottom w:val="none" w:sz="0" w:space="0" w:color="auto"/>
        <w:right w:val="none" w:sz="0" w:space="0" w:color="auto"/>
      </w:divBdr>
    </w:div>
    <w:div w:id="1379664971">
      <w:bodyDiv w:val="1"/>
      <w:marLeft w:val="0"/>
      <w:marRight w:val="0"/>
      <w:marTop w:val="0"/>
      <w:marBottom w:val="0"/>
      <w:divBdr>
        <w:top w:val="none" w:sz="0" w:space="0" w:color="auto"/>
        <w:left w:val="none" w:sz="0" w:space="0" w:color="auto"/>
        <w:bottom w:val="none" w:sz="0" w:space="0" w:color="auto"/>
        <w:right w:val="none" w:sz="0" w:space="0" w:color="auto"/>
      </w:divBdr>
    </w:div>
    <w:div w:id="1380662713">
      <w:bodyDiv w:val="1"/>
      <w:marLeft w:val="0"/>
      <w:marRight w:val="0"/>
      <w:marTop w:val="0"/>
      <w:marBottom w:val="0"/>
      <w:divBdr>
        <w:top w:val="none" w:sz="0" w:space="0" w:color="auto"/>
        <w:left w:val="none" w:sz="0" w:space="0" w:color="auto"/>
        <w:bottom w:val="none" w:sz="0" w:space="0" w:color="auto"/>
        <w:right w:val="none" w:sz="0" w:space="0" w:color="auto"/>
      </w:divBdr>
    </w:div>
    <w:div w:id="1381977090">
      <w:bodyDiv w:val="1"/>
      <w:marLeft w:val="0"/>
      <w:marRight w:val="0"/>
      <w:marTop w:val="0"/>
      <w:marBottom w:val="0"/>
      <w:divBdr>
        <w:top w:val="none" w:sz="0" w:space="0" w:color="auto"/>
        <w:left w:val="none" w:sz="0" w:space="0" w:color="auto"/>
        <w:bottom w:val="none" w:sz="0" w:space="0" w:color="auto"/>
        <w:right w:val="none" w:sz="0" w:space="0" w:color="auto"/>
      </w:divBdr>
    </w:div>
    <w:div w:id="1383822092">
      <w:bodyDiv w:val="1"/>
      <w:marLeft w:val="0"/>
      <w:marRight w:val="0"/>
      <w:marTop w:val="0"/>
      <w:marBottom w:val="0"/>
      <w:divBdr>
        <w:top w:val="none" w:sz="0" w:space="0" w:color="auto"/>
        <w:left w:val="none" w:sz="0" w:space="0" w:color="auto"/>
        <w:bottom w:val="none" w:sz="0" w:space="0" w:color="auto"/>
        <w:right w:val="none" w:sz="0" w:space="0" w:color="auto"/>
      </w:divBdr>
    </w:div>
    <w:div w:id="1384865012">
      <w:bodyDiv w:val="1"/>
      <w:marLeft w:val="0"/>
      <w:marRight w:val="0"/>
      <w:marTop w:val="0"/>
      <w:marBottom w:val="0"/>
      <w:divBdr>
        <w:top w:val="none" w:sz="0" w:space="0" w:color="auto"/>
        <w:left w:val="none" w:sz="0" w:space="0" w:color="auto"/>
        <w:bottom w:val="none" w:sz="0" w:space="0" w:color="auto"/>
        <w:right w:val="none" w:sz="0" w:space="0" w:color="auto"/>
      </w:divBdr>
    </w:div>
    <w:div w:id="1386493495">
      <w:bodyDiv w:val="1"/>
      <w:marLeft w:val="0"/>
      <w:marRight w:val="0"/>
      <w:marTop w:val="0"/>
      <w:marBottom w:val="0"/>
      <w:divBdr>
        <w:top w:val="none" w:sz="0" w:space="0" w:color="auto"/>
        <w:left w:val="none" w:sz="0" w:space="0" w:color="auto"/>
        <w:bottom w:val="none" w:sz="0" w:space="0" w:color="auto"/>
        <w:right w:val="none" w:sz="0" w:space="0" w:color="auto"/>
      </w:divBdr>
    </w:div>
    <w:div w:id="1387145200">
      <w:bodyDiv w:val="1"/>
      <w:marLeft w:val="0"/>
      <w:marRight w:val="0"/>
      <w:marTop w:val="0"/>
      <w:marBottom w:val="0"/>
      <w:divBdr>
        <w:top w:val="none" w:sz="0" w:space="0" w:color="auto"/>
        <w:left w:val="none" w:sz="0" w:space="0" w:color="auto"/>
        <w:bottom w:val="none" w:sz="0" w:space="0" w:color="auto"/>
        <w:right w:val="none" w:sz="0" w:space="0" w:color="auto"/>
      </w:divBdr>
    </w:div>
    <w:div w:id="1387602899">
      <w:bodyDiv w:val="1"/>
      <w:marLeft w:val="0"/>
      <w:marRight w:val="0"/>
      <w:marTop w:val="0"/>
      <w:marBottom w:val="0"/>
      <w:divBdr>
        <w:top w:val="none" w:sz="0" w:space="0" w:color="auto"/>
        <w:left w:val="none" w:sz="0" w:space="0" w:color="auto"/>
        <w:bottom w:val="none" w:sz="0" w:space="0" w:color="auto"/>
        <w:right w:val="none" w:sz="0" w:space="0" w:color="auto"/>
      </w:divBdr>
    </w:div>
    <w:div w:id="1389501189">
      <w:bodyDiv w:val="1"/>
      <w:marLeft w:val="0"/>
      <w:marRight w:val="0"/>
      <w:marTop w:val="0"/>
      <w:marBottom w:val="0"/>
      <w:divBdr>
        <w:top w:val="none" w:sz="0" w:space="0" w:color="auto"/>
        <w:left w:val="none" w:sz="0" w:space="0" w:color="auto"/>
        <w:bottom w:val="none" w:sz="0" w:space="0" w:color="auto"/>
        <w:right w:val="none" w:sz="0" w:space="0" w:color="auto"/>
      </w:divBdr>
    </w:div>
    <w:div w:id="1390493107">
      <w:bodyDiv w:val="1"/>
      <w:marLeft w:val="0"/>
      <w:marRight w:val="0"/>
      <w:marTop w:val="0"/>
      <w:marBottom w:val="0"/>
      <w:divBdr>
        <w:top w:val="none" w:sz="0" w:space="0" w:color="auto"/>
        <w:left w:val="none" w:sz="0" w:space="0" w:color="auto"/>
        <w:bottom w:val="none" w:sz="0" w:space="0" w:color="auto"/>
        <w:right w:val="none" w:sz="0" w:space="0" w:color="auto"/>
      </w:divBdr>
    </w:div>
    <w:div w:id="1391077091">
      <w:bodyDiv w:val="1"/>
      <w:marLeft w:val="0"/>
      <w:marRight w:val="0"/>
      <w:marTop w:val="0"/>
      <w:marBottom w:val="0"/>
      <w:divBdr>
        <w:top w:val="none" w:sz="0" w:space="0" w:color="auto"/>
        <w:left w:val="none" w:sz="0" w:space="0" w:color="auto"/>
        <w:bottom w:val="none" w:sz="0" w:space="0" w:color="auto"/>
        <w:right w:val="none" w:sz="0" w:space="0" w:color="auto"/>
      </w:divBdr>
    </w:div>
    <w:div w:id="1391616478">
      <w:bodyDiv w:val="1"/>
      <w:marLeft w:val="0"/>
      <w:marRight w:val="0"/>
      <w:marTop w:val="0"/>
      <w:marBottom w:val="0"/>
      <w:divBdr>
        <w:top w:val="none" w:sz="0" w:space="0" w:color="auto"/>
        <w:left w:val="none" w:sz="0" w:space="0" w:color="auto"/>
        <w:bottom w:val="none" w:sz="0" w:space="0" w:color="auto"/>
        <w:right w:val="none" w:sz="0" w:space="0" w:color="auto"/>
      </w:divBdr>
    </w:div>
    <w:div w:id="1395852061">
      <w:bodyDiv w:val="1"/>
      <w:marLeft w:val="0"/>
      <w:marRight w:val="0"/>
      <w:marTop w:val="0"/>
      <w:marBottom w:val="0"/>
      <w:divBdr>
        <w:top w:val="none" w:sz="0" w:space="0" w:color="auto"/>
        <w:left w:val="none" w:sz="0" w:space="0" w:color="auto"/>
        <w:bottom w:val="none" w:sz="0" w:space="0" w:color="auto"/>
        <w:right w:val="none" w:sz="0" w:space="0" w:color="auto"/>
      </w:divBdr>
    </w:div>
    <w:div w:id="1396080345">
      <w:bodyDiv w:val="1"/>
      <w:marLeft w:val="0"/>
      <w:marRight w:val="0"/>
      <w:marTop w:val="0"/>
      <w:marBottom w:val="0"/>
      <w:divBdr>
        <w:top w:val="none" w:sz="0" w:space="0" w:color="auto"/>
        <w:left w:val="none" w:sz="0" w:space="0" w:color="auto"/>
        <w:bottom w:val="none" w:sz="0" w:space="0" w:color="auto"/>
        <w:right w:val="none" w:sz="0" w:space="0" w:color="auto"/>
      </w:divBdr>
    </w:div>
    <w:div w:id="1396317980">
      <w:bodyDiv w:val="1"/>
      <w:marLeft w:val="0"/>
      <w:marRight w:val="0"/>
      <w:marTop w:val="0"/>
      <w:marBottom w:val="0"/>
      <w:divBdr>
        <w:top w:val="none" w:sz="0" w:space="0" w:color="auto"/>
        <w:left w:val="none" w:sz="0" w:space="0" w:color="auto"/>
        <w:bottom w:val="none" w:sz="0" w:space="0" w:color="auto"/>
        <w:right w:val="none" w:sz="0" w:space="0" w:color="auto"/>
      </w:divBdr>
    </w:div>
    <w:div w:id="1397363080">
      <w:bodyDiv w:val="1"/>
      <w:marLeft w:val="0"/>
      <w:marRight w:val="0"/>
      <w:marTop w:val="0"/>
      <w:marBottom w:val="0"/>
      <w:divBdr>
        <w:top w:val="none" w:sz="0" w:space="0" w:color="auto"/>
        <w:left w:val="none" w:sz="0" w:space="0" w:color="auto"/>
        <w:bottom w:val="none" w:sz="0" w:space="0" w:color="auto"/>
        <w:right w:val="none" w:sz="0" w:space="0" w:color="auto"/>
      </w:divBdr>
    </w:div>
    <w:div w:id="1398240913">
      <w:bodyDiv w:val="1"/>
      <w:marLeft w:val="0"/>
      <w:marRight w:val="0"/>
      <w:marTop w:val="0"/>
      <w:marBottom w:val="0"/>
      <w:divBdr>
        <w:top w:val="none" w:sz="0" w:space="0" w:color="auto"/>
        <w:left w:val="none" w:sz="0" w:space="0" w:color="auto"/>
        <w:bottom w:val="none" w:sz="0" w:space="0" w:color="auto"/>
        <w:right w:val="none" w:sz="0" w:space="0" w:color="auto"/>
      </w:divBdr>
    </w:div>
    <w:div w:id="1398818245">
      <w:bodyDiv w:val="1"/>
      <w:marLeft w:val="0"/>
      <w:marRight w:val="0"/>
      <w:marTop w:val="0"/>
      <w:marBottom w:val="0"/>
      <w:divBdr>
        <w:top w:val="none" w:sz="0" w:space="0" w:color="auto"/>
        <w:left w:val="none" w:sz="0" w:space="0" w:color="auto"/>
        <w:bottom w:val="none" w:sz="0" w:space="0" w:color="auto"/>
        <w:right w:val="none" w:sz="0" w:space="0" w:color="auto"/>
      </w:divBdr>
    </w:div>
    <w:div w:id="1399093811">
      <w:bodyDiv w:val="1"/>
      <w:marLeft w:val="0"/>
      <w:marRight w:val="0"/>
      <w:marTop w:val="0"/>
      <w:marBottom w:val="0"/>
      <w:divBdr>
        <w:top w:val="none" w:sz="0" w:space="0" w:color="auto"/>
        <w:left w:val="none" w:sz="0" w:space="0" w:color="auto"/>
        <w:bottom w:val="none" w:sz="0" w:space="0" w:color="auto"/>
        <w:right w:val="none" w:sz="0" w:space="0" w:color="auto"/>
      </w:divBdr>
    </w:div>
    <w:div w:id="1401362731">
      <w:bodyDiv w:val="1"/>
      <w:marLeft w:val="0"/>
      <w:marRight w:val="0"/>
      <w:marTop w:val="0"/>
      <w:marBottom w:val="0"/>
      <w:divBdr>
        <w:top w:val="none" w:sz="0" w:space="0" w:color="auto"/>
        <w:left w:val="none" w:sz="0" w:space="0" w:color="auto"/>
        <w:bottom w:val="none" w:sz="0" w:space="0" w:color="auto"/>
        <w:right w:val="none" w:sz="0" w:space="0" w:color="auto"/>
      </w:divBdr>
    </w:div>
    <w:div w:id="1401708594">
      <w:bodyDiv w:val="1"/>
      <w:marLeft w:val="0"/>
      <w:marRight w:val="0"/>
      <w:marTop w:val="0"/>
      <w:marBottom w:val="0"/>
      <w:divBdr>
        <w:top w:val="none" w:sz="0" w:space="0" w:color="auto"/>
        <w:left w:val="none" w:sz="0" w:space="0" w:color="auto"/>
        <w:bottom w:val="none" w:sz="0" w:space="0" w:color="auto"/>
        <w:right w:val="none" w:sz="0" w:space="0" w:color="auto"/>
      </w:divBdr>
    </w:div>
    <w:div w:id="1404452411">
      <w:bodyDiv w:val="1"/>
      <w:marLeft w:val="0"/>
      <w:marRight w:val="0"/>
      <w:marTop w:val="0"/>
      <w:marBottom w:val="0"/>
      <w:divBdr>
        <w:top w:val="none" w:sz="0" w:space="0" w:color="auto"/>
        <w:left w:val="none" w:sz="0" w:space="0" w:color="auto"/>
        <w:bottom w:val="none" w:sz="0" w:space="0" w:color="auto"/>
        <w:right w:val="none" w:sz="0" w:space="0" w:color="auto"/>
      </w:divBdr>
    </w:div>
    <w:div w:id="1407411938">
      <w:bodyDiv w:val="1"/>
      <w:marLeft w:val="0"/>
      <w:marRight w:val="0"/>
      <w:marTop w:val="0"/>
      <w:marBottom w:val="0"/>
      <w:divBdr>
        <w:top w:val="none" w:sz="0" w:space="0" w:color="auto"/>
        <w:left w:val="none" w:sz="0" w:space="0" w:color="auto"/>
        <w:bottom w:val="none" w:sz="0" w:space="0" w:color="auto"/>
        <w:right w:val="none" w:sz="0" w:space="0" w:color="auto"/>
      </w:divBdr>
    </w:div>
    <w:div w:id="1408383148">
      <w:bodyDiv w:val="1"/>
      <w:marLeft w:val="0"/>
      <w:marRight w:val="0"/>
      <w:marTop w:val="0"/>
      <w:marBottom w:val="0"/>
      <w:divBdr>
        <w:top w:val="none" w:sz="0" w:space="0" w:color="auto"/>
        <w:left w:val="none" w:sz="0" w:space="0" w:color="auto"/>
        <w:bottom w:val="none" w:sz="0" w:space="0" w:color="auto"/>
        <w:right w:val="none" w:sz="0" w:space="0" w:color="auto"/>
      </w:divBdr>
    </w:div>
    <w:div w:id="1408575286">
      <w:bodyDiv w:val="1"/>
      <w:marLeft w:val="0"/>
      <w:marRight w:val="0"/>
      <w:marTop w:val="0"/>
      <w:marBottom w:val="0"/>
      <w:divBdr>
        <w:top w:val="none" w:sz="0" w:space="0" w:color="auto"/>
        <w:left w:val="none" w:sz="0" w:space="0" w:color="auto"/>
        <w:bottom w:val="none" w:sz="0" w:space="0" w:color="auto"/>
        <w:right w:val="none" w:sz="0" w:space="0" w:color="auto"/>
      </w:divBdr>
    </w:div>
    <w:div w:id="1408576483">
      <w:bodyDiv w:val="1"/>
      <w:marLeft w:val="0"/>
      <w:marRight w:val="0"/>
      <w:marTop w:val="0"/>
      <w:marBottom w:val="0"/>
      <w:divBdr>
        <w:top w:val="none" w:sz="0" w:space="0" w:color="auto"/>
        <w:left w:val="none" w:sz="0" w:space="0" w:color="auto"/>
        <w:bottom w:val="none" w:sz="0" w:space="0" w:color="auto"/>
        <w:right w:val="none" w:sz="0" w:space="0" w:color="auto"/>
      </w:divBdr>
    </w:div>
    <w:div w:id="1409421727">
      <w:bodyDiv w:val="1"/>
      <w:marLeft w:val="0"/>
      <w:marRight w:val="0"/>
      <w:marTop w:val="0"/>
      <w:marBottom w:val="0"/>
      <w:divBdr>
        <w:top w:val="none" w:sz="0" w:space="0" w:color="auto"/>
        <w:left w:val="none" w:sz="0" w:space="0" w:color="auto"/>
        <w:bottom w:val="none" w:sz="0" w:space="0" w:color="auto"/>
        <w:right w:val="none" w:sz="0" w:space="0" w:color="auto"/>
      </w:divBdr>
    </w:div>
    <w:div w:id="1410347055">
      <w:bodyDiv w:val="1"/>
      <w:marLeft w:val="0"/>
      <w:marRight w:val="0"/>
      <w:marTop w:val="0"/>
      <w:marBottom w:val="0"/>
      <w:divBdr>
        <w:top w:val="none" w:sz="0" w:space="0" w:color="auto"/>
        <w:left w:val="none" w:sz="0" w:space="0" w:color="auto"/>
        <w:bottom w:val="none" w:sz="0" w:space="0" w:color="auto"/>
        <w:right w:val="none" w:sz="0" w:space="0" w:color="auto"/>
      </w:divBdr>
    </w:div>
    <w:div w:id="1410348927">
      <w:bodyDiv w:val="1"/>
      <w:marLeft w:val="0"/>
      <w:marRight w:val="0"/>
      <w:marTop w:val="0"/>
      <w:marBottom w:val="0"/>
      <w:divBdr>
        <w:top w:val="none" w:sz="0" w:space="0" w:color="auto"/>
        <w:left w:val="none" w:sz="0" w:space="0" w:color="auto"/>
        <w:bottom w:val="none" w:sz="0" w:space="0" w:color="auto"/>
        <w:right w:val="none" w:sz="0" w:space="0" w:color="auto"/>
      </w:divBdr>
    </w:div>
    <w:div w:id="1411343521">
      <w:bodyDiv w:val="1"/>
      <w:marLeft w:val="0"/>
      <w:marRight w:val="0"/>
      <w:marTop w:val="0"/>
      <w:marBottom w:val="0"/>
      <w:divBdr>
        <w:top w:val="none" w:sz="0" w:space="0" w:color="auto"/>
        <w:left w:val="none" w:sz="0" w:space="0" w:color="auto"/>
        <w:bottom w:val="none" w:sz="0" w:space="0" w:color="auto"/>
        <w:right w:val="none" w:sz="0" w:space="0" w:color="auto"/>
      </w:divBdr>
    </w:div>
    <w:div w:id="1411344214">
      <w:bodyDiv w:val="1"/>
      <w:marLeft w:val="0"/>
      <w:marRight w:val="0"/>
      <w:marTop w:val="0"/>
      <w:marBottom w:val="0"/>
      <w:divBdr>
        <w:top w:val="none" w:sz="0" w:space="0" w:color="auto"/>
        <w:left w:val="none" w:sz="0" w:space="0" w:color="auto"/>
        <w:bottom w:val="none" w:sz="0" w:space="0" w:color="auto"/>
        <w:right w:val="none" w:sz="0" w:space="0" w:color="auto"/>
      </w:divBdr>
    </w:div>
    <w:div w:id="1411611282">
      <w:bodyDiv w:val="1"/>
      <w:marLeft w:val="0"/>
      <w:marRight w:val="0"/>
      <w:marTop w:val="0"/>
      <w:marBottom w:val="0"/>
      <w:divBdr>
        <w:top w:val="none" w:sz="0" w:space="0" w:color="auto"/>
        <w:left w:val="none" w:sz="0" w:space="0" w:color="auto"/>
        <w:bottom w:val="none" w:sz="0" w:space="0" w:color="auto"/>
        <w:right w:val="none" w:sz="0" w:space="0" w:color="auto"/>
      </w:divBdr>
    </w:div>
    <w:div w:id="1412459857">
      <w:bodyDiv w:val="1"/>
      <w:marLeft w:val="0"/>
      <w:marRight w:val="0"/>
      <w:marTop w:val="0"/>
      <w:marBottom w:val="0"/>
      <w:divBdr>
        <w:top w:val="none" w:sz="0" w:space="0" w:color="auto"/>
        <w:left w:val="none" w:sz="0" w:space="0" w:color="auto"/>
        <w:bottom w:val="none" w:sz="0" w:space="0" w:color="auto"/>
        <w:right w:val="none" w:sz="0" w:space="0" w:color="auto"/>
      </w:divBdr>
    </w:div>
    <w:div w:id="1413162636">
      <w:bodyDiv w:val="1"/>
      <w:marLeft w:val="0"/>
      <w:marRight w:val="0"/>
      <w:marTop w:val="0"/>
      <w:marBottom w:val="0"/>
      <w:divBdr>
        <w:top w:val="none" w:sz="0" w:space="0" w:color="auto"/>
        <w:left w:val="none" w:sz="0" w:space="0" w:color="auto"/>
        <w:bottom w:val="none" w:sz="0" w:space="0" w:color="auto"/>
        <w:right w:val="none" w:sz="0" w:space="0" w:color="auto"/>
      </w:divBdr>
    </w:div>
    <w:div w:id="1413238842">
      <w:bodyDiv w:val="1"/>
      <w:marLeft w:val="0"/>
      <w:marRight w:val="0"/>
      <w:marTop w:val="0"/>
      <w:marBottom w:val="0"/>
      <w:divBdr>
        <w:top w:val="none" w:sz="0" w:space="0" w:color="auto"/>
        <w:left w:val="none" w:sz="0" w:space="0" w:color="auto"/>
        <w:bottom w:val="none" w:sz="0" w:space="0" w:color="auto"/>
        <w:right w:val="none" w:sz="0" w:space="0" w:color="auto"/>
      </w:divBdr>
    </w:div>
    <w:div w:id="1415587127">
      <w:bodyDiv w:val="1"/>
      <w:marLeft w:val="0"/>
      <w:marRight w:val="0"/>
      <w:marTop w:val="0"/>
      <w:marBottom w:val="0"/>
      <w:divBdr>
        <w:top w:val="none" w:sz="0" w:space="0" w:color="auto"/>
        <w:left w:val="none" w:sz="0" w:space="0" w:color="auto"/>
        <w:bottom w:val="none" w:sz="0" w:space="0" w:color="auto"/>
        <w:right w:val="none" w:sz="0" w:space="0" w:color="auto"/>
      </w:divBdr>
    </w:div>
    <w:div w:id="1416199319">
      <w:bodyDiv w:val="1"/>
      <w:marLeft w:val="0"/>
      <w:marRight w:val="0"/>
      <w:marTop w:val="0"/>
      <w:marBottom w:val="0"/>
      <w:divBdr>
        <w:top w:val="none" w:sz="0" w:space="0" w:color="auto"/>
        <w:left w:val="none" w:sz="0" w:space="0" w:color="auto"/>
        <w:bottom w:val="none" w:sz="0" w:space="0" w:color="auto"/>
        <w:right w:val="none" w:sz="0" w:space="0" w:color="auto"/>
      </w:divBdr>
    </w:div>
    <w:div w:id="1416367296">
      <w:bodyDiv w:val="1"/>
      <w:marLeft w:val="0"/>
      <w:marRight w:val="0"/>
      <w:marTop w:val="0"/>
      <w:marBottom w:val="0"/>
      <w:divBdr>
        <w:top w:val="none" w:sz="0" w:space="0" w:color="auto"/>
        <w:left w:val="none" w:sz="0" w:space="0" w:color="auto"/>
        <w:bottom w:val="none" w:sz="0" w:space="0" w:color="auto"/>
        <w:right w:val="none" w:sz="0" w:space="0" w:color="auto"/>
      </w:divBdr>
    </w:div>
    <w:div w:id="1416823253">
      <w:bodyDiv w:val="1"/>
      <w:marLeft w:val="0"/>
      <w:marRight w:val="0"/>
      <w:marTop w:val="0"/>
      <w:marBottom w:val="0"/>
      <w:divBdr>
        <w:top w:val="none" w:sz="0" w:space="0" w:color="auto"/>
        <w:left w:val="none" w:sz="0" w:space="0" w:color="auto"/>
        <w:bottom w:val="none" w:sz="0" w:space="0" w:color="auto"/>
        <w:right w:val="none" w:sz="0" w:space="0" w:color="auto"/>
      </w:divBdr>
    </w:div>
    <w:div w:id="1416975686">
      <w:bodyDiv w:val="1"/>
      <w:marLeft w:val="0"/>
      <w:marRight w:val="0"/>
      <w:marTop w:val="0"/>
      <w:marBottom w:val="0"/>
      <w:divBdr>
        <w:top w:val="none" w:sz="0" w:space="0" w:color="auto"/>
        <w:left w:val="none" w:sz="0" w:space="0" w:color="auto"/>
        <w:bottom w:val="none" w:sz="0" w:space="0" w:color="auto"/>
        <w:right w:val="none" w:sz="0" w:space="0" w:color="auto"/>
      </w:divBdr>
    </w:div>
    <w:div w:id="1418088291">
      <w:bodyDiv w:val="1"/>
      <w:marLeft w:val="0"/>
      <w:marRight w:val="0"/>
      <w:marTop w:val="0"/>
      <w:marBottom w:val="0"/>
      <w:divBdr>
        <w:top w:val="none" w:sz="0" w:space="0" w:color="auto"/>
        <w:left w:val="none" w:sz="0" w:space="0" w:color="auto"/>
        <w:bottom w:val="none" w:sz="0" w:space="0" w:color="auto"/>
        <w:right w:val="none" w:sz="0" w:space="0" w:color="auto"/>
      </w:divBdr>
    </w:div>
    <w:div w:id="1419132990">
      <w:bodyDiv w:val="1"/>
      <w:marLeft w:val="0"/>
      <w:marRight w:val="0"/>
      <w:marTop w:val="0"/>
      <w:marBottom w:val="0"/>
      <w:divBdr>
        <w:top w:val="none" w:sz="0" w:space="0" w:color="auto"/>
        <w:left w:val="none" w:sz="0" w:space="0" w:color="auto"/>
        <w:bottom w:val="none" w:sz="0" w:space="0" w:color="auto"/>
        <w:right w:val="none" w:sz="0" w:space="0" w:color="auto"/>
      </w:divBdr>
    </w:div>
    <w:div w:id="1420756640">
      <w:bodyDiv w:val="1"/>
      <w:marLeft w:val="0"/>
      <w:marRight w:val="0"/>
      <w:marTop w:val="0"/>
      <w:marBottom w:val="0"/>
      <w:divBdr>
        <w:top w:val="none" w:sz="0" w:space="0" w:color="auto"/>
        <w:left w:val="none" w:sz="0" w:space="0" w:color="auto"/>
        <w:bottom w:val="none" w:sz="0" w:space="0" w:color="auto"/>
        <w:right w:val="none" w:sz="0" w:space="0" w:color="auto"/>
      </w:divBdr>
    </w:div>
    <w:div w:id="1421563994">
      <w:bodyDiv w:val="1"/>
      <w:marLeft w:val="0"/>
      <w:marRight w:val="0"/>
      <w:marTop w:val="0"/>
      <w:marBottom w:val="0"/>
      <w:divBdr>
        <w:top w:val="none" w:sz="0" w:space="0" w:color="auto"/>
        <w:left w:val="none" w:sz="0" w:space="0" w:color="auto"/>
        <w:bottom w:val="none" w:sz="0" w:space="0" w:color="auto"/>
        <w:right w:val="none" w:sz="0" w:space="0" w:color="auto"/>
      </w:divBdr>
    </w:div>
    <w:div w:id="1423448848">
      <w:bodyDiv w:val="1"/>
      <w:marLeft w:val="0"/>
      <w:marRight w:val="0"/>
      <w:marTop w:val="0"/>
      <w:marBottom w:val="0"/>
      <w:divBdr>
        <w:top w:val="none" w:sz="0" w:space="0" w:color="auto"/>
        <w:left w:val="none" w:sz="0" w:space="0" w:color="auto"/>
        <w:bottom w:val="none" w:sz="0" w:space="0" w:color="auto"/>
        <w:right w:val="none" w:sz="0" w:space="0" w:color="auto"/>
      </w:divBdr>
    </w:div>
    <w:div w:id="1423642517">
      <w:bodyDiv w:val="1"/>
      <w:marLeft w:val="0"/>
      <w:marRight w:val="0"/>
      <w:marTop w:val="0"/>
      <w:marBottom w:val="0"/>
      <w:divBdr>
        <w:top w:val="none" w:sz="0" w:space="0" w:color="auto"/>
        <w:left w:val="none" w:sz="0" w:space="0" w:color="auto"/>
        <w:bottom w:val="none" w:sz="0" w:space="0" w:color="auto"/>
        <w:right w:val="none" w:sz="0" w:space="0" w:color="auto"/>
      </w:divBdr>
    </w:div>
    <w:div w:id="1424302479">
      <w:bodyDiv w:val="1"/>
      <w:marLeft w:val="0"/>
      <w:marRight w:val="0"/>
      <w:marTop w:val="0"/>
      <w:marBottom w:val="0"/>
      <w:divBdr>
        <w:top w:val="none" w:sz="0" w:space="0" w:color="auto"/>
        <w:left w:val="none" w:sz="0" w:space="0" w:color="auto"/>
        <w:bottom w:val="none" w:sz="0" w:space="0" w:color="auto"/>
        <w:right w:val="none" w:sz="0" w:space="0" w:color="auto"/>
      </w:divBdr>
    </w:div>
    <w:div w:id="1427076648">
      <w:bodyDiv w:val="1"/>
      <w:marLeft w:val="0"/>
      <w:marRight w:val="0"/>
      <w:marTop w:val="0"/>
      <w:marBottom w:val="0"/>
      <w:divBdr>
        <w:top w:val="none" w:sz="0" w:space="0" w:color="auto"/>
        <w:left w:val="none" w:sz="0" w:space="0" w:color="auto"/>
        <w:bottom w:val="none" w:sz="0" w:space="0" w:color="auto"/>
        <w:right w:val="none" w:sz="0" w:space="0" w:color="auto"/>
      </w:divBdr>
    </w:div>
    <w:div w:id="1428622183">
      <w:bodyDiv w:val="1"/>
      <w:marLeft w:val="0"/>
      <w:marRight w:val="0"/>
      <w:marTop w:val="0"/>
      <w:marBottom w:val="0"/>
      <w:divBdr>
        <w:top w:val="none" w:sz="0" w:space="0" w:color="auto"/>
        <w:left w:val="none" w:sz="0" w:space="0" w:color="auto"/>
        <w:bottom w:val="none" w:sz="0" w:space="0" w:color="auto"/>
        <w:right w:val="none" w:sz="0" w:space="0" w:color="auto"/>
      </w:divBdr>
    </w:div>
    <w:div w:id="1428886027">
      <w:bodyDiv w:val="1"/>
      <w:marLeft w:val="0"/>
      <w:marRight w:val="0"/>
      <w:marTop w:val="0"/>
      <w:marBottom w:val="0"/>
      <w:divBdr>
        <w:top w:val="none" w:sz="0" w:space="0" w:color="auto"/>
        <w:left w:val="none" w:sz="0" w:space="0" w:color="auto"/>
        <w:bottom w:val="none" w:sz="0" w:space="0" w:color="auto"/>
        <w:right w:val="none" w:sz="0" w:space="0" w:color="auto"/>
      </w:divBdr>
    </w:div>
    <w:div w:id="1431312242">
      <w:bodyDiv w:val="1"/>
      <w:marLeft w:val="0"/>
      <w:marRight w:val="0"/>
      <w:marTop w:val="0"/>
      <w:marBottom w:val="0"/>
      <w:divBdr>
        <w:top w:val="none" w:sz="0" w:space="0" w:color="auto"/>
        <w:left w:val="none" w:sz="0" w:space="0" w:color="auto"/>
        <w:bottom w:val="none" w:sz="0" w:space="0" w:color="auto"/>
        <w:right w:val="none" w:sz="0" w:space="0" w:color="auto"/>
      </w:divBdr>
    </w:div>
    <w:div w:id="1433478351">
      <w:bodyDiv w:val="1"/>
      <w:marLeft w:val="0"/>
      <w:marRight w:val="0"/>
      <w:marTop w:val="0"/>
      <w:marBottom w:val="0"/>
      <w:divBdr>
        <w:top w:val="none" w:sz="0" w:space="0" w:color="auto"/>
        <w:left w:val="none" w:sz="0" w:space="0" w:color="auto"/>
        <w:bottom w:val="none" w:sz="0" w:space="0" w:color="auto"/>
        <w:right w:val="none" w:sz="0" w:space="0" w:color="auto"/>
      </w:divBdr>
    </w:div>
    <w:div w:id="1433823815">
      <w:bodyDiv w:val="1"/>
      <w:marLeft w:val="0"/>
      <w:marRight w:val="0"/>
      <w:marTop w:val="0"/>
      <w:marBottom w:val="0"/>
      <w:divBdr>
        <w:top w:val="none" w:sz="0" w:space="0" w:color="auto"/>
        <w:left w:val="none" w:sz="0" w:space="0" w:color="auto"/>
        <w:bottom w:val="none" w:sz="0" w:space="0" w:color="auto"/>
        <w:right w:val="none" w:sz="0" w:space="0" w:color="auto"/>
      </w:divBdr>
    </w:div>
    <w:div w:id="1435128902">
      <w:bodyDiv w:val="1"/>
      <w:marLeft w:val="0"/>
      <w:marRight w:val="0"/>
      <w:marTop w:val="0"/>
      <w:marBottom w:val="0"/>
      <w:divBdr>
        <w:top w:val="none" w:sz="0" w:space="0" w:color="auto"/>
        <w:left w:val="none" w:sz="0" w:space="0" w:color="auto"/>
        <w:bottom w:val="none" w:sz="0" w:space="0" w:color="auto"/>
        <w:right w:val="none" w:sz="0" w:space="0" w:color="auto"/>
      </w:divBdr>
    </w:div>
    <w:div w:id="1435782304">
      <w:bodyDiv w:val="1"/>
      <w:marLeft w:val="0"/>
      <w:marRight w:val="0"/>
      <w:marTop w:val="0"/>
      <w:marBottom w:val="0"/>
      <w:divBdr>
        <w:top w:val="none" w:sz="0" w:space="0" w:color="auto"/>
        <w:left w:val="none" w:sz="0" w:space="0" w:color="auto"/>
        <w:bottom w:val="none" w:sz="0" w:space="0" w:color="auto"/>
        <w:right w:val="none" w:sz="0" w:space="0" w:color="auto"/>
      </w:divBdr>
    </w:div>
    <w:div w:id="1436249764">
      <w:bodyDiv w:val="1"/>
      <w:marLeft w:val="0"/>
      <w:marRight w:val="0"/>
      <w:marTop w:val="0"/>
      <w:marBottom w:val="0"/>
      <w:divBdr>
        <w:top w:val="none" w:sz="0" w:space="0" w:color="auto"/>
        <w:left w:val="none" w:sz="0" w:space="0" w:color="auto"/>
        <w:bottom w:val="none" w:sz="0" w:space="0" w:color="auto"/>
        <w:right w:val="none" w:sz="0" w:space="0" w:color="auto"/>
      </w:divBdr>
    </w:div>
    <w:div w:id="1436561054">
      <w:bodyDiv w:val="1"/>
      <w:marLeft w:val="0"/>
      <w:marRight w:val="0"/>
      <w:marTop w:val="0"/>
      <w:marBottom w:val="0"/>
      <w:divBdr>
        <w:top w:val="none" w:sz="0" w:space="0" w:color="auto"/>
        <w:left w:val="none" w:sz="0" w:space="0" w:color="auto"/>
        <w:bottom w:val="none" w:sz="0" w:space="0" w:color="auto"/>
        <w:right w:val="none" w:sz="0" w:space="0" w:color="auto"/>
      </w:divBdr>
    </w:div>
    <w:div w:id="1437554061">
      <w:bodyDiv w:val="1"/>
      <w:marLeft w:val="0"/>
      <w:marRight w:val="0"/>
      <w:marTop w:val="0"/>
      <w:marBottom w:val="0"/>
      <w:divBdr>
        <w:top w:val="none" w:sz="0" w:space="0" w:color="auto"/>
        <w:left w:val="none" w:sz="0" w:space="0" w:color="auto"/>
        <w:bottom w:val="none" w:sz="0" w:space="0" w:color="auto"/>
        <w:right w:val="none" w:sz="0" w:space="0" w:color="auto"/>
      </w:divBdr>
    </w:div>
    <w:div w:id="1438062289">
      <w:bodyDiv w:val="1"/>
      <w:marLeft w:val="0"/>
      <w:marRight w:val="0"/>
      <w:marTop w:val="0"/>
      <w:marBottom w:val="0"/>
      <w:divBdr>
        <w:top w:val="none" w:sz="0" w:space="0" w:color="auto"/>
        <w:left w:val="none" w:sz="0" w:space="0" w:color="auto"/>
        <w:bottom w:val="none" w:sz="0" w:space="0" w:color="auto"/>
        <w:right w:val="none" w:sz="0" w:space="0" w:color="auto"/>
      </w:divBdr>
    </w:div>
    <w:div w:id="1439719892">
      <w:bodyDiv w:val="1"/>
      <w:marLeft w:val="0"/>
      <w:marRight w:val="0"/>
      <w:marTop w:val="0"/>
      <w:marBottom w:val="0"/>
      <w:divBdr>
        <w:top w:val="none" w:sz="0" w:space="0" w:color="auto"/>
        <w:left w:val="none" w:sz="0" w:space="0" w:color="auto"/>
        <w:bottom w:val="none" w:sz="0" w:space="0" w:color="auto"/>
        <w:right w:val="none" w:sz="0" w:space="0" w:color="auto"/>
      </w:divBdr>
    </w:div>
    <w:div w:id="1443576825">
      <w:bodyDiv w:val="1"/>
      <w:marLeft w:val="0"/>
      <w:marRight w:val="0"/>
      <w:marTop w:val="0"/>
      <w:marBottom w:val="0"/>
      <w:divBdr>
        <w:top w:val="none" w:sz="0" w:space="0" w:color="auto"/>
        <w:left w:val="none" w:sz="0" w:space="0" w:color="auto"/>
        <w:bottom w:val="none" w:sz="0" w:space="0" w:color="auto"/>
        <w:right w:val="none" w:sz="0" w:space="0" w:color="auto"/>
      </w:divBdr>
    </w:div>
    <w:div w:id="1444571238">
      <w:bodyDiv w:val="1"/>
      <w:marLeft w:val="0"/>
      <w:marRight w:val="0"/>
      <w:marTop w:val="0"/>
      <w:marBottom w:val="0"/>
      <w:divBdr>
        <w:top w:val="none" w:sz="0" w:space="0" w:color="auto"/>
        <w:left w:val="none" w:sz="0" w:space="0" w:color="auto"/>
        <w:bottom w:val="none" w:sz="0" w:space="0" w:color="auto"/>
        <w:right w:val="none" w:sz="0" w:space="0" w:color="auto"/>
      </w:divBdr>
    </w:div>
    <w:div w:id="1445686138">
      <w:bodyDiv w:val="1"/>
      <w:marLeft w:val="0"/>
      <w:marRight w:val="0"/>
      <w:marTop w:val="0"/>
      <w:marBottom w:val="0"/>
      <w:divBdr>
        <w:top w:val="none" w:sz="0" w:space="0" w:color="auto"/>
        <w:left w:val="none" w:sz="0" w:space="0" w:color="auto"/>
        <w:bottom w:val="none" w:sz="0" w:space="0" w:color="auto"/>
        <w:right w:val="none" w:sz="0" w:space="0" w:color="auto"/>
      </w:divBdr>
    </w:div>
    <w:div w:id="1446728965">
      <w:bodyDiv w:val="1"/>
      <w:marLeft w:val="0"/>
      <w:marRight w:val="0"/>
      <w:marTop w:val="0"/>
      <w:marBottom w:val="0"/>
      <w:divBdr>
        <w:top w:val="none" w:sz="0" w:space="0" w:color="auto"/>
        <w:left w:val="none" w:sz="0" w:space="0" w:color="auto"/>
        <w:bottom w:val="none" w:sz="0" w:space="0" w:color="auto"/>
        <w:right w:val="none" w:sz="0" w:space="0" w:color="auto"/>
      </w:divBdr>
    </w:div>
    <w:div w:id="1448309310">
      <w:bodyDiv w:val="1"/>
      <w:marLeft w:val="0"/>
      <w:marRight w:val="0"/>
      <w:marTop w:val="0"/>
      <w:marBottom w:val="0"/>
      <w:divBdr>
        <w:top w:val="none" w:sz="0" w:space="0" w:color="auto"/>
        <w:left w:val="none" w:sz="0" w:space="0" w:color="auto"/>
        <w:bottom w:val="none" w:sz="0" w:space="0" w:color="auto"/>
        <w:right w:val="none" w:sz="0" w:space="0" w:color="auto"/>
      </w:divBdr>
    </w:div>
    <w:div w:id="1448548897">
      <w:bodyDiv w:val="1"/>
      <w:marLeft w:val="0"/>
      <w:marRight w:val="0"/>
      <w:marTop w:val="0"/>
      <w:marBottom w:val="0"/>
      <w:divBdr>
        <w:top w:val="none" w:sz="0" w:space="0" w:color="auto"/>
        <w:left w:val="none" w:sz="0" w:space="0" w:color="auto"/>
        <w:bottom w:val="none" w:sz="0" w:space="0" w:color="auto"/>
        <w:right w:val="none" w:sz="0" w:space="0" w:color="auto"/>
      </w:divBdr>
    </w:div>
    <w:div w:id="1450659033">
      <w:bodyDiv w:val="1"/>
      <w:marLeft w:val="0"/>
      <w:marRight w:val="0"/>
      <w:marTop w:val="0"/>
      <w:marBottom w:val="0"/>
      <w:divBdr>
        <w:top w:val="none" w:sz="0" w:space="0" w:color="auto"/>
        <w:left w:val="none" w:sz="0" w:space="0" w:color="auto"/>
        <w:bottom w:val="none" w:sz="0" w:space="0" w:color="auto"/>
        <w:right w:val="none" w:sz="0" w:space="0" w:color="auto"/>
      </w:divBdr>
    </w:div>
    <w:div w:id="1451313347">
      <w:bodyDiv w:val="1"/>
      <w:marLeft w:val="0"/>
      <w:marRight w:val="0"/>
      <w:marTop w:val="0"/>
      <w:marBottom w:val="0"/>
      <w:divBdr>
        <w:top w:val="none" w:sz="0" w:space="0" w:color="auto"/>
        <w:left w:val="none" w:sz="0" w:space="0" w:color="auto"/>
        <w:bottom w:val="none" w:sz="0" w:space="0" w:color="auto"/>
        <w:right w:val="none" w:sz="0" w:space="0" w:color="auto"/>
      </w:divBdr>
    </w:div>
    <w:div w:id="1451776323">
      <w:bodyDiv w:val="1"/>
      <w:marLeft w:val="0"/>
      <w:marRight w:val="0"/>
      <w:marTop w:val="0"/>
      <w:marBottom w:val="0"/>
      <w:divBdr>
        <w:top w:val="none" w:sz="0" w:space="0" w:color="auto"/>
        <w:left w:val="none" w:sz="0" w:space="0" w:color="auto"/>
        <w:bottom w:val="none" w:sz="0" w:space="0" w:color="auto"/>
        <w:right w:val="none" w:sz="0" w:space="0" w:color="auto"/>
      </w:divBdr>
    </w:div>
    <w:div w:id="1452015953">
      <w:bodyDiv w:val="1"/>
      <w:marLeft w:val="0"/>
      <w:marRight w:val="0"/>
      <w:marTop w:val="0"/>
      <w:marBottom w:val="0"/>
      <w:divBdr>
        <w:top w:val="none" w:sz="0" w:space="0" w:color="auto"/>
        <w:left w:val="none" w:sz="0" w:space="0" w:color="auto"/>
        <w:bottom w:val="none" w:sz="0" w:space="0" w:color="auto"/>
        <w:right w:val="none" w:sz="0" w:space="0" w:color="auto"/>
      </w:divBdr>
    </w:div>
    <w:div w:id="1453328960">
      <w:bodyDiv w:val="1"/>
      <w:marLeft w:val="0"/>
      <w:marRight w:val="0"/>
      <w:marTop w:val="0"/>
      <w:marBottom w:val="0"/>
      <w:divBdr>
        <w:top w:val="none" w:sz="0" w:space="0" w:color="auto"/>
        <w:left w:val="none" w:sz="0" w:space="0" w:color="auto"/>
        <w:bottom w:val="none" w:sz="0" w:space="0" w:color="auto"/>
        <w:right w:val="none" w:sz="0" w:space="0" w:color="auto"/>
      </w:divBdr>
    </w:div>
    <w:div w:id="1453982878">
      <w:bodyDiv w:val="1"/>
      <w:marLeft w:val="0"/>
      <w:marRight w:val="0"/>
      <w:marTop w:val="0"/>
      <w:marBottom w:val="0"/>
      <w:divBdr>
        <w:top w:val="none" w:sz="0" w:space="0" w:color="auto"/>
        <w:left w:val="none" w:sz="0" w:space="0" w:color="auto"/>
        <w:bottom w:val="none" w:sz="0" w:space="0" w:color="auto"/>
        <w:right w:val="none" w:sz="0" w:space="0" w:color="auto"/>
      </w:divBdr>
    </w:div>
    <w:div w:id="1454472716">
      <w:bodyDiv w:val="1"/>
      <w:marLeft w:val="0"/>
      <w:marRight w:val="0"/>
      <w:marTop w:val="0"/>
      <w:marBottom w:val="0"/>
      <w:divBdr>
        <w:top w:val="none" w:sz="0" w:space="0" w:color="auto"/>
        <w:left w:val="none" w:sz="0" w:space="0" w:color="auto"/>
        <w:bottom w:val="none" w:sz="0" w:space="0" w:color="auto"/>
        <w:right w:val="none" w:sz="0" w:space="0" w:color="auto"/>
      </w:divBdr>
    </w:div>
    <w:div w:id="1456605702">
      <w:bodyDiv w:val="1"/>
      <w:marLeft w:val="0"/>
      <w:marRight w:val="0"/>
      <w:marTop w:val="0"/>
      <w:marBottom w:val="0"/>
      <w:divBdr>
        <w:top w:val="none" w:sz="0" w:space="0" w:color="auto"/>
        <w:left w:val="none" w:sz="0" w:space="0" w:color="auto"/>
        <w:bottom w:val="none" w:sz="0" w:space="0" w:color="auto"/>
        <w:right w:val="none" w:sz="0" w:space="0" w:color="auto"/>
      </w:divBdr>
    </w:div>
    <w:div w:id="1457067900">
      <w:bodyDiv w:val="1"/>
      <w:marLeft w:val="0"/>
      <w:marRight w:val="0"/>
      <w:marTop w:val="0"/>
      <w:marBottom w:val="0"/>
      <w:divBdr>
        <w:top w:val="none" w:sz="0" w:space="0" w:color="auto"/>
        <w:left w:val="none" w:sz="0" w:space="0" w:color="auto"/>
        <w:bottom w:val="none" w:sz="0" w:space="0" w:color="auto"/>
        <w:right w:val="none" w:sz="0" w:space="0" w:color="auto"/>
      </w:divBdr>
    </w:div>
    <w:div w:id="1460225307">
      <w:bodyDiv w:val="1"/>
      <w:marLeft w:val="0"/>
      <w:marRight w:val="0"/>
      <w:marTop w:val="0"/>
      <w:marBottom w:val="0"/>
      <w:divBdr>
        <w:top w:val="none" w:sz="0" w:space="0" w:color="auto"/>
        <w:left w:val="none" w:sz="0" w:space="0" w:color="auto"/>
        <w:bottom w:val="none" w:sz="0" w:space="0" w:color="auto"/>
        <w:right w:val="none" w:sz="0" w:space="0" w:color="auto"/>
      </w:divBdr>
    </w:div>
    <w:div w:id="1460421228">
      <w:bodyDiv w:val="1"/>
      <w:marLeft w:val="0"/>
      <w:marRight w:val="0"/>
      <w:marTop w:val="0"/>
      <w:marBottom w:val="0"/>
      <w:divBdr>
        <w:top w:val="none" w:sz="0" w:space="0" w:color="auto"/>
        <w:left w:val="none" w:sz="0" w:space="0" w:color="auto"/>
        <w:bottom w:val="none" w:sz="0" w:space="0" w:color="auto"/>
        <w:right w:val="none" w:sz="0" w:space="0" w:color="auto"/>
      </w:divBdr>
    </w:div>
    <w:div w:id="1460806762">
      <w:bodyDiv w:val="1"/>
      <w:marLeft w:val="0"/>
      <w:marRight w:val="0"/>
      <w:marTop w:val="0"/>
      <w:marBottom w:val="0"/>
      <w:divBdr>
        <w:top w:val="none" w:sz="0" w:space="0" w:color="auto"/>
        <w:left w:val="none" w:sz="0" w:space="0" w:color="auto"/>
        <w:bottom w:val="none" w:sz="0" w:space="0" w:color="auto"/>
        <w:right w:val="none" w:sz="0" w:space="0" w:color="auto"/>
      </w:divBdr>
    </w:div>
    <w:div w:id="1460877082">
      <w:bodyDiv w:val="1"/>
      <w:marLeft w:val="0"/>
      <w:marRight w:val="0"/>
      <w:marTop w:val="0"/>
      <w:marBottom w:val="0"/>
      <w:divBdr>
        <w:top w:val="none" w:sz="0" w:space="0" w:color="auto"/>
        <w:left w:val="none" w:sz="0" w:space="0" w:color="auto"/>
        <w:bottom w:val="none" w:sz="0" w:space="0" w:color="auto"/>
        <w:right w:val="none" w:sz="0" w:space="0" w:color="auto"/>
      </w:divBdr>
    </w:div>
    <w:div w:id="1462533897">
      <w:bodyDiv w:val="1"/>
      <w:marLeft w:val="0"/>
      <w:marRight w:val="0"/>
      <w:marTop w:val="0"/>
      <w:marBottom w:val="0"/>
      <w:divBdr>
        <w:top w:val="none" w:sz="0" w:space="0" w:color="auto"/>
        <w:left w:val="none" w:sz="0" w:space="0" w:color="auto"/>
        <w:bottom w:val="none" w:sz="0" w:space="0" w:color="auto"/>
        <w:right w:val="none" w:sz="0" w:space="0" w:color="auto"/>
      </w:divBdr>
    </w:div>
    <w:div w:id="1463038393">
      <w:bodyDiv w:val="1"/>
      <w:marLeft w:val="0"/>
      <w:marRight w:val="0"/>
      <w:marTop w:val="0"/>
      <w:marBottom w:val="0"/>
      <w:divBdr>
        <w:top w:val="none" w:sz="0" w:space="0" w:color="auto"/>
        <w:left w:val="none" w:sz="0" w:space="0" w:color="auto"/>
        <w:bottom w:val="none" w:sz="0" w:space="0" w:color="auto"/>
        <w:right w:val="none" w:sz="0" w:space="0" w:color="auto"/>
      </w:divBdr>
    </w:div>
    <w:div w:id="1463309743">
      <w:bodyDiv w:val="1"/>
      <w:marLeft w:val="0"/>
      <w:marRight w:val="0"/>
      <w:marTop w:val="0"/>
      <w:marBottom w:val="0"/>
      <w:divBdr>
        <w:top w:val="none" w:sz="0" w:space="0" w:color="auto"/>
        <w:left w:val="none" w:sz="0" w:space="0" w:color="auto"/>
        <w:bottom w:val="none" w:sz="0" w:space="0" w:color="auto"/>
        <w:right w:val="none" w:sz="0" w:space="0" w:color="auto"/>
      </w:divBdr>
    </w:div>
    <w:div w:id="1463500924">
      <w:bodyDiv w:val="1"/>
      <w:marLeft w:val="0"/>
      <w:marRight w:val="0"/>
      <w:marTop w:val="0"/>
      <w:marBottom w:val="0"/>
      <w:divBdr>
        <w:top w:val="none" w:sz="0" w:space="0" w:color="auto"/>
        <w:left w:val="none" w:sz="0" w:space="0" w:color="auto"/>
        <w:bottom w:val="none" w:sz="0" w:space="0" w:color="auto"/>
        <w:right w:val="none" w:sz="0" w:space="0" w:color="auto"/>
      </w:divBdr>
    </w:div>
    <w:div w:id="1463695480">
      <w:bodyDiv w:val="1"/>
      <w:marLeft w:val="0"/>
      <w:marRight w:val="0"/>
      <w:marTop w:val="0"/>
      <w:marBottom w:val="0"/>
      <w:divBdr>
        <w:top w:val="none" w:sz="0" w:space="0" w:color="auto"/>
        <w:left w:val="none" w:sz="0" w:space="0" w:color="auto"/>
        <w:bottom w:val="none" w:sz="0" w:space="0" w:color="auto"/>
        <w:right w:val="none" w:sz="0" w:space="0" w:color="auto"/>
      </w:divBdr>
    </w:div>
    <w:div w:id="1464035029">
      <w:bodyDiv w:val="1"/>
      <w:marLeft w:val="0"/>
      <w:marRight w:val="0"/>
      <w:marTop w:val="0"/>
      <w:marBottom w:val="0"/>
      <w:divBdr>
        <w:top w:val="none" w:sz="0" w:space="0" w:color="auto"/>
        <w:left w:val="none" w:sz="0" w:space="0" w:color="auto"/>
        <w:bottom w:val="none" w:sz="0" w:space="0" w:color="auto"/>
        <w:right w:val="none" w:sz="0" w:space="0" w:color="auto"/>
      </w:divBdr>
    </w:div>
    <w:div w:id="1465733947">
      <w:bodyDiv w:val="1"/>
      <w:marLeft w:val="0"/>
      <w:marRight w:val="0"/>
      <w:marTop w:val="0"/>
      <w:marBottom w:val="0"/>
      <w:divBdr>
        <w:top w:val="none" w:sz="0" w:space="0" w:color="auto"/>
        <w:left w:val="none" w:sz="0" w:space="0" w:color="auto"/>
        <w:bottom w:val="none" w:sz="0" w:space="0" w:color="auto"/>
        <w:right w:val="none" w:sz="0" w:space="0" w:color="auto"/>
      </w:divBdr>
    </w:div>
    <w:div w:id="1466044106">
      <w:bodyDiv w:val="1"/>
      <w:marLeft w:val="0"/>
      <w:marRight w:val="0"/>
      <w:marTop w:val="0"/>
      <w:marBottom w:val="0"/>
      <w:divBdr>
        <w:top w:val="none" w:sz="0" w:space="0" w:color="auto"/>
        <w:left w:val="none" w:sz="0" w:space="0" w:color="auto"/>
        <w:bottom w:val="none" w:sz="0" w:space="0" w:color="auto"/>
        <w:right w:val="none" w:sz="0" w:space="0" w:color="auto"/>
      </w:divBdr>
    </w:div>
    <w:div w:id="1467118806">
      <w:bodyDiv w:val="1"/>
      <w:marLeft w:val="0"/>
      <w:marRight w:val="0"/>
      <w:marTop w:val="0"/>
      <w:marBottom w:val="0"/>
      <w:divBdr>
        <w:top w:val="none" w:sz="0" w:space="0" w:color="auto"/>
        <w:left w:val="none" w:sz="0" w:space="0" w:color="auto"/>
        <w:bottom w:val="none" w:sz="0" w:space="0" w:color="auto"/>
        <w:right w:val="none" w:sz="0" w:space="0" w:color="auto"/>
      </w:divBdr>
    </w:div>
    <w:div w:id="1467552302">
      <w:bodyDiv w:val="1"/>
      <w:marLeft w:val="0"/>
      <w:marRight w:val="0"/>
      <w:marTop w:val="0"/>
      <w:marBottom w:val="0"/>
      <w:divBdr>
        <w:top w:val="none" w:sz="0" w:space="0" w:color="auto"/>
        <w:left w:val="none" w:sz="0" w:space="0" w:color="auto"/>
        <w:bottom w:val="none" w:sz="0" w:space="0" w:color="auto"/>
        <w:right w:val="none" w:sz="0" w:space="0" w:color="auto"/>
      </w:divBdr>
      <w:divsChild>
        <w:div w:id="874468343">
          <w:marLeft w:val="360"/>
          <w:marRight w:val="0"/>
          <w:marTop w:val="0"/>
          <w:marBottom w:val="0"/>
          <w:divBdr>
            <w:top w:val="none" w:sz="0" w:space="0" w:color="auto"/>
            <w:left w:val="none" w:sz="0" w:space="0" w:color="auto"/>
            <w:bottom w:val="none" w:sz="0" w:space="0" w:color="auto"/>
            <w:right w:val="none" w:sz="0" w:space="0" w:color="auto"/>
          </w:divBdr>
        </w:div>
        <w:div w:id="2088920662">
          <w:marLeft w:val="360"/>
          <w:marRight w:val="0"/>
          <w:marTop w:val="0"/>
          <w:marBottom w:val="0"/>
          <w:divBdr>
            <w:top w:val="none" w:sz="0" w:space="0" w:color="auto"/>
            <w:left w:val="none" w:sz="0" w:space="0" w:color="auto"/>
            <w:bottom w:val="none" w:sz="0" w:space="0" w:color="auto"/>
            <w:right w:val="none" w:sz="0" w:space="0" w:color="auto"/>
          </w:divBdr>
        </w:div>
        <w:div w:id="86275409">
          <w:marLeft w:val="360"/>
          <w:marRight w:val="0"/>
          <w:marTop w:val="0"/>
          <w:marBottom w:val="0"/>
          <w:divBdr>
            <w:top w:val="none" w:sz="0" w:space="0" w:color="auto"/>
            <w:left w:val="none" w:sz="0" w:space="0" w:color="auto"/>
            <w:bottom w:val="none" w:sz="0" w:space="0" w:color="auto"/>
            <w:right w:val="none" w:sz="0" w:space="0" w:color="auto"/>
          </w:divBdr>
        </w:div>
        <w:div w:id="1308901329">
          <w:marLeft w:val="360"/>
          <w:marRight w:val="0"/>
          <w:marTop w:val="0"/>
          <w:marBottom w:val="0"/>
          <w:divBdr>
            <w:top w:val="none" w:sz="0" w:space="0" w:color="auto"/>
            <w:left w:val="none" w:sz="0" w:space="0" w:color="auto"/>
            <w:bottom w:val="none" w:sz="0" w:space="0" w:color="auto"/>
            <w:right w:val="none" w:sz="0" w:space="0" w:color="auto"/>
          </w:divBdr>
        </w:div>
      </w:divsChild>
    </w:div>
    <w:div w:id="1467629287">
      <w:bodyDiv w:val="1"/>
      <w:marLeft w:val="0"/>
      <w:marRight w:val="0"/>
      <w:marTop w:val="0"/>
      <w:marBottom w:val="0"/>
      <w:divBdr>
        <w:top w:val="none" w:sz="0" w:space="0" w:color="auto"/>
        <w:left w:val="none" w:sz="0" w:space="0" w:color="auto"/>
        <w:bottom w:val="none" w:sz="0" w:space="0" w:color="auto"/>
        <w:right w:val="none" w:sz="0" w:space="0" w:color="auto"/>
      </w:divBdr>
    </w:div>
    <w:div w:id="1468089564">
      <w:bodyDiv w:val="1"/>
      <w:marLeft w:val="0"/>
      <w:marRight w:val="0"/>
      <w:marTop w:val="0"/>
      <w:marBottom w:val="0"/>
      <w:divBdr>
        <w:top w:val="none" w:sz="0" w:space="0" w:color="auto"/>
        <w:left w:val="none" w:sz="0" w:space="0" w:color="auto"/>
        <w:bottom w:val="none" w:sz="0" w:space="0" w:color="auto"/>
        <w:right w:val="none" w:sz="0" w:space="0" w:color="auto"/>
      </w:divBdr>
    </w:div>
    <w:div w:id="1472136734">
      <w:bodyDiv w:val="1"/>
      <w:marLeft w:val="0"/>
      <w:marRight w:val="0"/>
      <w:marTop w:val="0"/>
      <w:marBottom w:val="0"/>
      <w:divBdr>
        <w:top w:val="none" w:sz="0" w:space="0" w:color="auto"/>
        <w:left w:val="none" w:sz="0" w:space="0" w:color="auto"/>
        <w:bottom w:val="none" w:sz="0" w:space="0" w:color="auto"/>
        <w:right w:val="none" w:sz="0" w:space="0" w:color="auto"/>
      </w:divBdr>
    </w:div>
    <w:div w:id="1474715941">
      <w:bodyDiv w:val="1"/>
      <w:marLeft w:val="0"/>
      <w:marRight w:val="0"/>
      <w:marTop w:val="0"/>
      <w:marBottom w:val="0"/>
      <w:divBdr>
        <w:top w:val="none" w:sz="0" w:space="0" w:color="auto"/>
        <w:left w:val="none" w:sz="0" w:space="0" w:color="auto"/>
        <w:bottom w:val="none" w:sz="0" w:space="0" w:color="auto"/>
        <w:right w:val="none" w:sz="0" w:space="0" w:color="auto"/>
      </w:divBdr>
    </w:div>
    <w:div w:id="1474985592">
      <w:bodyDiv w:val="1"/>
      <w:marLeft w:val="0"/>
      <w:marRight w:val="0"/>
      <w:marTop w:val="0"/>
      <w:marBottom w:val="0"/>
      <w:divBdr>
        <w:top w:val="none" w:sz="0" w:space="0" w:color="auto"/>
        <w:left w:val="none" w:sz="0" w:space="0" w:color="auto"/>
        <w:bottom w:val="none" w:sz="0" w:space="0" w:color="auto"/>
        <w:right w:val="none" w:sz="0" w:space="0" w:color="auto"/>
      </w:divBdr>
    </w:div>
    <w:div w:id="1475372330">
      <w:bodyDiv w:val="1"/>
      <w:marLeft w:val="0"/>
      <w:marRight w:val="0"/>
      <w:marTop w:val="0"/>
      <w:marBottom w:val="0"/>
      <w:divBdr>
        <w:top w:val="none" w:sz="0" w:space="0" w:color="auto"/>
        <w:left w:val="none" w:sz="0" w:space="0" w:color="auto"/>
        <w:bottom w:val="none" w:sz="0" w:space="0" w:color="auto"/>
        <w:right w:val="none" w:sz="0" w:space="0" w:color="auto"/>
      </w:divBdr>
    </w:div>
    <w:div w:id="1475757826">
      <w:bodyDiv w:val="1"/>
      <w:marLeft w:val="0"/>
      <w:marRight w:val="0"/>
      <w:marTop w:val="0"/>
      <w:marBottom w:val="0"/>
      <w:divBdr>
        <w:top w:val="none" w:sz="0" w:space="0" w:color="auto"/>
        <w:left w:val="none" w:sz="0" w:space="0" w:color="auto"/>
        <w:bottom w:val="none" w:sz="0" w:space="0" w:color="auto"/>
        <w:right w:val="none" w:sz="0" w:space="0" w:color="auto"/>
      </w:divBdr>
    </w:div>
    <w:div w:id="1476023253">
      <w:bodyDiv w:val="1"/>
      <w:marLeft w:val="0"/>
      <w:marRight w:val="0"/>
      <w:marTop w:val="0"/>
      <w:marBottom w:val="0"/>
      <w:divBdr>
        <w:top w:val="none" w:sz="0" w:space="0" w:color="auto"/>
        <w:left w:val="none" w:sz="0" w:space="0" w:color="auto"/>
        <w:bottom w:val="none" w:sz="0" w:space="0" w:color="auto"/>
        <w:right w:val="none" w:sz="0" w:space="0" w:color="auto"/>
      </w:divBdr>
    </w:div>
    <w:div w:id="1477260609">
      <w:bodyDiv w:val="1"/>
      <w:marLeft w:val="0"/>
      <w:marRight w:val="0"/>
      <w:marTop w:val="0"/>
      <w:marBottom w:val="0"/>
      <w:divBdr>
        <w:top w:val="none" w:sz="0" w:space="0" w:color="auto"/>
        <w:left w:val="none" w:sz="0" w:space="0" w:color="auto"/>
        <w:bottom w:val="none" w:sz="0" w:space="0" w:color="auto"/>
        <w:right w:val="none" w:sz="0" w:space="0" w:color="auto"/>
      </w:divBdr>
    </w:div>
    <w:div w:id="1477601437">
      <w:bodyDiv w:val="1"/>
      <w:marLeft w:val="0"/>
      <w:marRight w:val="0"/>
      <w:marTop w:val="0"/>
      <w:marBottom w:val="0"/>
      <w:divBdr>
        <w:top w:val="none" w:sz="0" w:space="0" w:color="auto"/>
        <w:left w:val="none" w:sz="0" w:space="0" w:color="auto"/>
        <w:bottom w:val="none" w:sz="0" w:space="0" w:color="auto"/>
        <w:right w:val="none" w:sz="0" w:space="0" w:color="auto"/>
      </w:divBdr>
    </w:div>
    <w:div w:id="1477607269">
      <w:bodyDiv w:val="1"/>
      <w:marLeft w:val="0"/>
      <w:marRight w:val="0"/>
      <w:marTop w:val="0"/>
      <w:marBottom w:val="0"/>
      <w:divBdr>
        <w:top w:val="none" w:sz="0" w:space="0" w:color="auto"/>
        <w:left w:val="none" w:sz="0" w:space="0" w:color="auto"/>
        <w:bottom w:val="none" w:sz="0" w:space="0" w:color="auto"/>
        <w:right w:val="none" w:sz="0" w:space="0" w:color="auto"/>
      </w:divBdr>
    </w:div>
    <w:div w:id="1478062402">
      <w:bodyDiv w:val="1"/>
      <w:marLeft w:val="0"/>
      <w:marRight w:val="0"/>
      <w:marTop w:val="0"/>
      <w:marBottom w:val="0"/>
      <w:divBdr>
        <w:top w:val="none" w:sz="0" w:space="0" w:color="auto"/>
        <w:left w:val="none" w:sz="0" w:space="0" w:color="auto"/>
        <w:bottom w:val="none" w:sz="0" w:space="0" w:color="auto"/>
        <w:right w:val="none" w:sz="0" w:space="0" w:color="auto"/>
      </w:divBdr>
    </w:div>
    <w:div w:id="1480415952">
      <w:bodyDiv w:val="1"/>
      <w:marLeft w:val="0"/>
      <w:marRight w:val="0"/>
      <w:marTop w:val="0"/>
      <w:marBottom w:val="0"/>
      <w:divBdr>
        <w:top w:val="none" w:sz="0" w:space="0" w:color="auto"/>
        <w:left w:val="none" w:sz="0" w:space="0" w:color="auto"/>
        <w:bottom w:val="none" w:sz="0" w:space="0" w:color="auto"/>
        <w:right w:val="none" w:sz="0" w:space="0" w:color="auto"/>
      </w:divBdr>
    </w:div>
    <w:div w:id="1480658401">
      <w:bodyDiv w:val="1"/>
      <w:marLeft w:val="0"/>
      <w:marRight w:val="0"/>
      <w:marTop w:val="0"/>
      <w:marBottom w:val="0"/>
      <w:divBdr>
        <w:top w:val="none" w:sz="0" w:space="0" w:color="auto"/>
        <w:left w:val="none" w:sz="0" w:space="0" w:color="auto"/>
        <w:bottom w:val="none" w:sz="0" w:space="0" w:color="auto"/>
        <w:right w:val="none" w:sz="0" w:space="0" w:color="auto"/>
      </w:divBdr>
    </w:div>
    <w:div w:id="1481842105">
      <w:bodyDiv w:val="1"/>
      <w:marLeft w:val="0"/>
      <w:marRight w:val="0"/>
      <w:marTop w:val="0"/>
      <w:marBottom w:val="0"/>
      <w:divBdr>
        <w:top w:val="none" w:sz="0" w:space="0" w:color="auto"/>
        <w:left w:val="none" w:sz="0" w:space="0" w:color="auto"/>
        <w:bottom w:val="none" w:sz="0" w:space="0" w:color="auto"/>
        <w:right w:val="none" w:sz="0" w:space="0" w:color="auto"/>
      </w:divBdr>
    </w:div>
    <w:div w:id="1481843992">
      <w:bodyDiv w:val="1"/>
      <w:marLeft w:val="0"/>
      <w:marRight w:val="0"/>
      <w:marTop w:val="0"/>
      <w:marBottom w:val="0"/>
      <w:divBdr>
        <w:top w:val="none" w:sz="0" w:space="0" w:color="auto"/>
        <w:left w:val="none" w:sz="0" w:space="0" w:color="auto"/>
        <w:bottom w:val="none" w:sz="0" w:space="0" w:color="auto"/>
        <w:right w:val="none" w:sz="0" w:space="0" w:color="auto"/>
      </w:divBdr>
    </w:div>
    <w:div w:id="1483036057">
      <w:bodyDiv w:val="1"/>
      <w:marLeft w:val="0"/>
      <w:marRight w:val="0"/>
      <w:marTop w:val="0"/>
      <w:marBottom w:val="0"/>
      <w:divBdr>
        <w:top w:val="none" w:sz="0" w:space="0" w:color="auto"/>
        <w:left w:val="none" w:sz="0" w:space="0" w:color="auto"/>
        <w:bottom w:val="none" w:sz="0" w:space="0" w:color="auto"/>
        <w:right w:val="none" w:sz="0" w:space="0" w:color="auto"/>
      </w:divBdr>
    </w:div>
    <w:div w:id="1483816398">
      <w:bodyDiv w:val="1"/>
      <w:marLeft w:val="0"/>
      <w:marRight w:val="0"/>
      <w:marTop w:val="0"/>
      <w:marBottom w:val="0"/>
      <w:divBdr>
        <w:top w:val="none" w:sz="0" w:space="0" w:color="auto"/>
        <w:left w:val="none" w:sz="0" w:space="0" w:color="auto"/>
        <w:bottom w:val="none" w:sz="0" w:space="0" w:color="auto"/>
        <w:right w:val="none" w:sz="0" w:space="0" w:color="auto"/>
      </w:divBdr>
    </w:div>
    <w:div w:id="1485513818">
      <w:bodyDiv w:val="1"/>
      <w:marLeft w:val="0"/>
      <w:marRight w:val="0"/>
      <w:marTop w:val="0"/>
      <w:marBottom w:val="0"/>
      <w:divBdr>
        <w:top w:val="none" w:sz="0" w:space="0" w:color="auto"/>
        <w:left w:val="none" w:sz="0" w:space="0" w:color="auto"/>
        <w:bottom w:val="none" w:sz="0" w:space="0" w:color="auto"/>
        <w:right w:val="none" w:sz="0" w:space="0" w:color="auto"/>
      </w:divBdr>
    </w:div>
    <w:div w:id="1487161767">
      <w:bodyDiv w:val="1"/>
      <w:marLeft w:val="0"/>
      <w:marRight w:val="0"/>
      <w:marTop w:val="0"/>
      <w:marBottom w:val="0"/>
      <w:divBdr>
        <w:top w:val="none" w:sz="0" w:space="0" w:color="auto"/>
        <w:left w:val="none" w:sz="0" w:space="0" w:color="auto"/>
        <w:bottom w:val="none" w:sz="0" w:space="0" w:color="auto"/>
        <w:right w:val="none" w:sz="0" w:space="0" w:color="auto"/>
      </w:divBdr>
    </w:div>
    <w:div w:id="1487236895">
      <w:bodyDiv w:val="1"/>
      <w:marLeft w:val="0"/>
      <w:marRight w:val="0"/>
      <w:marTop w:val="0"/>
      <w:marBottom w:val="0"/>
      <w:divBdr>
        <w:top w:val="none" w:sz="0" w:space="0" w:color="auto"/>
        <w:left w:val="none" w:sz="0" w:space="0" w:color="auto"/>
        <w:bottom w:val="none" w:sz="0" w:space="0" w:color="auto"/>
        <w:right w:val="none" w:sz="0" w:space="0" w:color="auto"/>
      </w:divBdr>
    </w:div>
    <w:div w:id="1487475222">
      <w:bodyDiv w:val="1"/>
      <w:marLeft w:val="0"/>
      <w:marRight w:val="0"/>
      <w:marTop w:val="0"/>
      <w:marBottom w:val="0"/>
      <w:divBdr>
        <w:top w:val="none" w:sz="0" w:space="0" w:color="auto"/>
        <w:left w:val="none" w:sz="0" w:space="0" w:color="auto"/>
        <w:bottom w:val="none" w:sz="0" w:space="0" w:color="auto"/>
        <w:right w:val="none" w:sz="0" w:space="0" w:color="auto"/>
      </w:divBdr>
    </w:div>
    <w:div w:id="1489323837">
      <w:bodyDiv w:val="1"/>
      <w:marLeft w:val="0"/>
      <w:marRight w:val="0"/>
      <w:marTop w:val="0"/>
      <w:marBottom w:val="0"/>
      <w:divBdr>
        <w:top w:val="none" w:sz="0" w:space="0" w:color="auto"/>
        <w:left w:val="none" w:sz="0" w:space="0" w:color="auto"/>
        <w:bottom w:val="none" w:sz="0" w:space="0" w:color="auto"/>
        <w:right w:val="none" w:sz="0" w:space="0" w:color="auto"/>
      </w:divBdr>
    </w:div>
    <w:div w:id="1489858404">
      <w:bodyDiv w:val="1"/>
      <w:marLeft w:val="0"/>
      <w:marRight w:val="0"/>
      <w:marTop w:val="0"/>
      <w:marBottom w:val="0"/>
      <w:divBdr>
        <w:top w:val="none" w:sz="0" w:space="0" w:color="auto"/>
        <w:left w:val="none" w:sz="0" w:space="0" w:color="auto"/>
        <w:bottom w:val="none" w:sz="0" w:space="0" w:color="auto"/>
        <w:right w:val="none" w:sz="0" w:space="0" w:color="auto"/>
      </w:divBdr>
    </w:div>
    <w:div w:id="1490318710">
      <w:bodyDiv w:val="1"/>
      <w:marLeft w:val="0"/>
      <w:marRight w:val="0"/>
      <w:marTop w:val="0"/>
      <w:marBottom w:val="0"/>
      <w:divBdr>
        <w:top w:val="none" w:sz="0" w:space="0" w:color="auto"/>
        <w:left w:val="none" w:sz="0" w:space="0" w:color="auto"/>
        <w:bottom w:val="none" w:sz="0" w:space="0" w:color="auto"/>
        <w:right w:val="none" w:sz="0" w:space="0" w:color="auto"/>
      </w:divBdr>
    </w:div>
    <w:div w:id="1490634216">
      <w:bodyDiv w:val="1"/>
      <w:marLeft w:val="0"/>
      <w:marRight w:val="0"/>
      <w:marTop w:val="0"/>
      <w:marBottom w:val="0"/>
      <w:divBdr>
        <w:top w:val="none" w:sz="0" w:space="0" w:color="auto"/>
        <w:left w:val="none" w:sz="0" w:space="0" w:color="auto"/>
        <w:bottom w:val="none" w:sz="0" w:space="0" w:color="auto"/>
        <w:right w:val="none" w:sz="0" w:space="0" w:color="auto"/>
      </w:divBdr>
    </w:div>
    <w:div w:id="1490907467">
      <w:bodyDiv w:val="1"/>
      <w:marLeft w:val="0"/>
      <w:marRight w:val="0"/>
      <w:marTop w:val="0"/>
      <w:marBottom w:val="0"/>
      <w:divBdr>
        <w:top w:val="none" w:sz="0" w:space="0" w:color="auto"/>
        <w:left w:val="none" w:sz="0" w:space="0" w:color="auto"/>
        <w:bottom w:val="none" w:sz="0" w:space="0" w:color="auto"/>
        <w:right w:val="none" w:sz="0" w:space="0" w:color="auto"/>
      </w:divBdr>
    </w:div>
    <w:div w:id="1493139343">
      <w:bodyDiv w:val="1"/>
      <w:marLeft w:val="0"/>
      <w:marRight w:val="0"/>
      <w:marTop w:val="0"/>
      <w:marBottom w:val="0"/>
      <w:divBdr>
        <w:top w:val="none" w:sz="0" w:space="0" w:color="auto"/>
        <w:left w:val="none" w:sz="0" w:space="0" w:color="auto"/>
        <w:bottom w:val="none" w:sz="0" w:space="0" w:color="auto"/>
        <w:right w:val="none" w:sz="0" w:space="0" w:color="auto"/>
      </w:divBdr>
    </w:div>
    <w:div w:id="1493334679">
      <w:bodyDiv w:val="1"/>
      <w:marLeft w:val="0"/>
      <w:marRight w:val="0"/>
      <w:marTop w:val="0"/>
      <w:marBottom w:val="0"/>
      <w:divBdr>
        <w:top w:val="none" w:sz="0" w:space="0" w:color="auto"/>
        <w:left w:val="none" w:sz="0" w:space="0" w:color="auto"/>
        <w:bottom w:val="none" w:sz="0" w:space="0" w:color="auto"/>
        <w:right w:val="none" w:sz="0" w:space="0" w:color="auto"/>
      </w:divBdr>
    </w:div>
    <w:div w:id="1494644373">
      <w:bodyDiv w:val="1"/>
      <w:marLeft w:val="0"/>
      <w:marRight w:val="0"/>
      <w:marTop w:val="0"/>
      <w:marBottom w:val="0"/>
      <w:divBdr>
        <w:top w:val="none" w:sz="0" w:space="0" w:color="auto"/>
        <w:left w:val="none" w:sz="0" w:space="0" w:color="auto"/>
        <w:bottom w:val="none" w:sz="0" w:space="0" w:color="auto"/>
        <w:right w:val="none" w:sz="0" w:space="0" w:color="auto"/>
      </w:divBdr>
    </w:div>
    <w:div w:id="1494759419">
      <w:bodyDiv w:val="1"/>
      <w:marLeft w:val="0"/>
      <w:marRight w:val="0"/>
      <w:marTop w:val="0"/>
      <w:marBottom w:val="0"/>
      <w:divBdr>
        <w:top w:val="none" w:sz="0" w:space="0" w:color="auto"/>
        <w:left w:val="none" w:sz="0" w:space="0" w:color="auto"/>
        <w:bottom w:val="none" w:sz="0" w:space="0" w:color="auto"/>
        <w:right w:val="none" w:sz="0" w:space="0" w:color="auto"/>
      </w:divBdr>
    </w:div>
    <w:div w:id="1494878565">
      <w:bodyDiv w:val="1"/>
      <w:marLeft w:val="0"/>
      <w:marRight w:val="0"/>
      <w:marTop w:val="0"/>
      <w:marBottom w:val="0"/>
      <w:divBdr>
        <w:top w:val="none" w:sz="0" w:space="0" w:color="auto"/>
        <w:left w:val="none" w:sz="0" w:space="0" w:color="auto"/>
        <w:bottom w:val="none" w:sz="0" w:space="0" w:color="auto"/>
        <w:right w:val="none" w:sz="0" w:space="0" w:color="auto"/>
      </w:divBdr>
    </w:div>
    <w:div w:id="1495297423">
      <w:bodyDiv w:val="1"/>
      <w:marLeft w:val="0"/>
      <w:marRight w:val="0"/>
      <w:marTop w:val="0"/>
      <w:marBottom w:val="0"/>
      <w:divBdr>
        <w:top w:val="none" w:sz="0" w:space="0" w:color="auto"/>
        <w:left w:val="none" w:sz="0" w:space="0" w:color="auto"/>
        <w:bottom w:val="none" w:sz="0" w:space="0" w:color="auto"/>
        <w:right w:val="none" w:sz="0" w:space="0" w:color="auto"/>
      </w:divBdr>
    </w:div>
    <w:div w:id="1498958560">
      <w:bodyDiv w:val="1"/>
      <w:marLeft w:val="0"/>
      <w:marRight w:val="0"/>
      <w:marTop w:val="0"/>
      <w:marBottom w:val="0"/>
      <w:divBdr>
        <w:top w:val="none" w:sz="0" w:space="0" w:color="auto"/>
        <w:left w:val="none" w:sz="0" w:space="0" w:color="auto"/>
        <w:bottom w:val="none" w:sz="0" w:space="0" w:color="auto"/>
        <w:right w:val="none" w:sz="0" w:space="0" w:color="auto"/>
      </w:divBdr>
    </w:div>
    <w:div w:id="1499035564">
      <w:bodyDiv w:val="1"/>
      <w:marLeft w:val="0"/>
      <w:marRight w:val="0"/>
      <w:marTop w:val="0"/>
      <w:marBottom w:val="0"/>
      <w:divBdr>
        <w:top w:val="none" w:sz="0" w:space="0" w:color="auto"/>
        <w:left w:val="none" w:sz="0" w:space="0" w:color="auto"/>
        <w:bottom w:val="none" w:sz="0" w:space="0" w:color="auto"/>
        <w:right w:val="none" w:sz="0" w:space="0" w:color="auto"/>
      </w:divBdr>
    </w:div>
    <w:div w:id="1499495278">
      <w:bodyDiv w:val="1"/>
      <w:marLeft w:val="0"/>
      <w:marRight w:val="0"/>
      <w:marTop w:val="0"/>
      <w:marBottom w:val="0"/>
      <w:divBdr>
        <w:top w:val="none" w:sz="0" w:space="0" w:color="auto"/>
        <w:left w:val="none" w:sz="0" w:space="0" w:color="auto"/>
        <w:bottom w:val="none" w:sz="0" w:space="0" w:color="auto"/>
        <w:right w:val="none" w:sz="0" w:space="0" w:color="auto"/>
      </w:divBdr>
    </w:div>
    <w:div w:id="1500540170">
      <w:bodyDiv w:val="1"/>
      <w:marLeft w:val="0"/>
      <w:marRight w:val="0"/>
      <w:marTop w:val="0"/>
      <w:marBottom w:val="0"/>
      <w:divBdr>
        <w:top w:val="none" w:sz="0" w:space="0" w:color="auto"/>
        <w:left w:val="none" w:sz="0" w:space="0" w:color="auto"/>
        <w:bottom w:val="none" w:sz="0" w:space="0" w:color="auto"/>
        <w:right w:val="none" w:sz="0" w:space="0" w:color="auto"/>
      </w:divBdr>
    </w:div>
    <w:div w:id="1501236475">
      <w:bodyDiv w:val="1"/>
      <w:marLeft w:val="0"/>
      <w:marRight w:val="0"/>
      <w:marTop w:val="0"/>
      <w:marBottom w:val="0"/>
      <w:divBdr>
        <w:top w:val="none" w:sz="0" w:space="0" w:color="auto"/>
        <w:left w:val="none" w:sz="0" w:space="0" w:color="auto"/>
        <w:bottom w:val="none" w:sz="0" w:space="0" w:color="auto"/>
        <w:right w:val="none" w:sz="0" w:space="0" w:color="auto"/>
      </w:divBdr>
    </w:div>
    <w:div w:id="1505559122">
      <w:bodyDiv w:val="1"/>
      <w:marLeft w:val="0"/>
      <w:marRight w:val="0"/>
      <w:marTop w:val="0"/>
      <w:marBottom w:val="0"/>
      <w:divBdr>
        <w:top w:val="none" w:sz="0" w:space="0" w:color="auto"/>
        <w:left w:val="none" w:sz="0" w:space="0" w:color="auto"/>
        <w:bottom w:val="none" w:sz="0" w:space="0" w:color="auto"/>
        <w:right w:val="none" w:sz="0" w:space="0" w:color="auto"/>
      </w:divBdr>
    </w:div>
    <w:div w:id="1505585982">
      <w:bodyDiv w:val="1"/>
      <w:marLeft w:val="0"/>
      <w:marRight w:val="0"/>
      <w:marTop w:val="0"/>
      <w:marBottom w:val="0"/>
      <w:divBdr>
        <w:top w:val="none" w:sz="0" w:space="0" w:color="auto"/>
        <w:left w:val="none" w:sz="0" w:space="0" w:color="auto"/>
        <w:bottom w:val="none" w:sz="0" w:space="0" w:color="auto"/>
        <w:right w:val="none" w:sz="0" w:space="0" w:color="auto"/>
      </w:divBdr>
    </w:div>
    <w:div w:id="1507087431">
      <w:bodyDiv w:val="1"/>
      <w:marLeft w:val="0"/>
      <w:marRight w:val="0"/>
      <w:marTop w:val="0"/>
      <w:marBottom w:val="0"/>
      <w:divBdr>
        <w:top w:val="none" w:sz="0" w:space="0" w:color="auto"/>
        <w:left w:val="none" w:sz="0" w:space="0" w:color="auto"/>
        <w:bottom w:val="none" w:sz="0" w:space="0" w:color="auto"/>
        <w:right w:val="none" w:sz="0" w:space="0" w:color="auto"/>
      </w:divBdr>
    </w:div>
    <w:div w:id="1507206813">
      <w:bodyDiv w:val="1"/>
      <w:marLeft w:val="0"/>
      <w:marRight w:val="0"/>
      <w:marTop w:val="0"/>
      <w:marBottom w:val="0"/>
      <w:divBdr>
        <w:top w:val="none" w:sz="0" w:space="0" w:color="auto"/>
        <w:left w:val="none" w:sz="0" w:space="0" w:color="auto"/>
        <w:bottom w:val="none" w:sz="0" w:space="0" w:color="auto"/>
        <w:right w:val="none" w:sz="0" w:space="0" w:color="auto"/>
      </w:divBdr>
    </w:div>
    <w:div w:id="1509448096">
      <w:bodyDiv w:val="1"/>
      <w:marLeft w:val="0"/>
      <w:marRight w:val="0"/>
      <w:marTop w:val="0"/>
      <w:marBottom w:val="0"/>
      <w:divBdr>
        <w:top w:val="none" w:sz="0" w:space="0" w:color="auto"/>
        <w:left w:val="none" w:sz="0" w:space="0" w:color="auto"/>
        <w:bottom w:val="none" w:sz="0" w:space="0" w:color="auto"/>
        <w:right w:val="none" w:sz="0" w:space="0" w:color="auto"/>
      </w:divBdr>
    </w:div>
    <w:div w:id="1511292688">
      <w:bodyDiv w:val="1"/>
      <w:marLeft w:val="0"/>
      <w:marRight w:val="0"/>
      <w:marTop w:val="0"/>
      <w:marBottom w:val="0"/>
      <w:divBdr>
        <w:top w:val="none" w:sz="0" w:space="0" w:color="auto"/>
        <w:left w:val="none" w:sz="0" w:space="0" w:color="auto"/>
        <w:bottom w:val="none" w:sz="0" w:space="0" w:color="auto"/>
        <w:right w:val="none" w:sz="0" w:space="0" w:color="auto"/>
      </w:divBdr>
    </w:div>
    <w:div w:id="1512177839">
      <w:bodyDiv w:val="1"/>
      <w:marLeft w:val="0"/>
      <w:marRight w:val="0"/>
      <w:marTop w:val="0"/>
      <w:marBottom w:val="0"/>
      <w:divBdr>
        <w:top w:val="none" w:sz="0" w:space="0" w:color="auto"/>
        <w:left w:val="none" w:sz="0" w:space="0" w:color="auto"/>
        <w:bottom w:val="none" w:sz="0" w:space="0" w:color="auto"/>
        <w:right w:val="none" w:sz="0" w:space="0" w:color="auto"/>
      </w:divBdr>
    </w:div>
    <w:div w:id="1512793136">
      <w:bodyDiv w:val="1"/>
      <w:marLeft w:val="0"/>
      <w:marRight w:val="0"/>
      <w:marTop w:val="0"/>
      <w:marBottom w:val="0"/>
      <w:divBdr>
        <w:top w:val="none" w:sz="0" w:space="0" w:color="auto"/>
        <w:left w:val="none" w:sz="0" w:space="0" w:color="auto"/>
        <w:bottom w:val="none" w:sz="0" w:space="0" w:color="auto"/>
        <w:right w:val="none" w:sz="0" w:space="0" w:color="auto"/>
      </w:divBdr>
    </w:div>
    <w:div w:id="1513102715">
      <w:bodyDiv w:val="1"/>
      <w:marLeft w:val="0"/>
      <w:marRight w:val="0"/>
      <w:marTop w:val="0"/>
      <w:marBottom w:val="0"/>
      <w:divBdr>
        <w:top w:val="none" w:sz="0" w:space="0" w:color="auto"/>
        <w:left w:val="none" w:sz="0" w:space="0" w:color="auto"/>
        <w:bottom w:val="none" w:sz="0" w:space="0" w:color="auto"/>
        <w:right w:val="none" w:sz="0" w:space="0" w:color="auto"/>
      </w:divBdr>
    </w:div>
    <w:div w:id="1515607307">
      <w:bodyDiv w:val="1"/>
      <w:marLeft w:val="0"/>
      <w:marRight w:val="0"/>
      <w:marTop w:val="0"/>
      <w:marBottom w:val="0"/>
      <w:divBdr>
        <w:top w:val="none" w:sz="0" w:space="0" w:color="auto"/>
        <w:left w:val="none" w:sz="0" w:space="0" w:color="auto"/>
        <w:bottom w:val="none" w:sz="0" w:space="0" w:color="auto"/>
        <w:right w:val="none" w:sz="0" w:space="0" w:color="auto"/>
      </w:divBdr>
    </w:div>
    <w:div w:id="1516649200">
      <w:bodyDiv w:val="1"/>
      <w:marLeft w:val="0"/>
      <w:marRight w:val="0"/>
      <w:marTop w:val="0"/>
      <w:marBottom w:val="0"/>
      <w:divBdr>
        <w:top w:val="none" w:sz="0" w:space="0" w:color="auto"/>
        <w:left w:val="none" w:sz="0" w:space="0" w:color="auto"/>
        <w:bottom w:val="none" w:sz="0" w:space="0" w:color="auto"/>
        <w:right w:val="none" w:sz="0" w:space="0" w:color="auto"/>
      </w:divBdr>
    </w:div>
    <w:div w:id="1517689041">
      <w:bodyDiv w:val="1"/>
      <w:marLeft w:val="0"/>
      <w:marRight w:val="0"/>
      <w:marTop w:val="0"/>
      <w:marBottom w:val="0"/>
      <w:divBdr>
        <w:top w:val="none" w:sz="0" w:space="0" w:color="auto"/>
        <w:left w:val="none" w:sz="0" w:space="0" w:color="auto"/>
        <w:bottom w:val="none" w:sz="0" w:space="0" w:color="auto"/>
        <w:right w:val="none" w:sz="0" w:space="0" w:color="auto"/>
      </w:divBdr>
    </w:div>
    <w:div w:id="1517958682">
      <w:bodyDiv w:val="1"/>
      <w:marLeft w:val="0"/>
      <w:marRight w:val="0"/>
      <w:marTop w:val="0"/>
      <w:marBottom w:val="0"/>
      <w:divBdr>
        <w:top w:val="none" w:sz="0" w:space="0" w:color="auto"/>
        <w:left w:val="none" w:sz="0" w:space="0" w:color="auto"/>
        <w:bottom w:val="none" w:sz="0" w:space="0" w:color="auto"/>
        <w:right w:val="none" w:sz="0" w:space="0" w:color="auto"/>
      </w:divBdr>
    </w:div>
    <w:div w:id="1518542562">
      <w:bodyDiv w:val="1"/>
      <w:marLeft w:val="0"/>
      <w:marRight w:val="0"/>
      <w:marTop w:val="0"/>
      <w:marBottom w:val="0"/>
      <w:divBdr>
        <w:top w:val="none" w:sz="0" w:space="0" w:color="auto"/>
        <w:left w:val="none" w:sz="0" w:space="0" w:color="auto"/>
        <w:bottom w:val="none" w:sz="0" w:space="0" w:color="auto"/>
        <w:right w:val="none" w:sz="0" w:space="0" w:color="auto"/>
      </w:divBdr>
    </w:div>
    <w:div w:id="1518543847">
      <w:bodyDiv w:val="1"/>
      <w:marLeft w:val="0"/>
      <w:marRight w:val="0"/>
      <w:marTop w:val="0"/>
      <w:marBottom w:val="0"/>
      <w:divBdr>
        <w:top w:val="none" w:sz="0" w:space="0" w:color="auto"/>
        <w:left w:val="none" w:sz="0" w:space="0" w:color="auto"/>
        <w:bottom w:val="none" w:sz="0" w:space="0" w:color="auto"/>
        <w:right w:val="none" w:sz="0" w:space="0" w:color="auto"/>
      </w:divBdr>
    </w:div>
    <w:div w:id="1518734419">
      <w:bodyDiv w:val="1"/>
      <w:marLeft w:val="0"/>
      <w:marRight w:val="0"/>
      <w:marTop w:val="0"/>
      <w:marBottom w:val="0"/>
      <w:divBdr>
        <w:top w:val="none" w:sz="0" w:space="0" w:color="auto"/>
        <w:left w:val="none" w:sz="0" w:space="0" w:color="auto"/>
        <w:bottom w:val="none" w:sz="0" w:space="0" w:color="auto"/>
        <w:right w:val="none" w:sz="0" w:space="0" w:color="auto"/>
      </w:divBdr>
    </w:div>
    <w:div w:id="1520197760">
      <w:bodyDiv w:val="1"/>
      <w:marLeft w:val="0"/>
      <w:marRight w:val="0"/>
      <w:marTop w:val="0"/>
      <w:marBottom w:val="0"/>
      <w:divBdr>
        <w:top w:val="none" w:sz="0" w:space="0" w:color="auto"/>
        <w:left w:val="none" w:sz="0" w:space="0" w:color="auto"/>
        <w:bottom w:val="none" w:sz="0" w:space="0" w:color="auto"/>
        <w:right w:val="none" w:sz="0" w:space="0" w:color="auto"/>
      </w:divBdr>
    </w:div>
    <w:div w:id="1524827575">
      <w:bodyDiv w:val="1"/>
      <w:marLeft w:val="0"/>
      <w:marRight w:val="0"/>
      <w:marTop w:val="0"/>
      <w:marBottom w:val="0"/>
      <w:divBdr>
        <w:top w:val="none" w:sz="0" w:space="0" w:color="auto"/>
        <w:left w:val="none" w:sz="0" w:space="0" w:color="auto"/>
        <w:bottom w:val="none" w:sz="0" w:space="0" w:color="auto"/>
        <w:right w:val="none" w:sz="0" w:space="0" w:color="auto"/>
      </w:divBdr>
    </w:div>
    <w:div w:id="1527676335">
      <w:bodyDiv w:val="1"/>
      <w:marLeft w:val="0"/>
      <w:marRight w:val="0"/>
      <w:marTop w:val="0"/>
      <w:marBottom w:val="0"/>
      <w:divBdr>
        <w:top w:val="none" w:sz="0" w:space="0" w:color="auto"/>
        <w:left w:val="none" w:sz="0" w:space="0" w:color="auto"/>
        <w:bottom w:val="none" w:sz="0" w:space="0" w:color="auto"/>
        <w:right w:val="none" w:sz="0" w:space="0" w:color="auto"/>
      </w:divBdr>
    </w:div>
    <w:div w:id="1529637750">
      <w:bodyDiv w:val="1"/>
      <w:marLeft w:val="0"/>
      <w:marRight w:val="0"/>
      <w:marTop w:val="0"/>
      <w:marBottom w:val="0"/>
      <w:divBdr>
        <w:top w:val="none" w:sz="0" w:space="0" w:color="auto"/>
        <w:left w:val="none" w:sz="0" w:space="0" w:color="auto"/>
        <w:bottom w:val="none" w:sz="0" w:space="0" w:color="auto"/>
        <w:right w:val="none" w:sz="0" w:space="0" w:color="auto"/>
      </w:divBdr>
    </w:div>
    <w:div w:id="1529876454">
      <w:bodyDiv w:val="1"/>
      <w:marLeft w:val="0"/>
      <w:marRight w:val="0"/>
      <w:marTop w:val="0"/>
      <w:marBottom w:val="0"/>
      <w:divBdr>
        <w:top w:val="none" w:sz="0" w:space="0" w:color="auto"/>
        <w:left w:val="none" w:sz="0" w:space="0" w:color="auto"/>
        <w:bottom w:val="none" w:sz="0" w:space="0" w:color="auto"/>
        <w:right w:val="none" w:sz="0" w:space="0" w:color="auto"/>
      </w:divBdr>
    </w:div>
    <w:div w:id="1530409357">
      <w:bodyDiv w:val="1"/>
      <w:marLeft w:val="0"/>
      <w:marRight w:val="0"/>
      <w:marTop w:val="0"/>
      <w:marBottom w:val="0"/>
      <w:divBdr>
        <w:top w:val="none" w:sz="0" w:space="0" w:color="auto"/>
        <w:left w:val="none" w:sz="0" w:space="0" w:color="auto"/>
        <w:bottom w:val="none" w:sz="0" w:space="0" w:color="auto"/>
        <w:right w:val="none" w:sz="0" w:space="0" w:color="auto"/>
      </w:divBdr>
    </w:div>
    <w:div w:id="1530488580">
      <w:bodyDiv w:val="1"/>
      <w:marLeft w:val="0"/>
      <w:marRight w:val="0"/>
      <w:marTop w:val="0"/>
      <w:marBottom w:val="0"/>
      <w:divBdr>
        <w:top w:val="none" w:sz="0" w:space="0" w:color="auto"/>
        <w:left w:val="none" w:sz="0" w:space="0" w:color="auto"/>
        <w:bottom w:val="none" w:sz="0" w:space="0" w:color="auto"/>
        <w:right w:val="none" w:sz="0" w:space="0" w:color="auto"/>
      </w:divBdr>
    </w:div>
    <w:div w:id="1530726613">
      <w:bodyDiv w:val="1"/>
      <w:marLeft w:val="0"/>
      <w:marRight w:val="0"/>
      <w:marTop w:val="0"/>
      <w:marBottom w:val="0"/>
      <w:divBdr>
        <w:top w:val="none" w:sz="0" w:space="0" w:color="auto"/>
        <w:left w:val="none" w:sz="0" w:space="0" w:color="auto"/>
        <w:bottom w:val="none" w:sz="0" w:space="0" w:color="auto"/>
        <w:right w:val="none" w:sz="0" w:space="0" w:color="auto"/>
      </w:divBdr>
    </w:div>
    <w:div w:id="1530948790">
      <w:bodyDiv w:val="1"/>
      <w:marLeft w:val="0"/>
      <w:marRight w:val="0"/>
      <w:marTop w:val="0"/>
      <w:marBottom w:val="0"/>
      <w:divBdr>
        <w:top w:val="none" w:sz="0" w:space="0" w:color="auto"/>
        <w:left w:val="none" w:sz="0" w:space="0" w:color="auto"/>
        <w:bottom w:val="none" w:sz="0" w:space="0" w:color="auto"/>
        <w:right w:val="none" w:sz="0" w:space="0" w:color="auto"/>
      </w:divBdr>
    </w:div>
    <w:div w:id="1532452344">
      <w:bodyDiv w:val="1"/>
      <w:marLeft w:val="0"/>
      <w:marRight w:val="0"/>
      <w:marTop w:val="0"/>
      <w:marBottom w:val="0"/>
      <w:divBdr>
        <w:top w:val="none" w:sz="0" w:space="0" w:color="auto"/>
        <w:left w:val="none" w:sz="0" w:space="0" w:color="auto"/>
        <w:bottom w:val="none" w:sz="0" w:space="0" w:color="auto"/>
        <w:right w:val="none" w:sz="0" w:space="0" w:color="auto"/>
      </w:divBdr>
    </w:div>
    <w:div w:id="1535263963">
      <w:bodyDiv w:val="1"/>
      <w:marLeft w:val="0"/>
      <w:marRight w:val="0"/>
      <w:marTop w:val="0"/>
      <w:marBottom w:val="0"/>
      <w:divBdr>
        <w:top w:val="none" w:sz="0" w:space="0" w:color="auto"/>
        <w:left w:val="none" w:sz="0" w:space="0" w:color="auto"/>
        <w:bottom w:val="none" w:sz="0" w:space="0" w:color="auto"/>
        <w:right w:val="none" w:sz="0" w:space="0" w:color="auto"/>
      </w:divBdr>
    </w:div>
    <w:div w:id="1535800352">
      <w:bodyDiv w:val="1"/>
      <w:marLeft w:val="0"/>
      <w:marRight w:val="0"/>
      <w:marTop w:val="0"/>
      <w:marBottom w:val="0"/>
      <w:divBdr>
        <w:top w:val="none" w:sz="0" w:space="0" w:color="auto"/>
        <w:left w:val="none" w:sz="0" w:space="0" w:color="auto"/>
        <w:bottom w:val="none" w:sz="0" w:space="0" w:color="auto"/>
        <w:right w:val="none" w:sz="0" w:space="0" w:color="auto"/>
      </w:divBdr>
    </w:div>
    <w:div w:id="1536386025">
      <w:bodyDiv w:val="1"/>
      <w:marLeft w:val="0"/>
      <w:marRight w:val="0"/>
      <w:marTop w:val="0"/>
      <w:marBottom w:val="0"/>
      <w:divBdr>
        <w:top w:val="none" w:sz="0" w:space="0" w:color="auto"/>
        <w:left w:val="none" w:sz="0" w:space="0" w:color="auto"/>
        <w:bottom w:val="none" w:sz="0" w:space="0" w:color="auto"/>
        <w:right w:val="none" w:sz="0" w:space="0" w:color="auto"/>
      </w:divBdr>
    </w:div>
    <w:div w:id="1537044103">
      <w:bodyDiv w:val="1"/>
      <w:marLeft w:val="0"/>
      <w:marRight w:val="0"/>
      <w:marTop w:val="0"/>
      <w:marBottom w:val="0"/>
      <w:divBdr>
        <w:top w:val="none" w:sz="0" w:space="0" w:color="auto"/>
        <w:left w:val="none" w:sz="0" w:space="0" w:color="auto"/>
        <w:bottom w:val="none" w:sz="0" w:space="0" w:color="auto"/>
        <w:right w:val="none" w:sz="0" w:space="0" w:color="auto"/>
      </w:divBdr>
    </w:div>
    <w:div w:id="1537279990">
      <w:bodyDiv w:val="1"/>
      <w:marLeft w:val="0"/>
      <w:marRight w:val="0"/>
      <w:marTop w:val="0"/>
      <w:marBottom w:val="0"/>
      <w:divBdr>
        <w:top w:val="none" w:sz="0" w:space="0" w:color="auto"/>
        <w:left w:val="none" w:sz="0" w:space="0" w:color="auto"/>
        <w:bottom w:val="none" w:sz="0" w:space="0" w:color="auto"/>
        <w:right w:val="none" w:sz="0" w:space="0" w:color="auto"/>
      </w:divBdr>
    </w:div>
    <w:div w:id="1538008935">
      <w:bodyDiv w:val="1"/>
      <w:marLeft w:val="0"/>
      <w:marRight w:val="0"/>
      <w:marTop w:val="0"/>
      <w:marBottom w:val="0"/>
      <w:divBdr>
        <w:top w:val="none" w:sz="0" w:space="0" w:color="auto"/>
        <w:left w:val="none" w:sz="0" w:space="0" w:color="auto"/>
        <w:bottom w:val="none" w:sz="0" w:space="0" w:color="auto"/>
        <w:right w:val="none" w:sz="0" w:space="0" w:color="auto"/>
      </w:divBdr>
    </w:div>
    <w:div w:id="1539270266">
      <w:bodyDiv w:val="1"/>
      <w:marLeft w:val="0"/>
      <w:marRight w:val="0"/>
      <w:marTop w:val="0"/>
      <w:marBottom w:val="0"/>
      <w:divBdr>
        <w:top w:val="none" w:sz="0" w:space="0" w:color="auto"/>
        <w:left w:val="none" w:sz="0" w:space="0" w:color="auto"/>
        <w:bottom w:val="none" w:sz="0" w:space="0" w:color="auto"/>
        <w:right w:val="none" w:sz="0" w:space="0" w:color="auto"/>
      </w:divBdr>
    </w:div>
    <w:div w:id="1539901839">
      <w:bodyDiv w:val="1"/>
      <w:marLeft w:val="0"/>
      <w:marRight w:val="0"/>
      <w:marTop w:val="0"/>
      <w:marBottom w:val="0"/>
      <w:divBdr>
        <w:top w:val="none" w:sz="0" w:space="0" w:color="auto"/>
        <w:left w:val="none" w:sz="0" w:space="0" w:color="auto"/>
        <w:bottom w:val="none" w:sz="0" w:space="0" w:color="auto"/>
        <w:right w:val="none" w:sz="0" w:space="0" w:color="auto"/>
      </w:divBdr>
    </w:div>
    <w:div w:id="1541281625">
      <w:bodyDiv w:val="1"/>
      <w:marLeft w:val="0"/>
      <w:marRight w:val="0"/>
      <w:marTop w:val="0"/>
      <w:marBottom w:val="0"/>
      <w:divBdr>
        <w:top w:val="none" w:sz="0" w:space="0" w:color="auto"/>
        <w:left w:val="none" w:sz="0" w:space="0" w:color="auto"/>
        <w:bottom w:val="none" w:sz="0" w:space="0" w:color="auto"/>
        <w:right w:val="none" w:sz="0" w:space="0" w:color="auto"/>
      </w:divBdr>
    </w:div>
    <w:div w:id="1542670065">
      <w:bodyDiv w:val="1"/>
      <w:marLeft w:val="0"/>
      <w:marRight w:val="0"/>
      <w:marTop w:val="0"/>
      <w:marBottom w:val="0"/>
      <w:divBdr>
        <w:top w:val="none" w:sz="0" w:space="0" w:color="auto"/>
        <w:left w:val="none" w:sz="0" w:space="0" w:color="auto"/>
        <w:bottom w:val="none" w:sz="0" w:space="0" w:color="auto"/>
        <w:right w:val="none" w:sz="0" w:space="0" w:color="auto"/>
      </w:divBdr>
    </w:div>
    <w:div w:id="1543402673">
      <w:bodyDiv w:val="1"/>
      <w:marLeft w:val="0"/>
      <w:marRight w:val="0"/>
      <w:marTop w:val="0"/>
      <w:marBottom w:val="0"/>
      <w:divBdr>
        <w:top w:val="none" w:sz="0" w:space="0" w:color="auto"/>
        <w:left w:val="none" w:sz="0" w:space="0" w:color="auto"/>
        <w:bottom w:val="none" w:sz="0" w:space="0" w:color="auto"/>
        <w:right w:val="none" w:sz="0" w:space="0" w:color="auto"/>
      </w:divBdr>
    </w:div>
    <w:div w:id="1543442770">
      <w:bodyDiv w:val="1"/>
      <w:marLeft w:val="0"/>
      <w:marRight w:val="0"/>
      <w:marTop w:val="0"/>
      <w:marBottom w:val="0"/>
      <w:divBdr>
        <w:top w:val="none" w:sz="0" w:space="0" w:color="auto"/>
        <w:left w:val="none" w:sz="0" w:space="0" w:color="auto"/>
        <w:bottom w:val="none" w:sz="0" w:space="0" w:color="auto"/>
        <w:right w:val="none" w:sz="0" w:space="0" w:color="auto"/>
      </w:divBdr>
    </w:div>
    <w:div w:id="1543710065">
      <w:bodyDiv w:val="1"/>
      <w:marLeft w:val="0"/>
      <w:marRight w:val="0"/>
      <w:marTop w:val="0"/>
      <w:marBottom w:val="0"/>
      <w:divBdr>
        <w:top w:val="none" w:sz="0" w:space="0" w:color="auto"/>
        <w:left w:val="none" w:sz="0" w:space="0" w:color="auto"/>
        <w:bottom w:val="none" w:sz="0" w:space="0" w:color="auto"/>
        <w:right w:val="none" w:sz="0" w:space="0" w:color="auto"/>
      </w:divBdr>
    </w:div>
    <w:div w:id="1545558673">
      <w:bodyDiv w:val="1"/>
      <w:marLeft w:val="0"/>
      <w:marRight w:val="0"/>
      <w:marTop w:val="0"/>
      <w:marBottom w:val="0"/>
      <w:divBdr>
        <w:top w:val="none" w:sz="0" w:space="0" w:color="auto"/>
        <w:left w:val="none" w:sz="0" w:space="0" w:color="auto"/>
        <w:bottom w:val="none" w:sz="0" w:space="0" w:color="auto"/>
        <w:right w:val="none" w:sz="0" w:space="0" w:color="auto"/>
      </w:divBdr>
    </w:div>
    <w:div w:id="1545946556">
      <w:bodyDiv w:val="1"/>
      <w:marLeft w:val="0"/>
      <w:marRight w:val="0"/>
      <w:marTop w:val="0"/>
      <w:marBottom w:val="0"/>
      <w:divBdr>
        <w:top w:val="none" w:sz="0" w:space="0" w:color="auto"/>
        <w:left w:val="none" w:sz="0" w:space="0" w:color="auto"/>
        <w:bottom w:val="none" w:sz="0" w:space="0" w:color="auto"/>
        <w:right w:val="none" w:sz="0" w:space="0" w:color="auto"/>
      </w:divBdr>
    </w:div>
    <w:div w:id="1547182997">
      <w:bodyDiv w:val="1"/>
      <w:marLeft w:val="0"/>
      <w:marRight w:val="0"/>
      <w:marTop w:val="0"/>
      <w:marBottom w:val="0"/>
      <w:divBdr>
        <w:top w:val="none" w:sz="0" w:space="0" w:color="auto"/>
        <w:left w:val="none" w:sz="0" w:space="0" w:color="auto"/>
        <w:bottom w:val="none" w:sz="0" w:space="0" w:color="auto"/>
        <w:right w:val="none" w:sz="0" w:space="0" w:color="auto"/>
      </w:divBdr>
    </w:div>
    <w:div w:id="1547990567">
      <w:bodyDiv w:val="1"/>
      <w:marLeft w:val="0"/>
      <w:marRight w:val="0"/>
      <w:marTop w:val="0"/>
      <w:marBottom w:val="0"/>
      <w:divBdr>
        <w:top w:val="none" w:sz="0" w:space="0" w:color="auto"/>
        <w:left w:val="none" w:sz="0" w:space="0" w:color="auto"/>
        <w:bottom w:val="none" w:sz="0" w:space="0" w:color="auto"/>
        <w:right w:val="none" w:sz="0" w:space="0" w:color="auto"/>
      </w:divBdr>
    </w:div>
    <w:div w:id="1549562440">
      <w:bodyDiv w:val="1"/>
      <w:marLeft w:val="0"/>
      <w:marRight w:val="0"/>
      <w:marTop w:val="0"/>
      <w:marBottom w:val="0"/>
      <w:divBdr>
        <w:top w:val="none" w:sz="0" w:space="0" w:color="auto"/>
        <w:left w:val="none" w:sz="0" w:space="0" w:color="auto"/>
        <w:bottom w:val="none" w:sz="0" w:space="0" w:color="auto"/>
        <w:right w:val="none" w:sz="0" w:space="0" w:color="auto"/>
      </w:divBdr>
    </w:div>
    <w:div w:id="1549731213">
      <w:bodyDiv w:val="1"/>
      <w:marLeft w:val="0"/>
      <w:marRight w:val="0"/>
      <w:marTop w:val="0"/>
      <w:marBottom w:val="0"/>
      <w:divBdr>
        <w:top w:val="none" w:sz="0" w:space="0" w:color="auto"/>
        <w:left w:val="none" w:sz="0" w:space="0" w:color="auto"/>
        <w:bottom w:val="none" w:sz="0" w:space="0" w:color="auto"/>
        <w:right w:val="none" w:sz="0" w:space="0" w:color="auto"/>
      </w:divBdr>
    </w:div>
    <w:div w:id="1550417065">
      <w:bodyDiv w:val="1"/>
      <w:marLeft w:val="0"/>
      <w:marRight w:val="0"/>
      <w:marTop w:val="0"/>
      <w:marBottom w:val="0"/>
      <w:divBdr>
        <w:top w:val="none" w:sz="0" w:space="0" w:color="auto"/>
        <w:left w:val="none" w:sz="0" w:space="0" w:color="auto"/>
        <w:bottom w:val="none" w:sz="0" w:space="0" w:color="auto"/>
        <w:right w:val="none" w:sz="0" w:space="0" w:color="auto"/>
      </w:divBdr>
    </w:div>
    <w:div w:id="1555851185">
      <w:bodyDiv w:val="1"/>
      <w:marLeft w:val="0"/>
      <w:marRight w:val="0"/>
      <w:marTop w:val="0"/>
      <w:marBottom w:val="0"/>
      <w:divBdr>
        <w:top w:val="none" w:sz="0" w:space="0" w:color="auto"/>
        <w:left w:val="none" w:sz="0" w:space="0" w:color="auto"/>
        <w:bottom w:val="none" w:sz="0" w:space="0" w:color="auto"/>
        <w:right w:val="none" w:sz="0" w:space="0" w:color="auto"/>
      </w:divBdr>
    </w:div>
    <w:div w:id="1555852684">
      <w:bodyDiv w:val="1"/>
      <w:marLeft w:val="0"/>
      <w:marRight w:val="0"/>
      <w:marTop w:val="0"/>
      <w:marBottom w:val="0"/>
      <w:divBdr>
        <w:top w:val="none" w:sz="0" w:space="0" w:color="auto"/>
        <w:left w:val="none" w:sz="0" w:space="0" w:color="auto"/>
        <w:bottom w:val="none" w:sz="0" w:space="0" w:color="auto"/>
        <w:right w:val="none" w:sz="0" w:space="0" w:color="auto"/>
      </w:divBdr>
    </w:div>
    <w:div w:id="1555969117">
      <w:bodyDiv w:val="1"/>
      <w:marLeft w:val="0"/>
      <w:marRight w:val="0"/>
      <w:marTop w:val="0"/>
      <w:marBottom w:val="0"/>
      <w:divBdr>
        <w:top w:val="none" w:sz="0" w:space="0" w:color="auto"/>
        <w:left w:val="none" w:sz="0" w:space="0" w:color="auto"/>
        <w:bottom w:val="none" w:sz="0" w:space="0" w:color="auto"/>
        <w:right w:val="none" w:sz="0" w:space="0" w:color="auto"/>
      </w:divBdr>
    </w:div>
    <w:div w:id="1557426693">
      <w:bodyDiv w:val="1"/>
      <w:marLeft w:val="0"/>
      <w:marRight w:val="0"/>
      <w:marTop w:val="0"/>
      <w:marBottom w:val="0"/>
      <w:divBdr>
        <w:top w:val="none" w:sz="0" w:space="0" w:color="auto"/>
        <w:left w:val="none" w:sz="0" w:space="0" w:color="auto"/>
        <w:bottom w:val="none" w:sz="0" w:space="0" w:color="auto"/>
        <w:right w:val="none" w:sz="0" w:space="0" w:color="auto"/>
      </w:divBdr>
    </w:div>
    <w:div w:id="1558130867">
      <w:bodyDiv w:val="1"/>
      <w:marLeft w:val="0"/>
      <w:marRight w:val="0"/>
      <w:marTop w:val="0"/>
      <w:marBottom w:val="0"/>
      <w:divBdr>
        <w:top w:val="none" w:sz="0" w:space="0" w:color="auto"/>
        <w:left w:val="none" w:sz="0" w:space="0" w:color="auto"/>
        <w:bottom w:val="none" w:sz="0" w:space="0" w:color="auto"/>
        <w:right w:val="none" w:sz="0" w:space="0" w:color="auto"/>
      </w:divBdr>
    </w:div>
    <w:div w:id="1560286914">
      <w:bodyDiv w:val="1"/>
      <w:marLeft w:val="0"/>
      <w:marRight w:val="0"/>
      <w:marTop w:val="0"/>
      <w:marBottom w:val="0"/>
      <w:divBdr>
        <w:top w:val="none" w:sz="0" w:space="0" w:color="auto"/>
        <w:left w:val="none" w:sz="0" w:space="0" w:color="auto"/>
        <w:bottom w:val="none" w:sz="0" w:space="0" w:color="auto"/>
        <w:right w:val="none" w:sz="0" w:space="0" w:color="auto"/>
      </w:divBdr>
    </w:div>
    <w:div w:id="1561357115">
      <w:bodyDiv w:val="1"/>
      <w:marLeft w:val="0"/>
      <w:marRight w:val="0"/>
      <w:marTop w:val="0"/>
      <w:marBottom w:val="0"/>
      <w:divBdr>
        <w:top w:val="none" w:sz="0" w:space="0" w:color="auto"/>
        <w:left w:val="none" w:sz="0" w:space="0" w:color="auto"/>
        <w:bottom w:val="none" w:sz="0" w:space="0" w:color="auto"/>
        <w:right w:val="none" w:sz="0" w:space="0" w:color="auto"/>
      </w:divBdr>
    </w:div>
    <w:div w:id="1563370968">
      <w:bodyDiv w:val="1"/>
      <w:marLeft w:val="0"/>
      <w:marRight w:val="0"/>
      <w:marTop w:val="0"/>
      <w:marBottom w:val="0"/>
      <w:divBdr>
        <w:top w:val="none" w:sz="0" w:space="0" w:color="auto"/>
        <w:left w:val="none" w:sz="0" w:space="0" w:color="auto"/>
        <w:bottom w:val="none" w:sz="0" w:space="0" w:color="auto"/>
        <w:right w:val="none" w:sz="0" w:space="0" w:color="auto"/>
      </w:divBdr>
    </w:div>
    <w:div w:id="1563519435">
      <w:bodyDiv w:val="1"/>
      <w:marLeft w:val="0"/>
      <w:marRight w:val="0"/>
      <w:marTop w:val="0"/>
      <w:marBottom w:val="0"/>
      <w:divBdr>
        <w:top w:val="none" w:sz="0" w:space="0" w:color="auto"/>
        <w:left w:val="none" w:sz="0" w:space="0" w:color="auto"/>
        <w:bottom w:val="none" w:sz="0" w:space="0" w:color="auto"/>
        <w:right w:val="none" w:sz="0" w:space="0" w:color="auto"/>
      </w:divBdr>
    </w:div>
    <w:div w:id="1563640988">
      <w:bodyDiv w:val="1"/>
      <w:marLeft w:val="0"/>
      <w:marRight w:val="0"/>
      <w:marTop w:val="0"/>
      <w:marBottom w:val="0"/>
      <w:divBdr>
        <w:top w:val="none" w:sz="0" w:space="0" w:color="auto"/>
        <w:left w:val="none" w:sz="0" w:space="0" w:color="auto"/>
        <w:bottom w:val="none" w:sz="0" w:space="0" w:color="auto"/>
        <w:right w:val="none" w:sz="0" w:space="0" w:color="auto"/>
      </w:divBdr>
    </w:div>
    <w:div w:id="1564293634">
      <w:bodyDiv w:val="1"/>
      <w:marLeft w:val="0"/>
      <w:marRight w:val="0"/>
      <w:marTop w:val="0"/>
      <w:marBottom w:val="0"/>
      <w:divBdr>
        <w:top w:val="none" w:sz="0" w:space="0" w:color="auto"/>
        <w:left w:val="none" w:sz="0" w:space="0" w:color="auto"/>
        <w:bottom w:val="none" w:sz="0" w:space="0" w:color="auto"/>
        <w:right w:val="none" w:sz="0" w:space="0" w:color="auto"/>
      </w:divBdr>
    </w:div>
    <w:div w:id="1566724571">
      <w:bodyDiv w:val="1"/>
      <w:marLeft w:val="0"/>
      <w:marRight w:val="0"/>
      <w:marTop w:val="0"/>
      <w:marBottom w:val="0"/>
      <w:divBdr>
        <w:top w:val="none" w:sz="0" w:space="0" w:color="auto"/>
        <w:left w:val="none" w:sz="0" w:space="0" w:color="auto"/>
        <w:bottom w:val="none" w:sz="0" w:space="0" w:color="auto"/>
        <w:right w:val="none" w:sz="0" w:space="0" w:color="auto"/>
      </w:divBdr>
    </w:div>
    <w:div w:id="1568803979">
      <w:bodyDiv w:val="1"/>
      <w:marLeft w:val="0"/>
      <w:marRight w:val="0"/>
      <w:marTop w:val="0"/>
      <w:marBottom w:val="0"/>
      <w:divBdr>
        <w:top w:val="none" w:sz="0" w:space="0" w:color="auto"/>
        <w:left w:val="none" w:sz="0" w:space="0" w:color="auto"/>
        <w:bottom w:val="none" w:sz="0" w:space="0" w:color="auto"/>
        <w:right w:val="none" w:sz="0" w:space="0" w:color="auto"/>
      </w:divBdr>
    </w:div>
    <w:div w:id="1568878309">
      <w:bodyDiv w:val="1"/>
      <w:marLeft w:val="0"/>
      <w:marRight w:val="0"/>
      <w:marTop w:val="0"/>
      <w:marBottom w:val="0"/>
      <w:divBdr>
        <w:top w:val="none" w:sz="0" w:space="0" w:color="auto"/>
        <w:left w:val="none" w:sz="0" w:space="0" w:color="auto"/>
        <w:bottom w:val="none" w:sz="0" w:space="0" w:color="auto"/>
        <w:right w:val="none" w:sz="0" w:space="0" w:color="auto"/>
      </w:divBdr>
    </w:div>
    <w:div w:id="1569415404">
      <w:bodyDiv w:val="1"/>
      <w:marLeft w:val="0"/>
      <w:marRight w:val="0"/>
      <w:marTop w:val="0"/>
      <w:marBottom w:val="0"/>
      <w:divBdr>
        <w:top w:val="none" w:sz="0" w:space="0" w:color="auto"/>
        <w:left w:val="none" w:sz="0" w:space="0" w:color="auto"/>
        <w:bottom w:val="none" w:sz="0" w:space="0" w:color="auto"/>
        <w:right w:val="none" w:sz="0" w:space="0" w:color="auto"/>
      </w:divBdr>
    </w:div>
    <w:div w:id="1572346848">
      <w:bodyDiv w:val="1"/>
      <w:marLeft w:val="0"/>
      <w:marRight w:val="0"/>
      <w:marTop w:val="0"/>
      <w:marBottom w:val="0"/>
      <w:divBdr>
        <w:top w:val="none" w:sz="0" w:space="0" w:color="auto"/>
        <w:left w:val="none" w:sz="0" w:space="0" w:color="auto"/>
        <w:bottom w:val="none" w:sz="0" w:space="0" w:color="auto"/>
        <w:right w:val="none" w:sz="0" w:space="0" w:color="auto"/>
      </w:divBdr>
    </w:div>
    <w:div w:id="1574268706">
      <w:bodyDiv w:val="1"/>
      <w:marLeft w:val="0"/>
      <w:marRight w:val="0"/>
      <w:marTop w:val="0"/>
      <w:marBottom w:val="0"/>
      <w:divBdr>
        <w:top w:val="none" w:sz="0" w:space="0" w:color="auto"/>
        <w:left w:val="none" w:sz="0" w:space="0" w:color="auto"/>
        <w:bottom w:val="none" w:sz="0" w:space="0" w:color="auto"/>
        <w:right w:val="none" w:sz="0" w:space="0" w:color="auto"/>
      </w:divBdr>
    </w:div>
    <w:div w:id="1574656720">
      <w:bodyDiv w:val="1"/>
      <w:marLeft w:val="0"/>
      <w:marRight w:val="0"/>
      <w:marTop w:val="0"/>
      <w:marBottom w:val="0"/>
      <w:divBdr>
        <w:top w:val="none" w:sz="0" w:space="0" w:color="auto"/>
        <w:left w:val="none" w:sz="0" w:space="0" w:color="auto"/>
        <w:bottom w:val="none" w:sz="0" w:space="0" w:color="auto"/>
        <w:right w:val="none" w:sz="0" w:space="0" w:color="auto"/>
      </w:divBdr>
    </w:div>
    <w:div w:id="1574856964">
      <w:bodyDiv w:val="1"/>
      <w:marLeft w:val="0"/>
      <w:marRight w:val="0"/>
      <w:marTop w:val="0"/>
      <w:marBottom w:val="0"/>
      <w:divBdr>
        <w:top w:val="none" w:sz="0" w:space="0" w:color="auto"/>
        <w:left w:val="none" w:sz="0" w:space="0" w:color="auto"/>
        <w:bottom w:val="none" w:sz="0" w:space="0" w:color="auto"/>
        <w:right w:val="none" w:sz="0" w:space="0" w:color="auto"/>
      </w:divBdr>
    </w:div>
    <w:div w:id="1576940998">
      <w:bodyDiv w:val="1"/>
      <w:marLeft w:val="0"/>
      <w:marRight w:val="0"/>
      <w:marTop w:val="0"/>
      <w:marBottom w:val="0"/>
      <w:divBdr>
        <w:top w:val="none" w:sz="0" w:space="0" w:color="auto"/>
        <w:left w:val="none" w:sz="0" w:space="0" w:color="auto"/>
        <w:bottom w:val="none" w:sz="0" w:space="0" w:color="auto"/>
        <w:right w:val="none" w:sz="0" w:space="0" w:color="auto"/>
      </w:divBdr>
      <w:divsChild>
        <w:div w:id="540900597">
          <w:marLeft w:val="0"/>
          <w:marRight w:val="0"/>
          <w:marTop w:val="0"/>
          <w:marBottom w:val="0"/>
          <w:divBdr>
            <w:top w:val="none" w:sz="0" w:space="0" w:color="auto"/>
            <w:left w:val="none" w:sz="0" w:space="0" w:color="auto"/>
            <w:bottom w:val="none" w:sz="0" w:space="0" w:color="auto"/>
            <w:right w:val="none" w:sz="0" w:space="0" w:color="auto"/>
          </w:divBdr>
          <w:divsChild>
            <w:div w:id="1710489814">
              <w:marLeft w:val="0"/>
              <w:marRight w:val="0"/>
              <w:marTop w:val="0"/>
              <w:marBottom w:val="0"/>
              <w:divBdr>
                <w:top w:val="none" w:sz="0" w:space="0" w:color="auto"/>
                <w:left w:val="none" w:sz="0" w:space="0" w:color="auto"/>
                <w:bottom w:val="none" w:sz="0" w:space="0" w:color="auto"/>
                <w:right w:val="none" w:sz="0" w:space="0" w:color="auto"/>
              </w:divBdr>
              <w:divsChild>
                <w:div w:id="774635653">
                  <w:marLeft w:val="0"/>
                  <w:marRight w:val="0"/>
                  <w:marTop w:val="0"/>
                  <w:marBottom w:val="0"/>
                  <w:divBdr>
                    <w:top w:val="none" w:sz="0" w:space="0" w:color="auto"/>
                    <w:left w:val="none" w:sz="0" w:space="0" w:color="auto"/>
                    <w:bottom w:val="none" w:sz="0" w:space="0" w:color="auto"/>
                    <w:right w:val="none" w:sz="0" w:space="0" w:color="auto"/>
                  </w:divBdr>
                  <w:divsChild>
                    <w:div w:id="17108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8141">
      <w:bodyDiv w:val="1"/>
      <w:marLeft w:val="0"/>
      <w:marRight w:val="0"/>
      <w:marTop w:val="0"/>
      <w:marBottom w:val="0"/>
      <w:divBdr>
        <w:top w:val="none" w:sz="0" w:space="0" w:color="auto"/>
        <w:left w:val="none" w:sz="0" w:space="0" w:color="auto"/>
        <w:bottom w:val="none" w:sz="0" w:space="0" w:color="auto"/>
        <w:right w:val="none" w:sz="0" w:space="0" w:color="auto"/>
      </w:divBdr>
    </w:div>
    <w:div w:id="1578903361">
      <w:bodyDiv w:val="1"/>
      <w:marLeft w:val="0"/>
      <w:marRight w:val="0"/>
      <w:marTop w:val="0"/>
      <w:marBottom w:val="0"/>
      <w:divBdr>
        <w:top w:val="none" w:sz="0" w:space="0" w:color="auto"/>
        <w:left w:val="none" w:sz="0" w:space="0" w:color="auto"/>
        <w:bottom w:val="none" w:sz="0" w:space="0" w:color="auto"/>
        <w:right w:val="none" w:sz="0" w:space="0" w:color="auto"/>
      </w:divBdr>
    </w:div>
    <w:div w:id="1579051329">
      <w:bodyDiv w:val="1"/>
      <w:marLeft w:val="0"/>
      <w:marRight w:val="0"/>
      <w:marTop w:val="0"/>
      <w:marBottom w:val="0"/>
      <w:divBdr>
        <w:top w:val="none" w:sz="0" w:space="0" w:color="auto"/>
        <w:left w:val="none" w:sz="0" w:space="0" w:color="auto"/>
        <w:bottom w:val="none" w:sz="0" w:space="0" w:color="auto"/>
        <w:right w:val="none" w:sz="0" w:space="0" w:color="auto"/>
      </w:divBdr>
    </w:div>
    <w:div w:id="1581791238">
      <w:bodyDiv w:val="1"/>
      <w:marLeft w:val="0"/>
      <w:marRight w:val="0"/>
      <w:marTop w:val="0"/>
      <w:marBottom w:val="0"/>
      <w:divBdr>
        <w:top w:val="none" w:sz="0" w:space="0" w:color="auto"/>
        <w:left w:val="none" w:sz="0" w:space="0" w:color="auto"/>
        <w:bottom w:val="none" w:sz="0" w:space="0" w:color="auto"/>
        <w:right w:val="none" w:sz="0" w:space="0" w:color="auto"/>
      </w:divBdr>
    </w:div>
    <w:div w:id="1585414055">
      <w:bodyDiv w:val="1"/>
      <w:marLeft w:val="0"/>
      <w:marRight w:val="0"/>
      <w:marTop w:val="0"/>
      <w:marBottom w:val="0"/>
      <w:divBdr>
        <w:top w:val="none" w:sz="0" w:space="0" w:color="auto"/>
        <w:left w:val="none" w:sz="0" w:space="0" w:color="auto"/>
        <w:bottom w:val="none" w:sz="0" w:space="0" w:color="auto"/>
        <w:right w:val="none" w:sz="0" w:space="0" w:color="auto"/>
      </w:divBdr>
    </w:div>
    <w:div w:id="1585845232">
      <w:bodyDiv w:val="1"/>
      <w:marLeft w:val="0"/>
      <w:marRight w:val="0"/>
      <w:marTop w:val="0"/>
      <w:marBottom w:val="0"/>
      <w:divBdr>
        <w:top w:val="none" w:sz="0" w:space="0" w:color="auto"/>
        <w:left w:val="none" w:sz="0" w:space="0" w:color="auto"/>
        <w:bottom w:val="none" w:sz="0" w:space="0" w:color="auto"/>
        <w:right w:val="none" w:sz="0" w:space="0" w:color="auto"/>
      </w:divBdr>
    </w:div>
    <w:div w:id="1586501630">
      <w:bodyDiv w:val="1"/>
      <w:marLeft w:val="0"/>
      <w:marRight w:val="0"/>
      <w:marTop w:val="0"/>
      <w:marBottom w:val="0"/>
      <w:divBdr>
        <w:top w:val="none" w:sz="0" w:space="0" w:color="auto"/>
        <w:left w:val="none" w:sz="0" w:space="0" w:color="auto"/>
        <w:bottom w:val="none" w:sz="0" w:space="0" w:color="auto"/>
        <w:right w:val="none" w:sz="0" w:space="0" w:color="auto"/>
      </w:divBdr>
    </w:div>
    <w:div w:id="1589995671">
      <w:bodyDiv w:val="1"/>
      <w:marLeft w:val="0"/>
      <w:marRight w:val="0"/>
      <w:marTop w:val="0"/>
      <w:marBottom w:val="0"/>
      <w:divBdr>
        <w:top w:val="none" w:sz="0" w:space="0" w:color="auto"/>
        <w:left w:val="none" w:sz="0" w:space="0" w:color="auto"/>
        <w:bottom w:val="none" w:sz="0" w:space="0" w:color="auto"/>
        <w:right w:val="none" w:sz="0" w:space="0" w:color="auto"/>
      </w:divBdr>
    </w:div>
    <w:div w:id="1590694128">
      <w:bodyDiv w:val="1"/>
      <w:marLeft w:val="0"/>
      <w:marRight w:val="0"/>
      <w:marTop w:val="0"/>
      <w:marBottom w:val="0"/>
      <w:divBdr>
        <w:top w:val="none" w:sz="0" w:space="0" w:color="auto"/>
        <w:left w:val="none" w:sz="0" w:space="0" w:color="auto"/>
        <w:bottom w:val="none" w:sz="0" w:space="0" w:color="auto"/>
        <w:right w:val="none" w:sz="0" w:space="0" w:color="auto"/>
      </w:divBdr>
    </w:div>
    <w:div w:id="1591159683">
      <w:bodyDiv w:val="1"/>
      <w:marLeft w:val="0"/>
      <w:marRight w:val="0"/>
      <w:marTop w:val="0"/>
      <w:marBottom w:val="0"/>
      <w:divBdr>
        <w:top w:val="none" w:sz="0" w:space="0" w:color="auto"/>
        <w:left w:val="none" w:sz="0" w:space="0" w:color="auto"/>
        <w:bottom w:val="none" w:sz="0" w:space="0" w:color="auto"/>
        <w:right w:val="none" w:sz="0" w:space="0" w:color="auto"/>
      </w:divBdr>
    </w:div>
    <w:div w:id="1592279634">
      <w:bodyDiv w:val="1"/>
      <w:marLeft w:val="0"/>
      <w:marRight w:val="0"/>
      <w:marTop w:val="0"/>
      <w:marBottom w:val="0"/>
      <w:divBdr>
        <w:top w:val="none" w:sz="0" w:space="0" w:color="auto"/>
        <w:left w:val="none" w:sz="0" w:space="0" w:color="auto"/>
        <w:bottom w:val="none" w:sz="0" w:space="0" w:color="auto"/>
        <w:right w:val="none" w:sz="0" w:space="0" w:color="auto"/>
      </w:divBdr>
    </w:div>
    <w:div w:id="1594321580">
      <w:bodyDiv w:val="1"/>
      <w:marLeft w:val="0"/>
      <w:marRight w:val="0"/>
      <w:marTop w:val="0"/>
      <w:marBottom w:val="0"/>
      <w:divBdr>
        <w:top w:val="none" w:sz="0" w:space="0" w:color="auto"/>
        <w:left w:val="none" w:sz="0" w:space="0" w:color="auto"/>
        <w:bottom w:val="none" w:sz="0" w:space="0" w:color="auto"/>
        <w:right w:val="none" w:sz="0" w:space="0" w:color="auto"/>
      </w:divBdr>
    </w:div>
    <w:div w:id="1596133847">
      <w:bodyDiv w:val="1"/>
      <w:marLeft w:val="0"/>
      <w:marRight w:val="0"/>
      <w:marTop w:val="0"/>
      <w:marBottom w:val="0"/>
      <w:divBdr>
        <w:top w:val="none" w:sz="0" w:space="0" w:color="auto"/>
        <w:left w:val="none" w:sz="0" w:space="0" w:color="auto"/>
        <w:bottom w:val="none" w:sz="0" w:space="0" w:color="auto"/>
        <w:right w:val="none" w:sz="0" w:space="0" w:color="auto"/>
      </w:divBdr>
    </w:div>
    <w:div w:id="1597132378">
      <w:bodyDiv w:val="1"/>
      <w:marLeft w:val="0"/>
      <w:marRight w:val="0"/>
      <w:marTop w:val="0"/>
      <w:marBottom w:val="0"/>
      <w:divBdr>
        <w:top w:val="none" w:sz="0" w:space="0" w:color="auto"/>
        <w:left w:val="none" w:sz="0" w:space="0" w:color="auto"/>
        <w:bottom w:val="none" w:sz="0" w:space="0" w:color="auto"/>
        <w:right w:val="none" w:sz="0" w:space="0" w:color="auto"/>
      </w:divBdr>
    </w:div>
    <w:div w:id="1598520692">
      <w:bodyDiv w:val="1"/>
      <w:marLeft w:val="0"/>
      <w:marRight w:val="0"/>
      <w:marTop w:val="0"/>
      <w:marBottom w:val="0"/>
      <w:divBdr>
        <w:top w:val="none" w:sz="0" w:space="0" w:color="auto"/>
        <w:left w:val="none" w:sz="0" w:space="0" w:color="auto"/>
        <w:bottom w:val="none" w:sz="0" w:space="0" w:color="auto"/>
        <w:right w:val="none" w:sz="0" w:space="0" w:color="auto"/>
      </w:divBdr>
    </w:div>
    <w:div w:id="1599175572">
      <w:bodyDiv w:val="1"/>
      <w:marLeft w:val="0"/>
      <w:marRight w:val="0"/>
      <w:marTop w:val="0"/>
      <w:marBottom w:val="0"/>
      <w:divBdr>
        <w:top w:val="none" w:sz="0" w:space="0" w:color="auto"/>
        <w:left w:val="none" w:sz="0" w:space="0" w:color="auto"/>
        <w:bottom w:val="none" w:sz="0" w:space="0" w:color="auto"/>
        <w:right w:val="none" w:sz="0" w:space="0" w:color="auto"/>
      </w:divBdr>
    </w:div>
    <w:div w:id="1599218284">
      <w:bodyDiv w:val="1"/>
      <w:marLeft w:val="0"/>
      <w:marRight w:val="0"/>
      <w:marTop w:val="0"/>
      <w:marBottom w:val="0"/>
      <w:divBdr>
        <w:top w:val="none" w:sz="0" w:space="0" w:color="auto"/>
        <w:left w:val="none" w:sz="0" w:space="0" w:color="auto"/>
        <w:bottom w:val="none" w:sz="0" w:space="0" w:color="auto"/>
        <w:right w:val="none" w:sz="0" w:space="0" w:color="auto"/>
      </w:divBdr>
    </w:div>
    <w:div w:id="1600679697">
      <w:bodyDiv w:val="1"/>
      <w:marLeft w:val="0"/>
      <w:marRight w:val="0"/>
      <w:marTop w:val="0"/>
      <w:marBottom w:val="0"/>
      <w:divBdr>
        <w:top w:val="none" w:sz="0" w:space="0" w:color="auto"/>
        <w:left w:val="none" w:sz="0" w:space="0" w:color="auto"/>
        <w:bottom w:val="none" w:sz="0" w:space="0" w:color="auto"/>
        <w:right w:val="none" w:sz="0" w:space="0" w:color="auto"/>
      </w:divBdr>
    </w:div>
    <w:div w:id="1601330723">
      <w:bodyDiv w:val="1"/>
      <w:marLeft w:val="0"/>
      <w:marRight w:val="0"/>
      <w:marTop w:val="0"/>
      <w:marBottom w:val="0"/>
      <w:divBdr>
        <w:top w:val="none" w:sz="0" w:space="0" w:color="auto"/>
        <w:left w:val="none" w:sz="0" w:space="0" w:color="auto"/>
        <w:bottom w:val="none" w:sz="0" w:space="0" w:color="auto"/>
        <w:right w:val="none" w:sz="0" w:space="0" w:color="auto"/>
      </w:divBdr>
    </w:div>
    <w:div w:id="1603563954">
      <w:bodyDiv w:val="1"/>
      <w:marLeft w:val="0"/>
      <w:marRight w:val="0"/>
      <w:marTop w:val="0"/>
      <w:marBottom w:val="0"/>
      <w:divBdr>
        <w:top w:val="none" w:sz="0" w:space="0" w:color="auto"/>
        <w:left w:val="none" w:sz="0" w:space="0" w:color="auto"/>
        <w:bottom w:val="none" w:sz="0" w:space="0" w:color="auto"/>
        <w:right w:val="none" w:sz="0" w:space="0" w:color="auto"/>
      </w:divBdr>
    </w:div>
    <w:div w:id="1605190233">
      <w:bodyDiv w:val="1"/>
      <w:marLeft w:val="0"/>
      <w:marRight w:val="0"/>
      <w:marTop w:val="0"/>
      <w:marBottom w:val="0"/>
      <w:divBdr>
        <w:top w:val="none" w:sz="0" w:space="0" w:color="auto"/>
        <w:left w:val="none" w:sz="0" w:space="0" w:color="auto"/>
        <w:bottom w:val="none" w:sz="0" w:space="0" w:color="auto"/>
        <w:right w:val="none" w:sz="0" w:space="0" w:color="auto"/>
      </w:divBdr>
    </w:div>
    <w:div w:id="1605654729">
      <w:bodyDiv w:val="1"/>
      <w:marLeft w:val="0"/>
      <w:marRight w:val="0"/>
      <w:marTop w:val="0"/>
      <w:marBottom w:val="0"/>
      <w:divBdr>
        <w:top w:val="none" w:sz="0" w:space="0" w:color="auto"/>
        <w:left w:val="none" w:sz="0" w:space="0" w:color="auto"/>
        <w:bottom w:val="none" w:sz="0" w:space="0" w:color="auto"/>
        <w:right w:val="none" w:sz="0" w:space="0" w:color="auto"/>
      </w:divBdr>
    </w:div>
    <w:div w:id="1607081808">
      <w:bodyDiv w:val="1"/>
      <w:marLeft w:val="0"/>
      <w:marRight w:val="0"/>
      <w:marTop w:val="0"/>
      <w:marBottom w:val="0"/>
      <w:divBdr>
        <w:top w:val="none" w:sz="0" w:space="0" w:color="auto"/>
        <w:left w:val="none" w:sz="0" w:space="0" w:color="auto"/>
        <w:bottom w:val="none" w:sz="0" w:space="0" w:color="auto"/>
        <w:right w:val="none" w:sz="0" w:space="0" w:color="auto"/>
      </w:divBdr>
    </w:div>
    <w:div w:id="1608393815">
      <w:bodyDiv w:val="1"/>
      <w:marLeft w:val="0"/>
      <w:marRight w:val="0"/>
      <w:marTop w:val="0"/>
      <w:marBottom w:val="0"/>
      <w:divBdr>
        <w:top w:val="none" w:sz="0" w:space="0" w:color="auto"/>
        <w:left w:val="none" w:sz="0" w:space="0" w:color="auto"/>
        <w:bottom w:val="none" w:sz="0" w:space="0" w:color="auto"/>
        <w:right w:val="none" w:sz="0" w:space="0" w:color="auto"/>
      </w:divBdr>
    </w:div>
    <w:div w:id="1610500966">
      <w:bodyDiv w:val="1"/>
      <w:marLeft w:val="0"/>
      <w:marRight w:val="0"/>
      <w:marTop w:val="0"/>
      <w:marBottom w:val="0"/>
      <w:divBdr>
        <w:top w:val="none" w:sz="0" w:space="0" w:color="auto"/>
        <w:left w:val="none" w:sz="0" w:space="0" w:color="auto"/>
        <w:bottom w:val="none" w:sz="0" w:space="0" w:color="auto"/>
        <w:right w:val="none" w:sz="0" w:space="0" w:color="auto"/>
      </w:divBdr>
    </w:div>
    <w:div w:id="1614048913">
      <w:bodyDiv w:val="1"/>
      <w:marLeft w:val="0"/>
      <w:marRight w:val="0"/>
      <w:marTop w:val="0"/>
      <w:marBottom w:val="0"/>
      <w:divBdr>
        <w:top w:val="none" w:sz="0" w:space="0" w:color="auto"/>
        <w:left w:val="none" w:sz="0" w:space="0" w:color="auto"/>
        <w:bottom w:val="none" w:sz="0" w:space="0" w:color="auto"/>
        <w:right w:val="none" w:sz="0" w:space="0" w:color="auto"/>
      </w:divBdr>
    </w:div>
    <w:div w:id="1614245757">
      <w:bodyDiv w:val="1"/>
      <w:marLeft w:val="0"/>
      <w:marRight w:val="0"/>
      <w:marTop w:val="0"/>
      <w:marBottom w:val="0"/>
      <w:divBdr>
        <w:top w:val="none" w:sz="0" w:space="0" w:color="auto"/>
        <w:left w:val="none" w:sz="0" w:space="0" w:color="auto"/>
        <w:bottom w:val="none" w:sz="0" w:space="0" w:color="auto"/>
        <w:right w:val="none" w:sz="0" w:space="0" w:color="auto"/>
      </w:divBdr>
    </w:div>
    <w:div w:id="1616673303">
      <w:bodyDiv w:val="1"/>
      <w:marLeft w:val="0"/>
      <w:marRight w:val="0"/>
      <w:marTop w:val="0"/>
      <w:marBottom w:val="0"/>
      <w:divBdr>
        <w:top w:val="none" w:sz="0" w:space="0" w:color="auto"/>
        <w:left w:val="none" w:sz="0" w:space="0" w:color="auto"/>
        <w:bottom w:val="none" w:sz="0" w:space="0" w:color="auto"/>
        <w:right w:val="none" w:sz="0" w:space="0" w:color="auto"/>
      </w:divBdr>
    </w:div>
    <w:div w:id="1616906568">
      <w:bodyDiv w:val="1"/>
      <w:marLeft w:val="0"/>
      <w:marRight w:val="0"/>
      <w:marTop w:val="0"/>
      <w:marBottom w:val="0"/>
      <w:divBdr>
        <w:top w:val="none" w:sz="0" w:space="0" w:color="auto"/>
        <w:left w:val="none" w:sz="0" w:space="0" w:color="auto"/>
        <w:bottom w:val="none" w:sz="0" w:space="0" w:color="auto"/>
        <w:right w:val="none" w:sz="0" w:space="0" w:color="auto"/>
      </w:divBdr>
    </w:div>
    <w:div w:id="1617710308">
      <w:bodyDiv w:val="1"/>
      <w:marLeft w:val="0"/>
      <w:marRight w:val="0"/>
      <w:marTop w:val="0"/>
      <w:marBottom w:val="0"/>
      <w:divBdr>
        <w:top w:val="none" w:sz="0" w:space="0" w:color="auto"/>
        <w:left w:val="none" w:sz="0" w:space="0" w:color="auto"/>
        <w:bottom w:val="none" w:sz="0" w:space="0" w:color="auto"/>
        <w:right w:val="none" w:sz="0" w:space="0" w:color="auto"/>
      </w:divBdr>
    </w:div>
    <w:div w:id="1619948073">
      <w:bodyDiv w:val="1"/>
      <w:marLeft w:val="0"/>
      <w:marRight w:val="0"/>
      <w:marTop w:val="0"/>
      <w:marBottom w:val="0"/>
      <w:divBdr>
        <w:top w:val="none" w:sz="0" w:space="0" w:color="auto"/>
        <w:left w:val="none" w:sz="0" w:space="0" w:color="auto"/>
        <w:bottom w:val="none" w:sz="0" w:space="0" w:color="auto"/>
        <w:right w:val="none" w:sz="0" w:space="0" w:color="auto"/>
      </w:divBdr>
    </w:div>
    <w:div w:id="1620379347">
      <w:bodyDiv w:val="1"/>
      <w:marLeft w:val="0"/>
      <w:marRight w:val="0"/>
      <w:marTop w:val="0"/>
      <w:marBottom w:val="0"/>
      <w:divBdr>
        <w:top w:val="none" w:sz="0" w:space="0" w:color="auto"/>
        <w:left w:val="none" w:sz="0" w:space="0" w:color="auto"/>
        <w:bottom w:val="none" w:sz="0" w:space="0" w:color="auto"/>
        <w:right w:val="none" w:sz="0" w:space="0" w:color="auto"/>
      </w:divBdr>
    </w:div>
    <w:div w:id="1621111095">
      <w:bodyDiv w:val="1"/>
      <w:marLeft w:val="0"/>
      <w:marRight w:val="0"/>
      <w:marTop w:val="0"/>
      <w:marBottom w:val="0"/>
      <w:divBdr>
        <w:top w:val="none" w:sz="0" w:space="0" w:color="auto"/>
        <w:left w:val="none" w:sz="0" w:space="0" w:color="auto"/>
        <w:bottom w:val="none" w:sz="0" w:space="0" w:color="auto"/>
        <w:right w:val="none" w:sz="0" w:space="0" w:color="auto"/>
      </w:divBdr>
    </w:div>
    <w:div w:id="1621379961">
      <w:bodyDiv w:val="1"/>
      <w:marLeft w:val="0"/>
      <w:marRight w:val="0"/>
      <w:marTop w:val="0"/>
      <w:marBottom w:val="0"/>
      <w:divBdr>
        <w:top w:val="none" w:sz="0" w:space="0" w:color="auto"/>
        <w:left w:val="none" w:sz="0" w:space="0" w:color="auto"/>
        <w:bottom w:val="none" w:sz="0" w:space="0" w:color="auto"/>
        <w:right w:val="none" w:sz="0" w:space="0" w:color="auto"/>
      </w:divBdr>
    </w:div>
    <w:div w:id="1621761846">
      <w:bodyDiv w:val="1"/>
      <w:marLeft w:val="0"/>
      <w:marRight w:val="0"/>
      <w:marTop w:val="0"/>
      <w:marBottom w:val="0"/>
      <w:divBdr>
        <w:top w:val="none" w:sz="0" w:space="0" w:color="auto"/>
        <w:left w:val="none" w:sz="0" w:space="0" w:color="auto"/>
        <w:bottom w:val="none" w:sz="0" w:space="0" w:color="auto"/>
        <w:right w:val="none" w:sz="0" w:space="0" w:color="auto"/>
      </w:divBdr>
    </w:div>
    <w:div w:id="1622298172">
      <w:bodyDiv w:val="1"/>
      <w:marLeft w:val="0"/>
      <w:marRight w:val="0"/>
      <w:marTop w:val="0"/>
      <w:marBottom w:val="0"/>
      <w:divBdr>
        <w:top w:val="none" w:sz="0" w:space="0" w:color="auto"/>
        <w:left w:val="none" w:sz="0" w:space="0" w:color="auto"/>
        <w:bottom w:val="none" w:sz="0" w:space="0" w:color="auto"/>
        <w:right w:val="none" w:sz="0" w:space="0" w:color="auto"/>
      </w:divBdr>
    </w:div>
    <w:div w:id="1622301836">
      <w:bodyDiv w:val="1"/>
      <w:marLeft w:val="0"/>
      <w:marRight w:val="0"/>
      <w:marTop w:val="0"/>
      <w:marBottom w:val="0"/>
      <w:divBdr>
        <w:top w:val="none" w:sz="0" w:space="0" w:color="auto"/>
        <w:left w:val="none" w:sz="0" w:space="0" w:color="auto"/>
        <w:bottom w:val="none" w:sz="0" w:space="0" w:color="auto"/>
        <w:right w:val="none" w:sz="0" w:space="0" w:color="auto"/>
      </w:divBdr>
    </w:div>
    <w:div w:id="1623028101">
      <w:bodyDiv w:val="1"/>
      <w:marLeft w:val="0"/>
      <w:marRight w:val="0"/>
      <w:marTop w:val="0"/>
      <w:marBottom w:val="0"/>
      <w:divBdr>
        <w:top w:val="none" w:sz="0" w:space="0" w:color="auto"/>
        <w:left w:val="none" w:sz="0" w:space="0" w:color="auto"/>
        <w:bottom w:val="none" w:sz="0" w:space="0" w:color="auto"/>
        <w:right w:val="none" w:sz="0" w:space="0" w:color="auto"/>
      </w:divBdr>
    </w:div>
    <w:div w:id="1624534511">
      <w:bodyDiv w:val="1"/>
      <w:marLeft w:val="0"/>
      <w:marRight w:val="0"/>
      <w:marTop w:val="0"/>
      <w:marBottom w:val="0"/>
      <w:divBdr>
        <w:top w:val="none" w:sz="0" w:space="0" w:color="auto"/>
        <w:left w:val="none" w:sz="0" w:space="0" w:color="auto"/>
        <w:bottom w:val="none" w:sz="0" w:space="0" w:color="auto"/>
        <w:right w:val="none" w:sz="0" w:space="0" w:color="auto"/>
      </w:divBdr>
    </w:div>
    <w:div w:id="1624726751">
      <w:bodyDiv w:val="1"/>
      <w:marLeft w:val="0"/>
      <w:marRight w:val="0"/>
      <w:marTop w:val="0"/>
      <w:marBottom w:val="0"/>
      <w:divBdr>
        <w:top w:val="none" w:sz="0" w:space="0" w:color="auto"/>
        <w:left w:val="none" w:sz="0" w:space="0" w:color="auto"/>
        <w:bottom w:val="none" w:sz="0" w:space="0" w:color="auto"/>
        <w:right w:val="none" w:sz="0" w:space="0" w:color="auto"/>
      </w:divBdr>
    </w:div>
    <w:div w:id="1626545602">
      <w:bodyDiv w:val="1"/>
      <w:marLeft w:val="0"/>
      <w:marRight w:val="0"/>
      <w:marTop w:val="0"/>
      <w:marBottom w:val="0"/>
      <w:divBdr>
        <w:top w:val="none" w:sz="0" w:space="0" w:color="auto"/>
        <w:left w:val="none" w:sz="0" w:space="0" w:color="auto"/>
        <w:bottom w:val="none" w:sz="0" w:space="0" w:color="auto"/>
        <w:right w:val="none" w:sz="0" w:space="0" w:color="auto"/>
      </w:divBdr>
    </w:div>
    <w:div w:id="1627278039">
      <w:bodyDiv w:val="1"/>
      <w:marLeft w:val="0"/>
      <w:marRight w:val="0"/>
      <w:marTop w:val="0"/>
      <w:marBottom w:val="0"/>
      <w:divBdr>
        <w:top w:val="none" w:sz="0" w:space="0" w:color="auto"/>
        <w:left w:val="none" w:sz="0" w:space="0" w:color="auto"/>
        <w:bottom w:val="none" w:sz="0" w:space="0" w:color="auto"/>
        <w:right w:val="none" w:sz="0" w:space="0" w:color="auto"/>
      </w:divBdr>
    </w:div>
    <w:div w:id="1629165296">
      <w:bodyDiv w:val="1"/>
      <w:marLeft w:val="0"/>
      <w:marRight w:val="0"/>
      <w:marTop w:val="0"/>
      <w:marBottom w:val="0"/>
      <w:divBdr>
        <w:top w:val="none" w:sz="0" w:space="0" w:color="auto"/>
        <w:left w:val="none" w:sz="0" w:space="0" w:color="auto"/>
        <w:bottom w:val="none" w:sz="0" w:space="0" w:color="auto"/>
        <w:right w:val="none" w:sz="0" w:space="0" w:color="auto"/>
      </w:divBdr>
    </w:div>
    <w:div w:id="1630821841">
      <w:bodyDiv w:val="1"/>
      <w:marLeft w:val="0"/>
      <w:marRight w:val="0"/>
      <w:marTop w:val="0"/>
      <w:marBottom w:val="0"/>
      <w:divBdr>
        <w:top w:val="none" w:sz="0" w:space="0" w:color="auto"/>
        <w:left w:val="none" w:sz="0" w:space="0" w:color="auto"/>
        <w:bottom w:val="none" w:sz="0" w:space="0" w:color="auto"/>
        <w:right w:val="none" w:sz="0" w:space="0" w:color="auto"/>
      </w:divBdr>
    </w:div>
    <w:div w:id="1631592535">
      <w:bodyDiv w:val="1"/>
      <w:marLeft w:val="0"/>
      <w:marRight w:val="0"/>
      <w:marTop w:val="0"/>
      <w:marBottom w:val="0"/>
      <w:divBdr>
        <w:top w:val="none" w:sz="0" w:space="0" w:color="auto"/>
        <w:left w:val="none" w:sz="0" w:space="0" w:color="auto"/>
        <w:bottom w:val="none" w:sz="0" w:space="0" w:color="auto"/>
        <w:right w:val="none" w:sz="0" w:space="0" w:color="auto"/>
      </w:divBdr>
    </w:div>
    <w:div w:id="1632907269">
      <w:bodyDiv w:val="1"/>
      <w:marLeft w:val="0"/>
      <w:marRight w:val="0"/>
      <w:marTop w:val="0"/>
      <w:marBottom w:val="0"/>
      <w:divBdr>
        <w:top w:val="none" w:sz="0" w:space="0" w:color="auto"/>
        <w:left w:val="none" w:sz="0" w:space="0" w:color="auto"/>
        <w:bottom w:val="none" w:sz="0" w:space="0" w:color="auto"/>
        <w:right w:val="none" w:sz="0" w:space="0" w:color="auto"/>
      </w:divBdr>
    </w:div>
    <w:div w:id="1634018821">
      <w:bodyDiv w:val="1"/>
      <w:marLeft w:val="0"/>
      <w:marRight w:val="0"/>
      <w:marTop w:val="0"/>
      <w:marBottom w:val="0"/>
      <w:divBdr>
        <w:top w:val="none" w:sz="0" w:space="0" w:color="auto"/>
        <w:left w:val="none" w:sz="0" w:space="0" w:color="auto"/>
        <w:bottom w:val="none" w:sz="0" w:space="0" w:color="auto"/>
        <w:right w:val="none" w:sz="0" w:space="0" w:color="auto"/>
      </w:divBdr>
    </w:div>
    <w:div w:id="1634672266">
      <w:bodyDiv w:val="1"/>
      <w:marLeft w:val="0"/>
      <w:marRight w:val="0"/>
      <w:marTop w:val="0"/>
      <w:marBottom w:val="0"/>
      <w:divBdr>
        <w:top w:val="none" w:sz="0" w:space="0" w:color="auto"/>
        <w:left w:val="none" w:sz="0" w:space="0" w:color="auto"/>
        <w:bottom w:val="none" w:sz="0" w:space="0" w:color="auto"/>
        <w:right w:val="none" w:sz="0" w:space="0" w:color="auto"/>
      </w:divBdr>
    </w:div>
    <w:div w:id="1634826064">
      <w:bodyDiv w:val="1"/>
      <w:marLeft w:val="0"/>
      <w:marRight w:val="0"/>
      <w:marTop w:val="0"/>
      <w:marBottom w:val="0"/>
      <w:divBdr>
        <w:top w:val="none" w:sz="0" w:space="0" w:color="auto"/>
        <w:left w:val="none" w:sz="0" w:space="0" w:color="auto"/>
        <w:bottom w:val="none" w:sz="0" w:space="0" w:color="auto"/>
        <w:right w:val="none" w:sz="0" w:space="0" w:color="auto"/>
      </w:divBdr>
    </w:div>
    <w:div w:id="1635133846">
      <w:bodyDiv w:val="1"/>
      <w:marLeft w:val="0"/>
      <w:marRight w:val="0"/>
      <w:marTop w:val="0"/>
      <w:marBottom w:val="0"/>
      <w:divBdr>
        <w:top w:val="none" w:sz="0" w:space="0" w:color="auto"/>
        <w:left w:val="none" w:sz="0" w:space="0" w:color="auto"/>
        <w:bottom w:val="none" w:sz="0" w:space="0" w:color="auto"/>
        <w:right w:val="none" w:sz="0" w:space="0" w:color="auto"/>
      </w:divBdr>
    </w:div>
    <w:div w:id="1635332179">
      <w:bodyDiv w:val="1"/>
      <w:marLeft w:val="0"/>
      <w:marRight w:val="0"/>
      <w:marTop w:val="0"/>
      <w:marBottom w:val="0"/>
      <w:divBdr>
        <w:top w:val="none" w:sz="0" w:space="0" w:color="auto"/>
        <w:left w:val="none" w:sz="0" w:space="0" w:color="auto"/>
        <w:bottom w:val="none" w:sz="0" w:space="0" w:color="auto"/>
        <w:right w:val="none" w:sz="0" w:space="0" w:color="auto"/>
      </w:divBdr>
    </w:div>
    <w:div w:id="1636907453">
      <w:bodyDiv w:val="1"/>
      <w:marLeft w:val="0"/>
      <w:marRight w:val="0"/>
      <w:marTop w:val="0"/>
      <w:marBottom w:val="0"/>
      <w:divBdr>
        <w:top w:val="none" w:sz="0" w:space="0" w:color="auto"/>
        <w:left w:val="none" w:sz="0" w:space="0" w:color="auto"/>
        <w:bottom w:val="none" w:sz="0" w:space="0" w:color="auto"/>
        <w:right w:val="none" w:sz="0" w:space="0" w:color="auto"/>
      </w:divBdr>
    </w:div>
    <w:div w:id="1637367987">
      <w:bodyDiv w:val="1"/>
      <w:marLeft w:val="0"/>
      <w:marRight w:val="0"/>
      <w:marTop w:val="0"/>
      <w:marBottom w:val="0"/>
      <w:divBdr>
        <w:top w:val="none" w:sz="0" w:space="0" w:color="auto"/>
        <w:left w:val="none" w:sz="0" w:space="0" w:color="auto"/>
        <w:bottom w:val="none" w:sz="0" w:space="0" w:color="auto"/>
        <w:right w:val="none" w:sz="0" w:space="0" w:color="auto"/>
      </w:divBdr>
    </w:div>
    <w:div w:id="1639527412">
      <w:bodyDiv w:val="1"/>
      <w:marLeft w:val="0"/>
      <w:marRight w:val="0"/>
      <w:marTop w:val="0"/>
      <w:marBottom w:val="0"/>
      <w:divBdr>
        <w:top w:val="none" w:sz="0" w:space="0" w:color="auto"/>
        <w:left w:val="none" w:sz="0" w:space="0" w:color="auto"/>
        <w:bottom w:val="none" w:sz="0" w:space="0" w:color="auto"/>
        <w:right w:val="none" w:sz="0" w:space="0" w:color="auto"/>
      </w:divBdr>
    </w:div>
    <w:div w:id="1641033387">
      <w:bodyDiv w:val="1"/>
      <w:marLeft w:val="0"/>
      <w:marRight w:val="0"/>
      <w:marTop w:val="0"/>
      <w:marBottom w:val="0"/>
      <w:divBdr>
        <w:top w:val="none" w:sz="0" w:space="0" w:color="auto"/>
        <w:left w:val="none" w:sz="0" w:space="0" w:color="auto"/>
        <w:bottom w:val="none" w:sz="0" w:space="0" w:color="auto"/>
        <w:right w:val="none" w:sz="0" w:space="0" w:color="auto"/>
      </w:divBdr>
    </w:div>
    <w:div w:id="1641688820">
      <w:bodyDiv w:val="1"/>
      <w:marLeft w:val="0"/>
      <w:marRight w:val="0"/>
      <w:marTop w:val="0"/>
      <w:marBottom w:val="0"/>
      <w:divBdr>
        <w:top w:val="none" w:sz="0" w:space="0" w:color="auto"/>
        <w:left w:val="none" w:sz="0" w:space="0" w:color="auto"/>
        <w:bottom w:val="none" w:sz="0" w:space="0" w:color="auto"/>
        <w:right w:val="none" w:sz="0" w:space="0" w:color="auto"/>
      </w:divBdr>
    </w:div>
    <w:div w:id="1641957761">
      <w:bodyDiv w:val="1"/>
      <w:marLeft w:val="0"/>
      <w:marRight w:val="0"/>
      <w:marTop w:val="0"/>
      <w:marBottom w:val="0"/>
      <w:divBdr>
        <w:top w:val="none" w:sz="0" w:space="0" w:color="auto"/>
        <w:left w:val="none" w:sz="0" w:space="0" w:color="auto"/>
        <w:bottom w:val="none" w:sz="0" w:space="0" w:color="auto"/>
        <w:right w:val="none" w:sz="0" w:space="0" w:color="auto"/>
      </w:divBdr>
    </w:div>
    <w:div w:id="1642466975">
      <w:bodyDiv w:val="1"/>
      <w:marLeft w:val="0"/>
      <w:marRight w:val="0"/>
      <w:marTop w:val="0"/>
      <w:marBottom w:val="0"/>
      <w:divBdr>
        <w:top w:val="none" w:sz="0" w:space="0" w:color="auto"/>
        <w:left w:val="none" w:sz="0" w:space="0" w:color="auto"/>
        <w:bottom w:val="none" w:sz="0" w:space="0" w:color="auto"/>
        <w:right w:val="none" w:sz="0" w:space="0" w:color="auto"/>
      </w:divBdr>
    </w:div>
    <w:div w:id="1643655362">
      <w:bodyDiv w:val="1"/>
      <w:marLeft w:val="0"/>
      <w:marRight w:val="0"/>
      <w:marTop w:val="0"/>
      <w:marBottom w:val="0"/>
      <w:divBdr>
        <w:top w:val="none" w:sz="0" w:space="0" w:color="auto"/>
        <w:left w:val="none" w:sz="0" w:space="0" w:color="auto"/>
        <w:bottom w:val="none" w:sz="0" w:space="0" w:color="auto"/>
        <w:right w:val="none" w:sz="0" w:space="0" w:color="auto"/>
      </w:divBdr>
    </w:div>
    <w:div w:id="1646278920">
      <w:bodyDiv w:val="1"/>
      <w:marLeft w:val="0"/>
      <w:marRight w:val="0"/>
      <w:marTop w:val="0"/>
      <w:marBottom w:val="0"/>
      <w:divBdr>
        <w:top w:val="none" w:sz="0" w:space="0" w:color="auto"/>
        <w:left w:val="none" w:sz="0" w:space="0" w:color="auto"/>
        <w:bottom w:val="none" w:sz="0" w:space="0" w:color="auto"/>
        <w:right w:val="none" w:sz="0" w:space="0" w:color="auto"/>
      </w:divBdr>
    </w:div>
    <w:div w:id="1646545096">
      <w:bodyDiv w:val="1"/>
      <w:marLeft w:val="0"/>
      <w:marRight w:val="0"/>
      <w:marTop w:val="0"/>
      <w:marBottom w:val="0"/>
      <w:divBdr>
        <w:top w:val="none" w:sz="0" w:space="0" w:color="auto"/>
        <w:left w:val="none" w:sz="0" w:space="0" w:color="auto"/>
        <w:bottom w:val="none" w:sz="0" w:space="0" w:color="auto"/>
        <w:right w:val="none" w:sz="0" w:space="0" w:color="auto"/>
      </w:divBdr>
    </w:div>
    <w:div w:id="1649475674">
      <w:bodyDiv w:val="1"/>
      <w:marLeft w:val="0"/>
      <w:marRight w:val="0"/>
      <w:marTop w:val="0"/>
      <w:marBottom w:val="0"/>
      <w:divBdr>
        <w:top w:val="none" w:sz="0" w:space="0" w:color="auto"/>
        <w:left w:val="none" w:sz="0" w:space="0" w:color="auto"/>
        <w:bottom w:val="none" w:sz="0" w:space="0" w:color="auto"/>
        <w:right w:val="none" w:sz="0" w:space="0" w:color="auto"/>
      </w:divBdr>
    </w:div>
    <w:div w:id="1651204353">
      <w:bodyDiv w:val="1"/>
      <w:marLeft w:val="0"/>
      <w:marRight w:val="0"/>
      <w:marTop w:val="0"/>
      <w:marBottom w:val="0"/>
      <w:divBdr>
        <w:top w:val="none" w:sz="0" w:space="0" w:color="auto"/>
        <w:left w:val="none" w:sz="0" w:space="0" w:color="auto"/>
        <w:bottom w:val="none" w:sz="0" w:space="0" w:color="auto"/>
        <w:right w:val="none" w:sz="0" w:space="0" w:color="auto"/>
      </w:divBdr>
    </w:div>
    <w:div w:id="1651245935">
      <w:bodyDiv w:val="1"/>
      <w:marLeft w:val="0"/>
      <w:marRight w:val="0"/>
      <w:marTop w:val="0"/>
      <w:marBottom w:val="0"/>
      <w:divBdr>
        <w:top w:val="none" w:sz="0" w:space="0" w:color="auto"/>
        <w:left w:val="none" w:sz="0" w:space="0" w:color="auto"/>
        <w:bottom w:val="none" w:sz="0" w:space="0" w:color="auto"/>
        <w:right w:val="none" w:sz="0" w:space="0" w:color="auto"/>
      </w:divBdr>
    </w:div>
    <w:div w:id="1651251116">
      <w:bodyDiv w:val="1"/>
      <w:marLeft w:val="0"/>
      <w:marRight w:val="0"/>
      <w:marTop w:val="0"/>
      <w:marBottom w:val="0"/>
      <w:divBdr>
        <w:top w:val="none" w:sz="0" w:space="0" w:color="auto"/>
        <w:left w:val="none" w:sz="0" w:space="0" w:color="auto"/>
        <w:bottom w:val="none" w:sz="0" w:space="0" w:color="auto"/>
        <w:right w:val="none" w:sz="0" w:space="0" w:color="auto"/>
      </w:divBdr>
    </w:div>
    <w:div w:id="1654025592">
      <w:bodyDiv w:val="1"/>
      <w:marLeft w:val="0"/>
      <w:marRight w:val="0"/>
      <w:marTop w:val="0"/>
      <w:marBottom w:val="0"/>
      <w:divBdr>
        <w:top w:val="none" w:sz="0" w:space="0" w:color="auto"/>
        <w:left w:val="none" w:sz="0" w:space="0" w:color="auto"/>
        <w:bottom w:val="none" w:sz="0" w:space="0" w:color="auto"/>
        <w:right w:val="none" w:sz="0" w:space="0" w:color="auto"/>
      </w:divBdr>
    </w:div>
    <w:div w:id="1654679118">
      <w:bodyDiv w:val="1"/>
      <w:marLeft w:val="0"/>
      <w:marRight w:val="0"/>
      <w:marTop w:val="0"/>
      <w:marBottom w:val="0"/>
      <w:divBdr>
        <w:top w:val="none" w:sz="0" w:space="0" w:color="auto"/>
        <w:left w:val="none" w:sz="0" w:space="0" w:color="auto"/>
        <w:bottom w:val="none" w:sz="0" w:space="0" w:color="auto"/>
        <w:right w:val="none" w:sz="0" w:space="0" w:color="auto"/>
      </w:divBdr>
    </w:div>
    <w:div w:id="1655644356">
      <w:bodyDiv w:val="1"/>
      <w:marLeft w:val="0"/>
      <w:marRight w:val="0"/>
      <w:marTop w:val="0"/>
      <w:marBottom w:val="0"/>
      <w:divBdr>
        <w:top w:val="none" w:sz="0" w:space="0" w:color="auto"/>
        <w:left w:val="none" w:sz="0" w:space="0" w:color="auto"/>
        <w:bottom w:val="none" w:sz="0" w:space="0" w:color="auto"/>
        <w:right w:val="none" w:sz="0" w:space="0" w:color="auto"/>
      </w:divBdr>
    </w:div>
    <w:div w:id="1655790398">
      <w:bodyDiv w:val="1"/>
      <w:marLeft w:val="0"/>
      <w:marRight w:val="0"/>
      <w:marTop w:val="0"/>
      <w:marBottom w:val="0"/>
      <w:divBdr>
        <w:top w:val="none" w:sz="0" w:space="0" w:color="auto"/>
        <w:left w:val="none" w:sz="0" w:space="0" w:color="auto"/>
        <w:bottom w:val="none" w:sz="0" w:space="0" w:color="auto"/>
        <w:right w:val="none" w:sz="0" w:space="0" w:color="auto"/>
      </w:divBdr>
    </w:div>
    <w:div w:id="1657605716">
      <w:bodyDiv w:val="1"/>
      <w:marLeft w:val="0"/>
      <w:marRight w:val="0"/>
      <w:marTop w:val="0"/>
      <w:marBottom w:val="0"/>
      <w:divBdr>
        <w:top w:val="none" w:sz="0" w:space="0" w:color="auto"/>
        <w:left w:val="none" w:sz="0" w:space="0" w:color="auto"/>
        <w:bottom w:val="none" w:sz="0" w:space="0" w:color="auto"/>
        <w:right w:val="none" w:sz="0" w:space="0" w:color="auto"/>
      </w:divBdr>
    </w:div>
    <w:div w:id="1658265091">
      <w:bodyDiv w:val="1"/>
      <w:marLeft w:val="0"/>
      <w:marRight w:val="0"/>
      <w:marTop w:val="0"/>
      <w:marBottom w:val="0"/>
      <w:divBdr>
        <w:top w:val="none" w:sz="0" w:space="0" w:color="auto"/>
        <w:left w:val="none" w:sz="0" w:space="0" w:color="auto"/>
        <w:bottom w:val="none" w:sz="0" w:space="0" w:color="auto"/>
        <w:right w:val="none" w:sz="0" w:space="0" w:color="auto"/>
      </w:divBdr>
    </w:div>
    <w:div w:id="1658339409">
      <w:bodyDiv w:val="1"/>
      <w:marLeft w:val="0"/>
      <w:marRight w:val="0"/>
      <w:marTop w:val="0"/>
      <w:marBottom w:val="0"/>
      <w:divBdr>
        <w:top w:val="none" w:sz="0" w:space="0" w:color="auto"/>
        <w:left w:val="none" w:sz="0" w:space="0" w:color="auto"/>
        <w:bottom w:val="none" w:sz="0" w:space="0" w:color="auto"/>
        <w:right w:val="none" w:sz="0" w:space="0" w:color="auto"/>
      </w:divBdr>
    </w:div>
    <w:div w:id="1658342953">
      <w:bodyDiv w:val="1"/>
      <w:marLeft w:val="0"/>
      <w:marRight w:val="0"/>
      <w:marTop w:val="0"/>
      <w:marBottom w:val="0"/>
      <w:divBdr>
        <w:top w:val="none" w:sz="0" w:space="0" w:color="auto"/>
        <w:left w:val="none" w:sz="0" w:space="0" w:color="auto"/>
        <w:bottom w:val="none" w:sz="0" w:space="0" w:color="auto"/>
        <w:right w:val="none" w:sz="0" w:space="0" w:color="auto"/>
      </w:divBdr>
    </w:div>
    <w:div w:id="1663314618">
      <w:bodyDiv w:val="1"/>
      <w:marLeft w:val="0"/>
      <w:marRight w:val="0"/>
      <w:marTop w:val="0"/>
      <w:marBottom w:val="0"/>
      <w:divBdr>
        <w:top w:val="none" w:sz="0" w:space="0" w:color="auto"/>
        <w:left w:val="none" w:sz="0" w:space="0" w:color="auto"/>
        <w:bottom w:val="none" w:sz="0" w:space="0" w:color="auto"/>
        <w:right w:val="none" w:sz="0" w:space="0" w:color="auto"/>
      </w:divBdr>
    </w:div>
    <w:div w:id="1663658322">
      <w:bodyDiv w:val="1"/>
      <w:marLeft w:val="0"/>
      <w:marRight w:val="0"/>
      <w:marTop w:val="0"/>
      <w:marBottom w:val="0"/>
      <w:divBdr>
        <w:top w:val="none" w:sz="0" w:space="0" w:color="auto"/>
        <w:left w:val="none" w:sz="0" w:space="0" w:color="auto"/>
        <w:bottom w:val="none" w:sz="0" w:space="0" w:color="auto"/>
        <w:right w:val="none" w:sz="0" w:space="0" w:color="auto"/>
      </w:divBdr>
    </w:div>
    <w:div w:id="1665280428">
      <w:bodyDiv w:val="1"/>
      <w:marLeft w:val="0"/>
      <w:marRight w:val="0"/>
      <w:marTop w:val="0"/>
      <w:marBottom w:val="0"/>
      <w:divBdr>
        <w:top w:val="none" w:sz="0" w:space="0" w:color="auto"/>
        <w:left w:val="none" w:sz="0" w:space="0" w:color="auto"/>
        <w:bottom w:val="none" w:sz="0" w:space="0" w:color="auto"/>
        <w:right w:val="none" w:sz="0" w:space="0" w:color="auto"/>
      </w:divBdr>
    </w:div>
    <w:div w:id="1667585073">
      <w:bodyDiv w:val="1"/>
      <w:marLeft w:val="0"/>
      <w:marRight w:val="0"/>
      <w:marTop w:val="0"/>
      <w:marBottom w:val="0"/>
      <w:divBdr>
        <w:top w:val="none" w:sz="0" w:space="0" w:color="auto"/>
        <w:left w:val="none" w:sz="0" w:space="0" w:color="auto"/>
        <w:bottom w:val="none" w:sz="0" w:space="0" w:color="auto"/>
        <w:right w:val="none" w:sz="0" w:space="0" w:color="auto"/>
      </w:divBdr>
    </w:div>
    <w:div w:id="1667828269">
      <w:bodyDiv w:val="1"/>
      <w:marLeft w:val="0"/>
      <w:marRight w:val="0"/>
      <w:marTop w:val="0"/>
      <w:marBottom w:val="0"/>
      <w:divBdr>
        <w:top w:val="none" w:sz="0" w:space="0" w:color="auto"/>
        <w:left w:val="none" w:sz="0" w:space="0" w:color="auto"/>
        <w:bottom w:val="none" w:sz="0" w:space="0" w:color="auto"/>
        <w:right w:val="none" w:sz="0" w:space="0" w:color="auto"/>
      </w:divBdr>
    </w:div>
    <w:div w:id="1668483878">
      <w:bodyDiv w:val="1"/>
      <w:marLeft w:val="0"/>
      <w:marRight w:val="0"/>
      <w:marTop w:val="0"/>
      <w:marBottom w:val="0"/>
      <w:divBdr>
        <w:top w:val="none" w:sz="0" w:space="0" w:color="auto"/>
        <w:left w:val="none" w:sz="0" w:space="0" w:color="auto"/>
        <w:bottom w:val="none" w:sz="0" w:space="0" w:color="auto"/>
        <w:right w:val="none" w:sz="0" w:space="0" w:color="auto"/>
      </w:divBdr>
    </w:div>
    <w:div w:id="1668898392">
      <w:bodyDiv w:val="1"/>
      <w:marLeft w:val="0"/>
      <w:marRight w:val="0"/>
      <w:marTop w:val="0"/>
      <w:marBottom w:val="0"/>
      <w:divBdr>
        <w:top w:val="none" w:sz="0" w:space="0" w:color="auto"/>
        <w:left w:val="none" w:sz="0" w:space="0" w:color="auto"/>
        <w:bottom w:val="none" w:sz="0" w:space="0" w:color="auto"/>
        <w:right w:val="none" w:sz="0" w:space="0" w:color="auto"/>
      </w:divBdr>
    </w:div>
    <w:div w:id="1669553627">
      <w:bodyDiv w:val="1"/>
      <w:marLeft w:val="0"/>
      <w:marRight w:val="0"/>
      <w:marTop w:val="0"/>
      <w:marBottom w:val="0"/>
      <w:divBdr>
        <w:top w:val="none" w:sz="0" w:space="0" w:color="auto"/>
        <w:left w:val="none" w:sz="0" w:space="0" w:color="auto"/>
        <w:bottom w:val="none" w:sz="0" w:space="0" w:color="auto"/>
        <w:right w:val="none" w:sz="0" w:space="0" w:color="auto"/>
      </w:divBdr>
    </w:div>
    <w:div w:id="1669943019">
      <w:bodyDiv w:val="1"/>
      <w:marLeft w:val="0"/>
      <w:marRight w:val="0"/>
      <w:marTop w:val="0"/>
      <w:marBottom w:val="0"/>
      <w:divBdr>
        <w:top w:val="none" w:sz="0" w:space="0" w:color="auto"/>
        <w:left w:val="none" w:sz="0" w:space="0" w:color="auto"/>
        <w:bottom w:val="none" w:sz="0" w:space="0" w:color="auto"/>
        <w:right w:val="none" w:sz="0" w:space="0" w:color="auto"/>
      </w:divBdr>
    </w:div>
    <w:div w:id="1670062109">
      <w:bodyDiv w:val="1"/>
      <w:marLeft w:val="0"/>
      <w:marRight w:val="0"/>
      <w:marTop w:val="0"/>
      <w:marBottom w:val="0"/>
      <w:divBdr>
        <w:top w:val="none" w:sz="0" w:space="0" w:color="auto"/>
        <w:left w:val="none" w:sz="0" w:space="0" w:color="auto"/>
        <w:bottom w:val="none" w:sz="0" w:space="0" w:color="auto"/>
        <w:right w:val="none" w:sz="0" w:space="0" w:color="auto"/>
      </w:divBdr>
    </w:div>
    <w:div w:id="1670676376">
      <w:bodyDiv w:val="1"/>
      <w:marLeft w:val="0"/>
      <w:marRight w:val="0"/>
      <w:marTop w:val="0"/>
      <w:marBottom w:val="0"/>
      <w:divBdr>
        <w:top w:val="none" w:sz="0" w:space="0" w:color="auto"/>
        <w:left w:val="none" w:sz="0" w:space="0" w:color="auto"/>
        <w:bottom w:val="none" w:sz="0" w:space="0" w:color="auto"/>
        <w:right w:val="none" w:sz="0" w:space="0" w:color="auto"/>
      </w:divBdr>
    </w:div>
    <w:div w:id="1670719638">
      <w:bodyDiv w:val="1"/>
      <w:marLeft w:val="0"/>
      <w:marRight w:val="0"/>
      <w:marTop w:val="0"/>
      <w:marBottom w:val="0"/>
      <w:divBdr>
        <w:top w:val="none" w:sz="0" w:space="0" w:color="auto"/>
        <w:left w:val="none" w:sz="0" w:space="0" w:color="auto"/>
        <w:bottom w:val="none" w:sz="0" w:space="0" w:color="auto"/>
        <w:right w:val="none" w:sz="0" w:space="0" w:color="auto"/>
      </w:divBdr>
    </w:div>
    <w:div w:id="1672635754">
      <w:bodyDiv w:val="1"/>
      <w:marLeft w:val="0"/>
      <w:marRight w:val="0"/>
      <w:marTop w:val="0"/>
      <w:marBottom w:val="0"/>
      <w:divBdr>
        <w:top w:val="none" w:sz="0" w:space="0" w:color="auto"/>
        <w:left w:val="none" w:sz="0" w:space="0" w:color="auto"/>
        <w:bottom w:val="none" w:sz="0" w:space="0" w:color="auto"/>
        <w:right w:val="none" w:sz="0" w:space="0" w:color="auto"/>
      </w:divBdr>
    </w:div>
    <w:div w:id="1672676698">
      <w:bodyDiv w:val="1"/>
      <w:marLeft w:val="0"/>
      <w:marRight w:val="0"/>
      <w:marTop w:val="0"/>
      <w:marBottom w:val="0"/>
      <w:divBdr>
        <w:top w:val="none" w:sz="0" w:space="0" w:color="auto"/>
        <w:left w:val="none" w:sz="0" w:space="0" w:color="auto"/>
        <w:bottom w:val="none" w:sz="0" w:space="0" w:color="auto"/>
        <w:right w:val="none" w:sz="0" w:space="0" w:color="auto"/>
      </w:divBdr>
    </w:div>
    <w:div w:id="1673491360">
      <w:bodyDiv w:val="1"/>
      <w:marLeft w:val="0"/>
      <w:marRight w:val="0"/>
      <w:marTop w:val="0"/>
      <w:marBottom w:val="0"/>
      <w:divBdr>
        <w:top w:val="none" w:sz="0" w:space="0" w:color="auto"/>
        <w:left w:val="none" w:sz="0" w:space="0" w:color="auto"/>
        <w:bottom w:val="none" w:sz="0" w:space="0" w:color="auto"/>
        <w:right w:val="none" w:sz="0" w:space="0" w:color="auto"/>
      </w:divBdr>
    </w:div>
    <w:div w:id="1674406231">
      <w:bodyDiv w:val="1"/>
      <w:marLeft w:val="0"/>
      <w:marRight w:val="0"/>
      <w:marTop w:val="0"/>
      <w:marBottom w:val="0"/>
      <w:divBdr>
        <w:top w:val="none" w:sz="0" w:space="0" w:color="auto"/>
        <w:left w:val="none" w:sz="0" w:space="0" w:color="auto"/>
        <w:bottom w:val="none" w:sz="0" w:space="0" w:color="auto"/>
        <w:right w:val="none" w:sz="0" w:space="0" w:color="auto"/>
      </w:divBdr>
    </w:div>
    <w:div w:id="1674722573">
      <w:bodyDiv w:val="1"/>
      <w:marLeft w:val="0"/>
      <w:marRight w:val="0"/>
      <w:marTop w:val="0"/>
      <w:marBottom w:val="0"/>
      <w:divBdr>
        <w:top w:val="none" w:sz="0" w:space="0" w:color="auto"/>
        <w:left w:val="none" w:sz="0" w:space="0" w:color="auto"/>
        <w:bottom w:val="none" w:sz="0" w:space="0" w:color="auto"/>
        <w:right w:val="none" w:sz="0" w:space="0" w:color="auto"/>
      </w:divBdr>
    </w:div>
    <w:div w:id="1676498086">
      <w:bodyDiv w:val="1"/>
      <w:marLeft w:val="0"/>
      <w:marRight w:val="0"/>
      <w:marTop w:val="0"/>
      <w:marBottom w:val="0"/>
      <w:divBdr>
        <w:top w:val="none" w:sz="0" w:space="0" w:color="auto"/>
        <w:left w:val="none" w:sz="0" w:space="0" w:color="auto"/>
        <w:bottom w:val="none" w:sz="0" w:space="0" w:color="auto"/>
        <w:right w:val="none" w:sz="0" w:space="0" w:color="auto"/>
      </w:divBdr>
    </w:div>
    <w:div w:id="1678458426">
      <w:bodyDiv w:val="1"/>
      <w:marLeft w:val="0"/>
      <w:marRight w:val="0"/>
      <w:marTop w:val="0"/>
      <w:marBottom w:val="0"/>
      <w:divBdr>
        <w:top w:val="none" w:sz="0" w:space="0" w:color="auto"/>
        <w:left w:val="none" w:sz="0" w:space="0" w:color="auto"/>
        <w:bottom w:val="none" w:sz="0" w:space="0" w:color="auto"/>
        <w:right w:val="none" w:sz="0" w:space="0" w:color="auto"/>
      </w:divBdr>
    </w:div>
    <w:div w:id="1679229760">
      <w:bodyDiv w:val="1"/>
      <w:marLeft w:val="0"/>
      <w:marRight w:val="0"/>
      <w:marTop w:val="0"/>
      <w:marBottom w:val="0"/>
      <w:divBdr>
        <w:top w:val="none" w:sz="0" w:space="0" w:color="auto"/>
        <w:left w:val="none" w:sz="0" w:space="0" w:color="auto"/>
        <w:bottom w:val="none" w:sz="0" w:space="0" w:color="auto"/>
        <w:right w:val="none" w:sz="0" w:space="0" w:color="auto"/>
      </w:divBdr>
    </w:div>
    <w:div w:id="1680615734">
      <w:bodyDiv w:val="1"/>
      <w:marLeft w:val="0"/>
      <w:marRight w:val="0"/>
      <w:marTop w:val="0"/>
      <w:marBottom w:val="0"/>
      <w:divBdr>
        <w:top w:val="none" w:sz="0" w:space="0" w:color="auto"/>
        <w:left w:val="none" w:sz="0" w:space="0" w:color="auto"/>
        <w:bottom w:val="none" w:sz="0" w:space="0" w:color="auto"/>
        <w:right w:val="none" w:sz="0" w:space="0" w:color="auto"/>
      </w:divBdr>
    </w:div>
    <w:div w:id="1680697792">
      <w:bodyDiv w:val="1"/>
      <w:marLeft w:val="0"/>
      <w:marRight w:val="0"/>
      <w:marTop w:val="0"/>
      <w:marBottom w:val="0"/>
      <w:divBdr>
        <w:top w:val="none" w:sz="0" w:space="0" w:color="auto"/>
        <w:left w:val="none" w:sz="0" w:space="0" w:color="auto"/>
        <w:bottom w:val="none" w:sz="0" w:space="0" w:color="auto"/>
        <w:right w:val="none" w:sz="0" w:space="0" w:color="auto"/>
      </w:divBdr>
    </w:div>
    <w:div w:id="1681934822">
      <w:bodyDiv w:val="1"/>
      <w:marLeft w:val="0"/>
      <w:marRight w:val="0"/>
      <w:marTop w:val="0"/>
      <w:marBottom w:val="0"/>
      <w:divBdr>
        <w:top w:val="none" w:sz="0" w:space="0" w:color="auto"/>
        <w:left w:val="none" w:sz="0" w:space="0" w:color="auto"/>
        <w:bottom w:val="none" w:sz="0" w:space="0" w:color="auto"/>
        <w:right w:val="none" w:sz="0" w:space="0" w:color="auto"/>
      </w:divBdr>
    </w:div>
    <w:div w:id="1682973825">
      <w:bodyDiv w:val="1"/>
      <w:marLeft w:val="0"/>
      <w:marRight w:val="0"/>
      <w:marTop w:val="0"/>
      <w:marBottom w:val="0"/>
      <w:divBdr>
        <w:top w:val="none" w:sz="0" w:space="0" w:color="auto"/>
        <w:left w:val="none" w:sz="0" w:space="0" w:color="auto"/>
        <w:bottom w:val="none" w:sz="0" w:space="0" w:color="auto"/>
        <w:right w:val="none" w:sz="0" w:space="0" w:color="auto"/>
      </w:divBdr>
    </w:div>
    <w:div w:id="1685204844">
      <w:bodyDiv w:val="1"/>
      <w:marLeft w:val="0"/>
      <w:marRight w:val="0"/>
      <w:marTop w:val="0"/>
      <w:marBottom w:val="0"/>
      <w:divBdr>
        <w:top w:val="none" w:sz="0" w:space="0" w:color="auto"/>
        <w:left w:val="none" w:sz="0" w:space="0" w:color="auto"/>
        <w:bottom w:val="none" w:sz="0" w:space="0" w:color="auto"/>
        <w:right w:val="none" w:sz="0" w:space="0" w:color="auto"/>
      </w:divBdr>
    </w:div>
    <w:div w:id="1685865411">
      <w:bodyDiv w:val="1"/>
      <w:marLeft w:val="0"/>
      <w:marRight w:val="0"/>
      <w:marTop w:val="0"/>
      <w:marBottom w:val="0"/>
      <w:divBdr>
        <w:top w:val="none" w:sz="0" w:space="0" w:color="auto"/>
        <w:left w:val="none" w:sz="0" w:space="0" w:color="auto"/>
        <w:bottom w:val="none" w:sz="0" w:space="0" w:color="auto"/>
        <w:right w:val="none" w:sz="0" w:space="0" w:color="auto"/>
      </w:divBdr>
    </w:div>
    <w:div w:id="1691057003">
      <w:bodyDiv w:val="1"/>
      <w:marLeft w:val="0"/>
      <w:marRight w:val="0"/>
      <w:marTop w:val="0"/>
      <w:marBottom w:val="0"/>
      <w:divBdr>
        <w:top w:val="none" w:sz="0" w:space="0" w:color="auto"/>
        <w:left w:val="none" w:sz="0" w:space="0" w:color="auto"/>
        <w:bottom w:val="none" w:sz="0" w:space="0" w:color="auto"/>
        <w:right w:val="none" w:sz="0" w:space="0" w:color="auto"/>
      </w:divBdr>
    </w:div>
    <w:div w:id="1693412424">
      <w:bodyDiv w:val="1"/>
      <w:marLeft w:val="0"/>
      <w:marRight w:val="0"/>
      <w:marTop w:val="0"/>
      <w:marBottom w:val="0"/>
      <w:divBdr>
        <w:top w:val="none" w:sz="0" w:space="0" w:color="auto"/>
        <w:left w:val="none" w:sz="0" w:space="0" w:color="auto"/>
        <w:bottom w:val="none" w:sz="0" w:space="0" w:color="auto"/>
        <w:right w:val="none" w:sz="0" w:space="0" w:color="auto"/>
      </w:divBdr>
    </w:div>
    <w:div w:id="1694459222">
      <w:bodyDiv w:val="1"/>
      <w:marLeft w:val="0"/>
      <w:marRight w:val="0"/>
      <w:marTop w:val="0"/>
      <w:marBottom w:val="0"/>
      <w:divBdr>
        <w:top w:val="none" w:sz="0" w:space="0" w:color="auto"/>
        <w:left w:val="none" w:sz="0" w:space="0" w:color="auto"/>
        <w:bottom w:val="none" w:sz="0" w:space="0" w:color="auto"/>
        <w:right w:val="none" w:sz="0" w:space="0" w:color="auto"/>
      </w:divBdr>
    </w:div>
    <w:div w:id="1695111542">
      <w:bodyDiv w:val="1"/>
      <w:marLeft w:val="0"/>
      <w:marRight w:val="0"/>
      <w:marTop w:val="0"/>
      <w:marBottom w:val="0"/>
      <w:divBdr>
        <w:top w:val="none" w:sz="0" w:space="0" w:color="auto"/>
        <w:left w:val="none" w:sz="0" w:space="0" w:color="auto"/>
        <w:bottom w:val="none" w:sz="0" w:space="0" w:color="auto"/>
        <w:right w:val="none" w:sz="0" w:space="0" w:color="auto"/>
      </w:divBdr>
    </w:div>
    <w:div w:id="1695568297">
      <w:bodyDiv w:val="1"/>
      <w:marLeft w:val="0"/>
      <w:marRight w:val="0"/>
      <w:marTop w:val="0"/>
      <w:marBottom w:val="0"/>
      <w:divBdr>
        <w:top w:val="none" w:sz="0" w:space="0" w:color="auto"/>
        <w:left w:val="none" w:sz="0" w:space="0" w:color="auto"/>
        <w:bottom w:val="none" w:sz="0" w:space="0" w:color="auto"/>
        <w:right w:val="none" w:sz="0" w:space="0" w:color="auto"/>
      </w:divBdr>
    </w:div>
    <w:div w:id="1695837126">
      <w:bodyDiv w:val="1"/>
      <w:marLeft w:val="0"/>
      <w:marRight w:val="0"/>
      <w:marTop w:val="0"/>
      <w:marBottom w:val="0"/>
      <w:divBdr>
        <w:top w:val="none" w:sz="0" w:space="0" w:color="auto"/>
        <w:left w:val="none" w:sz="0" w:space="0" w:color="auto"/>
        <w:bottom w:val="none" w:sz="0" w:space="0" w:color="auto"/>
        <w:right w:val="none" w:sz="0" w:space="0" w:color="auto"/>
      </w:divBdr>
    </w:div>
    <w:div w:id="1696271451">
      <w:bodyDiv w:val="1"/>
      <w:marLeft w:val="0"/>
      <w:marRight w:val="0"/>
      <w:marTop w:val="0"/>
      <w:marBottom w:val="0"/>
      <w:divBdr>
        <w:top w:val="none" w:sz="0" w:space="0" w:color="auto"/>
        <w:left w:val="none" w:sz="0" w:space="0" w:color="auto"/>
        <w:bottom w:val="none" w:sz="0" w:space="0" w:color="auto"/>
        <w:right w:val="none" w:sz="0" w:space="0" w:color="auto"/>
      </w:divBdr>
    </w:div>
    <w:div w:id="1696492840">
      <w:bodyDiv w:val="1"/>
      <w:marLeft w:val="0"/>
      <w:marRight w:val="0"/>
      <w:marTop w:val="0"/>
      <w:marBottom w:val="0"/>
      <w:divBdr>
        <w:top w:val="none" w:sz="0" w:space="0" w:color="auto"/>
        <w:left w:val="none" w:sz="0" w:space="0" w:color="auto"/>
        <w:bottom w:val="none" w:sz="0" w:space="0" w:color="auto"/>
        <w:right w:val="none" w:sz="0" w:space="0" w:color="auto"/>
      </w:divBdr>
    </w:div>
    <w:div w:id="1697344991">
      <w:bodyDiv w:val="1"/>
      <w:marLeft w:val="0"/>
      <w:marRight w:val="0"/>
      <w:marTop w:val="0"/>
      <w:marBottom w:val="0"/>
      <w:divBdr>
        <w:top w:val="none" w:sz="0" w:space="0" w:color="auto"/>
        <w:left w:val="none" w:sz="0" w:space="0" w:color="auto"/>
        <w:bottom w:val="none" w:sz="0" w:space="0" w:color="auto"/>
        <w:right w:val="none" w:sz="0" w:space="0" w:color="auto"/>
      </w:divBdr>
    </w:div>
    <w:div w:id="1697923494">
      <w:bodyDiv w:val="1"/>
      <w:marLeft w:val="0"/>
      <w:marRight w:val="0"/>
      <w:marTop w:val="0"/>
      <w:marBottom w:val="0"/>
      <w:divBdr>
        <w:top w:val="none" w:sz="0" w:space="0" w:color="auto"/>
        <w:left w:val="none" w:sz="0" w:space="0" w:color="auto"/>
        <w:bottom w:val="none" w:sz="0" w:space="0" w:color="auto"/>
        <w:right w:val="none" w:sz="0" w:space="0" w:color="auto"/>
      </w:divBdr>
    </w:div>
    <w:div w:id="1698314804">
      <w:bodyDiv w:val="1"/>
      <w:marLeft w:val="0"/>
      <w:marRight w:val="0"/>
      <w:marTop w:val="0"/>
      <w:marBottom w:val="0"/>
      <w:divBdr>
        <w:top w:val="none" w:sz="0" w:space="0" w:color="auto"/>
        <w:left w:val="none" w:sz="0" w:space="0" w:color="auto"/>
        <w:bottom w:val="none" w:sz="0" w:space="0" w:color="auto"/>
        <w:right w:val="none" w:sz="0" w:space="0" w:color="auto"/>
      </w:divBdr>
    </w:div>
    <w:div w:id="1698382396">
      <w:bodyDiv w:val="1"/>
      <w:marLeft w:val="0"/>
      <w:marRight w:val="0"/>
      <w:marTop w:val="0"/>
      <w:marBottom w:val="0"/>
      <w:divBdr>
        <w:top w:val="none" w:sz="0" w:space="0" w:color="auto"/>
        <w:left w:val="none" w:sz="0" w:space="0" w:color="auto"/>
        <w:bottom w:val="none" w:sz="0" w:space="0" w:color="auto"/>
        <w:right w:val="none" w:sz="0" w:space="0" w:color="auto"/>
      </w:divBdr>
    </w:div>
    <w:div w:id="1698506480">
      <w:bodyDiv w:val="1"/>
      <w:marLeft w:val="0"/>
      <w:marRight w:val="0"/>
      <w:marTop w:val="0"/>
      <w:marBottom w:val="0"/>
      <w:divBdr>
        <w:top w:val="none" w:sz="0" w:space="0" w:color="auto"/>
        <w:left w:val="none" w:sz="0" w:space="0" w:color="auto"/>
        <w:bottom w:val="none" w:sz="0" w:space="0" w:color="auto"/>
        <w:right w:val="none" w:sz="0" w:space="0" w:color="auto"/>
      </w:divBdr>
    </w:div>
    <w:div w:id="1699427796">
      <w:bodyDiv w:val="1"/>
      <w:marLeft w:val="0"/>
      <w:marRight w:val="0"/>
      <w:marTop w:val="0"/>
      <w:marBottom w:val="0"/>
      <w:divBdr>
        <w:top w:val="none" w:sz="0" w:space="0" w:color="auto"/>
        <w:left w:val="none" w:sz="0" w:space="0" w:color="auto"/>
        <w:bottom w:val="none" w:sz="0" w:space="0" w:color="auto"/>
        <w:right w:val="none" w:sz="0" w:space="0" w:color="auto"/>
      </w:divBdr>
    </w:div>
    <w:div w:id="1699576535">
      <w:bodyDiv w:val="1"/>
      <w:marLeft w:val="0"/>
      <w:marRight w:val="0"/>
      <w:marTop w:val="0"/>
      <w:marBottom w:val="0"/>
      <w:divBdr>
        <w:top w:val="none" w:sz="0" w:space="0" w:color="auto"/>
        <w:left w:val="none" w:sz="0" w:space="0" w:color="auto"/>
        <w:bottom w:val="none" w:sz="0" w:space="0" w:color="auto"/>
        <w:right w:val="none" w:sz="0" w:space="0" w:color="auto"/>
      </w:divBdr>
    </w:div>
    <w:div w:id="1701055262">
      <w:bodyDiv w:val="1"/>
      <w:marLeft w:val="0"/>
      <w:marRight w:val="0"/>
      <w:marTop w:val="0"/>
      <w:marBottom w:val="0"/>
      <w:divBdr>
        <w:top w:val="none" w:sz="0" w:space="0" w:color="auto"/>
        <w:left w:val="none" w:sz="0" w:space="0" w:color="auto"/>
        <w:bottom w:val="none" w:sz="0" w:space="0" w:color="auto"/>
        <w:right w:val="none" w:sz="0" w:space="0" w:color="auto"/>
      </w:divBdr>
    </w:div>
    <w:div w:id="1701198494">
      <w:bodyDiv w:val="1"/>
      <w:marLeft w:val="0"/>
      <w:marRight w:val="0"/>
      <w:marTop w:val="0"/>
      <w:marBottom w:val="0"/>
      <w:divBdr>
        <w:top w:val="none" w:sz="0" w:space="0" w:color="auto"/>
        <w:left w:val="none" w:sz="0" w:space="0" w:color="auto"/>
        <w:bottom w:val="none" w:sz="0" w:space="0" w:color="auto"/>
        <w:right w:val="none" w:sz="0" w:space="0" w:color="auto"/>
      </w:divBdr>
    </w:div>
    <w:div w:id="1702584933">
      <w:bodyDiv w:val="1"/>
      <w:marLeft w:val="0"/>
      <w:marRight w:val="0"/>
      <w:marTop w:val="0"/>
      <w:marBottom w:val="0"/>
      <w:divBdr>
        <w:top w:val="none" w:sz="0" w:space="0" w:color="auto"/>
        <w:left w:val="none" w:sz="0" w:space="0" w:color="auto"/>
        <w:bottom w:val="none" w:sz="0" w:space="0" w:color="auto"/>
        <w:right w:val="none" w:sz="0" w:space="0" w:color="auto"/>
      </w:divBdr>
    </w:div>
    <w:div w:id="1703894801">
      <w:bodyDiv w:val="1"/>
      <w:marLeft w:val="0"/>
      <w:marRight w:val="0"/>
      <w:marTop w:val="0"/>
      <w:marBottom w:val="0"/>
      <w:divBdr>
        <w:top w:val="none" w:sz="0" w:space="0" w:color="auto"/>
        <w:left w:val="none" w:sz="0" w:space="0" w:color="auto"/>
        <w:bottom w:val="none" w:sz="0" w:space="0" w:color="auto"/>
        <w:right w:val="none" w:sz="0" w:space="0" w:color="auto"/>
      </w:divBdr>
    </w:div>
    <w:div w:id="1704017151">
      <w:bodyDiv w:val="1"/>
      <w:marLeft w:val="0"/>
      <w:marRight w:val="0"/>
      <w:marTop w:val="0"/>
      <w:marBottom w:val="0"/>
      <w:divBdr>
        <w:top w:val="none" w:sz="0" w:space="0" w:color="auto"/>
        <w:left w:val="none" w:sz="0" w:space="0" w:color="auto"/>
        <w:bottom w:val="none" w:sz="0" w:space="0" w:color="auto"/>
        <w:right w:val="none" w:sz="0" w:space="0" w:color="auto"/>
      </w:divBdr>
    </w:div>
    <w:div w:id="1706442029">
      <w:bodyDiv w:val="1"/>
      <w:marLeft w:val="0"/>
      <w:marRight w:val="0"/>
      <w:marTop w:val="0"/>
      <w:marBottom w:val="0"/>
      <w:divBdr>
        <w:top w:val="none" w:sz="0" w:space="0" w:color="auto"/>
        <w:left w:val="none" w:sz="0" w:space="0" w:color="auto"/>
        <w:bottom w:val="none" w:sz="0" w:space="0" w:color="auto"/>
        <w:right w:val="none" w:sz="0" w:space="0" w:color="auto"/>
      </w:divBdr>
    </w:div>
    <w:div w:id="1707824883">
      <w:bodyDiv w:val="1"/>
      <w:marLeft w:val="0"/>
      <w:marRight w:val="0"/>
      <w:marTop w:val="0"/>
      <w:marBottom w:val="0"/>
      <w:divBdr>
        <w:top w:val="none" w:sz="0" w:space="0" w:color="auto"/>
        <w:left w:val="none" w:sz="0" w:space="0" w:color="auto"/>
        <w:bottom w:val="none" w:sz="0" w:space="0" w:color="auto"/>
        <w:right w:val="none" w:sz="0" w:space="0" w:color="auto"/>
      </w:divBdr>
    </w:div>
    <w:div w:id="1707949385">
      <w:bodyDiv w:val="1"/>
      <w:marLeft w:val="0"/>
      <w:marRight w:val="0"/>
      <w:marTop w:val="0"/>
      <w:marBottom w:val="0"/>
      <w:divBdr>
        <w:top w:val="none" w:sz="0" w:space="0" w:color="auto"/>
        <w:left w:val="none" w:sz="0" w:space="0" w:color="auto"/>
        <w:bottom w:val="none" w:sz="0" w:space="0" w:color="auto"/>
        <w:right w:val="none" w:sz="0" w:space="0" w:color="auto"/>
      </w:divBdr>
    </w:div>
    <w:div w:id="1709720065">
      <w:bodyDiv w:val="1"/>
      <w:marLeft w:val="0"/>
      <w:marRight w:val="0"/>
      <w:marTop w:val="0"/>
      <w:marBottom w:val="0"/>
      <w:divBdr>
        <w:top w:val="none" w:sz="0" w:space="0" w:color="auto"/>
        <w:left w:val="none" w:sz="0" w:space="0" w:color="auto"/>
        <w:bottom w:val="none" w:sz="0" w:space="0" w:color="auto"/>
        <w:right w:val="none" w:sz="0" w:space="0" w:color="auto"/>
      </w:divBdr>
    </w:div>
    <w:div w:id="1712219879">
      <w:bodyDiv w:val="1"/>
      <w:marLeft w:val="0"/>
      <w:marRight w:val="0"/>
      <w:marTop w:val="0"/>
      <w:marBottom w:val="0"/>
      <w:divBdr>
        <w:top w:val="none" w:sz="0" w:space="0" w:color="auto"/>
        <w:left w:val="none" w:sz="0" w:space="0" w:color="auto"/>
        <w:bottom w:val="none" w:sz="0" w:space="0" w:color="auto"/>
        <w:right w:val="none" w:sz="0" w:space="0" w:color="auto"/>
      </w:divBdr>
    </w:div>
    <w:div w:id="1713067255">
      <w:bodyDiv w:val="1"/>
      <w:marLeft w:val="0"/>
      <w:marRight w:val="0"/>
      <w:marTop w:val="0"/>
      <w:marBottom w:val="0"/>
      <w:divBdr>
        <w:top w:val="none" w:sz="0" w:space="0" w:color="auto"/>
        <w:left w:val="none" w:sz="0" w:space="0" w:color="auto"/>
        <w:bottom w:val="none" w:sz="0" w:space="0" w:color="auto"/>
        <w:right w:val="none" w:sz="0" w:space="0" w:color="auto"/>
      </w:divBdr>
    </w:div>
    <w:div w:id="1713381588">
      <w:bodyDiv w:val="1"/>
      <w:marLeft w:val="0"/>
      <w:marRight w:val="0"/>
      <w:marTop w:val="0"/>
      <w:marBottom w:val="0"/>
      <w:divBdr>
        <w:top w:val="none" w:sz="0" w:space="0" w:color="auto"/>
        <w:left w:val="none" w:sz="0" w:space="0" w:color="auto"/>
        <w:bottom w:val="none" w:sz="0" w:space="0" w:color="auto"/>
        <w:right w:val="none" w:sz="0" w:space="0" w:color="auto"/>
      </w:divBdr>
    </w:div>
    <w:div w:id="1713382862">
      <w:bodyDiv w:val="1"/>
      <w:marLeft w:val="0"/>
      <w:marRight w:val="0"/>
      <w:marTop w:val="0"/>
      <w:marBottom w:val="0"/>
      <w:divBdr>
        <w:top w:val="none" w:sz="0" w:space="0" w:color="auto"/>
        <w:left w:val="none" w:sz="0" w:space="0" w:color="auto"/>
        <w:bottom w:val="none" w:sz="0" w:space="0" w:color="auto"/>
        <w:right w:val="none" w:sz="0" w:space="0" w:color="auto"/>
      </w:divBdr>
    </w:div>
    <w:div w:id="1715620097">
      <w:bodyDiv w:val="1"/>
      <w:marLeft w:val="0"/>
      <w:marRight w:val="0"/>
      <w:marTop w:val="0"/>
      <w:marBottom w:val="0"/>
      <w:divBdr>
        <w:top w:val="none" w:sz="0" w:space="0" w:color="auto"/>
        <w:left w:val="none" w:sz="0" w:space="0" w:color="auto"/>
        <w:bottom w:val="none" w:sz="0" w:space="0" w:color="auto"/>
        <w:right w:val="none" w:sz="0" w:space="0" w:color="auto"/>
      </w:divBdr>
    </w:div>
    <w:div w:id="1718358094">
      <w:bodyDiv w:val="1"/>
      <w:marLeft w:val="0"/>
      <w:marRight w:val="0"/>
      <w:marTop w:val="0"/>
      <w:marBottom w:val="0"/>
      <w:divBdr>
        <w:top w:val="none" w:sz="0" w:space="0" w:color="auto"/>
        <w:left w:val="none" w:sz="0" w:space="0" w:color="auto"/>
        <w:bottom w:val="none" w:sz="0" w:space="0" w:color="auto"/>
        <w:right w:val="none" w:sz="0" w:space="0" w:color="auto"/>
      </w:divBdr>
    </w:div>
    <w:div w:id="1718427395">
      <w:bodyDiv w:val="1"/>
      <w:marLeft w:val="0"/>
      <w:marRight w:val="0"/>
      <w:marTop w:val="0"/>
      <w:marBottom w:val="0"/>
      <w:divBdr>
        <w:top w:val="none" w:sz="0" w:space="0" w:color="auto"/>
        <w:left w:val="none" w:sz="0" w:space="0" w:color="auto"/>
        <w:bottom w:val="none" w:sz="0" w:space="0" w:color="auto"/>
        <w:right w:val="none" w:sz="0" w:space="0" w:color="auto"/>
      </w:divBdr>
    </w:div>
    <w:div w:id="1719209045">
      <w:bodyDiv w:val="1"/>
      <w:marLeft w:val="0"/>
      <w:marRight w:val="0"/>
      <w:marTop w:val="0"/>
      <w:marBottom w:val="0"/>
      <w:divBdr>
        <w:top w:val="none" w:sz="0" w:space="0" w:color="auto"/>
        <w:left w:val="none" w:sz="0" w:space="0" w:color="auto"/>
        <w:bottom w:val="none" w:sz="0" w:space="0" w:color="auto"/>
        <w:right w:val="none" w:sz="0" w:space="0" w:color="auto"/>
      </w:divBdr>
    </w:div>
    <w:div w:id="1719232957">
      <w:bodyDiv w:val="1"/>
      <w:marLeft w:val="0"/>
      <w:marRight w:val="0"/>
      <w:marTop w:val="0"/>
      <w:marBottom w:val="0"/>
      <w:divBdr>
        <w:top w:val="none" w:sz="0" w:space="0" w:color="auto"/>
        <w:left w:val="none" w:sz="0" w:space="0" w:color="auto"/>
        <w:bottom w:val="none" w:sz="0" w:space="0" w:color="auto"/>
        <w:right w:val="none" w:sz="0" w:space="0" w:color="auto"/>
      </w:divBdr>
    </w:div>
    <w:div w:id="1724136756">
      <w:bodyDiv w:val="1"/>
      <w:marLeft w:val="0"/>
      <w:marRight w:val="0"/>
      <w:marTop w:val="0"/>
      <w:marBottom w:val="0"/>
      <w:divBdr>
        <w:top w:val="none" w:sz="0" w:space="0" w:color="auto"/>
        <w:left w:val="none" w:sz="0" w:space="0" w:color="auto"/>
        <w:bottom w:val="none" w:sz="0" w:space="0" w:color="auto"/>
        <w:right w:val="none" w:sz="0" w:space="0" w:color="auto"/>
      </w:divBdr>
    </w:div>
    <w:div w:id="1725181121">
      <w:bodyDiv w:val="1"/>
      <w:marLeft w:val="0"/>
      <w:marRight w:val="0"/>
      <w:marTop w:val="0"/>
      <w:marBottom w:val="0"/>
      <w:divBdr>
        <w:top w:val="none" w:sz="0" w:space="0" w:color="auto"/>
        <w:left w:val="none" w:sz="0" w:space="0" w:color="auto"/>
        <w:bottom w:val="none" w:sz="0" w:space="0" w:color="auto"/>
        <w:right w:val="none" w:sz="0" w:space="0" w:color="auto"/>
      </w:divBdr>
    </w:div>
    <w:div w:id="1725985669">
      <w:bodyDiv w:val="1"/>
      <w:marLeft w:val="0"/>
      <w:marRight w:val="0"/>
      <w:marTop w:val="0"/>
      <w:marBottom w:val="0"/>
      <w:divBdr>
        <w:top w:val="none" w:sz="0" w:space="0" w:color="auto"/>
        <w:left w:val="none" w:sz="0" w:space="0" w:color="auto"/>
        <w:bottom w:val="none" w:sz="0" w:space="0" w:color="auto"/>
        <w:right w:val="none" w:sz="0" w:space="0" w:color="auto"/>
      </w:divBdr>
    </w:div>
    <w:div w:id="1726366071">
      <w:bodyDiv w:val="1"/>
      <w:marLeft w:val="0"/>
      <w:marRight w:val="0"/>
      <w:marTop w:val="0"/>
      <w:marBottom w:val="0"/>
      <w:divBdr>
        <w:top w:val="none" w:sz="0" w:space="0" w:color="auto"/>
        <w:left w:val="none" w:sz="0" w:space="0" w:color="auto"/>
        <w:bottom w:val="none" w:sz="0" w:space="0" w:color="auto"/>
        <w:right w:val="none" w:sz="0" w:space="0" w:color="auto"/>
      </w:divBdr>
    </w:div>
    <w:div w:id="1728449474">
      <w:bodyDiv w:val="1"/>
      <w:marLeft w:val="0"/>
      <w:marRight w:val="0"/>
      <w:marTop w:val="0"/>
      <w:marBottom w:val="0"/>
      <w:divBdr>
        <w:top w:val="none" w:sz="0" w:space="0" w:color="auto"/>
        <w:left w:val="none" w:sz="0" w:space="0" w:color="auto"/>
        <w:bottom w:val="none" w:sz="0" w:space="0" w:color="auto"/>
        <w:right w:val="none" w:sz="0" w:space="0" w:color="auto"/>
      </w:divBdr>
    </w:div>
    <w:div w:id="1728800557">
      <w:bodyDiv w:val="1"/>
      <w:marLeft w:val="0"/>
      <w:marRight w:val="0"/>
      <w:marTop w:val="0"/>
      <w:marBottom w:val="0"/>
      <w:divBdr>
        <w:top w:val="none" w:sz="0" w:space="0" w:color="auto"/>
        <w:left w:val="none" w:sz="0" w:space="0" w:color="auto"/>
        <w:bottom w:val="none" w:sz="0" w:space="0" w:color="auto"/>
        <w:right w:val="none" w:sz="0" w:space="0" w:color="auto"/>
      </w:divBdr>
    </w:div>
    <w:div w:id="1729108856">
      <w:bodyDiv w:val="1"/>
      <w:marLeft w:val="0"/>
      <w:marRight w:val="0"/>
      <w:marTop w:val="0"/>
      <w:marBottom w:val="0"/>
      <w:divBdr>
        <w:top w:val="none" w:sz="0" w:space="0" w:color="auto"/>
        <w:left w:val="none" w:sz="0" w:space="0" w:color="auto"/>
        <w:bottom w:val="none" w:sz="0" w:space="0" w:color="auto"/>
        <w:right w:val="none" w:sz="0" w:space="0" w:color="auto"/>
      </w:divBdr>
    </w:div>
    <w:div w:id="1731803294">
      <w:bodyDiv w:val="1"/>
      <w:marLeft w:val="0"/>
      <w:marRight w:val="0"/>
      <w:marTop w:val="0"/>
      <w:marBottom w:val="0"/>
      <w:divBdr>
        <w:top w:val="none" w:sz="0" w:space="0" w:color="auto"/>
        <w:left w:val="none" w:sz="0" w:space="0" w:color="auto"/>
        <w:bottom w:val="none" w:sz="0" w:space="0" w:color="auto"/>
        <w:right w:val="none" w:sz="0" w:space="0" w:color="auto"/>
      </w:divBdr>
    </w:div>
    <w:div w:id="1733430378">
      <w:bodyDiv w:val="1"/>
      <w:marLeft w:val="0"/>
      <w:marRight w:val="0"/>
      <w:marTop w:val="0"/>
      <w:marBottom w:val="0"/>
      <w:divBdr>
        <w:top w:val="none" w:sz="0" w:space="0" w:color="auto"/>
        <w:left w:val="none" w:sz="0" w:space="0" w:color="auto"/>
        <w:bottom w:val="none" w:sz="0" w:space="0" w:color="auto"/>
        <w:right w:val="none" w:sz="0" w:space="0" w:color="auto"/>
      </w:divBdr>
    </w:div>
    <w:div w:id="1734811032">
      <w:bodyDiv w:val="1"/>
      <w:marLeft w:val="0"/>
      <w:marRight w:val="0"/>
      <w:marTop w:val="0"/>
      <w:marBottom w:val="0"/>
      <w:divBdr>
        <w:top w:val="none" w:sz="0" w:space="0" w:color="auto"/>
        <w:left w:val="none" w:sz="0" w:space="0" w:color="auto"/>
        <w:bottom w:val="none" w:sz="0" w:space="0" w:color="auto"/>
        <w:right w:val="none" w:sz="0" w:space="0" w:color="auto"/>
      </w:divBdr>
    </w:div>
    <w:div w:id="1735271032">
      <w:bodyDiv w:val="1"/>
      <w:marLeft w:val="0"/>
      <w:marRight w:val="0"/>
      <w:marTop w:val="0"/>
      <w:marBottom w:val="0"/>
      <w:divBdr>
        <w:top w:val="none" w:sz="0" w:space="0" w:color="auto"/>
        <w:left w:val="none" w:sz="0" w:space="0" w:color="auto"/>
        <w:bottom w:val="none" w:sz="0" w:space="0" w:color="auto"/>
        <w:right w:val="none" w:sz="0" w:space="0" w:color="auto"/>
      </w:divBdr>
    </w:div>
    <w:div w:id="1735393549">
      <w:bodyDiv w:val="1"/>
      <w:marLeft w:val="0"/>
      <w:marRight w:val="0"/>
      <w:marTop w:val="0"/>
      <w:marBottom w:val="0"/>
      <w:divBdr>
        <w:top w:val="none" w:sz="0" w:space="0" w:color="auto"/>
        <w:left w:val="none" w:sz="0" w:space="0" w:color="auto"/>
        <w:bottom w:val="none" w:sz="0" w:space="0" w:color="auto"/>
        <w:right w:val="none" w:sz="0" w:space="0" w:color="auto"/>
      </w:divBdr>
    </w:div>
    <w:div w:id="1735738944">
      <w:bodyDiv w:val="1"/>
      <w:marLeft w:val="0"/>
      <w:marRight w:val="0"/>
      <w:marTop w:val="0"/>
      <w:marBottom w:val="0"/>
      <w:divBdr>
        <w:top w:val="none" w:sz="0" w:space="0" w:color="auto"/>
        <w:left w:val="none" w:sz="0" w:space="0" w:color="auto"/>
        <w:bottom w:val="none" w:sz="0" w:space="0" w:color="auto"/>
        <w:right w:val="none" w:sz="0" w:space="0" w:color="auto"/>
      </w:divBdr>
    </w:div>
    <w:div w:id="1739478225">
      <w:bodyDiv w:val="1"/>
      <w:marLeft w:val="0"/>
      <w:marRight w:val="0"/>
      <w:marTop w:val="0"/>
      <w:marBottom w:val="0"/>
      <w:divBdr>
        <w:top w:val="none" w:sz="0" w:space="0" w:color="auto"/>
        <w:left w:val="none" w:sz="0" w:space="0" w:color="auto"/>
        <w:bottom w:val="none" w:sz="0" w:space="0" w:color="auto"/>
        <w:right w:val="none" w:sz="0" w:space="0" w:color="auto"/>
      </w:divBdr>
    </w:div>
    <w:div w:id="1741754809">
      <w:bodyDiv w:val="1"/>
      <w:marLeft w:val="0"/>
      <w:marRight w:val="0"/>
      <w:marTop w:val="0"/>
      <w:marBottom w:val="0"/>
      <w:divBdr>
        <w:top w:val="none" w:sz="0" w:space="0" w:color="auto"/>
        <w:left w:val="none" w:sz="0" w:space="0" w:color="auto"/>
        <w:bottom w:val="none" w:sz="0" w:space="0" w:color="auto"/>
        <w:right w:val="none" w:sz="0" w:space="0" w:color="auto"/>
      </w:divBdr>
    </w:div>
    <w:div w:id="1744452596">
      <w:bodyDiv w:val="1"/>
      <w:marLeft w:val="0"/>
      <w:marRight w:val="0"/>
      <w:marTop w:val="0"/>
      <w:marBottom w:val="0"/>
      <w:divBdr>
        <w:top w:val="none" w:sz="0" w:space="0" w:color="auto"/>
        <w:left w:val="none" w:sz="0" w:space="0" w:color="auto"/>
        <w:bottom w:val="none" w:sz="0" w:space="0" w:color="auto"/>
        <w:right w:val="none" w:sz="0" w:space="0" w:color="auto"/>
      </w:divBdr>
    </w:div>
    <w:div w:id="1747334780">
      <w:bodyDiv w:val="1"/>
      <w:marLeft w:val="0"/>
      <w:marRight w:val="0"/>
      <w:marTop w:val="0"/>
      <w:marBottom w:val="0"/>
      <w:divBdr>
        <w:top w:val="none" w:sz="0" w:space="0" w:color="auto"/>
        <w:left w:val="none" w:sz="0" w:space="0" w:color="auto"/>
        <w:bottom w:val="none" w:sz="0" w:space="0" w:color="auto"/>
        <w:right w:val="none" w:sz="0" w:space="0" w:color="auto"/>
      </w:divBdr>
    </w:div>
    <w:div w:id="1747992974">
      <w:bodyDiv w:val="1"/>
      <w:marLeft w:val="0"/>
      <w:marRight w:val="0"/>
      <w:marTop w:val="0"/>
      <w:marBottom w:val="0"/>
      <w:divBdr>
        <w:top w:val="none" w:sz="0" w:space="0" w:color="auto"/>
        <w:left w:val="none" w:sz="0" w:space="0" w:color="auto"/>
        <w:bottom w:val="none" w:sz="0" w:space="0" w:color="auto"/>
        <w:right w:val="none" w:sz="0" w:space="0" w:color="auto"/>
      </w:divBdr>
    </w:div>
    <w:div w:id="1750153700">
      <w:bodyDiv w:val="1"/>
      <w:marLeft w:val="0"/>
      <w:marRight w:val="0"/>
      <w:marTop w:val="0"/>
      <w:marBottom w:val="0"/>
      <w:divBdr>
        <w:top w:val="none" w:sz="0" w:space="0" w:color="auto"/>
        <w:left w:val="none" w:sz="0" w:space="0" w:color="auto"/>
        <w:bottom w:val="none" w:sz="0" w:space="0" w:color="auto"/>
        <w:right w:val="none" w:sz="0" w:space="0" w:color="auto"/>
      </w:divBdr>
    </w:div>
    <w:div w:id="1752432658">
      <w:bodyDiv w:val="1"/>
      <w:marLeft w:val="0"/>
      <w:marRight w:val="0"/>
      <w:marTop w:val="0"/>
      <w:marBottom w:val="0"/>
      <w:divBdr>
        <w:top w:val="none" w:sz="0" w:space="0" w:color="auto"/>
        <w:left w:val="none" w:sz="0" w:space="0" w:color="auto"/>
        <w:bottom w:val="none" w:sz="0" w:space="0" w:color="auto"/>
        <w:right w:val="none" w:sz="0" w:space="0" w:color="auto"/>
      </w:divBdr>
    </w:div>
    <w:div w:id="1753039558">
      <w:bodyDiv w:val="1"/>
      <w:marLeft w:val="0"/>
      <w:marRight w:val="0"/>
      <w:marTop w:val="0"/>
      <w:marBottom w:val="0"/>
      <w:divBdr>
        <w:top w:val="none" w:sz="0" w:space="0" w:color="auto"/>
        <w:left w:val="none" w:sz="0" w:space="0" w:color="auto"/>
        <w:bottom w:val="none" w:sz="0" w:space="0" w:color="auto"/>
        <w:right w:val="none" w:sz="0" w:space="0" w:color="auto"/>
      </w:divBdr>
    </w:div>
    <w:div w:id="1754620627">
      <w:bodyDiv w:val="1"/>
      <w:marLeft w:val="0"/>
      <w:marRight w:val="0"/>
      <w:marTop w:val="0"/>
      <w:marBottom w:val="0"/>
      <w:divBdr>
        <w:top w:val="none" w:sz="0" w:space="0" w:color="auto"/>
        <w:left w:val="none" w:sz="0" w:space="0" w:color="auto"/>
        <w:bottom w:val="none" w:sz="0" w:space="0" w:color="auto"/>
        <w:right w:val="none" w:sz="0" w:space="0" w:color="auto"/>
      </w:divBdr>
    </w:div>
    <w:div w:id="1756510640">
      <w:bodyDiv w:val="1"/>
      <w:marLeft w:val="0"/>
      <w:marRight w:val="0"/>
      <w:marTop w:val="0"/>
      <w:marBottom w:val="0"/>
      <w:divBdr>
        <w:top w:val="none" w:sz="0" w:space="0" w:color="auto"/>
        <w:left w:val="none" w:sz="0" w:space="0" w:color="auto"/>
        <w:bottom w:val="none" w:sz="0" w:space="0" w:color="auto"/>
        <w:right w:val="none" w:sz="0" w:space="0" w:color="auto"/>
      </w:divBdr>
    </w:div>
    <w:div w:id="1756588646">
      <w:bodyDiv w:val="1"/>
      <w:marLeft w:val="0"/>
      <w:marRight w:val="0"/>
      <w:marTop w:val="0"/>
      <w:marBottom w:val="0"/>
      <w:divBdr>
        <w:top w:val="none" w:sz="0" w:space="0" w:color="auto"/>
        <w:left w:val="none" w:sz="0" w:space="0" w:color="auto"/>
        <w:bottom w:val="none" w:sz="0" w:space="0" w:color="auto"/>
        <w:right w:val="none" w:sz="0" w:space="0" w:color="auto"/>
      </w:divBdr>
      <w:divsChild>
        <w:div w:id="525557973">
          <w:marLeft w:val="0"/>
          <w:marRight w:val="0"/>
          <w:marTop w:val="0"/>
          <w:marBottom w:val="0"/>
          <w:divBdr>
            <w:top w:val="none" w:sz="0" w:space="0" w:color="auto"/>
            <w:left w:val="none" w:sz="0" w:space="0" w:color="auto"/>
            <w:bottom w:val="none" w:sz="0" w:space="0" w:color="auto"/>
            <w:right w:val="none" w:sz="0" w:space="0" w:color="auto"/>
          </w:divBdr>
          <w:divsChild>
            <w:div w:id="1860124644">
              <w:marLeft w:val="0"/>
              <w:marRight w:val="0"/>
              <w:marTop w:val="0"/>
              <w:marBottom w:val="0"/>
              <w:divBdr>
                <w:top w:val="none" w:sz="0" w:space="0" w:color="auto"/>
                <w:left w:val="none" w:sz="0" w:space="0" w:color="auto"/>
                <w:bottom w:val="none" w:sz="0" w:space="0" w:color="auto"/>
                <w:right w:val="none" w:sz="0" w:space="0" w:color="auto"/>
              </w:divBdr>
              <w:divsChild>
                <w:div w:id="466171450">
                  <w:marLeft w:val="0"/>
                  <w:marRight w:val="0"/>
                  <w:marTop w:val="0"/>
                  <w:marBottom w:val="0"/>
                  <w:divBdr>
                    <w:top w:val="none" w:sz="0" w:space="0" w:color="auto"/>
                    <w:left w:val="none" w:sz="0" w:space="0" w:color="auto"/>
                    <w:bottom w:val="none" w:sz="0" w:space="0" w:color="auto"/>
                    <w:right w:val="none" w:sz="0" w:space="0" w:color="auto"/>
                  </w:divBdr>
                  <w:divsChild>
                    <w:div w:id="19172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6086">
      <w:bodyDiv w:val="1"/>
      <w:marLeft w:val="0"/>
      <w:marRight w:val="0"/>
      <w:marTop w:val="0"/>
      <w:marBottom w:val="0"/>
      <w:divBdr>
        <w:top w:val="none" w:sz="0" w:space="0" w:color="auto"/>
        <w:left w:val="none" w:sz="0" w:space="0" w:color="auto"/>
        <w:bottom w:val="none" w:sz="0" w:space="0" w:color="auto"/>
        <w:right w:val="none" w:sz="0" w:space="0" w:color="auto"/>
      </w:divBdr>
    </w:div>
    <w:div w:id="1762481244">
      <w:bodyDiv w:val="1"/>
      <w:marLeft w:val="0"/>
      <w:marRight w:val="0"/>
      <w:marTop w:val="0"/>
      <w:marBottom w:val="0"/>
      <w:divBdr>
        <w:top w:val="none" w:sz="0" w:space="0" w:color="auto"/>
        <w:left w:val="none" w:sz="0" w:space="0" w:color="auto"/>
        <w:bottom w:val="none" w:sz="0" w:space="0" w:color="auto"/>
        <w:right w:val="none" w:sz="0" w:space="0" w:color="auto"/>
      </w:divBdr>
    </w:div>
    <w:div w:id="1762795012">
      <w:bodyDiv w:val="1"/>
      <w:marLeft w:val="0"/>
      <w:marRight w:val="0"/>
      <w:marTop w:val="0"/>
      <w:marBottom w:val="0"/>
      <w:divBdr>
        <w:top w:val="none" w:sz="0" w:space="0" w:color="auto"/>
        <w:left w:val="none" w:sz="0" w:space="0" w:color="auto"/>
        <w:bottom w:val="none" w:sz="0" w:space="0" w:color="auto"/>
        <w:right w:val="none" w:sz="0" w:space="0" w:color="auto"/>
      </w:divBdr>
    </w:div>
    <w:div w:id="1763838539">
      <w:bodyDiv w:val="1"/>
      <w:marLeft w:val="0"/>
      <w:marRight w:val="0"/>
      <w:marTop w:val="0"/>
      <w:marBottom w:val="0"/>
      <w:divBdr>
        <w:top w:val="none" w:sz="0" w:space="0" w:color="auto"/>
        <w:left w:val="none" w:sz="0" w:space="0" w:color="auto"/>
        <w:bottom w:val="none" w:sz="0" w:space="0" w:color="auto"/>
        <w:right w:val="none" w:sz="0" w:space="0" w:color="auto"/>
      </w:divBdr>
      <w:divsChild>
        <w:div w:id="316618632">
          <w:marLeft w:val="0"/>
          <w:marRight w:val="0"/>
          <w:marTop w:val="0"/>
          <w:marBottom w:val="0"/>
          <w:divBdr>
            <w:top w:val="none" w:sz="0" w:space="0" w:color="auto"/>
            <w:left w:val="none" w:sz="0" w:space="0" w:color="auto"/>
            <w:bottom w:val="none" w:sz="0" w:space="0" w:color="auto"/>
            <w:right w:val="none" w:sz="0" w:space="0" w:color="auto"/>
          </w:divBdr>
          <w:divsChild>
            <w:div w:id="953903829">
              <w:marLeft w:val="0"/>
              <w:marRight w:val="0"/>
              <w:marTop w:val="0"/>
              <w:marBottom w:val="0"/>
              <w:divBdr>
                <w:top w:val="none" w:sz="0" w:space="0" w:color="auto"/>
                <w:left w:val="none" w:sz="0" w:space="0" w:color="auto"/>
                <w:bottom w:val="none" w:sz="0" w:space="0" w:color="auto"/>
                <w:right w:val="none" w:sz="0" w:space="0" w:color="auto"/>
              </w:divBdr>
              <w:divsChild>
                <w:div w:id="1258757100">
                  <w:marLeft w:val="0"/>
                  <w:marRight w:val="0"/>
                  <w:marTop w:val="0"/>
                  <w:marBottom w:val="0"/>
                  <w:divBdr>
                    <w:top w:val="none" w:sz="0" w:space="0" w:color="auto"/>
                    <w:left w:val="none" w:sz="0" w:space="0" w:color="auto"/>
                    <w:bottom w:val="none" w:sz="0" w:space="0" w:color="auto"/>
                    <w:right w:val="none" w:sz="0" w:space="0" w:color="auto"/>
                  </w:divBdr>
                  <w:divsChild>
                    <w:div w:id="11968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339549">
      <w:bodyDiv w:val="1"/>
      <w:marLeft w:val="0"/>
      <w:marRight w:val="0"/>
      <w:marTop w:val="0"/>
      <w:marBottom w:val="0"/>
      <w:divBdr>
        <w:top w:val="none" w:sz="0" w:space="0" w:color="auto"/>
        <w:left w:val="none" w:sz="0" w:space="0" w:color="auto"/>
        <w:bottom w:val="none" w:sz="0" w:space="0" w:color="auto"/>
        <w:right w:val="none" w:sz="0" w:space="0" w:color="auto"/>
      </w:divBdr>
    </w:div>
    <w:div w:id="1766416514">
      <w:bodyDiv w:val="1"/>
      <w:marLeft w:val="0"/>
      <w:marRight w:val="0"/>
      <w:marTop w:val="0"/>
      <w:marBottom w:val="0"/>
      <w:divBdr>
        <w:top w:val="none" w:sz="0" w:space="0" w:color="auto"/>
        <w:left w:val="none" w:sz="0" w:space="0" w:color="auto"/>
        <w:bottom w:val="none" w:sz="0" w:space="0" w:color="auto"/>
        <w:right w:val="none" w:sz="0" w:space="0" w:color="auto"/>
      </w:divBdr>
    </w:div>
    <w:div w:id="1766874823">
      <w:bodyDiv w:val="1"/>
      <w:marLeft w:val="0"/>
      <w:marRight w:val="0"/>
      <w:marTop w:val="0"/>
      <w:marBottom w:val="0"/>
      <w:divBdr>
        <w:top w:val="none" w:sz="0" w:space="0" w:color="auto"/>
        <w:left w:val="none" w:sz="0" w:space="0" w:color="auto"/>
        <w:bottom w:val="none" w:sz="0" w:space="0" w:color="auto"/>
        <w:right w:val="none" w:sz="0" w:space="0" w:color="auto"/>
      </w:divBdr>
    </w:div>
    <w:div w:id="1769495895">
      <w:bodyDiv w:val="1"/>
      <w:marLeft w:val="0"/>
      <w:marRight w:val="0"/>
      <w:marTop w:val="0"/>
      <w:marBottom w:val="0"/>
      <w:divBdr>
        <w:top w:val="none" w:sz="0" w:space="0" w:color="auto"/>
        <w:left w:val="none" w:sz="0" w:space="0" w:color="auto"/>
        <w:bottom w:val="none" w:sz="0" w:space="0" w:color="auto"/>
        <w:right w:val="none" w:sz="0" w:space="0" w:color="auto"/>
      </w:divBdr>
    </w:div>
    <w:div w:id="1770195833">
      <w:bodyDiv w:val="1"/>
      <w:marLeft w:val="0"/>
      <w:marRight w:val="0"/>
      <w:marTop w:val="0"/>
      <w:marBottom w:val="0"/>
      <w:divBdr>
        <w:top w:val="none" w:sz="0" w:space="0" w:color="auto"/>
        <w:left w:val="none" w:sz="0" w:space="0" w:color="auto"/>
        <w:bottom w:val="none" w:sz="0" w:space="0" w:color="auto"/>
        <w:right w:val="none" w:sz="0" w:space="0" w:color="auto"/>
      </w:divBdr>
    </w:div>
    <w:div w:id="1773629500">
      <w:bodyDiv w:val="1"/>
      <w:marLeft w:val="0"/>
      <w:marRight w:val="0"/>
      <w:marTop w:val="0"/>
      <w:marBottom w:val="0"/>
      <w:divBdr>
        <w:top w:val="none" w:sz="0" w:space="0" w:color="auto"/>
        <w:left w:val="none" w:sz="0" w:space="0" w:color="auto"/>
        <w:bottom w:val="none" w:sz="0" w:space="0" w:color="auto"/>
        <w:right w:val="none" w:sz="0" w:space="0" w:color="auto"/>
      </w:divBdr>
    </w:div>
    <w:div w:id="1773892775">
      <w:bodyDiv w:val="1"/>
      <w:marLeft w:val="0"/>
      <w:marRight w:val="0"/>
      <w:marTop w:val="0"/>
      <w:marBottom w:val="0"/>
      <w:divBdr>
        <w:top w:val="none" w:sz="0" w:space="0" w:color="auto"/>
        <w:left w:val="none" w:sz="0" w:space="0" w:color="auto"/>
        <w:bottom w:val="none" w:sz="0" w:space="0" w:color="auto"/>
        <w:right w:val="none" w:sz="0" w:space="0" w:color="auto"/>
      </w:divBdr>
    </w:div>
    <w:div w:id="1774284165">
      <w:bodyDiv w:val="1"/>
      <w:marLeft w:val="0"/>
      <w:marRight w:val="0"/>
      <w:marTop w:val="0"/>
      <w:marBottom w:val="0"/>
      <w:divBdr>
        <w:top w:val="none" w:sz="0" w:space="0" w:color="auto"/>
        <w:left w:val="none" w:sz="0" w:space="0" w:color="auto"/>
        <w:bottom w:val="none" w:sz="0" w:space="0" w:color="auto"/>
        <w:right w:val="none" w:sz="0" w:space="0" w:color="auto"/>
      </w:divBdr>
    </w:div>
    <w:div w:id="1774788348">
      <w:bodyDiv w:val="1"/>
      <w:marLeft w:val="0"/>
      <w:marRight w:val="0"/>
      <w:marTop w:val="0"/>
      <w:marBottom w:val="0"/>
      <w:divBdr>
        <w:top w:val="none" w:sz="0" w:space="0" w:color="auto"/>
        <w:left w:val="none" w:sz="0" w:space="0" w:color="auto"/>
        <w:bottom w:val="none" w:sz="0" w:space="0" w:color="auto"/>
        <w:right w:val="none" w:sz="0" w:space="0" w:color="auto"/>
      </w:divBdr>
    </w:div>
    <w:div w:id="1775901110">
      <w:bodyDiv w:val="1"/>
      <w:marLeft w:val="0"/>
      <w:marRight w:val="0"/>
      <w:marTop w:val="0"/>
      <w:marBottom w:val="0"/>
      <w:divBdr>
        <w:top w:val="none" w:sz="0" w:space="0" w:color="auto"/>
        <w:left w:val="none" w:sz="0" w:space="0" w:color="auto"/>
        <w:bottom w:val="none" w:sz="0" w:space="0" w:color="auto"/>
        <w:right w:val="none" w:sz="0" w:space="0" w:color="auto"/>
      </w:divBdr>
    </w:div>
    <w:div w:id="1777017234">
      <w:bodyDiv w:val="1"/>
      <w:marLeft w:val="0"/>
      <w:marRight w:val="0"/>
      <w:marTop w:val="0"/>
      <w:marBottom w:val="0"/>
      <w:divBdr>
        <w:top w:val="none" w:sz="0" w:space="0" w:color="auto"/>
        <w:left w:val="none" w:sz="0" w:space="0" w:color="auto"/>
        <w:bottom w:val="none" w:sz="0" w:space="0" w:color="auto"/>
        <w:right w:val="none" w:sz="0" w:space="0" w:color="auto"/>
      </w:divBdr>
    </w:div>
    <w:div w:id="1778712693">
      <w:bodyDiv w:val="1"/>
      <w:marLeft w:val="0"/>
      <w:marRight w:val="0"/>
      <w:marTop w:val="0"/>
      <w:marBottom w:val="0"/>
      <w:divBdr>
        <w:top w:val="none" w:sz="0" w:space="0" w:color="auto"/>
        <w:left w:val="none" w:sz="0" w:space="0" w:color="auto"/>
        <w:bottom w:val="none" w:sz="0" w:space="0" w:color="auto"/>
        <w:right w:val="none" w:sz="0" w:space="0" w:color="auto"/>
      </w:divBdr>
    </w:div>
    <w:div w:id="1778990059">
      <w:bodyDiv w:val="1"/>
      <w:marLeft w:val="0"/>
      <w:marRight w:val="0"/>
      <w:marTop w:val="0"/>
      <w:marBottom w:val="0"/>
      <w:divBdr>
        <w:top w:val="none" w:sz="0" w:space="0" w:color="auto"/>
        <w:left w:val="none" w:sz="0" w:space="0" w:color="auto"/>
        <w:bottom w:val="none" w:sz="0" w:space="0" w:color="auto"/>
        <w:right w:val="none" w:sz="0" w:space="0" w:color="auto"/>
      </w:divBdr>
    </w:div>
    <w:div w:id="1779373389">
      <w:bodyDiv w:val="1"/>
      <w:marLeft w:val="0"/>
      <w:marRight w:val="0"/>
      <w:marTop w:val="0"/>
      <w:marBottom w:val="0"/>
      <w:divBdr>
        <w:top w:val="none" w:sz="0" w:space="0" w:color="auto"/>
        <w:left w:val="none" w:sz="0" w:space="0" w:color="auto"/>
        <w:bottom w:val="none" w:sz="0" w:space="0" w:color="auto"/>
        <w:right w:val="none" w:sz="0" w:space="0" w:color="auto"/>
      </w:divBdr>
    </w:div>
    <w:div w:id="1779644607">
      <w:bodyDiv w:val="1"/>
      <w:marLeft w:val="0"/>
      <w:marRight w:val="0"/>
      <w:marTop w:val="0"/>
      <w:marBottom w:val="0"/>
      <w:divBdr>
        <w:top w:val="none" w:sz="0" w:space="0" w:color="auto"/>
        <w:left w:val="none" w:sz="0" w:space="0" w:color="auto"/>
        <w:bottom w:val="none" w:sz="0" w:space="0" w:color="auto"/>
        <w:right w:val="none" w:sz="0" w:space="0" w:color="auto"/>
      </w:divBdr>
    </w:div>
    <w:div w:id="1780372214">
      <w:bodyDiv w:val="1"/>
      <w:marLeft w:val="0"/>
      <w:marRight w:val="0"/>
      <w:marTop w:val="0"/>
      <w:marBottom w:val="0"/>
      <w:divBdr>
        <w:top w:val="none" w:sz="0" w:space="0" w:color="auto"/>
        <w:left w:val="none" w:sz="0" w:space="0" w:color="auto"/>
        <w:bottom w:val="none" w:sz="0" w:space="0" w:color="auto"/>
        <w:right w:val="none" w:sz="0" w:space="0" w:color="auto"/>
      </w:divBdr>
    </w:div>
    <w:div w:id="1780445528">
      <w:bodyDiv w:val="1"/>
      <w:marLeft w:val="0"/>
      <w:marRight w:val="0"/>
      <w:marTop w:val="0"/>
      <w:marBottom w:val="0"/>
      <w:divBdr>
        <w:top w:val="none" w:sz="0" w:space="0" w:color="auto"/>
        <w:left w:val="none" w:sz="0" w:space="0" w:color="auto"/>
        <w:bottom w:val="none" w:sz="0" w:space="0" w:color="auto"/>
        <w:right w:val="none" w:sz="0" w:space="0" w:color="auto"/>
      </w:divBdr>
    </w:div>
    <w:div w:id="1780877051">
      <w:bodyDiv w:val="1"/>
      <w:marLeft w:val="0"/>
      <w:marRight w:val="0"/>
      <w:marTop w:val="0"/>
      <w:marBottom w:val="0"/>
      <w:divBdr>
        <w:top w:val="none" w:sz="0" w:space="0" w:color="auto"/>
        <w:left w:val="none" w:sz="0" w:space="0" w:color="auto"/>
        <w:bottom w:val="none" w:sz="0" w:space="0" w:color="auto"/>
        <w:right w:val="none" w:sz="0" w:space="0" w:color="auto"/>
      </w:divBdr>
    </w:div>
    <w:div w:id="1781795353">
      <w:bodyDiv w:val="1"/>
      <w:marLeft w:val="0"/>
      <w:marRight w:val="0"/>
      <w:marTop w:val="0"/>
      <w:marBottom w:val="0"/>
      <w:divBdr>
        <w:top w:val="none" w:sz="0" w:space="0" w:color="auto"/>
        <w:left w:val="none" w:sz="0" w:space="0" w:color="auto"/>
        <w:bottom w:val="none" w:sz="0" w:space="0" w:color="auto"/>
        <w:right w:val="none" w:sz="0" w:space="0" w:color="auto"/>
      </w:divBdr>
    </w:div>
    <w:div w:id="1784231590">
      <w:bodyDiv w:val="1"/>
      <w:marLeft w:val="0"/>
      <w:marRight w:val="0"/>
      <w:marTop w:val="0"/>
      <w:marBottom w:val="0"/>
      <w:divBdr>
        <w:top w:val="none" w:sz="0" w:space="0" w:color="auto"/>
        <w:left w:val="none" w:sz="0" w:space="0" w:color="auto"/>
        <w:bottom w:val="none" w:sz="0" w:space="0" w:color="auto"/>
        <w:right w:val="none" w:sz="0" w:space="0" w:color="auto"/>
      </w:divBdr>
    </w:div>
    <w:div w:id="1785223963">
      <w:bodyDiv w:val="1"/>
      <w:marLeft w:val="0"/>
      <w:marRight w:val="0"/>
      <w:marTop w:val="0"/>
      <w:marBottom w:val="0"/>
      <w:divBdr>
        <w:top w:val="none" w:sz="0" w:space="0" w:color="auto"/>
        <w:left w:val="none" w:sz="0" w:space="0" w:color="auto"/>
        <w:bottom w:val="none" w:sz="0" w:space="0" w:color="auto"/>
        <w:right w:val="none" w:sz="0" w:space="0" w:color="auto"/>
      </w:divBdr>
    </w:div>
    <w:div w:id="1785659468">
      <w:bodyDiv w:val="1"/>
      <w:marLeft w:val="0"/>
      <w:marRight w:val="0"/>
      <w:marTop w:val="0"/>
      <w:marBottom w:val="0"/>
      <w:divBdr>
        <w:top w:val="none" w:sz="0" w:space="0" w:color="auto"/>
        <w:left w:val="none" w:sz="0" w:space="0" w:color="auto"/>
        <w:bottom w:val="none" w:sz="0" w:space="0" w:color="auto"/>
        <w:right w:val="none" w:sz="0" w:space="0" w:color="auto"/>
      </w:divBdr>
    </w:div>
    <w:div w:id="1786804847">
      <w:bodyDiv w:val="1"/>
      <w:marLeft w:val="0"/>
      <w:marRight w:val="0"/>
      <w:marTop w:val="0"/>
      <w:marBottom w:val="0"/>
      <w:divBdr>
        <w:top w:val="none" w:sz="0" w:space="0" w:color="auto"/>
        <w:left w:val="none" w:sz="0" w:space="0" w:color="auto"/>
        <w:bottom w:val="none" w:sz="0" w:space="0" w:color="auto"/>
        <w:right w:val="none" w:sz="0" w:space="0" w:color="auto"/>
      </w:divBdr>
    </w:div>
    <w:div w:id="1788085092">
      <w:bodyDiv w:val="1"/>
      <w:marLeft w:val="0"/>
      <w:marRight w:val="0"/>
      <w:marTop w:val="0"/>
      <w:marBottom w:val="0"/>
      <w:divBdr>
        <w:top w:val="none" w:sz="0" w:space="0" w:color="auto"/>
        <w:left w:val="none" w:sz="0" w:space="0" w:color="auto"/>
        <w:bottom w:val="none" w:sz="0" w:space="0" w:color="auto"/>
        <w:right w:val="none" w:sz="0" w:space="0" w:color="auto"/>
      </w:divBdr>
    </w:div>
    <w:div w:id="1788162121">
      <w:bodyDiv w:val="1"/>
      <w:marLeft w:val="0"/>
      <w:marRight w:val="0"/>
      <w:marTop w:val="0"/>
      <w:marBottom w:val="0"/>
      <w:divBdr>
        <w:top w:val="none" w:sz="0" w:space="0" w:color="auto"/>
        <w:left w:val="none" w:sz="0" w:space="0" w:color="auto"/>
        <w:bottom w:val="none" w:sz="0" w:space="0" w:color="auto"/>
        <w:right w:val="none" w:sz="0" w:space="0" w:color="auto"/>
      </w:divBdr>
    </w:div>
    <w:div w:id="1788425191">
      <w:bodyDiv w:val="1"/>
      <w:marLeft w:val="0"/>
      <w:marRight w:val="0"/>
      <w:marTop w:val="0"/>
      <w:marBottom w:val="0"/>
      <w:divBdr>
        <w:top w:val="none" w:sz="0" w:space="0" w:color="auto"/>
        <w:left w:val="none" w:sz="0" w:space="0" w:color="auto"/>
        <w:bottom w:val="none" w:sz="0" w:space="0" w:color="auto"/>
        <w:right w:val="none" w:sz="0" w:space="0" w:color="auto"/>
      </w:divBdr>
    </w:div>
    <w:div w:id="1789466421">
      <w:bodyDiv w:val="1"/>
      <w:marLeft w:val="0"/>
      <w:marRight w:val="0"/>
      <w:marTop w:val="0"/>
      <w:marBottom w:val="0"/>
      <w:divBdr>
        <w:top w:val="none" w:sz="0" w:space="0" w:color="auto"/>
        <w:left w:val="none" w:sz="0" w:space="0" w:color="auto"/>
        <w:bottom w:val="none" w:sz="0" w:space="0" w:color="auto"/>
        <w:right w:val="none" w:sz="0" w:space="0" w:color="auto"/>
      </w:divBdr>
    </w:div>
    <w:div w:id="1791627588">
      <w:bodyDiv w:val="1"/>
      <w:marLeft w:val="0"/>
      <w:marRight w:val="0"/>
      <w:marTop w:val="0"/>
      <w:marBottom w:val="0"/>
      <w:divBdr>
        <w:top w:val="none" w:sz="0" w:space="0" w:color="auto"/>
        <w:left w:val="none" w:sz="0" w:space="0" w:color="auto"/>
        <w:bottom w:val="none" w:sz="0" w:space="0" w:color="auto"/>
        <w:right w:val="none" w:sz="0" w:space="0" w:color="auto"/>
      </w:divBdr>
    </w:div>
    <w:div w:id="1792170611">
      <w:bodyDiv w:val="1"/>
      <w:marLeft w:val="0"/>
      <w:marRight w:val="0"/>
      <w:marTop w:val="0"/>
      <w:marBottom w:val="0"/>
      <w:divBdr>
        <w:top w:val="none" w:sz="0" w:space="0" w:color="auto"/>
        <w:left w:val="none" w:sz="0" w:space="0" w:color="auto"/>
        <w:bottom w:val="none" w:sz="0" w:space="0" w:color="auto"/>
        <w:right w:val="none" w:sz="0" w:space="0" w:color="auto"/>
      </w:divBdr>
    </w:div>
    <w:div w:id="1793018511">
      <w:bodyDiv w:val="1"/>
      <w:marLeft w:val="0"/>
      <w:marRight w:val="0"/>
      <w:marTop w:val="0"/>
      <w:marBottom w:val="0"/>
      <w:divBdr>
        <w:top w:val="none" w:sz="0" w:space="0" w:color="auto"/>
        <w:left w:val="none" w:sz="0" w:space="0" w:color="auto"/>
        <w:bottom w:val="none" w:sz="0" w:space="0" w:color="auto"/>
        <w:right w:val="none" w:sz="0" w:space="0" w:color="auto"/>
      </w:divBdr>
    </w:div>
    <w:div w:id="1793984143">
      <w:bodyDiv w:val="1"/>
      <w:marLeft w:val="0"/>
      <w:marRight w:val="0"/>
      <w:marTop w:val="0"/>
      <w:marBottom w:val="0"/>
      <w:divBdr>
        <w:top w:val="none" w:sz="0" w:space="0" w:color="auto"/>
        <w:left w:val="none" w:sz="0" w:space="0" w:color="auto"/>
        <w:bottom w:val="none" w:sz="0" w:space="0" w:color="auto"/>
        <w:right w:val="none" w:sz="0" w:space="0" w:color="auto"/>
      </w:divBdr>
    </w:div>
    <w:div w:id="1794865454">
      <w:bodyDiv w:val="1"/>
      <w:marLeft w:val="0"/>
      <w:marRight w:val="0"/>
      <w:marTop w:val="0"/>
      <w:marBottom w:val="0"/>
      <w:divBdr>
        <w:top w:val="none" w:sz="0" w:space="0" w:color="auto"/>
        <w:left w:val="none" w:sz="0" w:space="0" w:color="auto"/>
        <w:bottom w:val="none" w:sz="0" w:space="0" w:color="auto"/>
        <w:right w:val="none" w:sz="0" w:space="0" w:color="auto"/>
      </w:divBdr>
    </w:div>
    <w:div w:id="1797218929">
      <w:bodyDiv w:val="1"/>
      <w:marLeft w:val="0"/>
      <w:marRight w:val="0"/>
      <w:marTop w:val="0"/>
      <w:marBottom w:val="0"/>
      <w:divBdr>
        <w:top w:val="none" w:sz="0" w:space="0" w:color="auto"/>
        <w:left w:val="none" w:sz="0" w:space="0" w:color="auto"/>
        <w:bottom w:val="none" w:sz="0" w:space="0" w:color="auto"/>
        <w:right w:val="none" w:sz="0" w:space="0" w:color="auto"/>
      </w:divBdr>
    </w:div>
    <w:div w:id="1800762044">
      <w:bodyDiv w:val="1"/>
      <w:marLeft w:val="0"/>
      <w:marRight w:val="0"/>
      <w:marTop w:val="0"/>
      <w:marBottom w:val="0"/>
      <w:divBdr>
        <w:top w:val="none" w:sz="0" w:space="0" w:color="auto"/>
        <w:left w:val="none" w:sz="0" w:space="0" w:color="auto"/>
        <w:bottom w:val="none" w:sz="0" w:space="0" w:color="auto"/>
        <w:right w:val="none" w:sz="0" w:space="0" w:color="auto"/>
      </w:divBdr>
    </w:div>
    <w:div w:id="1801411609">
      <w:bodyDiv w:val="1"/>
      <w:marLeft w:val="0"/>
      <w:marRight w:val="0"/>
      <w:marTop w:val="0"/>
      <w:marBottom w:val="0"/>
      <w:divBdr>
        <w:top w:val="none" w:sz="0" w:space="0" w:color="auto"/>
        <w:left w:val="none" w:sz="0" w:space="0" w:color="auto"/>
        <w:bottom w:val="none" w:sz="0" w:space="0" w:color="auto"/>
        <w:right w:val="none" w:sz="0" w:space="0" w:color="auto"/>
      </w:divBdr>
    </w:div>
    <w:div w:id="1802116739">
      <w:bodyDiv w:val="1"/>
      <w:marLeft w:val="0"/>
      <w:marRight w:val="0"/>
      <w:marTop w:val="0"/>
      <w:marBottom w:val="0"/>
      <w:divBdr>
        <w:top w:val="none" w:sz="0" w:space="0" w:color="auto"/>
        <w:left w:val="none" w:sz="0" w:space="0" w:color="auto"/>
        <w:bottom w:val="none" w:sz="0" w:space="0" w:color="auto"/>
        <w:right w:val="none" w:sz="0" w:space="0" w:color="auto"/>
      </w:divBdr>
    </w:div>
    <w:div w:id="1802921503">
      <w:bodyDiv w:val="1"/>
      <w:marLeft w:val="0"/>
      <w:marRight w:val="0"/>
      <w:marTop w:val="0"/>
      <w:marBottom w:val="0"/>
      <w:divBdr>
        <w:top w:val="none" w:sz="0" w:space="0" w:color="auto"/>
        <w:left w:val="none" w:sz="0" w:space="0" w:color="auto"/>
        <w:bottom w:val="none" w:sz="0" w:space="0" w:color="auto"/>
        <w:right w:val="none" w:sz="0" w:space="0" w:color="auto"/>
      </w:divBdr>
    </w:div>
    <w:div w:id="1803695073">
      <w:bodyDiv w:val="1"/>
      <w:marLeft w:val="0"/>
      <w:marRight w:val="0"/>
      <w:marTop w:val="0"/>
      <w:marBottom w:val="0"/>
      <w:divBdr>
        <w:top w:val="none" w:sz="0" w:space="0" w:color="auto"/>
        <w:left w:val="none" w:sz="0" w:space="0" w:color="auto"/>
        <w:bottom w:val="none" w:sz="0" w:space="0" w:color="auto"/>
        <w:right w:val="none" w:sz="0" w:space="0" w:color="auto"/>
      </w:divBdr>
    </w:div>
    <w:div w:id="1804813060">
      <w:bodyDiv w:val="1"/>
      <w:marLeft w:val="0"/>
      <w:marRight w:val="0"/>
      <w:marTop w:val="0"/>
      <w:marBottom w:val="0"/>
      <w:divBdr>
        <w:top w:val="none" w:sz="0" w:space="0" w:color="auto"/>
        <w:left w:val="none" w:sz="0" w:space="0" w:color="auto"/>
        <w:bottom w:val="none" w:sz="0" w:space="0" w:color="auto"/>
        <w:right w:val="none" w:sz="0" w:space="0" w:color="auto"/>
      </w:divBdr>
    </w:div>
    <w:div w:id="1807121072">
      <w:bodyDiv w:val="1"/>
      <w:marLeft w:val="0"/>
      <w:marRight w:val="0"/>
      <w:marTop w:val="0"/>
      <w:marBottom w:val="0"/>
      <w:divBdr>
        <w:top w:val="none" w:sz="0" w:space="0" w:color="auto"/>
        <w:left w:val="none" w:sz="0" w:space="0" w:color="auto"/>
        <w:bottom w:val="none" w:sz="0" w:space="0" w:color="auto"/>
        <w:right w:val="none" w:sz="0" w:space="0" w:color="auto"/>
      </w:divBdr>
    </w:div>
    <w:div w:id="1809131767">
      <w:bodyDiv w:val="1"/>
      <w:marLeft w:val="0"/>
      <w:marRight w:val="0"/>
      <w:marTop w:val="0"/>
      <w:marBottom w:val="0"/>
      <w:divBdr>
        <w:top w:val="none" w:sz="0" w:space="0" w:color="auto"/>
        <w:left w:val="none" w:sz="0" w:space="0" w:color="auto"/>
        <w:bottom w:val="none" w:sz="0" w:space="0" w:color="auto"/>
        <w:right w:val="none" w:sz="0" w:space="0" w:color="auto"/>
      </w:divBdr>
    </w:div>
    <w:div w:id="1809280024">
      <w:bodyDiv w:val="1"/>
      <w:marLeft w:val="0"/>
      <w:marRight w:val="0"/>
      <w:marTop w:val="0"/>
      <w:marBottom w:val="0"/>
      <w:divBdr>
        <w:top w:val="none" w:sz="0" w:space="0" w:color="auto"/>
        <w:left w:val="none" w:sz="0" w:space="0" w:color="auto"/>
        <w:bottom w:val="none" w:sz="0" w:space="0" w:color="auto"/>
        <w:right w:val="none" w:sz="0" w:space="0" w:color="auto"/>
      </w:divBdr>
    </w:div>
    <w:div w:id="1809662090">
      <w:bodyDiv w:val="1"/>
      <w:marLeft w:val="0"/>
      <w:marRight w:val="0"/>
      <w:marTop w:val="0"/>
      <w:marBottom w:val="0"/>
      <w:divBdr>
        <w:top w:val="none" w:sz="0" w:space="0" w:color="auto"/>
        <w:left w:val="none" w:sz="0" w:space="0" w:color="auto"/>
        <w:bottom w:val="none" w:sz="0" w:space="0" w:color="auto"/>
        <w:right w:val="none" w:sz="0" w:space="0" w:color="auto"/>
      </w:divBdr>
    </w:div>
    <w:div w:id="1810785372">
      <w:bodyDiv w:val="1"/>
      <w:marLeft w:val="0"/>
      <w:marRight w:val="0"/>
      <w:marTop w:val="0"/>
      <w:marBottom w:val="0"/>
      <w:divBdr>
        <w:top w:val="none" w:sz="0" w:space="0" w:color="auto"/>
        <w:left w:val="none" w:sz="0" w:space="0" w:color="auto"/>
        <w:bottom w:val="none" w:sz="0" w:space="0" w:color="auto"/>
        <w:right w:val="none" w:sz="0" w:space="0" w:color="auto"/>
      </w:divBdr>
    </w:div>
    <w:div w:id="1811434683">
      <w:bodyDiv w:val="1"/>
      <w:marLeft w:val="0"/>
      <w:marRight w:val="0"/>
      <w:marTop w:val="0"/>
      <w:marBottom w:val="0"/>
      <w:divBdr>
        <w:top w:val="none" w:sz="0" w:space="0" w:color="auto"/>
        <w:left w:val="none" w:sz="0" w:space="0" w:color="auto"/>
        <w:bottom w:val="none" w:sz="0" w:space="0" w:color="auto"/>
        <w:right w:val="none" w:sz="0" w:space="0" w:color="auto"/>
      </w:divBdr>
    </w:div>
    <w:div w:id="1811819594">
      <w:bodyDiv w:val="1"/>
      <w:marLeft w:val="0"/>
      <w:marRight w:val="0"/>
      <w:marTop w:val="0"/>
      <w:marBottom w:val="0"/>
      <w:divBdr>
        <w:top w:val="none" w:sz="0" w:space="0" w:color="auto"/>
        <w:left w:val="none" w:sz="0" w:space="0" w:color="auto"/>
        <w:bottom w:val="none" w:sz="0" w:space="0" w:color="auto"/>
        <w:right w:val="none" w:sz="0" w:space="0" w:color="auto"/>
      </w:divBdr>
    </w:div>
    <w:div w:id="1814367988">
      <w:bodyDiv w:val="1"/>
      <w:marLeft w:val="0"/>
      <w:marRight w:val="0"/>
      <w:marTop w:val="0"/>
      <w:marBottom w:val="0"/>
      <w:divBdr>
        <w:top w:val="none" w:sz="0" w:space="0" w:color="auto"/>
        <w:left w:val="none" w:sz="0" w:space="0" w:color="auto"/>
        <w:bottom w:val="none" w:sz="0" w:space="0" w:color="auto"/>
        <w:right w:val="none" w:sz="0" w:space="0" w:color="auto"/>
      </w:divBdr>
    </w:div>
    <w:div w:id="1817456102">
      <w:bodyDiv w:val="1"/>
      <w:marLeft w:val="0"/>
      <w:marRight w:val="0"/>
      <w:marTop w:val="0"/>
      <w:marBottom w:val="0"/>
      <w:divBdr>
        <w:top w:val="none" w:sz="0" w:space="0" w:color="auto"/>
        <w:left w:val="none" w:sz="0" w:space="0" w:color="auto"/>
        <w:bottom w:val="none" w:sz="0" w:space="0" w:color="auto"/>
        <w:right w:val="none" w:sz="0" w:space="0" w:color="auto"/>
      </w:divBdr>
    </w:div>
    <w:div w:id="1819953758">
      <w:bodyDiv w:val="1"/>
      <w:marLeft w:val="0"/>
      <w:marRight w:val="0"/>
      <w:marTop w:val="0"/>
      <w:marBottom w:val="0"/>
      <w:divBdr>
        <w:top w:val="none" w:sz="0" w:space="0" w:color="auto"/>
        <w:left w:val="none" w:sz="0" w:space="0" w:color="auto"/>
        <w:bottom w:val="none" w:sz="0" w:space="0" w:color="auto"/>
        <w:right w:val="none" w:sz="0" w:space="0" w:color="auto"/>
      </w:divBdr>
    </w:div>
    <w:div w:id="1824396570">
      <w:bodyDiv w:val="1"/>
      <w:marLeft w:val="0"/>
      <w:marRight w:val="0"/>
      <w:marTop w:val="0"/>
      <w:marBottom w:val="0"/>
      <w:divBdr>
        <w:top w:val="none" w:sz="0" w:space="0" w:color="auto"/>
        <w:left w:val="none" w:sz="0" w:space="0" w:color="auto"/>
        <w:bottom w:val="none" w:sz="0" w:space="0" w:color="auto"/>
        <w:right w:val="none" w:sz="0" w:space="0" w:color="auto"/>
      </w:divBdr>
    </w:div>
    <w:div w:id="1824658391">
      <w:bodyDiv w:val="1"/>
      <w:marLeft w:val="0"/>
      <w:marRight w:val="0"/>
      <w:marTop w:val="0"/>
      <w:marBottom w:val="0"/>
      <w:divBdr>
        <w:top w:val="none" w:sz="0" w:space="0" w:color="auto"/>
        <w:left w:val="none" w:sz="0" w:space="0" w:color="auto"/>
        <w:bottom w:val="none" w:sz="0" w:space="0" w:color="auto"/>
        <w:right w:val="none" w:sz="0" w:space="0" w:color="auto"/>
      </w:divBdr>
    </w:div>
    <w:div w:id="1825126097">
      <w:bodyDiv w:val="1"/>
      <w:marLeft w:val="0"/>
      <w:marRight w:val="0"/>
      <w:marTop w:val="0"/>
      <w:marBottom w:val="0"/>
      <w:divBdr>
        <w:top w:val="none" w:sz="0" w:space="0" w:color="auto"/>
        <w:left w:val="none" w:sz="0" w:space="0" w:color="auto"/>
        <w:bottom w:val="none" w:sz="0" w:space="0" w:color="auto"/>
        <w:right w:val="none" w:sz="0" w:space="0" w:color="auto"/>
      </w:divBdr>
    </w:div>
    <w:div w:id="1825585307">
      <w:bodyDiv w:val="1"/>
      <w:marLeft w:val="0"/>
      <w:marRight w:val="0"/>
      <w:marTop w:val="0"/>
      <w:marBottom w:val="0"/>
      <w:divBdr>
        <w:top w:val="none" w:sz="0" w:space="0" w:color="auto"/>
        <w:left w:val="none" w:sz="0" w:space="0" w:color="auto"/>
        <w:bottom w:val="none" w:sz="0" w:space="0" w:color="auto"/>
        <w:right w:val="none" w:sz="0" w:space="0" w:color="auto"/>
      </w:divBdr>
    </w:div>
    <w:div w:id="1826891112">
      <w:bodyDiv w:val="1"/>
      <w:marLeft w:val="0"/>
      <w:marRight w:val="0"/>
      <w:marTop w:val="0"/>
      <w:marBottom w:val="0"/>
      <w:divBdr>
        <w:top w:val="none" w:sz="0" w:space="0" w:color="auto"/>
        <w:left w:val="none" w:sz="0" w:space="0" w:color="auto"/>
        <w:bottom w:val="none" w:sz="0" w:space="0" w:color="auto"/>
        <w:right w:val="none" w:sz="0" w:space="0" w:color="auto"/>
      </w:divBdr>
    </w:div>
    <w:div w:id="1829520400">
      <w:bodyDiv w:val="1"/>
      <w:marLeft w:val="0"/>
      <w:marRight w:val="0"/>
      <w:marTop w:val="0"/>
      <w:marBottom w:val="0"/>
      <w:divBdr>
        <w:top w:val="none" w:sz="0" w:space="0" w:color="auto"/>
        <w:left w:val="none" w:sz="0" w:space="0" w:color="auto"/>
        <w:bottom w:val="none" w:sz="0" w:space="0" w:color="auto"/>
        <w:right w:val="none" w:sz="0" w:space="0" w:color="auto"/>
      </w:divBdr>
    </w:div>
    <w:div w:id="1830629170">
      <w:bodyDiv w:val="1"/>
      <w:marLeft w:val="0"/>
      <w:marRight w:val="0"/>
      <w:marTop w:val="0"/>
      <w:marBottom w:val="0"/>
      <w:divBdr>
        <w:top w:val="none" w:sz="0" w:space="0" w:color="auto"/>
        <w:left w:val="none" w:sz="0" w:space="0" w:color="auto"/>
        <w:bottom w:val="none" w:sz="0" w:space="0" w:color="auto"/>
        <w:right w:val="none" w:sz="0" w:space="0" w:color="auto"/>
      </w:divBdr>
    </w:div>
    <w:div w:id="1833637956">
      <w:bodyDiv w:val="1"/>
      <w:marLeft w:val="0"/>
      <w:marRight w:val="0"/>
      <w:marTop w:val="0"/>
      <w:marBottom w:val="0"/>
      <w:divBdr>
        <w:top w:val="none" w:sz="0" w:space="0" w:color="auto"/>
        <w:left w:val="none" w:sz="0" w:space="0" w:color="auto"/>
        <w:bottom w:val="none" w:sz="0" w:space="0" w:color="auto"/>
        <w:right w:val="none" w:sz="0" w:space="0" w:color="auto"/>
      </w:divBdr>
    </w:div>
    <w:div w:id="1834025085">
      <w:bodyDiv w:val="1"/>
      <w:marLeft w:val="0"/>
      <w:marRight w:val="0"/>
      <w:marTop w:val="0"/>
      <w:marBottom w:val="0"/>
      <w:divBdr>
        <w:top w:val="none" w:sz="0" w:space="0" w:color="auto"/>
        <w:left w:val="none" w:sz="0" w:space="0" w:color="auto"/>
        <w:bottom w:val="none" w:sz="0" w:space="0" w:color="auto"/>
        <w:right w:val="none" w:sz="0" w:space="0" w:color="auto"/>
      </w:divBdr>
    </w:div>
    <w:div w:id="1835992403">
      <w:bodyDiv w:val="1"/>
      <w:marLeft w:val="0"/>
      <w:marRight w:val="0"/>
      <w:marTop w:val="0"/>
      <w:marBottom w:val="0"/>
      <w:divBdr>
        <w:top w:val="none" w:sz="0" w:space="0" w:color="auto"/>
        <w:left w:val="none" w:sz="0" w:space="0" w:color="auto"/>
        <w:bottom w:val="none" w:sz="0" w:space="0" w:color="auto"/>
        <w:right w:val="none" w:sz="0" w:space="0" w:color="auto"/>
      </w:divBdr>
    </w:div>
    <w:div w:id="1836534958">
      <w:bodyDiv w:val="1"/>
      <w:marLeft w:val="0"/>
      <w:marRight w:val="0"/>
      <w:marTop w:val="0"/>
      <w:marBottom w:val="0"/>
      <w:divBdr>
        <w:top w:val="none" w:sz="0" w:space="0" w:color="auto"/>
        <w:left w:val="none" w:sz="0" w:space="0" w:color="auto"/>
        <w:bottom w:val="none" w:sz="0" w:space="0" w:color="auto"/>
        <w:right w:val="none" w:sz="0" w:space="0" w:color="auto"/>
      </w:divBdr>
    </w:div>
    <w:div w:id="1837570528">
      <w:bodyDiv w:val="1"/>
      <w:marLeft w:val="0"/>
      <w:marRight w:val="0"/>
      <w:marTop w:val="0"/>
      <w:marBottom w:val="0"/>
      <w:divBdr>
        <w:top w:val="none" w:sz="0" w:space="0" w:color="auto"/>
        <w:left w:val="none" w:sz="0" w:space="0" w:color="auto"/>
        <w:bottom w:val="none" w:sz="0" w:space="0" w:color="auto"/>
        <w:right w:val="none" w:sz="0" w:space="0" w:color="auto"/>
      </w:divBdr>
    </w:div>
    <w:div w:id="1837570624">
      <w:bodyDiv w:val="1"/>
      <w:marLeft w:val="0"/>
      <w:marRight w:val="0"/>
      <w:marTop w:val="0"/>
      <w:marBottom w:val="0"/>
      <w:divBdr>
        <w:top w:val="none" w:sz="0" w:space="0" w:color="auto"/>
        <w:left w:val="none" w:sz="0" w:space="0" w:color="auto"/>
        <w:bottom w:val="none" w:sz="0" w:space="0" w:color="auto"/>
        <w:right w:val="none" w:sz="0" w:space="0" w:color="auto"/>
      </w:divBdr>
    </w:div>
    <w:div w:id="1839148208">
      <w:bodyDiv w:val="1"/>
      <w:marLeft w:val="0"/>
      <w:marRight w:val="0"/>
      <w:marTop w:val="0"/>
      <w:marBottom w:val="0"/>
      <w:divBdr>
        <w:top w:val="none" w:sz="0" w:space="0" w:color="auto"/>
        <w:left w:val="none" w:sz="0" w:space="0" w:color="auto"/>
        <w:bottom w:val="none" w:sz="0" w:space="0" w:color="auto"/>
        <w:right w:val="none" w:sz="0" w:space="0" w:color="auto"/>
      </w:divBdr>
    </w:div>
    <w:div w:id="1841461317">
      <w:bodyDiv w:val="1"/>
      <w:marLeft w:val="0"/>
      <w:marRight w:val="0"/>
      <w:marTop w:val="0"/>
      <w:marBottom w:val="0"/>
      <w:divBdr>
        <w:top w:val="none" w:sz="0" w:space="0" w:color="auto"/>
        <w:left w:val="none" w:sz="0" w:space="0" w:color="auto"/>
        <w:bottom w:val="none" w:sz="0" w:space="0" w:color="auto"/>
        <w:right w:val="none" w:sz="0" w:space="0" w:color="auto"/>
      </w:divBdr>
    </w:div>
    <w:div w:id="1841659237">
      <w:bodyDiv w:val="1"/>
      <w:marLeft w:val="0"/>
      <w:marRight w:val="0"/>
      <w:marTop w:val="0"/>
      <w:marBottom w:val="0"/>
      <w:divBdr>
        <w:top w:val="none" w:sz="0" w:space="0" w:color="auto"/>
        <w:left w:val="none" w:sz="0" w:space="0" w:color="auto"/>
        <w:bottom w:val="none" w:sz="0" w:space="0" w:color="auto"/>
        <w:right w:val="none" w:sz="0" w:space="0" w:color="auto"/>
      </w:divBdr>
    </w:div>
    <w:div w:id="1841965197">
      <w:bodyDiv w:val="1"/>
      <w:marLeft w:val="0"/>
      <w:marRight w:val="0"/>
      <w:marTop w:val="0"/>
      <w:marBottom w:val="0"/>
      <w:divBdr>
        <w:top w:val="none" w:sz="0" w:space="0" w:color="auto"/>
        <w:left w:val="none" w:sz="0" w:space="0" w:color="auto"/>
        <w:bottom w:val="none" w:sz="0" w:space="0" w:color="auto"/>
        <w:right w:val="none" w:sz="0" w:space="0" w:color="auto"/>
      </w:divBdr>
    </w:div>
    <w:div w:id="1842617797">
      <w:bodyDiv w:val="1"/>
      <w:marLeft w:val="0"/>
      <w:marRight w:val="0"/>
      <w:marTop w:val="0"/>
      <w:marBottom w:val="0"/>
      <w:divBdr>
        <w:top w:val="none" w:sz="0" w:space="0" w:color="auto"/>
        <w:left w:val="none" w:sz="0" w:space="0" w:color="auto"/>
        <w:bottom w:val="none" w:sz="0" w:space="0" w:color="auto"/>
        <w:right w:val="none" w:sz="0" w:space="0" w:color="auto"/>
      </w:divBdr>
    </w:div>
    <w:div w:id="1846163145">
      <w:bodyDiv w:val="1"/>
      <w:marLeft w:val="0"/>
      <w:marRight w:val="0"/>
      <w:marTop w:val="0"/>
      <w:marBottom w:val="0"/>
      <w:divBdr>
        <w:top w:val="none" w:sz="0" w:space="0" w:color="auto"/>
        <w:left w:val="none" w:sz="0" w:space="0" w:color="auto"/>
        <w:bottom w:val="none" w:sz="0" w:space="0" w:color="auto"/>
        <w:right w:val="none" w:sz="0" w:space="0" w:color="auto"/>
      </w:divBdr>
    </w:div>
    <w:div w:id="1847789771">
      <w:bodyDiv w:val="1"/>
      <w:marLeft w:val="0"/>
      <w:marRight w:val="0"/>
      <w:marTop w:val="0"/>
      <w:marBottom w:val="0"/>
      <w:divBdr>
        <w:top w:val="none" w:sz="0" w:space="0" w:color="auto"/>
        <w:left w:val="none" w:sz="0" w:space="0" w:color="auto"/>
        <w:bottom w:val="none" w:sz="0" w:space="0" w:color="auto"/>
        <w:right w:val="none" w:sz="0" w:space="0" w:color="auto"/>
      </w:divBdr>
    </w:div>
    <w:div w:id="1847817983">
      <w:bodyDiv w:val="1"/>
      <w:marLeft w:val="0"/>
      <w:marRight w:val="0"/>
      <w:marTop w:val="0"/>
      <w:marBottom w:val="0"/>
      <w:divBdr>
        <w:top w:val="none" w:sz="0" w:space="0" w:color="auto"/>
        <w:left w:val="none" w:sz="0" w:space="0" w:color="auto"/>
        <w:bottom w:val="none" w:sz="0" w:space="0" w:color="auto"/>
        <w:right w:val="none" w:sz="0" w:space="0" w:color="auto"/>
      </w:divBdr>
    </w:div>
    <w:div w:id="1850681830">
      <w:bodyDiv w:val="1"/>
      <w:marLeft w:val="0"/>
      <w:marRight w:val="0"/>
      <w:marTop w:val="0"/>
      <w:marBottom w:val="0"/>
      <w:divBdr>
        <w:top w:val="none" w:sz="0" w:space="0" w:color="auto"/>
        <w:left w:val="none" w:sz="0" w:space="0" w:color="auto"/>
        <w:bottom w:val="none" w:sz="0" w:space="0" w:color="auto"/>
        <w:right w:val="none" w:sz="0" w:space="0" w:color="auto"/>
      </w:divBdr>
    </w:div>
    <w:div w:id="1850867843">
      <w:bodyDiv w:val="1"/>
      <w:marLeft w:val="0"/>
      <w:marRight w:val="0"/>
      <w:marTop w:val="0"/>
      <w:marBottom w:val="0"/>
      <w:divBdr>
        <w:top w:val="none" w:sz="0" w:space="0" w:color="auto"/>
        <w:left w:val="none" w:sz="0" w:space="0" w:color="auto"/>
        <w:bottom w:val="none" w:sz="0" w:space="0" w:color="auto"/>
        <w:right w:val="none" w:sz="0" w:space="0" w:color="auto"/>
      </w:divBdr>
    </w:div>
    <w:div w:id="1853495230">
      <w:bodyDiv w:val="1"/>
      <w:marLeft w:val="0"/>
      <w:marRight w:val="0"/>
      <w:marTop w:val="0"/>
      <w:marBottom w:val="0"/>
      <w:divBdr>
        <w:top w:val="none" w:sz="0" w:space="0" w:color="auto"/>
        <w:left w:val="none" w:sz="0" w:space="0" w:color="auto"/>
        <w:bottom w:val="none" w:sz="0" w:space="0" w:color="auto"/>
        <w:right w:val="none" w:sz="0" w:space="0" w:color="auto"/>
      </w:divBdr>
    </w:div>
    <w:div w:id="1855224556">
      <w:bodyDiv w:val="1"/>
      <w:marLeft w:val="0"/>
      <w:marRight w:val="0"/>
      <w:marTop w:val="0"/>
      <w:marBottom w:val="0"/>
      <w:divBdr>
        <w:top w:val="none" w:sz="0" w:space="0" w:color="auto"/>
        <w:left w:val="none" w:sz="0" w:space="0" w:color="auto"/>
        <w:bottom w:val="none" w:sz="0" w:space="0" w:color="auto"/>
        <w:right w:val="none" w:sz="0" w:space="0" w:color="auto"/>
      </w:divBdr>
      <w:divsChild>
        <w:div w:id="971136383">
          <w:marLeft w:val="0"/>
          <w:marRight w:val="0"/>
          <w:marTop w:val="0"/>
          <w:marBottom w:val="0"/>
          <w:divBdr>
            <w:top w:val="none" w:sz="0" w:space="0" w:color="auto"/>
            <w:left w:val="none" w:sz="0" w:space="0" w:color="auto"/>
            <w:bottom w:val="none" w:sz="0" w:space="0" w:color="auto"/>
            <w:right w:val="none" w:sz="0" w:space="0" w:color="auto"/>
          </w:divBdr>
          <w:divsChild>
            <w:div w:id="2023773612">
              <w:marLeft w:val="0"/>
              <w:marRight w:val="0"/>
              <w:marTop w:val="0"/>
              <w:marBottom w:val="0"/>
              <w:divBdr>
                <w:top w:val="none" w:sz="0" w:space="0" w:color="auto"/>
                <w:left w:val="none" w:sz="0" w:space="0" w:color="auto"/>
                <w:bottom w:val="none" w:sz="0" w:space="0" w:color="auto"/>
                <w:right w:val="none" w:sz="0" w:space="0" w:color="auto"/>
              </w:divBdr>
              <w:divsChild>
                <w:div w:id="1633560495">
                  <w:marLeft w:val="0"/>
                  <w:marRight w:val="0"/>
                  <w:marTop w:val="0"/>
                  <w:marBottom w:val="0"/>
                  <w:divBdr>
                    <w:top w:val="none" w:sz="0" w:space="0" w:color="auto"/>
                    <w:left w:val="none" w:sz="0" w:space="0" w:color="auto"/>
                    <w:bottom w:val="none" w:sz="0" w:space="0" w:color="auto"/>
                    <w:right w:val="none" w:sz="0" w:space="0" w:color="auto"/>
                  </w:divBdr>
                  <w:divsChild>
                    <w:div w:id="15472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888543">
      <w:bodyDiv w:val="1"/>
      <w:marLeft w:val="0"/>
      <w:marRight w:val="0"/>
      <w:marTop w:val="0"/>
      <w:marBottom w:val="0"/>
      <w:divBdr>
        <w:top w:val="none" w:sz="0" w:space="0" w:color="auto"/>
        <w:left w:val="none" w:sz="0" w:space="0" w:color="auto"/>
        <w:bottom w:val="none" w:sz="0" w:space="0" w:color="auto"/>
        <w:right w:val="none" w:sz="0" w:space="0" w:color="auto"/>
      </w:divBdr>
    </w:div>
    <w:div w:id="1859157618">
      <w:bodyDiv w:val="1"/>
      <w:marLeft w:val="0"/>
      <w:marRight w:val="0"/>
      <w:marTop w:val="0"/>
      <w:marBottom w:val="0"/>
      <w:divBdr>
        <w:top w:val="none" w:sz="0" w:space="0" w:color="auto"/>
        <w:left w:val="none" w:sz="0" w:space="0" w:color="auto"/>
        <w:bottom w:val="none" w:sz="0" w:space="0" w:color="auto"/>
        <w:right w:val="none" w:sz="0" w:space="0" w:color="auto"/>
      </w:divBdr>
    </w:div>
    <w:div w:id="1860191725">
      <w:bodyDiv w:val="1"/>
      <w:marLeft w:val="0"/>
      <w:marRight w:val="0"/>
      <w:marTop w:val="0"/>
      <w:marBottom w:val="0"/>
      <w:divBdr>
        <w:top w:val="none" w:sz="0" w:space="0" w:color="auto"/>
        <w:left w:val="none" w:sz="0" w:space="0" w:color="auto"/>
        <w:bottom w:val="none" w:sz="0" w:space="0" w:color="auto"/>
        <w:right w:val="none" w:sz="0" w:space="0" w:color="auto"/>
      </w:divBdr>
    </w:div>
    <w:div w:id="1861430607">
      <w:bodyDiv w:val="1"/>
      <w:marLeft w:val="0"/>
      <w:marRight w:val="0"/>
      <w:marTop w:val="0"/>
      <w:marBottom w:val="0"/>
      <w:divBdr>
        <w:top w:val="none" w:sz="0" w:space="0" w:color="auto"/>
        <w:left w:val="none" w:sz="0" w:space="0" w:color="auto"/>
        <w:bottom w:val="none" w:sz="0" w:space="0" w:color="auto"/>
        <w:right w:val="none" w:sz="0" w:space="0" w:color="auto"/>
      </w:divBdr>
    </w:div>
    <w:div w:id="1863085173">
      <w:bodyDiv w:val="1"/>
      <w:marLeft w:val="0"/>
      <w:marRight w:val="0"/>
      <w:marTop w:val="0"/>
      <w:marBottom w:val="0"/>
      <w:divBdr>
        <w:top w:val="none" w:sz="0" w:space="0" w:color="auto"/>
        <w:left w:val="none" w:sz="0" w:space="0" w:color="auto"/>
        <w:bottom w:val="none" w:sz="0" w:space="0" w:color="auto"/>
        <w:right w:val="none" w:sz="0" w:space="0" w:color="auto"/>
      </w:divBdr>
    </w:div>
    <w:div w:id="1863740851">
      <w:bodyDiv w:val="1"/>
      <w:marLeft w:val="0"/>
      <w:marRight w:val="0"/>
      <w:marTop w:val="0"/>
      <w:marBottom w:val="0"/>
      <w:divBdr>
        <w:top w:val="none" w:sz="0" w:space="0" w:color="auto"/>
        <w:left w:val="none" w:sz="0" w:space="0" w:color="auto"/>
        <w:bottom w:val="none" w:sz="0" w:space="0" w:color="auto"/>
        <w:right w:val="none" w:sz="0" w:space="0" w:color="auto"/>
      </w:divBdr>
    </w:div>
    <w:div w:id="1866211057">
      <w:bodyDiv w:val="1"/>
      <w:marLeft w:val="0"/>
      <w:marRight w:val="0"/>
      <w:marTop w:val="0"/>
      <w:marBottom w:val="0"/>
      <w:divBdr>
        <w:top w:val="none" w:sz="0" w:space="0" w:color="auto"/>
        <w:left w:val="none" w:sz="0" w:space="0" w:color="auto"/>
        <w:bottom w:val="none" w:sz="0" w:space="0" w:color="auto"/>
        <w:right w:val="none" w:sz="0" w:space="0" w:color="auto"/>
      </w:divBdr>
    </w:div>
    <w:div w:id="1866282957">
      <w:bodyDiv w:val="1"/>
      <w:marLeft w:val="0"/>
      <w:marRight w:val="0"/>
      <w:marTop w:val="0"/>
      <w:marBottom w:val="0"/>
      <w:divBdr>
        <w:top w:val="none" w:sz="0" w:space="0" w:color="auto"/>
        <w:left w:val="none" w:sz="0" w:space="0" w:color="auto"/>
        <w:bottom w:val="none" w:sz="0" w:space="0" w:color="auto"/>
        <w:right w:val="none" w:sz="0" w:space="0" w:color="auto"/>
      </w:divBdr>
    </w:div>
    <w:div w:id="1867984325">
      <w:bodyDiv w:val="1"/>
      <w:marLeft w:val="0"/>
      <w:marRight w:val="0"/>
      <w:marTop w:val="0"/>
      <w:marBottom w:val="0"/>
      <w:divBdr>
        <w:top w:val="none" w:sz="0" w:space="0" w:color="auto"/>
        <w:left w:val="none" w:sz="0" w:space="0" w:color="auto"/>
        <w:bottom w:val="none" w:sz="0" w:space="0" w:color="auto"/>
        <w:right w:val="none" w:sz="0" w:space="0" w:color="auto"/>
      </w:divBdr>
    </w:div>
    <w:div w:id="1868516826">
      <w:bodyDiv w:val="1"/>
      <w:marLeft w:val="0"/>
      <w:marRight w:val="0"/>
      <w:marTop w:val="0"/>
      <w:marBottom w:val="0"/>
      <w:divBdr>
        <w:top w:val="none" w:sz="0" w:space="0" w:color="auto"/>
        <w:left w:val="none" w:sz="0" w:space="0" w:color="auto"/>
        <w:bottom w:val="none" w:sz="0" w:space="0" w:color="auto"/>
        <w:right w:val="none" w:sz="0" w:space="0" w:color="auto"/>
      </w:divBdr>
    </w:div>
    <w:div w:id="1868711008">
      <w:bodyDiv w:val="1"/>
      <w:marLeft w:val="0"/>
      <w:marRight w:val="0"/>
      <w:marTop w:val="0"/>
      <w:marBottom w:val="0"/>
      <w:divBdr>
        <w:top w:val="none" w:sz="0" w:space="0" w:color="auto"/>
        <w:left w:val="none" w:sz="0" w:space="0" w:color="auto"/>
        <w:bottom w:val="none" w:sz="0" w:space="0" w:color="auto"/>
        <w:right w:val="none" w:sz="0" w:space="0" w:color="auto"/>
      </w:divBdr>
    </w:div>
    <w:div w:id="1868827868">
      <w:bodyDiv w:val="1"/>
      <w:marLeft w:val="0"/>
      <w:marRight w:val="0"/>
      <w:marTop w:val="0"/>
      <w:marBottom w:val="0"/>
      <w:divBdr>
        <w:top w:val="none" w:sz="0" w:space="0" w:color="auto"/>
        <w:left w:val="none" w:sz="0" w:space="0" w:color="auto"/>
        <w:bottom w:val="none" w:sz="0" w:space="0" w:color="auto"/>
        <w:right w:val="none" w:sz="0" w:space="0" w:color="auto"/>
      </w:divBdr>
    </w:div>
    <w:div w:id="1868980392">
      <w:bodyDiv w:val="1"/>
      <w:marLeft w:val="0"/>
      <w:marRight w:val="0"/>
      <w:marTop w:val="0"/>
      <w:marBottom w:val="0"/>
      <w:divBdr>
        <w:top w:val="none" w:sz="0" w:space="0" w:color="auto"/>
        <w:left w:val="none" w:sz="0" w:space="0" w:color="auto"/>
        <w:bottom w:val="none" w:sz="0" w:space="0" w:color="auto"/>
        <w:right w:val="none" w:sz="0" w:space="0" w:color="auto"/>
      </w:divBdr>
    </w:div>
    <w:div w:id="1870025442">
      <w:bodyDiv w:val="1"/>
      <w:marLeft w:val="0"/>
      <w:marRight w:val="0"/>
      <w:marTop w:val="0"/>
      <w:marBottom w:val="0"/>
      <w:divBdr>
        <w:top w:val="none" w:sz="0" w:space="0" w:color="auto"/>
        <w:left w:val="none" w:sz="0" w:space="0" w:color="auto"/>
        <w:bottom w:val="none" w:sz="0" w:space="0" w:color="auto"/>
        <w:right w:val="none" w:sz="0" w:space="0" w:color="auto"/>
      </w:divBdr>
    </w:div>
    <w:div w:id="1870336205">
      <w:bodyDiv w:val="1"/>
      <w:marLeft w:val="0"/>
      <w:marRight w:val="0"/>
      <w:marTop w:val="0"/>
      <w:marBottom w:val="0"/>
      <w:divBdr>
        <w:top w:val="none" w:sz="0" w:space="0" w:color="auto"/>
        <w:left w:val="none" w:sz="0" w:space="0" w:color="auto"/>
        <w:bottom w:val="none" w:sz="0" w:space="0" w:color="auto"/>
        <w:right w:val="none" w:sz="0" w:space="0" w:color="auto"/>
      </w:divBdr>
    </w:div>
    <w:div w:id="1872063704">
      <w:bodyDiv w:val="1"/>
      <w:marLeft w:val="0"/>
      <w:marRight w:val="0"/>
      <w:marTop w:val="0"/>
      <w:marBottom w:val="0"/>
      <w:divBdr>
        <w:top w:val="none" w:sz="0" w:space="0" w:color="auto"/>
        <w:left w:val="none" w:sz="0" w:space="0" w:color="auto"/>
        <w:bottom w:val="none" w:sz="0" w:space="0" w:color="auto"/>
        <w:right w:val="none" w:sz="0" w:space="0" w:color="auto"/>
      </w:divBdr>
    </w:div>
    <w:div w:id="1873230684">
      <w:bodyDiv w:val="1"/>
      <w:marLeft w:val="0"/>
      <w:marRight w:val="0"/>
      <w:marTop w:val="0"/>
      <w:marBottom w:val="0"/>
      <w:divBdr>
        <w:top w:val="none" w:sz="0" w:space="0" w:color="auto"/>
        <w:left w:val="none" w:sz="0" w:space="0" w:color="auto"/>
        <w:bottom w:val="none" w:sz="0" w:space="0" w:color="auto"/>
        <w:right w:val="none" w:sz="0" w:space="0" w:color="auto"/>
      </w:divBdr>
    </w:div>
    <w:div w:id="1874729804">
      <w:bodyDiv w:val="1"/>
      <w:marLeft w:val="0"/>
      <w:marRight w:val="0"/>
      <w:marTop w:val="0"/>
      <w:marBottom w:val="0"/>
      <w:divBdr>
        <w:top w:val="none" w:sz="0" w:space="0" w:color="auto"/>
        <w:left w:val="none" w:sz="0" w:space="0" w:color="auto"/>
        <w:bottom w:val="none" w:sz="0" w:space="0" w:color="auto"/>
        <w:right w:val="none" w:sz="0" w:space="0" w:color="auto"/>
      </w:divBdr>
    </w:div>
    <w:div w:id="1876189960">
      <w:bodyDiv w:val="1"/>
      <w:marLeft w:val="0"/>
      <w:marRight w:val="0"/>
      <w:marTop w:val="0"/>
      <w:marBottom w:val="0"/>
      <w:divBdr>
        <w:top w:val="none" w:sz="0" w:space="0" w:color="auto"/>
        <w:left w:val="none" w:sz="0" w:space="0" w:color="auto"/>
        <w:bottom w:val="none" w:sz="0" w:space="0" w:color="auto"/>
        <w:right w:val="none" w:sz="0" w:space="0" w:color="auto"/>
      </w:divBdr>
    </w:div>
    <w:div w:id="1876456054">
      <w:bodyDiv w:val="1"/>
      <w:marLeft w:val="0"/>
      <w:marRight w:val="0"/>
      <w:marTop w:val="0"/>
      <w:marBottom w:val="0"/>
      <w:divBdr>
        <w:top w:val="none" w:sz="0" w:space="0" w:color="auto"/>
        <w:left w:val="none" w:sz="0" w:space="0" w:color="auto"/>
        <w:bottom w:val="none" w:sz="0" w:space="0" w:color="auto"/>
        <w:right w:val="none" w:sz="0" w:space="0" w:color="auto"/>
      </w:divBdr>
    </w:div>
    <w:div w:id="1877347922">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9390740">
      <w:bodyDiv w:val="1"/>
      <w:marLeft w:val="0"/>
      <w:marRight w:val="0"/>
      <w:marTop w:val="0"/>
      <w:marBottom w:val="0"/>
      <w:divBdr>
        <w:top w:val="none" w:sz="0" w:space="0" w:color="auto"/>
        <w:left w:val="none" w:sz="0" w:space="0" w:color="auto"/>
        <w:bottom w:val="none" w:sz="0" w:space="0" w:color="auto"/>
        <w:right w:val="none" w:sz="0" w:space="0" w:color="auto"/>
      </w:divBdr>
    </w:div>
    <w:div w:id="1879926292">
      <w:bodyDiv w:val="1"/>
      <w:marLeft w:val="0"/>
      <w:marRight w:val="0"/>
      <w:marTop w:val="0"/>
      <w:marBottom w:val="0"/>
      <w:divBdr>
        <w:top w:val="none" w:sz="0" w:space="0" w:color="auto"/>
        <w:left w:val="none" w:sz="0" w:space="0" w:color="auto"/>
        <w:bottom w:val="none" w:sz="0" w:space="0" w:color="auto"/>
        <w:right w:val="none" w:sz="0" w:space="0" w:color="auto"/>
      </w:divBdr>
    </w:div>
    <w:div w:id="1881555115">
      <w:bodyDiv w:val="1"/>
      <w:marLeft w:val="0"/>
      <w:marRight w:val="0"/>
      <w:marTop w:val="0"/>
      <w:marBottom w:val="0"/>
      <w:divBdr>
        <w:top w:val="none" w:sz="0" w:space="0" w:color="auto"/>
        <w:left w:val="none" w:sz="0" w:space="0" w:color="auto"/>
        <w:bottom w:val="none" w:sz="0" w:space="0" w:color="auto"/>
        <w:right w:val="none" w:sz="0" w:space="0" w:color="auto"/>
      </w:divBdr>
    </w:div>
    <w:div w:id="1882133093">
      <w:bodyDiv w:val="1"/>
      <w:marLeft w:val="0"/>
      <w:marRight w:val="0"/>
      <w:marTop w:val="0"/>
      <w:marBottom w:val="0"/>
      <w:divBdr>
        <w:top w:val="none" w:sz="0" w:space="0" w:color="auto"/>
        <w:left w:val="none" w:sz="0" w:space="0" w:color="auto"/>
        <w:bottom w:val="none" w:sz="0" w:space="0" w:color="auto"/>
        <w:right w:val="none" w:sz="0" w:space="0" w:color="auto"/>
      </w:divBdr>
    </w:div>
    <w:div w:id="1887792319">
      <w:bodyDiv w:val="1"/>
      <w:marLeft w:val="0"/>
      <w:marRight w:val="0"/>
      <w:marTop w:val="0"/>
      <w:marBottom w:val="0"/>
      <w:divBdr>
        <w:top w:val="none" w:sz="0" w:space="0" w:color="auto"/>
        <w:left w:val="none" w:sz="0" w:space="0" w:color="auto"/>
        <w:bottom w:val="none" w:sz="0" w:space="0" w:color="auto"/>
        <w:right w:val="none" w:sz="0" w:space="0" w:color="auto"/>
      </w:divBdr>
    </w:div>
    <w:div w:id="1887837673">
      <w:bodyDiv w:val="1"/>
      <w:marLeft w:val="0"/>
      <w:marRight w:val="0"/>
      <w:marTop w:val="0"/>
      <w:marBottom w:val="0"/>
      <w:divBdr>
        <w:top w:val="none" w:sz="0" w:space="0" w:color="auto"/>
        <w:left w:val="none" w:sz="0" w:space="0" w:color="auto"/>
        <w:bottom w:val="none" w:sz="0" w:space="0" w:color="auto"/>
        <w:right w:val="none" w:sz="0" w:space="0" w:color="auto"/>
      </w:divBdr>
    </w:div>
    <w:div w:id="1891306212">
      <w:bodyDiv w:val="1"/>
      <w:marLeft w:val="0"/>
      <w:marRight w:val="0"/>
      <w:marTop w:val="0"/>
      <w:marBottom w:val="0"/>
      <w:divBdr>
        <w:top w:val="none" w:sz="0" w:space="0" w:color="auto"/>
        <w:left w:val="none" w:sz="0" w:space="0" w:color="auto"/>
        <w:bottom w:val="none" w:sz="0" w:space="0" w:color="auto"/>
        <w:right w:val="none" w:sz="0" w:space="0" w:color="auto"/>
      </w:divBdr>
    </w:div>
    <w:div w:id="1891574816">
      <w:bodyDiv w:val="1"/>
      <w:marLeft w:val="0"/>
      <w:marRight w:val="0"/>
      <w:marTop w:val="0"/>
      <w:marBottom w:val="0"/>
      <w:divBdr>
        <w:top w:val="none" w:sz="0" w:space="0" w:color="auto"/>
        <w:left w:val="none" w:sz="0" w:space="0" w:color="auto"/>
        <w:bottom w:val="none" w:sz="0" w:space="0" w:color="auto"/>
        <w:right w:val="none" w:sz="0" w:space="0" w:color="auto"/>
      </w:divBdr>
    </w:div>
    <w:div w:id="1893997051">
      <w:bodyDiv w:val="1"/>
      <w:marLeft w:val="0"/>
      <w:marRight w:val="0"/>
      <w:marTop w:val="0"/>
      <w:marBottom w:val="0"/>
      <w:divBdr>
        <w:top w:val="none" w:sz="0" w:space="0" w:color="auto"/>
        <w:left w:val="none" w:sz="0" w:space="0" w:color="auto"/>
        <w:bottom w:val="none" w:sz="0" w:space="0" w:color="auto"/>
        <w:right w:val="none" w:sz="0" w:space="0" w:color="auto"/>
      </w:divBdr>
    </w:div>
    <w:div w:id="1897274099">
      <w:bodyDiv w:val="1"/>
      <w:marLeft w:val="0"/>
      <w:marRight w:val="0"/>
      <w:marTop w:val="0"/>
      <w:marBottom w:val="0"/>
      <w:divBdr>
        <w:top w:val="none" w:sz="0" w:space="0" w:color="auto"/>
        <w:left w:val="none" w:sz="0" w:space="0" w:color="auto"/>
        <w:bottom w:val="none" w:sz="0" w:space="0" w:color="auto"/>
        <w:right w:val="none" w:sz="0" w:space="0" w:color="auto"/>
      </w:divBdr>
    </w:div>
    <w:div w:id="1898201591">
      <w:bodyDiv w:val="1"/>
      <w:marLeft w:val="0"/>
      <w:marRight w:val="0"/>
      <w:marTop w:val="0"/>
      <w:marBottom w:val="0"/>
      <w:divBdr>
        <w:top w:val="none" w:sz="0" w:space="0" w:color="auto"/>
        <w:left w:val="none" w:sz="0" w:space="0" w:color="auto"/>
        <w:bottom w:val="none" w:sz="0" w:space="0" w:color="auto"/>
        <w:right w:val="none" w:sz="0" w:space="0" w:color="auto"/>
      </w:divBdr>
    </w:div>
    <w:div w:id="1898662104">
      <w:bodyDiv w:val="1"/>
      <w:marLeft w:val="0"/>
      <w:marRight w:val="0"/>
      <w:marTop w:val="0"/>
      <w:marBottom w:val="0"/>
      <w:divBdr>
        <w:top w:val="none" w:sz="0" w:space="0" w:color="auto"/>
        <w:left w:val="none" w:sz="0" w:space="0" w:color="auto"/>
        <w:bottom w:val="none" w:sz="0" w:space="0" w:color="auto"/>
        <w:right w:val="none" w:sz="0" w:space="0" w:color="auto"/>
      </w:divBdr>
    </w:div>
    <w:div w:id="1900096742">
      <w:bodyDiv w:val="1"/>
      <w:marLeft w:val="0"/>
      <w:marRight w:val="0"/>
      <w:marTop w:val="0"/>
      <w:marBottom w:val="0"/>
      <w:divBdr>
        <w:top w:val="none" w:sz="0" w:space="0" w:color="auto"/>
        <w:left w:val="none" w:sz="0" w:space="0" w:color="auto"/>
        <w:bottom w:val="none" w:sz="0" w:space="0" w:color="auto"/>
        <w:right w:val="none" w:sz="0" w:space="0" w:color="auto"/>
      </w:divBdr>
    </w:div>
    <w:div w:id="1901137195">
      <w:bodyDiv w:val="1"/>
      <w:marLeft w:val="0"/>
      <w:marRight w:val="0"/>
      <w:marTop w:val="0"/>
      <w:marBottom w:val="0"/>
      <w:divBdr>
        <w:top w:val="none" w:sz="0" w:space="0" w:color="auto"/>
        <w:left w:val="none" w:sz="0" w:space="0" w:color="auto"/>
        <w:bottom w:val="none" w:sz="0" w:space="0" w:color="auto"/>
        <w:right w:val="none" w:sz="0" w:space="0" w:color="auto"/>
      </w:divBdr>
    </w:div>
    <w:div w:id="1901554687">
      <w:bodyDiv w:val="1"/>
      <w:marLeft w:val="0"/>
      <w:marRight w:val="0"/>
      <w:marTop w:val="0"/>
      <w:marBottom w:val="0"/>
      <w:divBdr>
        <w:top w:val="none" w:sz="0" w:space="0" w:color="auto"/>
        <w:left w:val="none" w:sz="0" w:space="0" w:color="auto"/>
        <w:bottom w:val="none" w:sz="0" w:space="0" w:color="auto"/>
        <w:right w:val="none" w:sz="0" w:space="0" w:color="auto"/>
      </w:divBdr>
    </w:div>
    <w:div w:id="1901938836">
      <w:bodyDiv w:val="1"/>
      <w:marLeft w:val="0"/>
      <w:marRight w:val="0"/>
      <w:marTop w:val="0"/>
      <w:marBottom w:val="0"/>
      <w:divBdr>
        <w:top w:val="none" w:sz="0" w:space="0" w:color="auto"/>
        <w:left w:val="none" w:sz="0" w:space="0" w:color="auto"/>
        <w:bottom w:val="none" w:sz="0" w:space="0" w:color="auto"/>
        <w:right w:val="none" w:sz="0" w:space="0" w:color="auto"/>
      </w:divBdr>
    </w:div>
    <w:div w:id="1904024548">
      <w:bodyDiv w:val="1"/>
      <w:marLeft w:val="0"/>
      <w:marRight w:val="0"/>
      <w:marTop w:val="0"/>
      <w:marBottom w:val="0"/>
      <w:divBdr>
        <w:top w:val="none" w:sz="0" w:space="0" w:color="auto"/>
        <w:left w:val="none" w:sz="0" w:space="0" w:color="auto"/>
        <w:bottom w:val="none" w:sz="0" w:space="0" w:color="auto"/>
        <w:right w:val="none" w:sz="0" w:space="0" w:color="auto"/>
      </w:divBdr>
    </w:div>
    <w:div w:id="1905945277">
      <w:bodyDiv w:val="1"/>
      <w:marLeft w:val="0"/>
      <w:marRight w:val="0"/>
      <w:marTop w:val="0"/>
      <w:marBottom w:val="0"/>
      <w:divBdr>
        <w:top w:val="none" w:sz="0" w:space="0" w:color="auto"/>
        <w:left w:val="none" w:sz="0" w:space="0" w:color="auto"/>
        <w:bottom w:val="none" w:sz="0" w:space="0" w:color="auto"/>
        <w:right w:val="none" w:sz="0" w:space="0" w:color="auto"/>
      </w:divBdr>
    </w:div>
    <w:div w:id="1906332960">
      <w:bodyDiv w:val="1"/>
      <w:marLeft w:val="0"/>
      <w:marRight w:val="0"/>
      <w:marTop w:val="0"/>
      <w:marBottom w:val="0"/>
      <w:divBdr>
        <w:top w:val="none" w:sz="0" w:space="0" w:color="auto"/>
        <w:left w:val="none" w:sz="0" w:space="0" w:color="auto"/>
        <w:bottom w:val="none" w:sz="0" w:space="0" w:color="auto"/>
        <w:right w:val="none" w:sz="0" w:space="0" w:color="auto"/>
      </w:divBdr>
    </w:div>
    <w:div w:id="1906842114">
      <w:bodyDiv w:val="1"/>
      <w:marLeft w:val="0"/>
      <w:marRight w:val="0"/>
      <w:marTop w:val="0"/>
      <w:marBottom w:val="0"/>
      <w:divBdr>
        <w:top w:val="none" w:sz="0" w:space="0" w:color="auto"/>
        <w:left w:val="none" w:sz="0" w:space="0" w:color="auto"/>
        <w:bottom w:val="none" w:sz="0" w:space="0" w:color="auto"/>
        <w:right w:val="none" w:sz="0" w:space="0" w:color="auto"/>
      </w:divBdr>
    </w:div>
    <w:div w:id="1907059556">
      <w:bodyDiv w:val="1"/>
      <w:marLeft w:val="0"/>
      <w:marRight w:val="0"/>
      <w:marTop w:val="0"/>
      <w:marBottom w:val="0"/>
      <w:divBdr>
        <w:top w:val="none" w:sz="0" w:space="0" w:color="auto"/>
        <w:left w:val="none" w:sz="0" w:space="0" w:color="auto"/>
        <w:bottom w:val="none" w:sz="0" w:space="0" w:color="auto"/>
        <w:right w:val="none" w:sz="0" w:space="0" w:color="auto"/>
      </w:divBdr>
    </w:div>
    <w:div w:id="1909800011">
      <w:bodyDiv w:val="1"/>
      <w:marLeft w:val="0"/>
      <w:marRight w:val="0"/>
      <w:marTop w:val="0"/>
      <w:marBottom w:val="0"/>
      <w:divBdr>
        <w:top w:val="none" w:sz="0" w:space="0" w:color="auto"/>
        <w:left w:val="none" w:sz="0" w:space="0" w:color="auto"/>
        <w:bottom w:val="none" w:sz="0" w:space="0" w:color="auto"/>
        <w:right w:val="none" w:sz="0" w:space="0" w:color="auto"/>
      </w:divBdr>
    </w:div>
    <w:div w:id="1912693460">
      <w:bodyDiv w:val="1"/>
      <w:marLeft w:val="0"/>
      <w:marRight w:val="0"/>
      <w:marTop w:val="0"/>
      <w:marBottom w:val="0"/>
      <w:divBdr>
        <w:top w:val="none" w:sz="0" w:space="0" w:color="auto"/>
        <w:left w:val="none" w:sz="0" w:space="0" w:color="auto"/>
        <w:bottom w:val="none" w:sz="0" w:space="0" w:color="auto"/>
        <w:right w:val="none" w:sz="0" w:space="0" w:color="auto"/>
      </w:divBdr>
    </w:div>
    <w:div w:id="1913807054">
      <w:bodyDiv w:val="1"/>
      <w:marLeft w:val="0"/>
      <w:marRight w:val="0"/>
      <w:marTop w:val="0"/>
      <w:marBottom w:val="0"/>
      <w:divBdr>
        <w:top w:val="none" w:sz="0" w:space="0" w:color="auto"/>
        <w:left w:val="none" w:sz="0" w:space="0" w:color="auto"/>
        <w:bottom w:val="none" w:sz="0" w:space="0" w:color="auto"/>
        <w:right w:val="none" w:sz="0" w:space="0" w:color="auto"/>
      </w:divBdr>
    </w:div>
    <w:div w:id="1915359102">
      <w:bodyDiv w:val="1"/>
      <w:marLeft w:val="0"/>
      <w:marRight w:val="0"/>
      <w:marTop w:val="0"/>
      <w:marBottom w:val="0"/>
      <w:divBdr>
        <w:top w:val="none" w:sz="0" w:space="0" w:color="auto"/>
        <w:left w:val="none" w:sz="0" w:space="0" w:color="auto"/>
        <w:bottom w:val="none" w:sz="0" w:space="0" w:color="auto"/>
        <w:right w:val="none" w:sz="0" w:space="0" w:color="auto"/>
      </w:divBdr>
    </w:div>
    <w:div w:id="1915552416">
      <w:bodyDiv w:val="1"/>
      <w:marLeft w:val="0"/>
      <w:marRight w:val="0"/>
      <w:marTop w:val="0"/>
      <w:marBottom w:val="0"/>
      <w:divBdr>
        <w:top w:val="none" w:sz="0" w:space="0" w:color="auto"/>
        <w:left w:val="none" w:sz="0" w:space="0" w:color="auto"/>
        <w:bottom w:val="none" w:sz="0" w:space="0" w:color="auto"/>
        <w:right w:val="none" w:sz="0" w:space="0" w:color="auto"/>
      </w:divBdr>
    </w:div>
    <w:div w:id="1916279370">
      <w:bodyDiv w:val="1"/>
      <w:marLeft w:val="0"/>
      <w:marRight w:val="0"/>
      <w:marTop w:val="0"/>
      <w:marBottom w:val="0"/>
      <w:divBdr>
        <w:top w:val="none" w:sz="0" w:space="0" w:color="auto"/>
        <w:left w:val="none" w:sz="0" w:space="0" w:color="auto"/>
        <w:bottom w:val="none" w:sz="0" w:space="0" w:color="auto"/>
        <w:right w:val="none" w:sz="0" w:space="0" w:color="auto"/>
      </w:divBdr>
    </w:div>
    <w:div w:id="1918981561">
      <w:bodyDiv w:val="1"/>
      <w:marLeft w:val="0"/>
      <w:marRight w:val="0"/>
      <w:marTop w:val="0"/>
      <w:marBottom w:val="0"/>
      <w:divBdr>
        <w:top w:val="none" w:sz="0" w:space="0" w:color="auto"/>
        <w:left w:val="none" w:sz="0" w:space="0" w:color="auto"/>
        <w:bottom w:val="none" w:sz="0" w:space="0" w:color="auto"/>
        <w:right w:val="none" w:sz="0" w:space="0" w:color="auto"/>
      </w:divBdr>
    </w:div>
    <w:div w:id="1920551573">
      <w:bodyDiv w:val="1"/>
      <w:marLeft w:val="0"/>
      <w:marRight w:val="0"/>
      <w:marTop w:val="0"/>
      <w:marBottom w:val="0"/>
      <w:divBdr>
        <w:top w:val="none" w:sz="0" w:space="0" w:color="auto"/>
        <w:left w:val="none" w:sz="0" w:space="0" w:color="auto"/>
        <w:bottom w:val="none" w:sz="0" w:space="0" w:color="auto"/>
        <w:right w:val="none" w:sz="0" w:space="0" w:color="auto"/>
      </w:divBdr>
    </w:div>
    <w:div w:id="1922448667">
      <w:bodyDiv w:val="1"/>
      <w:marLeft w:val="0"/>
      <w:marRight w:val="0"/>
      <w:marTop w:val="0"/>
      <w:marBottom w:val="0"/>
      <w:divBdr>
        <w:top w:val="none" w:sz="0" w:space="0" w:color="auto"/>
        <w:left w:val="none" w:sz="0" w:space="0" w:color="auto"/>
        <w:bottom w:val="none" w:sz="0" w:space="0" w:color="auto"/>
        <w:right w:val="none" w:sz="0" w:space="0" w:color="auto"/>
      </w:divBdr>
    </w:div>
    <w:div w:id="1922717682">
      <w:bodyDiv w:val="1"/>
      <w:marLeft w:val="0"/>
      <w:marRight w:val="0"/>
      <w:marTop w:val="0"/>
      <w:marBottom w:val="0"/>
      <w:divBdr>
        <w:top w:val="none" w:sz="0" w:space="0" w:color="auto"/>
        <w:left w:val="none" w:sz="0" w:space="0" w:color="auto"/>
        <w:bottom w:val="none" w:sz="0" w:space="0" w:color="auto"/>
        <w:right w:val="none" w:sz="0" w:space="0" w:color="auto"/>
      </w:divBdr>
    </w:div>
    <w:div w:id="1923951669">
      <w:bodyDiv w:val="1"/>
      <w:marLeft w:val="0"/>
      <w:marRight w:val="0"/>
      <w:marTop w:val="0"/>
      <w:marBottom w:val="0"/>
      <w:divBdr>
        <w:top w:val="none" w:sz="0" w:space="0" w:color="auto"/>
        <w:left w:val="none" w:sz="0" w:space="0" w:color="auto"/>
        <w:bottom w:val="none" w:sz="0" w:space="0" w:color="auto"/>
        <w:right w:val="none" w:sz="0" w:space="0" w:color="auto"/>
      </w:divBdr>
    </w:div>
    <w:div w:id="1924099477">
      <w:bodyDiv w:val="1"/>
      <w:marLeft w:val="0"/>
      <w:marRight w:val="0"/>
      <w:marTop w:val="0"/>
      <w:marBottom w:val="0"/>
      <w:divBdr>
        <w:top w:val="none" w:sz="0" w:space="0" w:color="auto"/>
        <w:left w:val="none" w:sz="0" w:space="0" w:color="auto"/>
        <w:bottom w:val="none" w:sz="0" w:space="0" w:color="auto"/>
        <w:right w:val="none" w:sz="0" w:space="0" w:color="auto"/>
      </w:divBdr>
    </w:div>
    <w:div w:id="1926642179">
      <w:bodyDiv w:val="1"/>
      <w:marLeft w:val="0"/>
      <w:marRight w:val="0"/>
      <w:marTop w:val="0"/>
      <w:marBottom w:val="0"/>
      <w:divBdr>
        <w:top w:val="none" w:sz="0" w:space="0" w:color="auto"/>
        <w:left w:val="none" w:sz="0" w:space="0" w:color="auto"/>
        <w:bottom w:val="none" w:sz="0" w:space="0" w:color="auto"/>
        <w:right w:val="none" w:sz="0" w:space="0" w:color="auto"/>
      </w:divBdr>
    </w:div>
    <w:div w:id="1927300346">
      <w:bodyDiv w:val="1"/>
      <w:marLeft w:val="0"/>
      <w:marRight w:val="0"/>
      <w:marTop w:val="0"/>
      <w:marBottom w:val="0"/>
      <w:divBdr>
        <w:top w:val="none" w:sz="0" w:space="0" w:color="auto"/>
        <w:left w:val="none" w:sz="0" w:space="0" w:color="auto"/>
        <w:bottom w:val="none" w:sz="0" w:space="0" w:color="auto"/>
        <w:right w:val="none" w:sz="0" w:space="0" w:color="auto"/>
      </w:divBdr>
    </w:div>
    <w:div w:id="1929188927">
      <w:bodyDiv w:val="1"/>
      <w:marLeft w:val="0"/>
      <w:marRight w:val="0"/>
      <w:marTop w:val="0"/>
      <w:marBottom w:val="0"/>
      <w:divBdr>
        <w:top w:val="none" w:sz="0" w:space="0" w:color="auto"/>
        <w:left w:val="none" w:sz="0" w:space="0" w:color="auto"/>
        <w:bottom w:val="none" w:sz="0" w:space="0" w:color="auto"/>
        <w:right w:val="none" w:sz="0" w:space="0" w:color="auto"/>
      </w:divBdr>
    </w:div>
    <w:div w:id="1929189642">
      <w:bodyDiv w:val="1"/>
      <w:marLeft w:val="0"/>
      <w:marRight w:val="0"/>
      <w:marTop w:val="0"/>
      <w:marBottom w:val="0"/>
      <w:divBdr>
        <w:top w:val="none" w:sz="0" w:space="0" w:color="auto"/>
        <w:left w:val="none" w:sz="0" w:space="0" w:color="auto"/>
        <w:bottom w:val="none" w:sz="0" w:space="0" w:color="auto"/>
        <w:right w:val="none" w:sz="0" w:space="0" w:color="auto"/>
      </w:divBdr>
    </w:div>
    <w:div w:id="1929576928">
      <w:bodyDiv w:val="1"/>
      <w:marLeft w:val="0"/>
      <w:marRight w:val="0"/>
      <w:marTop w:val="0"/>
      <w:marBottom w:val="0"/>
      <w:divBdr>
        <w:top w:val="none" w:sz="0" w:space="0" w:color="auto"/>
        <w:left w:val="none" w:sz="0" w:space="0" w:color="auto"/>
        <w:bottom w:val="none" w:sz="0" w:space="0" w:color="auto"/>
        <w:right w:val="none" w:sz="0" w:space="0" w:color="auto"/>
      </w:divBdr>
    </w:div>
    <w:div w:id="1929999778">
      <w:bodyDiv w:val="1"/>
      <w:marLeft w:val="0"/>
      <w:marRight w:val="0"/>
      <w:marTop w:val="0"/>
      <w:marBottom w:val="0"/>
      <w:divBdr>
        <w:top w:val="none" w:sz="0" w:space="0" w:color="auto"/>
        <w:left w:val="none" w:sz="0" w:space="0" w:color="auto"/>
        <w:bottom w:val="none" w:sz="0" w:space="0" w:color="auto"/>
        <w:right w:val="none" w:sz="0" w:space="0" w:color="auto"/>
      </w:divBdr>
    </w:div>
    <w:div w:id="1931767710">
      <w:bodyDiv w:val="1"/>
      <w:marLeft w:val="0"/>
      <w:marRight w:val="0"/>
      <w:marTop w:val="0"/>
      <w:marBottom w:val="0"/>
      <w:divBdr>
        <w:top w:val="none" w:sz="0" w:space="0" w:color="auto"/>
        <w:left w:val="none" w:sz="0" w:space="0" w:color="auto"/>
        <w:bottom w:val="none" w:sz="0" w:space="0" w:color="auto"/>
        <w:right w:val="none" w:sz="0" w:space="0" w:color="auto"/>
      </w:divBdr>
    </w:div>
    <w:div w:id="1931817725">
      <w:bodyDiv w:val="1"/>
      <w:marLeft w:val="0"/>
      <w:marRight w:val="0"/>
      <w:marTop w:val="0"/>
      <w:marBottom w:val="0"/>
      <w:divBdr>
        <w:top w:val="none" w:sz="0" w:space="0" w:color="auto"/>
        <w:left w:val="none" w:sz="0" w:space="0" w:color="auto"/>
        <w:bottom w:val="none" w:sz="0" w:space="0" w:color="auto"/>
        <w:right w:val="none" w:sz="0" w:space="0" w:color="auto"/>
      </w:divBdr>
    </w:div>
    <w:div w:id="1932277211">
      <w:bodyDiv w:val="1"/>
      <w:marLeft w:val="0"/>
      <w:marRight w:val="0"/>
      <w:marTop w:val="0"/>
      <w:marBottom w:val="0"/>
      <w:divBdr>
        <w:top w:val="none" w:sz="0" w:space="0" w:color="auto"/>
        <w:left w:val="none" w:sz="0" w:space="0" w:color="auto"/>
        <w:bottom w:val="none" w:sz="0" w:space="0" w:color="auto"/>
        <w:right w:val="none" w:sz="0" w:space="0" w:color="auto"/>
      </w:divBdr>
    </w:div>
    <w:div w:id="1932467511">
      <w:bodyDiv w:val="1"/>
      <w:marLeft w:val="0"/>
      <w:marRight w:val="0"/>
      <w:marTop w:val="0"/>
      <w:marBottom w:val="0"/>
      <w:divBdr>
        <w:top w:val="none" w:sz="0" w:space="0" w:color="auto"/>
        <w:left w:val="none" w:sz="0" w:space="0" w:color="auto"/>
        <w:bottom w:val="none" w:sz="0" w:space="0" w:color="auto"/>
        <w:right w:val="none" w:sz="0" w:space="0" w:color="auto"/>
      </w:divBdr>
    </w:div>
    <w:div w:id="1933397036">
      <w:bodyDiv w:val="1"/>
      <w:marLeft w:val="0"/>
      <w:marRight w:val="0"/>
      <w:marTop w:val="0"/>
      <w:marBottom w:val="0"/>
      <w:divBdr>
        <w:top w:val="none" w:sz="0" w:space="0" w:color="auto"/>
        <w:left w:val="none" w:sz="0" w:space="0" w:color="auto"/>
        <w:bottom w:val="none" w:sz="0" w:space="0" w:color="auto"/>
        <w:right w:val="none" w:sz="0" w:space="0" w:color="auto"/>
      </w:divBdr>
    </w:div>
    <w:div w:id="1936471124">
      <w:bodyDiv w:val="1"/>
      <w:marLeft w:val="0"/>
      <w:marRight w:val="0"/>
      <w:marTop w:val="0"/>
      <w:marBottom w:val="0"/>
      <w:divBdr>
        <w:top w:val="none" w:sz="0" w:space="0" w:color="auto"/>
        <w:left w:val="none" w:sz="0" w:space="0" w:color="auto"/>
        <w:bottom w:val="none" w:sz="0" w:space="0" w:color="auto"/>
        <w:right w:val="none" w:sz="0" w:space="0" w:color="auto"/>
      </w:divBdr>
    </w:div>
    <w:div w:id="1938244230">
      <w:bodyDiv w:val="1"/>
      <w:marLeft w:val="0"/>
      <w:marRight w:val="0"/>
      <w:marTop w:val="0"/>
      <w:marBottom w:val="0"/>
      <w:divBdr>
        <w:top w:val="none" w:sz="0" w:space="0" w:color="auto"/>
        <w:left w:val="none" w:sz="0" w:space="0" w:color="auto"/>
        <w:bottom w:val="none" w:sz="0" w:space="0" w:color="auto"/>
        <w:right w:val="none" w:sz="0" w:space="0" w:color="auto"/>
      </w:divBdr>
    </w:div>
    <w:div w:id="1939016935">
      <w:bodyDiv w:val="1"/>
      <w:marLeft w:val="0"/>
      <w:marRight w:val="0"/>
      <w:marTop w:val="0"/>
      <w:marBottom w:val="0"/>
      <w:divBdr>
        <w:top w:val="none" w:sz="0" w:space="0" w:color="auto"/>
        <w:left w:val="none" w:sz="0" w:space="0" w:color="auto"/>
        <w:bottom w:val="none" w:sz="0" w:space="0" w:color="auto"/>
        <w:right w:val="none" w:sz="0" w:space="0" w:color="auto"/>
      </w:divBdr>
    </w:div>
    <w:div w:id="1940063389">
      <w:bodyDiv w:val="1"/>
      <w:marLeft w:val="0"/>
      <w:marRight w:val="0"/>
      <w:marTop w:val="0"/>
      <w:marBottom w:val="0"/>
      <w:divBdr>
        <w:top w:val="none" w:sz="0" w:space="0" w:color="auto"/>
        <w:left w:val="none" w:sz="0" w:space="0" w:color="auto"/>
        <w:bottom w:val="none" w:sz="0" w:space="0" w:color="auto"/>
        <w:right w:val="none" w:sz="0" w:space="0" w:color="auto"/>
      </w:divBdr>
    </w:div>
    <w:div w:id="1940064236">
      <w:bodyDiv w:val="1"/>
      <w:marLeft w:val="0"/>
      <w:marRight w:val="0"/>
      <w:marTop w:val="0"/>
      <w:marBottom w:val="0"/>
      <w:divBdr>
        <w:top w:val="none" w:sz="0" w:space="0" w:color="auto"/>
        <w:left w:val="none" w:sz="0" w:space="0" w:color="auto"/>
        <w:bottom w:val="none" w:sz="0" w:space="0" w:color="auto"/>
        <w:right w:val="none" w:sz="0" w:space="0" w:color="auto"/>
      </w:divBdr>
    </w:div>
    <w:div w:id="1940485884">
      <w:bodyDiv w:val="1"/>
      <w:marLeft w:val="0"/>
      <w:marRight w:val="0"/>
      <w:marTop w:val="0"/>
      <w:marBottom w:val="0"/>
      <w:divBdr>
        <w:top w:val="none" w:sz="0" w:space="0" w:color="auto"/>
        <w:left w:val="none" w:sz="0" w:space="0" w:color="auto"/>
        <w:bottom w:val="none" w:sz="0" w:space="0" w:color="auto"/>
        <w:right w:val="none" w:sz="0" w:space="0" w:color="auto"/>
      </w:divBdr>
    </w:div>
    <w:div w:id="1940943626">
      <w:bodyDiv w:val="1"/>
      <w:marLeft w:val="0"/>
      <w:marRight w:val="0"/>
      <w:marTop w:val="0"/>
      <w:marBottom w:val="0"/>
      <w:divBdr>
        <w:top w:val="none" w:sz="0" w:space="0" w:color="auto"/>
        <w:left w:val="none" w:sz="0" w:space="0" w:color="auto"/>
        <w:bottom w:val="none" w:sz="0" w:space="0" w:color="auto"/>
        <w:right w:val="none" w:sz="0" w:space="0" w:color="auto"/>
      </w:divBdr>
    </w:div>
    <w:div w:id="1941177261">
      <w:bodyDiv w:val="1"/>
      <w:marLeft w:val="0"/>
      <w:marRight w:val="0"/>
      <w:marTop w:val="0"/>
      <w:marBottom w:val="0"/>
      <w:divBdr>
        <w:top w:val="none" w:sz="0" w:space="0" w:color="auto"/>
        <w:left w:val="none" w:sz="0" w:space="0" w:color="auto"/>
        <w:bottom w:val="none" w:sz="0" w:space="0" w:color="auto"/>
        <w:right w:val="none" w:sz="0" w:space="0" w:color="auto"/>
      </w:divBdr>
    </w:div>
    <w:div w:id="1941377927">
      <w:bodyDiv w:val="1"/>
      <w:marLeft w:val="0"/>
      <w:marRight w:val="0"/>
      <w:marTop w:val="0"/>
      <w:marBottom w:val="0"/>
      <w:divBdr>
        <w:top w:val="none" w:sz="0" w:space="0" w:color="auto"/>
        <w:left w:val="none" w:sz="0" w:space="0" w:color="auto"/>
        <w:bottom w:val="none" w:sz="0" w:space="0" w:color="auto"/>
        <w:right w:val="none" w:sz="0" w:space="0" w:color="auto"/>
      </w:divBdr>
    </w:div>
    <w:div w:id="1941911267">
      <w:bodyDiv w:val="1"/>
      <w:marLeft w:val="0"/>
      <w:marRight w:val="0"/>
      <w:marTop w:val="0"/>
      <w:marBottom w:val="0"/>
      <w:divBdr>
        <w:top w:val="none" w:sz="0" w:space="0" w:color="auto"/>
        <w:left w:val="none" w:sz="0" w:space="0" w:color="auto"/>
        <w:bottom w:val="none" w:sz="0" w:space="0" w:color="auto"/>
        <w:right w:val="none" w:sz="0" w:space="0" w:color="auto"/>
      </w:divBdr>
    </w:div>
    <w:div w:id="1943562673">
      <w:bodyDiv w:val="1"/>
      <w:marLeft w:val="0"/>
      <w:marRight w:val="0"/>
      <w:marTop w:val="0"/>
      <w:marBottom w:val="0"/>
      <w:divBdr>
        <w:top w:val="none" w:sz="0" w:space="0" w:color="auto"/>
        <w:left w:val="none" w:sz="0" w:space="0" w:color="auto"/>
        <w:bottom w:val="none" w:sz="0" w:space="0" w:color="auto"/>
        <w:right w:val="none" w:sz="0" w:space="0" w:color="auto"/>
      </w:divBdr>
    </w:div>
    <w:div w:id="1944026402">
      <w:bodyDiv w:val="1"/>
      <w:marLeft w:val="0"/>
      <w:marRight w:val="0"/>
      <w:marTop w:val="0"/>
      <w:marBottom w:val="0"/>
      <w:divBdr>
        <w:top w:val="none" w:sz="0" w:space="0" w:color="auto"/>
        <w:left w:val="none" w:sz="0" w:space="0" w:color="auto"/>
        <w:bottom w:val="none" w:sz="0" w:space="0" w:color="auto"/>
        <w:right w:val="none" w:sz="0" w:space="0" w:color="auto"/>
      </w:divBdr>
    </w:div>
    <w:div w:id="1944069495">
      <w:bodyDiv w:val="1"/>
      <w:marLeft w:val="0"/>
      <w:marRight w:val="0"/>
      <w:marTop w:val="0"/>
      <w:marBottom w:val="0"/>
      <w:divBdr>
        <w:top w:val="none" w:sz="0" w:space="0" w:color="auto"/>
        <w:left w:val="none" w:sz="0" w:space="0" w:color="auto"/>
        <w:bottom w:val="none" w:sz="0" w:space="0" w:color="auto"/>
        <w:right w:val="none" w:sz="0" w:space="0" w:color="auto"/>
      </w:divBdr>
    </w:div>
    <w:div w:id="1944141725">
      <w:bodyDiv w:val="1"/>
      <w:marLeft w:val="0"/>
      <w:marRight w:val="0"/>
      <w:marTop w:val="0"/>
      <w:marBottom w:val="0"/>
      <w:divBdr>
        <w:top w:val="none" w:sz="0" w:space="0" w:color="auto"/>
        <w:left w:val="none" w:sz="0" w:space="0" w:color="auto"/>
        <w:bottom w:val="none" w:sz="0" w:space="0" w:color="auto"/>
        <w:right w:val="none" w:sz="0" w:space="0" w:color="auto"/>
      </w:divBdr>
    </w:div>
    <w:div w:id="1944340083">
      <w:bodyDiv w:val="1"/>
      <w:marLeft w:val="0"/>
      <w:marRight w:val="0"/>
      <w:marTop w:val="0"/>
      <w:marBottom w:val="0"/>
      <w:divBdr>
        <w:top w:val="none" w:sz="0" w:space="0" w:color="auto"/>
        <w:left w:val="none" w:sz="0" w:space="0" w:color="auto"/>
        <w:bottom w:val="none" w:sz="0" w:space="0" w:color="auto"/>
        <w:right w:val="none" w:sz="0" w:space="0" w:color="auto"/>
      </w:divBdr>
    </w:div>
    <w:div w:id="1947032084">
      <w:bodyDiv w:val="1"/>
      <w:marLeft w:val="0"/>
      <w:marRight w:val="0"/>
      <w:marTop w:val="0"/>
      <w:marBottom w:val="0"/>
      <w:divBdr>
        <w:top w:val="none" w:sz="0" w:space="0" w:color="auto"/>
        <w:left w:val="none" w:sz="0" w:space="0" w:color="auto"/>
        <w:bottom w:val="none" w:sz="0" w:space="0" w:color="auto"/>
        <w:right w:val="none" w:sz="0" w:space="0" w:color="auto"/>
      </w:divBdr>
    </w:div>
    <w:div w:id="1947692342">
      <w:bodyDiv w:val="1"/>
      <w:marLeft w:val="0"/>
      <w:marRight w:val="0"/>
      <w:marTop w:val="0"/>
      <w:marBottom w:val="0"/>
      <w:divBdr>
        <w:top w:val="none" w:sz="0" w:space="0" w:color="auto"/>
        <w:left w:val="none" w:sz="0" w:space="0" w:color="auto"/>
        <w:bottom w:val="none" w:sz="0" w:space="0" w:color="auto"/>
        <w:right w:val="none" w:sz="0" w:space="0" w:color="auto"/>
      </w:divBdr>
    </w:div>
    <w:div w:id="1949123548">
      <w:bodyDiv w:val="1"/>
      <w:marLeft w:val="0"/>
      <w:marRight w:val="0"/>
      <w:marTop w:val="0"/>
      <w:marBottom w:val="0"/>
      <w:divBdr>
        <w:top w:val="none" w:sz="0" w:space="0" w:color="auto"/>
        <w:left w:val="none" w:sz="0" w:space="0" w:color="auto"/>
        <w:bottom w:val="none" w:sz="0" w:space="0" w:color="auto"/>
        <w:right w:val="none" w:sz="0" w:space="0" w:color="auto"/>
      </w:divBdr>
    </w:div>
    <w:div w:id="1952785790">
      <w:bodyDiv w:val="1"/>
      <w:marLeft w:val="0"/>
      <w:marRight w:val="0"/>
      <w:marTop w:val="0"/>
      <w:marBottom w:val="0"/>
      <w:divBdr>
        <w:top w:val="none" w:sz="0" w:space="0" w:color="auto"/>
        <w:left w:val="none" w:sz="0" w:space="0" w:color="auto"/>
        <w:bottom w:val="none" w:sz="0" w:space="0" w:color="auto"/>
        <w:right w:val="none" w:sz="0" w:space="0" w:color="auto"/>
      </w:divBdr>
    </w:div>
    <w:div w:id="1952977412">
      <w:bodyDiv w:val="1"/>
      <w:marLeft w:val="0"/>
      <w:marRight w:val="0"/>
      <w:marTop w:val="0"/>
      <w:marBottom w:val="0"/>
      <w:divBdr>
        <w:top w:val="none" w:sz="0" w:space="0" w:color="auto"/>
        <w:left w:val="none" w:sz="0" w:space="0" w:color="auto"/>
        <w:bottom w:val="none" w:sz="0" w:space="0" w:color="auto"/>
        <w:right w:val="none" w:sz="0" w:space="0" w:color="auto"/>
      </w:divBdr>
    </w:div>
    <w:div w:id="1953659775">
      <w:bodyDiv w:val="1"/>
      <w:marLeft w:val="0"/>
      <w:marRight w:val="0"/>
      <w:marTop w:val="0"/>
      <w:marBottom w:val="0"/>
      <w:divBdr>
        <w:top w:val="none" w:sz="0" w:space="0" w:color="auto"/>
        <w:left w:val="none" w:sz="0" w:space="0" w:color="auto"/>
        <w:bottom w:val="none" w:sz="0" w:space="0" w:color="auto"/>
        <w:right w:val="none" w:sz="0" w:space="0" w:color="auto"/>
      </w:divBdr>
    </w:div>
    <w:div w:id="1954357151">
      <w:bodyDiv w:val="1"/>
      <w:marLeft w:val="0"/>
      <w:marRight w:val="0"/>
      <w:marTop w:val="0"/>
      <w:marBottom w:val="0"/>
      <w:divBdr>
        <w:top w:val="none" w:sz="0" w:space="0" w:color="auto"/>
        <w:left w:val="none" w:sz="0" w:space="0" w:color="auto"/>
        <w:bottom w:val="none" w:sz="0" w:space="0" w:color="auto"/>
        <w:right w:val="none" w:sz="0" w:space="0" w:color="auto"/>
      </w:divBdr>
    </w:div>
    <w:div w:id="1954508191">
      <w:bodyDiv w:val="1"/>
      <w:marLeft w:val="0"/>
      <w:marRight w:val="0"/>
      <w:marTop w:val="0"/>
      <w:marBottom w:val="0"/>
      <w:divBdr>
        <w:top w:val="none" w:sz="0" w:space="0" w:color="auto"/>
        <w:left w:val="none" w:sz="0" w:space="0" w:color="auto"/>
        <w:bottom w:val="none" w:sz="0" w:space="0" w:color="auto"/>
        <w:right w:val="none" w:sz="0" w:space="0" w:color="auto"/>
      </w:divBdr>
    </w:div>
    <w:div w:id="1955021276">
      <w:bodyDiv w:val="1"/>
      <w:marLeft w:val="0"/>
      <w:marRight w:val="0"/>
      <w:marTop w:val="0"/>
      <w:marBottom w:val="0"/>
      <w:divBdr>
        <w:top w:val="none" w:sz="0" w:space="0" w:color="auto"/>
        <w:left w:val="none" w:sz="0" w:space="0" w:color="auto"/>
        <w:bottom w:val="none" w:sz="0" w:space="0" w:color="auto"/>
        <w:right w:val="none" w:sz="0" w:space="0" w:color="auto"/>
      </w:divBdr>
    </w:div>
    <w:div w:id="1959485912">
      <w:bodyDiv w:val="1"/>
      <w:marLeft w:val="0"/>
      <w:marRight w:val="0"/>
      <w:marTop w:val="0"/>
      <w:marBottom w:val="0"/>
      <w:divBdr>
        <w:top w:val="none" w:sz="0" w:space="0" w:color="auto"/>
        <w:left w:val="none" w:sz="0" w:space="0" w:color="auto"/>
        <w:bottom w:val="none" w:sz="0" w:space="0" w:color="auto"/>
        <w:right w:val="none" w:sz="0" w:space="0" w:color="auto"/>
      </w:divBdr>
    </w:div>
    <w:div w:id="1968118391">
      <w:bodyDiv w:val="1"/>
      <w:marLeft w:val="0"/>
      <w:marRight w:val="0"/>
      <w:marTop w:val="0"/>
      <w:marBottom w:val="0"/>
      <w:divBdr>
        <w:top w:val="none" w:sz="0" w:space="0" w:color="auto"/>
        <w:left w:val="none" w:sz="0" w:space="0" w:color="auto"/>
        <w:bottom w:val="none" w:sz="0" w:space="0" w:color="auto"/>
        <w:right w:val="none" w:sz="0" w:space="0" w:color="auto"/>
      </w:divBdr>
    </w:div>
    <w:div w:id="1969046227">
      <w:bodyDiv w:val="1"/>
      <w:marLeft w:val="0"/>
      <w:marRight w:val="0"/>
      <w:marTop w:val="0"/>
      <w:marBottom w:val="0"/>
      <w:divBdr>
        <w:top w:val="none" w:sz="0" w:space="0" w:color="auto"/>
        <w:left w:val="none" w:sz="0" w:space="0" w:color="auto"/>
        <w:bottom w:val="none" w:sz="0" w:space="0" w:color="auto"/>
        <w:right w:val="none" w:sz="0" w:space="0" w:color="auto"/>
      </w:divBdr>
    </w:div>
    <w:div w:id="1969892392">
      <w:bodyDiv w:val="1"/>
      <w:marLeft w:val="0"/>
      <w:marRight w:val="0"/>
      <w:marTop w:val="0"/>
      <w:marBottom w:val="0"/>
      <w:divBdr>
        <w:top w:val="none" w:sz="0" w:space="0" w:color="auto"/>
        <w:left w:val="none" w:sz="0" w:space="0" w:color="auto"/>
        <w:bottom w:val="none" w:sz="0" w:space="0" w:color="auto"/>
        <w:right w:val="none" w:sz="0" w:space="0" w:color="auto"/>
      </w:divBdr>
    </w:div>
    <w:div w:id="1969973240">
      <w:bodyDiv w:val="1"/>
      <w:marLeft w:val="0"/>
      <w:marRight w:val="0"/>
      <w:marTop w:val="0"/>
      <w:marBottom w:val="0"/>
      <w:divBdr>
        <w:top w:val="none" w:sz="0" w:space="0" w:color="auto"/>
        <w:left w:val="none" w:sz="0" w:space="0" w:color="auto"/>
        <w:bottom w:val="none" w:sz="0" w:space="0" w:color="auto"/>
        <w:right w:val="none" w:sz="0" w:space="0" w:color="auto"/>
      </w:divBdr>
    </w:div>
    <w:div w:id="1971738216">
      <w:bodyDiv w:val="1"/>
      <w:marLeft w:val="0"/>
      <w:marRight w:val="0"/>
      <w:marTop w:val="0"/>
      <w:marBottom w:val="0"/>
      <w:divBdr>
        <w:top w:val="none" w:sz="0" w:space="0" w:color="auto"/>
        <w:left w:val="none" w:sz="0" w:space="0" w:color="auto"/>
        <w:bottom w:val="none" w:sz="0" w:space="0" w:color="auto"/>
        <w:right w:val="none" w:sz="0" w:space="0" w:color="auto"/>
      </w:divBdr>
    </w:div>
    <w:div w:id="1972781334">
      <w:bodyDiv w:val="1"/>
      <w:marLeft w:val="0"/>
      <w:marRight w:val="0"/>
      <w:marTop w:val="0"/>
      <w:marBottom w:val="0"/>
      <w:divBdr>
        <w:top w:val="none" w:sz="0" w:space="0" w:color="auto"/>
        <w:left w:val="none" w:sz="0" w:space="0" w:color="auto"/>
        <w:bottom w:val="none" w:sz="0" w:space="0" w:color="auto"/>
        <w:right w:val="none" w:sz="0" w:space="0" w:color="auto"/>
      </w:divBdr>
    </w:div>
    <w:div w:id="1974099009">
      <w:bodyDiv w:val="1"/>
      <w:marLeft w:val="0"/>
      <w:marRight w:val="0"/>
      <w:marTop w:val="0"/>
      <w:marBottom w:val="0"/>
      <w:divBdr>
        <w:top w:val="none" w:sz="0" w:space="0" w:color="auto"/>
        <w:left w:val="none" w:sz="0" w:space="0" w:color="auto"/>
        <w:bottom w:val="none" w:sz="0" w:space="0" w:color="auto"/>
        <w:right w:val="none" w:sz="0" w:space="0" w:color="auto"/>
      </w:divBdr>
    </w:div>
    <w:div w:id="1974751793">
      <w:bodyDiv w:val="1"/>
      <w:marLeft w:val="0"/>
      <w:marRight w:val="0"/>
      <w:marTop w:val="0"/>
      <w:marBottom w:val="0"/>
      <w:divBdr>
        <w:top w:val="none" w:sz="0" w:space="0" w:color="auto"/>
        <w:left w:val="none" w:sz="0" w:space="0" w:color="auto"/>
        <w:bottom w:val="none" w:sz="0" w:space="0" w:color="auto"/>
        <w:right w:val="none" w:sz="0" w:space="0" w:color="auto"/>
      </w:divBdr>
    </w:div>
    <w:div w:id="1974866045">
      <w:bodyDiv w:val="1"/>
      <w:marLeft w:val="0"/>
      <w:marRight w:val="0"/>
      <w:marTop w:val="0"/>
      <w:marBottom w:val="0"/>
      <w:divBdr>
        <w:top w:val="none" w:sz="0" w:space="0" w:color="auto"/>
        <w:left w:val="none" w:sz="0" w:space="0" w:color="auto"/>
        <w:bottom w:val="none" w:sz="0" w:space="0" w:color="auto"/>
        <w:right w:val="none" w:sz="0" w:space="0" w:color="auto"/>
      </w:divBdr>
    </w:div>
    <w:div w:id="1974872107">
      <w:bodyDiv w:val="1"/>
      <w:marLeft w:val="0"/>
      <w:marRight w:val="0"/>
      <w:marTop w:val="0"/>
      <w:marBottom w:val="0"/>
      <w:divBdr>
        <w:top w:val="none" w:sz="0" w:space="0" w:color="auto"/>
        <w:left w:val="none" w:sz="0" w:space="0" w:color="auto"/>
        <w:bottom w:val="none" w:sz="0" w:space="0" w:color="auto"/>
        <w:right w:val="none" w:sz="0" w:space="0" w:color="auto"/>
      </w:divBdr>
    </w:div>
    <w:div w:id="1976064611">
      <w:bodyDiv w:val="1"/>
      <w:marLeft w:val="0"/>
      <w:marRight w:val="0"/>
      <w:marTop w:val="0"/>
      <w:marBottom w:val="0"/>
      <w:divBdr>
        <w:top w:val="none" w:sz="0" w:space="0" w:color="auto"/>
        <w:left w:val="none" w:sz="0" w:space="0" w:color="auto"/>
        <w:bottom w:val="none" w:sz="0" w:space="0" w:color="auto"/>
        <w:right w:val="none" w:sz="0" w:space="0" w:color="auto"/>
      </w:divBdr>
    </w:div>
    <w:div w:id="1977249922">
      <w:bodyDiv w:val="1"/>
      <w:marLeft w:val="0"/>
      <w:marRight w:val="0"/>
      <w:marTop w:val="0"/>
      <w:marBottom w:val="0"/>
      <w:divBdr>
        <w:top w:val="none" w:sz="0" w:space="0" w:color="auto"/>
        <w:left w:val="none" w:sz="0" w:space="0" w:color="auto"/>
        <w:bottom w:val="none" w:sz="0" w:space="0" w:color="auto"/>
        <w:right w:val="none" w:sz="0" w:space="0" w:color="auto"/>
      </w:divBdr>
    </w:div>
    <w:div w:id="1978757476">
      <w:bodyDiv w:val="1"/>
      <w:marLeft w:val="0"/>
      <w:marRight w:val="0"/>
      <w:marTop w:val="0"/>
      <w:marBottom w:val="0"/>
      <w:divBdr>
        <w:top w:val="none" w:sz="0" w:space="0" w:color="auto"/>
        <w:left w:val="none" w:sz="0" w:space="0" w:color="auto"/>
        <w:bottom w:val="none" w:sz="0" w:space="0" w:color="auto"/>
        <w:right w:val="none" w:sz="0" w:space="0" w:color="auto"/>
      </w:divBdr>
    </w:div>
    <w:div w:id="1979144924">
      <w:bodyDiv w:val="1"/>
      <w:marLeft w:val="0"/>
      <w:marRight w:val="0"/>
      <w:marTop w:val="0"/>
      <w:marBottom w:val="0"/>
      <w:divBdr>
        <w:top w:val="none" w:sz="0" w:space="0" w:color="auto"/>
        <w:left w:val="none" w:sz="0" w:space="0" w:color="auto"/>
        <w:bottom w:val="none" w:sz="0" w:space="0" w:color="auto"/>
        <w:right w:val="none" w:sz="0" w:space="0" w:color="auto"/>
      </w:divBdr>
    </w:div>
    <w:div w:id="1979263383">
      <w:bodyDiv w:val="1"/>
      <w:marLeft w:val="0"/>
      <w:marRight w:val="0"/>
      <w:marTop w:val="0"/>
      <w:marBottom w:val="0"/>
      <w:divBdr>
        <w:top w:val="none" w:sz="0" w:space="0" w:color="auto"/>
        <w:left w:val="none" w:sz="0" w:space="0" w:color="auto"/>
        <w:bottom w:val="none" w:sz="0" w:space="0" w:color="auto"/>
        <w:right w:val="none" w:sz="0" w:space="0" w:color="auto"/>
      </w:divBdr>
    </w:div>
    <w:div w:id="1980644235">
      <w:bodyDiv w:val="1"/>
      <w:marLeft w:val="0"/>
      <w:marRight w:val="0"/>
      <w:marTop w:val="0"/>
      <w:marBottom w:val="0"/>
      <w:divBdr>
        <w:top w:val="none" w:sz="0" w:space="0" w:color="auto"/>
        <w:left w:val="none" w:sz="0" w:space="0" w:color="auto"/>
        <w:bottom w:val="none" w:sz="0" w:space="0" w:color="auto"/>
        <w:right w:val="none" w:sz="0" w:space="0" w:color="auto"/>
      </w:divBdr>
    </w:div>
    <w:div w:id="1980837069">
      <w:bodyDiv w:val="1"/>
      <w:marLeft w:val="0"/>
      <w:marRight w:val="0"/>
      <w:marTop w:val="0"/>
      <w:marBottom w:val="0"/>
      <w:divBdr>
        <w:top w:val="none" w:sz="0" w:space="0" w:color="auto"/>
        <w:left w:val="none" w:sz="0" w:space="0" w:color="auto"/>
        <w:bottom w:val="none" w:sz="0" w:space="0" w:color="auto"/>
        <w:right w:val="none" w:sz="0" w:space="0" w:color="auto"/>
      </w:divBdr>
    </w:div>
    <w:div w:id="1981886086">
      <w:bodyDiv w:val="1"/>
      <w:marLeft w:val="0"/>
      <w:marRight w:val="0"/>
      <w:marTop w:val="0"/>
      <w:marBottom w:val="0"/>
      <w:divBdr>
        <w:top w:val="none" w:sz="0" w:space="0" w:color="auto"/>
        <w:left w:val="none" w:sz="0" w:space="0" w:color="auto"/>
        <w:bottom w:val="none" w:sz="0" w:space="0" w:color="auto"/>
        <w:right w:val="none" w:sz="0" w:space="0" w:color="auto"/>
      </w:divBdr>
    </w:div>
    <w:div w:id="1983535287">
      <w:bodyDiv w:val="1"/>
      <w:marLeft w:val="0"/>
      <w:marRight w:val="0"/>
      <w:marTop w:val="0"/>
      <w:marBottom w:val="0"/>
      <w:divBdr>
        <w:top w:val="none" w:sz="0" w:space="0" w:color="auto"/>
        <w:left w:val="none" w:sz="0" w:space="0" w:color="auto"/>
        <w:bottom w:val="none" w:sz="0" w:space="0" w:color="auto"/>
        <w:right w:val="none" w:sz="0" w:space="0" w:color="auto"/>
      </w:divBdr>
    </w:div>
    <w:div w:id="1983924720">
      <w:bodyDiv w:val="1"/>
      <w:marLeft w:val="0"/>
      <w:marRight w:val="0"/>
      <w:marTop w:val="0"/>
      <w:marBottom w:val="0"/>
      <w:divBdr>
        <w:top w:val="none" w:sz="0" w:space="0" w:color="auto"/>
        <w:left w:val="none" w:sz="0" w:space="0" w:color="auto"/>
        <w:bottom w:val="none" w:sz="0" w:space="0" w:color="auto"/>
        <w:right w:val="none" w:sz="0" w:space="0" w:color="auto"/>
      </w:divBdr>
    </w:div>
    <w:div w:id="1985962293">
      <w:bodyDiv w:val="1"/>
      <w:marLeft w:val="0"/>
      <w:marRight w:val="0"/>
      <w:marTop w:val="0"/>
      <w:marBottom w:val="0"/>
      <w:divBdr>
        <w:top w:val="none" w:sz="0" w:space="0" w:color="auto"/>
        <w:left w:val="none" w:sz="0" w:space="0" w:color="auto"/>
        <w:bottom w:val="none" w:sz="0" w:space="0" w:color="auto"/>
        <w:right w:val="none" w:sz="0" w:space="0" w:color="auto"/>
      </w:divBdr>
    </w:div>
    <w:div w:id="1986280966">
      <w:bodyDiv w:val="1"/>
      <w:marLeft w:val="0"/>
      <w:marRight w:val="0"/>
      <w:marTop w:val="0"/>
      <w:marBottom w:val="0"/>
      <w:divBdr>
        <w:top w:val="none" w:sz="0" w:space="0" w:color="auto"/>
        <w:left w:val="none" w:sz="0" w:space="0" w:color="auto"/>
        <w:bottom w:val="none" w:sz="0" w:space="0" w:color="auto"/>
        <w:right w:val="none" w:sz="0" w:space="0" w:color="auto"/>
      </w:divBdr>
    </w:div>
    <w:div w:id="1987859113">
      <w:bodyDiv w:val="1"/>
      <w:marLeft w:val="0"/>
      <w:marRight w:val="0"/>
      <w:marTop w:val="0"/>
      <w:marBottom w:val="0"/>
      <w:divBdr>
        <w:top w:val="none" w:sz="0" w:space="0" w:color="auto"/>
        <w:left w:val="none" w:sz="0" w:space="0" w:color="auto"/>
        <w:bottom w:val="none" w:sz="0" w:space="0" w:color="auto"/>
        <w:right w:val="none" w:sz="0" w:space="0" w:color="auto"/>
      </w:divBdr>
    </w:div>
    <w:div w:id="1988901386">
      <w:bodyDiv w:val="1"/>
      <w:marLeft w:val="0"/>
      <w:marRight w:val="0"/>
      <w:marTop w:val="0"/>
      <w:marBottom w:val="0"/>
      <w:divBdr>
        <w:top w:val="none" w:sz="0" w:space="0" w:color="auto"/>
        <w:left w:val="none" w:sz="0" w:space="0" w:color="auto"/>
        <w:bottom w:val="none" w:sz="0" w:space="0" w:color="auto"/>
        <w:right w:val="none" w:sz="0" w:space="0" w:color="auto"/>
      </w:divBdr>
    </w:div>
    <w:div w:id="1990162749">
      <w:bodyDiv w:val="1"/>
      <w:marLeft w:val="0"/>
      <w:marRight w:val="0"/>
      <w:marTop w:val="0"/>
      <w:marBottom w:val="0"/>
      <w:divBdr>
        <w:top w:val="none" w:sz="0" w:space="0" w:color="auto"/>
        <w:left w:val="none" w:sz="0" w:space="0" w:color="auto"/>
        <w:bottom w:val="none" w:sz="0" w:space="0" w:color="auto"/>
        <w:right w:val="none" w:sz="0" w:space="0" w:color="auto"/>
      </w:divBdr>
    </w:div>
    <w:div w:id="1990472027">
      <w:bodyDiv w:val="1"/>
      <w:marLeft w:val="0"/>
      <w:marRight w:val="0"/>
      <w:marTop w:val="0"/>
      <w:marBottom w:val="0"/>
      <w:divBdr>
        <w:top w:val="none" w:sz="0" w:space="0" w:color="auto"/>
        <w:left w:val="none" w:sz="0" w:space="0" w:color="auto"/>
        <w:bottom w:val="none" w:sz="0" w:space="0" w:color="auto"/>
        <w:right w:val="none" w:sz="0" w:space="0" w:color="auto"/>
      </w:divBdr>
    </w:div>
    <w:div w:id="1990555832">
      <w:bodyDiv w:val="1"/>
      <w:marLeft w:val="0"/>
      <w:marRight w:val="0"/>
      <w:marTop w:val="0"/>
      <w:marBottom w:val="0"/>
      <w:divBdr>
        <w:top w:val="none" w:sz="0" w:space="0" w:color="auto"/>
        <w:left w:val="none" w:sz="0" w:space="0" w:color="auto"/>
        <w:bottom w:val="none" w:sz="0" w:space="0" w:color="auto"/>
        <w:right w:val="none" w:sz="0" w:space="0" w:color="auto"/>
      </w:divBdr>
    </w:div>
    <w:div w:id="1991127722">
      <w:bodyDiv w:val="1"/>
      <w:marLeft w:val="0"/>
      <w:marRight w:val="0"/>
      <w:marTop w:val="0"/>
      <w:marBottom w:val="0"/>
      <w:divBdr>
        <w:top w:val="none" w:sz="0" w:space="0" w:color="auto"/>
        <w:left w:val="none" w:sz="0" w:space="0" w:color="auto"/>
        <w:bottom w:val="none" w:sz="0" w:space="0" w:color="auto"/>
        <w:right w:val="none" w:sz="0" w:space="0" w:color="auto"/>
      </w:divBdr>
    </w:div>
    <w:div w:id="1991203712">
      <w:bodyDiv w:val="1"/>
      <w:marLeft w:val="0"/>
      <w:marRight w:val="0"/>
      <w:marTop w:val="0"/>
      <w:marBottom w:val="0"/>
      <w:divBdr>
        <w:top w:val="none" w:sz="0" w:space="0" w:color="auto"/>
        <w:left w:val="none" w:sz="0" w:space="0" w:color="auto"/>
        <w:bottom w:val="none" w:sz="0" w:space="0" w:color="auto"/>
        <w:right w:val="none" w:sz="0" w:space="0" w:color="auto"/>
      </w:divBdr>
    </w:div>
    <w:div w:id="1992634114">
      <w:bodyDiv w:val="1"/>
      <w:marLeft w:val="0"/>
      <w:marRight w:val="0"/>
      <w:marTop w:val="0"/>
      <w:marBottom w:val="0"/>
      <w:divBdr>
        <w:top w:val="none" w:sz="0" w:space="0" w:color="auto"/>
        <w:left w:val="none" w:sz="0" w:space="0" w:color="auto"/>
        <w:bottom w:val="none" w:sz="0" w:space="0" w:color="auto"/>
        <w:right w:val="none" w:sz="0" w:space="0" w:color="auto"/>
      </w:divBdr>
    </w:div>
    <w:div w:id="1992785876">
      <w:bodyDiv w:val="1"/>
      <w:marLeft w:val="0"/>
      <w:marRight w:val="0"/>
      <w:marTop w:val="0"/>
      <w:marBottom w:val="0"/>
      <w:divBdr>
        <w:top w:val="none" w:sz="0" w:space="0" w:color="auto"/>
        <w:left w:val="none" w:sz="0" w:space="0" w:color="auto"/>
        <w:bottom w:val="none" w:sz="0" w:space="0" w:color="auto"/>
        <w:right w:val="none" w:sz="0" w:space="0" w:color="auto"/>
      </w:divBdr>
    </w:div>
    <w:div w:id="1993168869">
      <w:bodyDiv w:val="1"/>
      <w:marLeft w:val="0"/>
      <w:marRight w:val="0"/>
      <w:marTop w:val="0"/>
      <w:marBottom w:val="0"/>
      <w:divBdr>
        <w:top w:val="none" w:sz="0" w:space="0" w:color="auto"/>
        <w:left w:val="none" w:sz="0" w:space="0" w:color="auto"/>
        <w:bottom w:val="none" w:sz="0" w:space="0" w:color="auto"/>
        <w:right w:val="none" w:sz="0" w:space="0" w:color="auto"/>
      </w:divBdr>
    </w:div>
    <w:div w:id="1993216627">
      <w:bodyDiv w:val="1"/>
      <w:marLeft w:val="0"/>
      <w:marRight w:val="0"/>
      <w:marTop w:val="0"/>
      <w:marBottom w:val="0"/>
      <w:divBdr>
        <w:top w:val="none" w:sz="0" w:space="0" w:color="auto"/>
        <w:left w:val="none" w:sz="0" w:space="0" w:color="auto"/>
        <w:bottom w:val="none" w:sz="0" w:space="0" w:color="auto"/>
        <w:right w:val="none" w:sz="0" w:space="0" w:color="auto"/>
      </w:divBdr>
    </w:div>
    <w:div w:id="1993366303">
      <w:bodyDiv w:val="1"/>
      <w:marLeft w:val="0"/>
      <w:marRight w:val="0"/>
      <w:marTop w:val="0"/>
      <w:marBottom w:val="0"/>
      <w:divBdr>
        <w:top w:val="none" w:sz="0" w:space="0" w:color="auto"/>
        <w:left w:val="none" w:sz="0" w:space="0" w:color="auto"/>
        <w:bottom w:val="none" w:sz="0" w:space="0" w:color="auto"/>
        <w:right w:val="none" w:sz="0" w:space="0" w:color="auto"/>
      </w:divBdr>
    </w:div>
    <w:div w:id="1993560223">
      <w:bodyDiv w:val="1"/>
      <w:marLeft w:val="0"/>
      <w:marRight w:val="0"/>
      <w:marTop w:val="0"/>
      <w:marBottom w:val="0"/>
      <w:divBdr>
        <w:top w:val="none" w:sz="0" w:space="0" w:color="auto"/>
        <w:left w:val="none" w:sz="0" w:space="0" w:color="auto"/>
        <w:bottom w:val="none" w:sz="0" w:space="0" w:color="auto"/>
        <w:right w:val="none" w:sz="0" w:space="0" w:color="auto"/>
      </w:divBdr>
    </w:div>
    <w:div w:id="1994335481">
      <w:bodyDiv w:val="1"/>
      <w:marLeft w:val="0"/>
      <w:marRight w:val="0"/>
      <w:marTop w:val="0"/>
      <w:marBottom w:val="0"/>
      <w:divBdr>
        <w:top w:val="none" w:sz="0" w:space="0" w:color="auto"/>
        <w:left w:val="none" w:sz="0" w:space="0" w:color="auto"/>
        <w:bottom w:val="none" w:sz="0" w:space="0" w:color="auto"/>
        <w:right w:val="none" w:sz="0" w:space="0" w:color="auto"/>
      </w:divBdr>
    </w:div>
    <w:div w:id="1994411743">
      <w:bodyDiv w:val="1"/>
      <w:marLeft w:val="0"/>
      <w:marRight w:val="0"/>
      <w:marTop w:val="0"/>
      <w:marBottom w:val="0"/>
      <w:divBdr>
        <w:top w:val="none" w:sz="0" w:space="0" w:color="auto"/>
        <w:left w:val="none" w:sz="0" w:space="0" w:color="auto"/>
        <w:bottom w:val="none" w:sz="0" w:space="0" w:color="auto"/>
        <w:right w:val="none" w:sz="0" w:space="0" w:color="auto"/>
      </w:divBdr>
    </w:div>
    <w:div w:id="1995184663">
      <w:bodyDiv w:val="1"/>
      <w:marLeft w:val="0"/>
      <w:marRight w:val="0"/>
      <w:marTop w:val="0"/>
      <w:marBottom w:val="0"/>
      <w:divBdr>
        <w:top w:val="none" w:sz="0" w:space="0" w:color="auto"/>
        <w:left w:val="none" w:sz="0" w:space="0" w:color="auto"/>
        <w:bottom w:val="none" w:sz="0" w:space="0" w:color="auto"/>
        <w:right w:val="none" w:sz="0" w:space="0" w:color="auto"/>
      </w:divBdr>
    </w:div>
    <w:div w:id="1995261506">
      <w:bodyDiv w:val="1"/>
      <w:marLeft w:val="0"/>
      <w:marRight w:val="0"/>
      <w:marTop w:val="0"/>
      <w:marBottom w:val="0"/>
      <w:divBdr>
        <w:top w:val="none" w:sz="0" w:space="0" w:color="auto"/>
        <w:left w:val="none" w:sz="0" w:space="0" w:color="auto"/>
        <w:bottom w:val="none" w:sz="0" w:space="0" w:color="auto"/>
        <w:right w:val="none" w:sz="0" w:space="0" w:color="auto"/>
      </w:divBdr>
    </w:div>
    <w:div w:id="1995834810">
      <w:bodyDiv w:val="1"/>
      <w:marLeft w:val="0"/>
      <w:marRight w:val="0"/>
      <w:marTop w:val="0"/>
      <w:marBottom w:val="0"/>
      <w:divBdr>
        <w:top w:val="none" w:sz="0" w:space="0" w:color="auto"/>
        <w:left w:val="none" w:sz="0" w:space="0" w:color="auto"/>
        <w:bottom w:val="none" w:sz="0" w:space="0" w:color="auto"/>
        <w:right w:val="none" w:sz="0" w:space="0" w:color="auto"/>
      </w:divBdr>
    </w:div>
    <w:div w:id="1996374283">
      <w:bodyDiv w:val="1"/>
      <w:marLeft w:val="0"/>
      <w:marRight w:val="0"/>
      <w:marTop w:val="0"/>
      <w:marBottom w:val="0"/>
      <w:divBdr>
        <w:top w:val="none" w:sz="0" w:space="0" w:color="auto"/>
        <w:left w:val="none" w:sz="0" w:space="0" w:color="auto"/>
        <w:bottom w:val="none" w:sz="0" w:space="0" w:color="auto"/>
        <w:right w:val="none" w:sz="0" w:space="0" w:color="auto"/>
      </w:divBdr>
    </w:div>
    <w:div w:id="1997175383">
      <w:bodyDiv w:val="1"/>
      <w:marLeft w:val="0"/>
      <w:marRight w:val="0"/>
      <w:marTop w:val="0"/>
      <w:marBottom w:val="0"/>
      <w:divBdr>
        <w:top w:val="none" w:sz="0" w:space="0" w:color="auto"/>
        <w:left w:val="none" w:sz="0" w:space="0" w:color="auto"/>
        <w:bottom w:val="none" w:sz="0" w:space="0" w:color="auto"/>
        <w:right w:val="none" w:sz="0" w:space="0" w:color="auto"/>
      </w:divBdr>
    </w:div>
    <w:div w:id="1997293990">
      <w:bodyDiv w:val="1"/>
      <w:marLeft w:val="0"/>
      <w:marRight w:val="0"/>
      <w:marTop w:val="0"/>
      <w:marBottom w:val="0"/>
      <w:divBdr>
        <w:top w:val="none" w:sz="0" w:space="0" w:color="auto"/>
        <w:left w:val="none" w:sz="0" w:space="0" w:color="auto"/>
        <w:bottom w:val="none" w:sz="0" w:space="0" w:color="auto"/>
        <w:right w:val="none" w:sz="0" w:space="0" w:color="auto"/>
      </w:divBdr>
    </w:div>
    <w:div w:id="1997416827">
      <w:bodyDiv w:val="1"/>
      <w:marLeft w:val="0"/>
      <w:marRight w:val="0"/>
      <w:marTop w:val="0"/>
      <w:marBottom w:val="0"/>
      <w:divBdr>
        <w:top w:val="none" w:sz="0" w:space="0" w:color="auto"/>
        <w:left w:val="none" w:sz="0" w:space="0" w:color="auto"/>
        <w:bottom w:val="none" w:sz="0" w:space="0" w:color="auto"/>
        <w:right w:val="none" w:sz="0" w:space="0" w:color="auto"/>
      </w:divBdr>
    </w:div>
    <w:div w:id="1997612928">
      <w:bodyDiv w:val="1"/>
      <w:marLeft w:val="0"/>
      <w:marRight w:val="0"/>
      <w:marTop w:val="0"/>
      <w:marBottom w:val="0"/>
      <w:divBdr>
        <w:top w:val="none" w:sz="0" w:space="0" w:color="auto"/>
        <w:left w:val="none" w:sz="0" w:space="0" w:color="auto"/>
        <w:bottom w:val="none" w:sz="0" w:space="0" w:color="auto"/>
        <w:right w:val="none" w:sz="0" w:space="0" w:color="auto"/>
      </w:divBdr>
    </w:div>
    <w:div w:id="1998335311">
      <w:bodyDiv w:val="1"/>
      <w:marLeft w:val="0"/>
      <w:marRight w:val="0"/>
      <w:marTop w:val="0"/>
      <w:marBottom w:val="0"/>
      <w:divBdr>
        <w:top w:val="none" w:sz="0" w:space="0" w:color="auto"/>
        <w:left w:val="none" w:sz="0" w:space="0" w:color="auto"/>
        <w:bottom w:val="none" w:sz="0" w:space="0" w:color="auto"/>
        <w:right w:val="none" w:sz="0" w:space="0" w:color="auto"/>
      </w:divBdr>
    </w:div>
    <w:div w:id="1998914968">
      <w:bodyDiv w:val="1"/>
      <w:marLeft w:val="0"/>
      <w:marRight w:val="0"/>
      <w:marTop w:val="0"/>
      <w:marBottom w:val="0"/>
      <w:divBdr>
        <w:top w:val="none" w:sz="0" w:space="0" w:color="auto"/>
        <w:left w:val="none" w:sz="0" w:space="0" w:color="auto"/>
        <w:bottom w:val="none" w:sz="0" w:space="0" w:color="auto"/>
        <w:right w:val="none" w:sz="0" w:space="0" w:color="auto"/>
      </w:divBdr>
    </w:div>
    <w:div w:id="1999915293">
      <w:bodyDiv w:val="1"/>
      <w:marLeft w:val="0"/>
      <w:marRight w:val="0"/>
      <w:marTop w:val="0"/>
      <w:marBottom w:val="0"/>
      <w:divBdr>
        <w:top w:val="none" w:sz="0" w:space="0" w:color="auto"/>
        <w:left w:val="none" w:sz="0" w:space="0" w:color="auto"/>
        <w:bottom w:val="none" w:sz="0" w:space="0" w:color="auto"/>
        <w:right w:val="none" w:sz="0" w:space="0" w:color="auto"/>
      </w:divBdr>
    </w:div>
    <w:div w:id="1999964814">
      <w:bodyDiv w:val="1"/>
      <w:marLeft w:val="0"/>
      <w:marRight w:val="0"/>
      <w:marTop w:val="0"/>
      <w:marBottom w:val="0"/>
      <w:divBdr>
        <w:top w:val="none" w:sz="0" w:space="0" w:color="auto"/>
        <w:left w:val="none" w:sz="0" w:space="0" w:color="auto"/>
        <w:bottom w:val="none" w:sz="0" w:space="0" w:color="auto"/>
        <w:right w:val="none" w:sz="0" w:space="0" w:color="auto"/>
      </w:divBdr>
    </w:div>
    <w:div w:id="1999992860">
      <w:bodyDiv w:val="1"/>
      <w:marLeft w:val="0"/>
      <w:marRight w:val="0"/>
      <w:marTop w:val="0"/>
      <w:marBottom w:val="0"/>
      <w:divBdr>
        <w:top w:val="none" w:sz="0" w:space="0" w:color="auto"/>
        <w:left w:val="none" w:sz="0" w:space="0" w:color="auto"/>
        <w:bottom w:val="none" w:sz="0" w:space="0" w:color="auto"/>
        <w:right w:val="none" w:sz="0" w:space="0" w:color="auto"/>
      </w:divBdr>
    </w:div>
    <w:div w:id="2002197745">
      <w:bodyDiv w:val="1"/>
      <w:marLeft w:val="0"/>
      <w:marRight w:val="0"/>
      <w:marTop w:val="0"/>
      <w:marBottom w:val="0"/>
      <w:divBdr>
        <w:top w:val="none" w:sz="0" w:space="0" w:color="auto"/>
        <w:left w:val="none" w:sz="0" w:space="0" w:color="auto"/>
        <w:bottom w:val="none" w:sz="0" w:space="0" w:color="auto"/>
        <w:right w:val="none" w:sz="0" w:space="0" w:color="auto"/>
      </w:divBdr>
    </w:div>
    <w:div w:id="2003318088">
      <w:bodyDiv w:val="1"/>
      <w:marLeft w:val="0"/>
      <w:marRight w:val="0"/>
      <w:marTop w:val="0"/>
      <w:marBottom w:val="0"/>
      <w:divBdr>
        <w:top w:val="none" w:sz="0" w:space="0" w:color="auto"/>
        <w:left w:val="none" w:sz="0" w:space="0" w:color="auto"/>
        <w:bottom w:val="none" w:sz="0" w:space="0" w:color="auto"/>
        <w:right w:val="none" w:sz="0" w:space="0" w:color="auto"/>
      </w:divBdr>
    </w:div>
    <w:div w:id="2003384812">
      <w:bodyDiv w:val="1"/>
      <w:marLeft w:val="0"/>
      <w:marRight w:val="0"/>
      <w:marTop w:val="0"/>
      <w:marBottom w:val="0"/>
      <w:divBdr>
        <w:top w:val="none" w:sz="0" w:space="0" w:color="auto"/>
        <w:left w:val="none" w:sz="0" w:space="0" w:color="auto"/>
        <w:bottom w:val="none" w:sz="0" w:space="0" w:color="auto"/>
        <w:right w:val="none" w:sz="0" w:space="0" w:color="auto"/>
      </w:divBdr>
    </w:div>
    <w:div w:id="2004893028">
      <w:bodyDiv w:val="1"/>
      <w:marLeft w:val="0"/>
      <w:marRight w:val="0"/>
      <w:marTop w:val="0"/>
      <w:marBottom w:val="0"/>
      <w:divBdr>
        <w:top w:val="none" w:sz="0" w:space="0" w:color="auto"/>
        <w:left w:val="none" w:sz="0" w:space="0" w:color="auto"/>
        <w:bottom w:val="none" w:sz="0" w:space="0" w:color="auto"/>
        <w:right w:val="none" w:sz="0" w:space="0" w:color="auto"/>
      </w:divBdr>
    </w:div>
    <w:div w:id="2005468464">
      <w:bodyDiv w:val="1"/>
      <w:marLeft w:val="0"/>
      <w:marRight w:val="0"/>
      <w:marTop w:val="0"/>
      <w:marBottom w:val="0"/>
      <w:divBdr>
        <w:top w:val="none" w:sz="0" w:space="0" w:color="auto"/>
        <w:left w:val="none" w:sz="0" w:space="0" w:color="auto"/>
        <w:bottom w:val="none" w:sz="0" w:space="0" w:color="auto"/>
        <w:right w:val="none" w:sz="0" w:space="0" w:color="auto"/>
      </w:divBdr>
    </w:div>
    <w:div w:id="2007779155">
      <w:bodyDiv w:val="1"/>
      <w:marLeft w:val="0"/>
      <w:marRight w:val="0"/>
      <w:marTop w:val="0"/>
      <w:marBottom w:val="0"/>
      <w:divBdr>
        <w:top w:val="none" w:sz="0" w:space="0" w:color="auto"/>
        <w:left w:val="none" w:sz="0" w:space="0" w:color="auto"/>
        <w:bottom w:val="none" w:sz="0" w:space="0" w:color="auto"/>
        <w:right w:val="none" w:sz="0" w:space="0" w:color="auto"/>
      </w:divBdr>
    </w:div>
    <w:div w:id="2007779950">
      <w:bodyDiv w:val="1"/>
      <w:marLeft w:val="0"/>
      <w:marRight w:val="0"/>
      <w:marTop w:val="0"/>
      <w:marBottom w:val="0"/>
      <w:divBdr>
        <w:top w:val="none" w:sz="0" w:space="0" w:color="auto"/>
        <w:left w:val="none" w:sz="0" w:space="0" w:color="auto"/>
        <w:bottom w:val="none" w:sz="0" w:space="0" w:color="auto"/>
        <w:right w:val="none" w:sz="0" w:space="0" w:color="auto"/>
      </w:divBdr>
    </w:div>
    <w:div w:id="2008708500">
      <w:bodyDiv w:val="1"/>
      <w:marLeft w:val="0"/>
      <w:marRight w:val="0"/>
      <w:marTop w:val="0"/>
      <w:marBottom w:val="0"/>
      <w:divBdr>
        <w:top w:val="none" w:sz="0" w:space="0" w:color="auto"/>
        <w:left w:val="none" w:sz="0" w:space="0" w:color="auto"/>
        <w:bottom w:val="none" w:sz="0" w:space="0" w:color="auto"/>
        <w:right w:val="none" w:sz="0" w:space="0" w:color="auto"/>
      </w:divBdr>
    </w:div>
    <w:div w:id="2010283399">
      <w:bodyDiv w:val="1"/>
      <w:marLeft w:val="0"/>
      <w:marRight w:val="0"/>
      <w:marTop w:val="0"/>
      <w:marBottom w:val="0"/>
      <w:divBdr>
        <w:top w:val="none" w:sz="0" w:space="0" w:color="auto"/>
        <w:left w:val="none" w:sz="0" w:space="0" w:color="auto"/>
        <w:bottom w:val="none" w:sz="0" w:space="0" w:color="auto"/>
        <w:right w:val="none" w:sz="0" w:space="0" w:color="auto"/>
      </w:divBdr>
    </w:div>
    <w:div w:id="2012249402">
      <w:bodyDiv w:val="1"/>
      <w:marLeft w:val="0"/>
      <w:marRight w:val="0"/>
      <w:marTop w:val="0"/>
      <w:marBottom w:val="0"/>
      <w:divBdr>
        <w:top w:val="none" w:sz="0" w:space="0" w:color="auto"/>
        <w:left w:val="none" w:sz="0" w:space="0" w:color="auto"/>
        <w:bottom w:val="none" w:sz="0" w:space="0" w:color="auto"/>
        <w:right w:val="none" w:sz="0" w:space="0" w:color="auto"/>
      </w:divBdr>
    </w:div>
    <w:div w:id="2012756960">
      <w:bodyDiv w:val="1"/>
      <w:marLeft w:val="0"/>
      <w:marRight w:val="0"/>
      <w:marTop w:val="0"/>
      <w:marBottom w:val="0"/>
      <w:divBdr>
        <w:top w:val="none" w:sz="0" w:space="0" w:color="auto"/>
        <w:left w:val="none" w:sz="0" w:space="0" w:color="auto"/>
        <w:bottom w:val="none" w:sz="0" w:space="0" w:color="auto"/>
        <w:right w:val="none" w:sz="0" w:space="0" w:color="auto"/>
      </w:divBdr>
    </w:div>
    <w:div w:id="2013214685">
      <w:bodyDiv w:val="1"/>
      <w:marLeft w:val="0"/>
      <w:marRight w:val="0"/>
      <w:marTop w:val="0"/>
      <w:marBottom w:val="0"/>
      <w:divBdr>
        <w:top w:val="none" w:sz="0" w:space="0" w:color="auto"/>
        <w:left w:val="none" w:sz="0" w:space="0" w:color="auto"/>
        <w:bottom w:val="none" w:sz="0" w:space="0" w:color="auto"/>
        <w:right w:val="none" w:sz="0" w:space="0" w:color="auto"/>
      </w:divBdr>
    </w:div>
    <w:div w:id="2013409151">
      <w:bodyDiv w:val="1"/>
      <w:marLeft w:val="0"/>
      <w:marRight w:val="0"/>
      <w:marTop w:val="0"/>
      <w:marBottom w:val="0"/>
      <w:divBdr>
        <w:top w:val="none" w:sz="0" w:space="0" w:color="auto"/>
        <w:left w:val="none" w:sz="0" w:space="0" w:color="auto"/>
        <w:bottom w:val="none" w:sz="0" w:space="0" w:color="auto"/>
        <w:right w:val="none" w:sz="0" w:space="0" w:color="auto"/>
      </w:divBdr>
    </w:div>
    <w:div w:id="2018069284">
      <w:bodyDiv w:val="1"/>
      <w:marLeft w:val="0"/>
      <w:marRight w:val="0"/>
      <w:marTop w:val="0"/>
      <w:marBottom w:val="0"/>
      <w:divBdr>
        <w:top w:val="none" w:sz="0" w:space="0" w:color="auto"/>
        <w:left w:val="none" w:sz="0" w:space="0" w:color="auto"/>
        <w:bottom w:val="none" w:sz="0" w:space="0" w:color="auto"/>
        <w:right w:val="none" w:sz="0" w:space="0" w:color="auto"/>
      </w:divBdr>
    </w:div>
    <w:div w:id="2019195052">
      <w:bodyDiv w:val="1"/>
      <w:marLeft w:val="0"/>
      <w:marRight w:val="0"/>
      <w:marTop w:val="0"/>
      <w:marBottom w:val="0"/>
      <w:divBdr>
        <w:top w:val="none" w:sz="0" w:space="0" w:color="auto"/>
        <w:left w:val="none" w:sz="0" w:space="0" w:color="auto"/>
        <w:bottom w:val="none" w:sz="0" w:space="0" w:color="auto"/>
        <w:right w:val="none" w:sz="0" w:space="0" w:color="auto"/>
      </w:divBdr>
    </w:div>
    <w:div w:id="2020042753">
      <w:bodyDiv w:val="1"/>
      <w:marLeft w:val="0"/>
      <w:marRight w:val="0"/>
      <w:marTop w:val="0"/>
      <w:marBottom w:val="0"/>
      <w:divBdr>
        <w:top w:val="none" w:sz="0" w:space="0" w:color="auto"/>
        <w:left w:val="none" w:sz="0" w:space="0" w:color="auto"/>
        <w:bottom w:val="none" w:sz="0" w:space="0" w:color="auto"/>
        <w:right w:val="none" w:sz="0" w:space="0" w:color="auto"/>
      </w:divBdr>
    </w:div>
    <w:div w:id="2020229441">
      <w:bodyDiv w:val="1"/>
      <w:marLeft w:val="0"/>
      <w:marRight w:val="0"/>
      <w:marTop w:val="0"/>
      <w:marBottom w:val="0"/>
      <w:divBdr>
        <w:top w:val="none" w:sz="0" w:space="0" w:color="auto"/>
        <w:left w:val="none" w:sz="0" w:space="0" w:color="auto"/>
        <w:bottom w:val="none" w:sz="0" w:space="0" w:color="auto"/>
        <w:right w:val="none" w:sz="0" w:space="0" w:color="auto"/>
      </w:divBdr>
    </w:div>
    <w:div w:id="2020428065">
      <w:bodyDiv w:val="1"/>
      <w:marLeft w:val="0"/>
      <w:marRight w:val="0"/>
      <w:marTop w:val="0"/>
      <w:marBottom w:val="0"/>
      <w:divBdr>
        <w:top w:val="none" w:sz="0" w:space="0" w:color="auto"/>
        <w:left w:val="none" w:sz="0" w:space="0" w:color="auto"/>
        <w:bottom w:val="none" w:sz="0" w:space="0" w:color="auto"/>
        <w:right w:val="none" w:sz="0" w:space="0" w:color="auto"/>
      </w:divBdr>
    </w:div>
    <w:div w:id="2020623129">
      <w:bodyDiv w:val="1"/>
      <w:marLeft w:val="0"/>
      <w:marRight w:val="0"/>
      <w:marTop w:val="0"/>
      <w:marBottom w:val="0"/>
      <w:divBdr>
        <w:top w:val="none" w:sz="0" w:space="0" w:color="auto"/>
        <w:left w:val="none" w:sz="0" w:space="0" w:color="auto"/>
        <w:bottom w:val="none" w:sz="0" w:space="0" w:color="auto"/>
        <w:right w:val="none" w:sz="0" w:space="0" w:color="auto"/>
      </w:divBdr>
    </w:div>
    <w:div w:id="2021658855">
      <w:bodyDiv w:val="1"/>
      <w:marLeft w:val="0"/>
      <w:marRight w:val="0"/>
      <w:marTop w:val="0"/>
      <w:marBottom w:val="0"/>
      <w:divBdr>
        <w:top w:val="none" w:sz="0" w:space="0" w:color="auto"/>
        <w:left w:val="none" w:sz="0" w:space="0" w:color="auto"/>
        <w:bottom w:val="none" w:sz="0" w:space="0" w:color="auto"/>
        <w:right w:val="none" w:sz="0" w:space="0" w:color="auto"/>
      </w:divBdr>
    </w:div>
    <w:div w:id="2023235717">
      <w:bodyDiv w:val="1"/>
      <w:marLeft w:val="0"/>
      <w:marRight w:val="0"/>
      <w:marTop w:val="0"/>
      <w:marBottom w:val="0"/>
      <w:divBdr>
        <w:top w:val="none" w:sz="0" w:space="0" w:color="auto"/>
        <w:left w:val="none" w:sz="0" w:space="0" w:color="auto"/>
        <w:bottom w:val="none" w:sz="0" w:space="0" w:color="auto"/>
        <w:right w:val="none" w:sz="0" w:space="0" w:color="auto"/>
      </w:divBdr>
    </w:div>
    <w:div w:id="2025398756">
      <w:bodyDiv w:val="1"/>
      <w:marLeft w:val="0"/>
      <w:marRight w:val="0"/>
      <w:marTop w:val="0"/>
      <w:marBottom w:val="0"/>
      <w:divBdr>
        <w:top w:val="none" w:sz="0" w:space="0" w:color="auto"/>
        <w:left w:val="none" w:sz="0" w:space="0" w:color="auto"/>
        <w:bottom w:val="none" w:sz="0" w:space="0" w:color="auto"/>
        <w:right w:val="none" w:sz="0" w:space="0" w:color="auto"/>
      </w:divBdr>
    </w:div>
    <w:div w:id="2026011127">
      <w:bodyDiv w:val="1"/>
      <w:marLeft w:val="0"/>
      <w:marRight w:val="0"/>
      <w:marTop w:val="0"/>
      <w:marBottom w:val="0"/>
      <w:divBdr>
        <w:top w:val="none" w:sz="0" w:space="0" w:color="auto"/>
        <w:left w:val="none" w:sz="0" w:space="0" w:color="auto"/>
        <w:bottom w:val="none" w:sz="0" w:space="0" w:color="auto"/>
        <w:right w:val="none" w:sz="0" w:space="0" w:color="auto"/>
      </w:divBdr>
    </w:div>
    <w:div w:id="2027554034">
      <w:bodyDiv w:val="1"/>
      <w:marLeft w:val="0"/>
      <w:marRight w:val="0"/>
      <w:marTop w:val="0"/>
      <w:marBottom w:val="0"/>
      <w:divBdr>
        <w:top w:val="none" w:sz="0" w:space="0" w:color="auto"/>
        <w:left w:val="none" w:sz="0" w:space="0" w:color="auto"/>
        <w:bottom w:val="none" w:sz="0" w:space="0" w:color="auto"/>
        <w:right w:val="none" w:sz="0" w:space="0" w:color="auto"/>
      </w:divBdr>
    </w:div>
    <w:div w:id="2030644534">
      <w:bodyDiv w:val="1"/>
      <w:marLeft w:val="0"/>
      <w:marRight w:val="0"/>
      <w:marTop w:val="0"/>
      <w:marBottom w:val="0"/>
      <w:divBdr>
        <w:top w:val="none" w:sz="0" w:space="0" w:color="auto"/>
        <w:left w:val="none" w:sz="0" w:space="0" w:color="auto"/>
        <w:bottom w:val="none" w:sz="0" w:space="0" w:color="auto"/>
        <w:right w:val="none" w:sz="0" w:space="0" w:color="auto"/>
      </w:divBdr>
    </w:div>
    <w:div w:id="2030830826">
      <w:bodyDiv w:val="1"/>
      <w:marLeft w:val="0"/>
      <w:marRight w:val="0"/>
      <w:marTop w:val="0"/>
      <w:marBottom w:val="0"/>
      <w:divBdr>
        <w:top w:val="none" w:sz="0" w:space="0" w:color="auto"/>
        <w:left w:val="none" w:sz="0" w:space="0" w:color="auto"/>
        <w:bottom w:val="none" w:sz="0" w:space="0" w:color="auto"/>
        <w:right w:val="none" w:sz="0" w:space="0" w:color="auto"/>
      </w:divBdr>
    </w:div>
    <w:div w:id="2031225087">
      <w:bodyDiv w:val="1"/>
      <w:marLeft w:val="0"/>
      <w:marRight w:val="0"/>
      <w:marTop w:val="0"/>
      <w:marBottom w:val="0"/>
      <w:divBdr>
        <w:top w:val="none" w:sz="0" w:space="0" w:color="auto"/>
        <w:left w:val="none" w:sz="0" w:space="0" w:color="auto"/>
        <w:bottom w:val="none" w:sz="0" w:space="0" w:color="auto"/>
        <w:right w:val="none" w:sz="0" w:space="0" w:color="auto"/>
      </w:divBdr>
    </w:div>
    <w:div w:id="2031493406">
      <w:bodyDiv w:val="1"/>
      <w:marLeft w:val="0"/>
      <w:marRight w:val="0"/>
      <w:marTop w:val="0"/>
      <w:marBottom w:val="0"/>
      <w:divBdr>
        <w:top w:val="none" w:sz="0" w:space="0" w:color="auto"/>
        <w:left w:val="none" w:sz="0" w:space="0" w:color="auto"/>
        <w:bottom w:val="none" w:sz="0" w:space="0" w:color="auto"/>
        <w:right w:val="none" w:sz="0" w:space="0" w:color="auto"/>
      </w:divBdr>
    </w:div>
    <w:div w:id="2031760122">
      <w:bodyDiv w:val="1"/>
      <w:marLeft w:val="0"/>
      <w:marRight w:val="0"/>
      <w:marTop w:val="0"/>
      <w:marBottom w:val="0"/>
      <w:divBdr>
        <w:top w:val="none" w:sz="0" w:space="0" w:color="auto"/>
        <w:left w:val="none" w:sz="0" w:space="0" w:color="auto"/>
        <w:bottom w:val="none" w:sz="0" w:space="0" w:color="auto"/>
        <w:right w:val="none" w:sz="0" w:space="0" w:color="auto"/>
      </w:divBdr>
    </w:div>
    <w:div w:id="2031905793">
      <w:bodyDiv w:val="1"/>
      <w:marLeft w:val="0"/>
      <w:marRight w:val="0"/>
      <w:marTop w:val="0"/>
      <w:marBottom w:val="0"/>
      <w:divBdr>
        <w:top w:val="none" w:sz="0" w:space="0" w:color="auto"/>
        <w:left w:val="none" w:sz="0" w:space="0" w:color="auto"/>
        <w:bottom w:val="none" w:sz="0" w:space="0" w:color="auto"/>
        <w:right w:val="none" w:sz="0" w:space="0" w:color="auto"/>
      </w:divBdr>
    </w:div>
    <w:div w:id="2031953641">
      <w:bodyDiv w:val="1"/>
      <w:marLeft w:val="0"/>
      <w:marRight w:val="0"/>
      <w:marTop w:val="0"/>
      <w:marBottom w:val="0"/>
      <w:divBdr>
        <w:top w:val="none" w:sz="0" w:space="0" w:color="auto"/>
        <w:left w:val="none" w:sz="0" w:space="0" w:color="auto"/>
        <w:bottom w:val="none" w:sz="0" w:space="0" w:color="auto"/>
        <w:right w:val="none" w:sz="0" w:space="0" w:color="auto"/>
      </w:divBdr>
    </w:div>
    <w:div w:id="2033263701">
      <w:bodyDiv w:val="1"/>
      <w:marLeft w:val="0"/>
      <w:marRight w:val="0"/>
      <w:marTop w:val="0"/>
      <w:marBottom w:val="0"/>
      <w:divBdr>
        <w:top w:val="none" w:sz="0" w:space="0" w:color="auto"/>
        <w:left w:val="none" w:sz="0" w:space="0" w:color="auto"/>
        <w:bottom w:val="none" w:sz="0" w:space="0" w:color="auto"/>
        <w:right w:val="none" w:sz="0" w:space="0" w:color="auto"/>
      </w:divBdr>
    </w:div>
    <w:div w:id="2036227880">
      <w:bodyDiv w:val="1"/>
      <w:marLeft w:val="0"/>
      <w:marRight w:val="0"/>
      <w:marTop w:val="0"/>
      <w:marBottom w:val="0"/>
      <w:divBdr>
        <w:top w:val="none" w:sz="0" w:space="0" w:color="auto"/>
        <w:left w:val="none" w:sz="0" w:space="0" w:color="auto"/>
        <w:bottom w:val="none" w:sz="0" w:space="0" w:color="auto"/>
        <w:right w:val="none" w:sz="0" w:space="0" w:color="auto"/>
      </w:divBdr>
    </w:div>
    <w:div w:id="2036419532">
      <w:bodyDiv w:val="1"/>
      <w:marLeft w:val="0"/>
      <w:marRight w:val="0"/>
      <w:marTop w:val="0"/>
      <w:marBottom w:val="0"/>
      <w:divBdr>
        <w:top w:val="none" w:sz="0" w:space="0" w:color="auto"/>
        <w:left w:val="none" w:sz="0" w:space="0" w:color="auto"/>
        <w:bottom w:val="none" w:sz="0" w:space="0" w:color="auto"/>
        <w:right w:val="none" w:sz="0" w:space="0" w:color="auto"/>
      </w:divBdr>
    </w:div>
    <w:div w:id="2038652736">
      <w:bodyDiv w:val="1"/>
      <w:marLeft w:val="0"/>
      <w:marRight w:val="0"/>
      <w:marTop w:val="0"/>
      <w:marBottom w:val="0"/>
      <w:divBdr>
        <w:top w:val="none" w:sz="0" w:space="0" w:color="auto"/>
        <w:left w:val="none" w:sz="0" w:space="0" w:color="auto"/>
        <w:bottom w:val="none" w:sz="0" w:space="0" w:color="auto"/>
        <w:right w:val="none" w:sz="0" w:space="0" w:color="auto"/>
      </w:divBdr>
    </w:div>
    <w:div w:id="2039040367">
      <w:bodyDiv w:val="1"/>
      <w:marLeft w:val="0"/>
      <w:marRight w:val="0"/>
      <w:marTop w:val="0"/>
      <w:marBottom w:val="0"/>
      <w:divBdr>
        <w:top w:val="none" w:sz="0" w:space="0" w:color="auto"/>
        <w:left w:val="none" w:sz="0" w:space="0" w:color="auto"/>
        <w:bottom w:val="none" w:sz="0" w:space="0" w:color="auto"/>
        <w:right w:val="none" w:sz="0" w:space="0" w:color="auto"/>
      </w:divBdr>
    </w:div>
    <w:div w:id="2039164729">
      <w:bodyDiv w:val="1"/>
      <w:marLeft w:val="0"/>
      <w:marRight w:val="0"/>
      <w:marTop w:val="0"/>
      <w:marBottom w:val="0"/>
      <w:divBdr>
        <w:top w:val="none" w:sz="0" w:space="0" w:color="auto"/>
        <w:left w:val="none" w:sz="0" w:space="0" w:color="auto"/>
        <w:bottom w:val="none" w:sz="0" w:space="0" w:color="auto"/>
        <w:right w:val="none" w:sz="0" w:space="0" w:color="auto"/>
      </w:divBdr>
    </w:div>
    <w:div w:id="2040661297">
      <w:bodyDiv w:val="1"/>
      <w:marLeft w:val="0"/>
      <w:marRight w:val="0"/>
      <w:marTop w:val="0"/>
      <w:marBottom w:val="0"/>
      <w:divBdr>
        <w:top w:val="none" w:sz="0" w:space="0" w:color="auto"/>
        <w:left w:val="none" w:sz="0" w:space="0" w:color="auto"/>
        <w:bottom w:val="none" w:sz="0" w:space="0" w:color="auto"/>
        <w:right w:val="none" w:sz="0" w:space="0" w:color="auto"/>
      </w:divBdr>
    </w:div>
    <w:div w:id="2041317392">
      <w:bodyDiv w:val="1"/>
      <w:marLeft w:val="0"/>
      <w:marRight w:val="0"/>
      <w:marTop w:val="0"/>
      <w:marBottom w:val="0"/>
      <w:divBdr>
        <w:top w:val="none" w:sz="0" w:space="0" w:color="auto"/>
        <w:left w:val="none" w:sz="0" w:space="0" w:color="auto"/>
        <w:bottom w:val="none" w:sz="0" w:space="0" w:color="auto"/>
        <w:right w:val="none" w:sz="0" w:space="0" w:color="auto"/>
      </w:divBdr>
    </w:div>
    <w:div w:id="2042198993">
      <w:bodyDiv w:val="1"/>
      <w:marLeft w:val="0"/>
      <w:marRight w:val="0"/>
      <w:marTop w:val="0"/>
      <w:marBottom w:val="0"/>
      <w:divBdr>
        <w:top w:val="none" w:sz="0" w:space="0" w:color="auto"/>
        <w:left w:val="none" w:sz="0" w:space="0" w:color="auto"/>
        <w:bottom w:val="none" w:sz="0" w:space="0" w:color="auto"/>
        <w:right w:val="none" w:sz="0" w:space="0" w:color="auto"/>
      </w:divBdr>
    </w:div>
    <w:div w:id="2043820449">
      <w:bodyDiv w:val="1"/>
      <w:marLeft w:val="0"/>
      <w:marRight w:val="0"/>
      <w:marTop w:val="0"/>
      <w:marBottom w:val="0"/>
      <w:divBdr>
        <w:top w:val="none" w:sz="0" w:space="0" w:color="auto"/>
        <w:left w:val="none" w:sz="0" w:space="0" w:color="auto"/>
        <w:bottom w:val="none" w:sz="0" w:space="0" w:color="auto"/>
        <w:right w:val="none" w:sz="0" w:space="0" w:color="auto"/>
      </w:divBdr>
    </w:div>
    <w:div w:id="2046129262">
      <w:bodyDiv w:val="1"/>
      <w:marLeft w:val="0"/>
      <w:marRight w:val="0"/>
      <w:marTop w:val="0"/>
      <w:marBottom w:val="0"/>
      <w:divBdr>
        <w:top w:val="none" w:sz="0" w:space="0" w:color="auto"/>
        <w:left w:val="none" w:sz="0" w:space="0" w:color="auto"/>
        <w:bottom w:val="none" w:sz="0" w:space="0" w:color="auto"/>
        <w:right w:val="none" w:sz="0" w:space="0" w:color="auto"/>
      </w:divBdr>
    </w:div>
    <w:div w:id="2046175145">
      <w:bodyDiv w:val="1"/>
      <w:marLeft w:val="0"/>
      <w:marRight w:val="0"/>
      <w:marTop w:val="0"/>
      <w:marBottom w:val="0"/>
      <w:divBdr>
        <w:top w:val="none" w:sz="0" w:space="0" w:color="auto"/>
        <w:left w:val="none" w:sz="0" w:space="0" w:color="auto"/>
        <w:bottom w:val="none" w:sz="0" w:space="0" w:color="auto"/>
        <w:right w:val="none" w:sz="0" w:space="0" w:color="auto"/>
      </w:divBdr>
    </w:div>
    <w:div w:id="2046322130">
      <w:bodyDiv w:val="1"/>
      <w:marLeft w:val="0"/>
      <w:marRight w:val="0"/>
      <w:marTop w:val="0"/>
      <w:marBottom w:val="0"/>
      <w:divBdr>
        <w:top w:val="none" w:sz="0" w:space="0" w:color="auto"/>
        <w:left w:val="none" w:sz="0" w:space="0" w:color="auto"/>
        <w:bottom w:val="none" w:sz="0" w:space="0" w:color="auto"/>
        <w:right w:val="none" w:sz="0" w:space="0" w:color="auto"/>
      </w:divBdr>
    </w:div>
    <w:div w:id="2046366674">
      <w:bodyDiv w:val="1"/>
      <w:marLeft w:val="0"/>
      <w:marRight w:val="0"/>
      <w:marTop w:val="0"/>
      <w:marBottom w:val="0"/>
      <w:divBdr>
        <w:top w:val="none" w:sz="0" w:space="0" w:color="auto"/>
        <w:left w:val="none" w:sz="0" w:space="0" w:color="auto"/>
        <w:bottom w:val="none" w:sz="0" w:space="0" w:color="auto"/>
        <w:right w:val="none" w:sz="0" w:space="0" w:color="auto"/>
      </w:divBdr>
    </w:div>
    <w:div w:id="2046833294">
      <w:bodyDiv w:val="1"/>
      <w:marLeft w:val="0"/>
      <w:marRight w:val="0"/>
      <w:marTop w:val="0"/>
      <w:marBottom w:val="0"/>
      <w:divBdr>
        <w:top w:val="none" w:sz="0" w:space="0" w:color="auto"/>
        <w:left w:val="none" w:sz="0" w:space="0" w:color="auto"/>
        <w:bottom w:val="none" w:sz="0" w:space="0" w:color="auto"/>
        <w:right w:val="none" w:sz="0" w:space="0" w:color="auto"/>
      </w:divBdr>
    </w:div>
    <w:div w:id="2047026738">
      <w:bodyDiv w:val="1"/>
      <w:marLeft w:val="0"/>
      <w:marRight w:val="0"/>
      <w:marTop w:val="0"/>
      <w:marBottom w:val="0"/>
      <w:divBdr>
        <w:top w:val="none" w:sz="0" w:space="0" w:color="auto"/>
        <w:left w:val="none" w:sz="0" w:space="0" w:color="auto"/>
        <w:bottom w:val="none" w:sz="0" w:space="0" w:color="auto"/>
        <w:right w:val="none" w:sz="0" w:space="0" w:color="auto"/>
      </w:divBdr>
    </w:div>
    <w:div w:id="2047485370">
      <w:bodyDiv w:val="1"/>
      <w:marLeft w:val="0"/>
      <w:marRight w:val="0"/>
      <w:marTop w:val="0"/>
      <w:marBottom w:val="0"/>
      <w:divBdr>
        <w:top w:val="none" w:sz="0" w:space="0" w:color="auto"/>
        <w:left w:val="none" w:sz="0" w:space="0" w:color="auto"/>
        <w:bottom w:val="none" w:sz="0" w:space="0" w:color="auto"/>
        <w:right w:val="none" w:sz="0" w:space="0" w:color="auto"/>
      </w:divBdr>
    </w:div>
    <w:div w:id="2047555517">
      <w:bodyDiv w:val="1"/>
      <w:marLeft w:val="0"/>
      <w:marRight w:val="0"/>
      <w:marTop w:val="0"/>
      <w:marBottom w:val="0"/>
      <w:divBdr>
        <w:top w:val="none" w:sz="0" w:space="0" w:color="auto"/>
        <w:left w:val="none" w:sz="0" w:space="0" w:color="auto"/>
        <w:bottom w:val="none" w:sz="0" w:space="0" w:color="auto"/>
        <w:right w:val="none" w:sz="0" w:space="0" w:color="auto"/>
      </w:divBdr>
    </w:div>
    <w:div w:id="2048406025">
      <w:bodyDiv w:val="1"/>
      <w:marLeft w:val="0"/>
      <w:marRight w:val="0"/>
      <w:marTop w:val="0"/>
      <w:marBottom w:val="0"/>
      <w:divBdr>
        <w:top w:val="none" w:sz="0" w:space="0" w:color="auto"/>
        <w:left w:val="none" w:sz="0" w:space="0" w:color="auto"/>
        <w:bottom w:val="none" w:sz="0" w:space="0" w:color="auto"/>
        <w:right w:val="none" w:sz="0" w:space="0" w:color="auto"/>
      </w:divBdr>
    </w:div>
    <w:div w:id="2048989537">
      <w:bodyDiv w:val="1"/>
      <w:marLeft w:val="0"/>
      <w:marRight w:val="0"/>
      <w:marTop w:val="0"/>
      <w:marBottom w:val="0"/>
      <w:divBdr>
        <w:top w:val="none" w:sz="0" w:space="0" w:color="auto"/>
        <w:left w:val="none" w:sz="0" w:space="0" w:color="auto"/>
        <w:bottom w:val="none" w:sz="0" w:space="0" w:color="auto"/>
        <w:right w:val="none" w:sz="0" w:space="0" w:color="auto"/>
      </w:divBdr>
    </w:div>
    <w:div w:id="2054382200">
      <w:bodyDiv w:val="1"/>
      <w:marLeft w:val="0"/>
      <w:marRight w:val="0"/>
      <w:marTop w:val="0"/>
      <w:marBottom w:val="0"/>
      <w:divBdr>
        <w:top w:val="none" w:sz="0" w:space="0" w:color="auto"/>
        <w:left w:val="none" w:sz="0" w:space="0" w:color="auto"/>
        <w:bottom w:val="none" w:sz="0" w:space="0" w:color="auto"/>
        <w:right w:val="none" w:sz="0" w:space="0" w:color="auto"/>
      </w:divBdr>
    </w:div>
    <w:div w:id="2054771938">
      <w:bodyDiv w:val="1"/>
      <w:marLeft w:val="0"/>
      <w:marRight w:val="0"/>
      <w:marTop w:val="0"/>
      <w:marBottom w:val="0"/>
      <w:divBdr>
        <w:top w:val="none" w:sz="0" w:space="0" w:color="auto"/>
        <w:left w:val="none" w:sz="0" w:space="0" w:color="auto"/>
        <w:bottom w:val="none" w:sz="0" w:space="0" w:color="auto"/>
        <w:right w:val="none" w:sz="0" w:space="0" w:color="auto"/>
      </w:divBdr>
    </w:div>
    <w:div w:id="2054884840">
      <w:bodyDiv w:val="1"/>
      <w:marLeft w:val="0"/>
      <w:marRight w:val="0"/>
      <w:marTop w:val="0"/>
      <w:marBottom w:val="0"/>
      <w:divBdr>
        <w:top w:val="none" w:sz="0" w:space="0" w:color="auto"/>
        <w:left w:val="none" w:sz="0" w:space="0" w:color="auto"/>
        <w:bottom w:val="none" w:sz="0" w:space="0" w:color="auto"/>
        <w:right w:val="none" w:sz="0" w:space="0" w:color="auto"/>
      </w:divBdr>
    </w:div>
    <w:div w:id="2058237532">
      <w:bodyDiv w:val="1"/>
      <w:marLeft w:val="0"/>
      <w:marRight w:val="0"/>
      <w:marTop w:val="0"/>
      <w:marBottom w:val="0"/>
      <w:divBdr>
        <w:top w:val="none" w:sz="0" w:space="0" w:color="auto"/>
        <w:left w:val="none" w:sz="0" w:space="0" w:color="auto"/>
        <w:bottom w:val="none" w:sz="0" w:space="0" w:color="auto"/>
        <w:right w:val="none" w:sz="0" w:space="0" w:color="auto"/>
      </w:divBdr>
    </w:div>
    <w:div w:id="2059745406">
      <w:bodyDiv w:val="1"/>
      <w:marLeft w:val="0"/>
      <w:marRight w:val="0"/>
      <w:marTop w:val="0"/>
      <w:marBottom w:val="0"/>
      <w:divBdr>
        <w:top w:val="none" w:sz="0" w:space="0" w:color="auto"/>
        <w:left w:val="none" w:sz="0" w:space="0" w:color="auto"/>
        <w:bottom w:val="none" w:sz="0" w:space="0" w:color="auto"/>
        <w:right w:val="none" w:sz="0" w:space="0" w:color="auto"/>
      </w:divBdr>
    </w:div>
    <w:div w:id="2064326462">
      <w:bodyDiv w:val="1"/>
      <w:marLeft w:val="0"/>
      <w:marRight w:val="0"/>
      <w:marTop w:val="0"/>
      <w:marBottom w:val="0"/>
      <w:divBdr>
        <w:top w:val="none" w:sz="0" w:space="0" w:color="auto"/>
        <w:left w:val="none" w:sz="0" w:space="0" w:color="auto"/>
        <w:bottom w:val="none" w:sz="0" w:space="0" w:color="auto"/>
        <w:right w:val="none" w:sz="0" w:space="0" w:color="auto"/>
      </w:divBdr>
    </w:div>
    <w:div w:id="2064598142">
      <w:bodyDiv w:val="1"/>
      <w:marLeft w:val="0"/>
      <w:marRight w:val="0"/>
      <w:marTop w:val="0"/>
      <w:marBottom w:val="0"/>
      <w:divBdr>
        <w:top w:val="none" w:sz="0" w:space="0" w:color="auto"/>
        <w:left w:val="none" w:sz="0" w:space="0" w:color="auto"/>
        <w:bottom w:val="none" w:sz="0" w:space="0" w:color="auto"/>
        <w:right w:val="none" w:sz="0" w:space="0" w:color="auto"/>
      </w:divBdr>
    </w:div>
    <w:div w:id="2066635882">
      <w:bodyDiv w:val="1"/>
      <w:marLeft w:val="0"/>
      <w:marRight w:val="0"/>
      <w:marTop w:val="0"/>
      <w:marBottom w:val="0"/>
      <w:divBdr>
        <w:top w:val="none" w:sz="0" w:space="0" w:color="auto"/>
        <w:left w:val="none" w:sz="0" w:space="0" w:color="auto"/>
        <w:bottom w:val="none" w:sz="0" w:space="0" w:color="auto"/>
        <w:right w:val="none" w:sz="0" w:space="0" w:color="auto"/>
      </w:divBdr>
    </w:div>
    <w:div w:id="2066642219">
      <w:bodyDiv w:val="1"/>
      <w:marLeft w:val="0"/>
      <w:marRight w:val="0"/>
      <w:marTop w:val="0"/>
      <w:marBottom w:val="0"/>
      <w:divBdr>
        <w:top w:val="none" w:sz="0" w:space="0" w:color="auto"/>
        <w:left w:val="none" w:sz="0" w:space="0" w:color="auto"/>
        <w:bottom w:val="none" w:sz="0" w:space="0" w:color="auto"/>
        <w:right w:val="none" w:sz="0" w:space="0" w:color="auto"/>
      </w:divBdr>
    </w:div>
    <w:div w:id="2068450430">
      <w:bodyDiv w:val="1"/>
      <w:marLeft w:val="0"/>
      <w:marRight w:val="0"/>
      <w:marTop w:val="0"/>
      <w:marBottom w:val="0"/>
      <w:divBdr>
        <w:top w:val="none" w:sz="0" w:space="0" w:color="auto"/>
        <w:left w:val="none" w:sz="0" w:space="0" w:color="auto"/>
        <w:bottom w:val="none" w:sz="0" w:space="0" w:color="auto"/>
        <w:right w:val="none" w:sz="0" w:space="0" w:color="auto"/>
      </w:divBdr>
    </w:div>
    <w:div w:id="2070690822">
      <w:bodyDiv w:val="1"/>
      <w:marLeft w:val="0"/>
      <w:marRight w:val="0"/>
      <w:marTop w:val="0"/>
      <w:marBottom w:val="0"/>
      <w:divBdr>
        <w:top w:val="none" w:sz="0" w:space="0" w:color="auto"/>
        <w:left w:val="none" w:sz="0" w:space="0" w:color="auto"/>
        <w:bottom w:val="none" w:sz="0" w:space="0" w:color="auto"/>
        <w:right w:val="none" w:sz="0" w:space="0" w:color="auto"/>
      </w:divBdr>
    </w:div>
    <w:div w:id="2071271449">
      <w:bodyDiv w:val="1"/>
      <w:marLeft w:val="0"/>
      <w:marRight w:val="0"/>
      <w:marTop w:val="0"/>
      <w:marBottom w:val="0"/>
      <w:divBdr>
        <w:top w:val="none" w:sz="0" w:space="0" w:color="auto"/>
        <w:left w:val="none" w:sz="0" w:space="0" w:color="auto"/>
        <w:bottom w:val="none" w:sz="0" w:space="0" w:color="auto"/>
        <w:right w:val="none" w:sz="0" w:space="0" w:color="auto"/>
      </w:divBdr>
    </w:div>
    <w:div w:id="2071613665">
      <w:bodyDiv w:val="1"/>
      <w:marLeft w:val="0"/>
      <w:marRight w:val="0"/>
      <w:marTop w:val="0"/>
      <w:marBottom w:val="0"/>
      <w:divBdr>
        <w:top w:val="none" w:sz="0" w:space="0" w:color="auto"/>
        <w:left w:val="none" w:sz="0" w:space="0" w:color="auto"/>
        <w:bottom w:val="none" w:sz="0" w:space="0" w:color="auto"/>
        <w:right w:val="none" w:sz="0" w:space="0" w:color="auto"/>
      </w:divBdr>
    </w:div>
    <w:div w:id="2073195523">
      <w:bodyDiv w:val="1"/>
      <w:marLeft w:val="0"/>
      <w:marRight w:val="0"/>
      <w:marTop w:val="0"/>
      <w:marBottom w:val="0"/>
      <w:divBdr>
        <w:top w:val="none" w:sz="0" w:space="0" w:color="auto"/>
        <w:left w:val="none" w:sz="0" w:space="0" w:color="auto"/>
        <w:bottom w:val="none" w:sz="0" w:space="0" w:color="auto"/>
        <w:right w:val="none" w:sz="0" w:space="0" w:color="auto"/>
      </w:divBdr>
    </w:div>
    <w:div w:id="2073498719">
      <w:bodyDiv w:val="1"/>
      <w:marLeft w:val="0"/>
      <w:marRight w:val="0"/>
      <w:marTop w:val="0"/>
      <w:marBottom w:val="0"/>
      <w:divBdr>
        <w:top w:val="none" w:sz="0" w:space="0" w:color="auto"/>
        <w:left w:val="none" w:sz="0" w:space="0" w:color="auto"/>
        <w:bottom w:val="none" w:sz="0" w:space="0" w:color="auto"/>
        <w:right w:val="none" w:sz="0" w:space="0" w:color="auto"/>
      </w:divBdr>
    </w:div>
    <w:div w:id="2076197239">
      <w:bodyDiv w:val="1"/>
      <w:marLeft w:val="0"/>
      <w:marRight w:val="0"/>
      <w:marTop w:val="0"/>
      <w:marBottom w:val="0"/>
      <w:divBdr>
        <w:top w:val="none" w:sz="0" w:space="0" w:color="auto"/>
        <w:left w:val="none" w:sz="0" w:space="0" w:color="auto"/>
        <w:bottom w:val="none" w:sz="0" w:space="0" w:color="auto"/>
        <w:right w:val="none" w:sz="0" w:space="0" w:color="auto"/>
      </w:divBdr>
    </w:div>
    <w:div w:id="2076394021">
      <w:bodyDiv w:val="1"/>
      <w:marLeft w:val="0"/>
      <w:marRight w:val="0"/>
      <w:marTop w:val="0"/>
      <w:marBottom w:val="0"/>
      <w:divBdr>
        <w:top w:val="none" w:sz="0" w:space="0" w:color="auto"/>
        <w:left w:val="none" w:sz="0" w:space="0" w:color="auto"/>
        <w:bottom w:val="none" w:sz="0" w:space="0" w:color="auto"/>
        <w:right w:val="none" w:sz="0" w:space="0" w:color="auto"/>
      </w:divBdr>
    </w:div>
    <w:div w:id="2077245347">
      <w:bodyDiv w:val="1"/>
      <w:marLeft w:val="0"/>
      <w:marRight w:val="0"/>
      <w:marTop w:val="0"/>
      <w:marBottom w:val="0"/>
      <w:divBdr>
        <w:top w:val="none" w:sz="0" w:space="0" w:color="auto"/>
        <w:left w:val="none" w:sz="0" w:space="0" w:color="auto"/>
        <w:bottom w:val="none" w:sz="0" w:space="0" w:color="auto"/>
        <w:right w:val="none" w:sz="0" w:space="0" w:color="auto"/>
      </w:divBdr>
    </w:div>
    <w:div w:id="2077388885">
      <w:bodyDiv w:val="1"/>
      <w:marLeft w:val="0"/>
      <w:marRight w:val="0"/>
      <w:marTop w:val="0"/>
      <w:marBottom w:val="0"/>
      <w:divBdr>
        <w:top w:val="none" w:sz="0" w:space="0" w:color="auto"/>
        <w:left w:val="none" w:sz="0" w:space="0" w:color="auto"/>
        <w:bottom w:val="none" w:sz="0" w:space="0" w:color="auto"/>
        <w:right w:val="none" w:sz="0" w:space="0" w:color="auto"/>
      </w:divBdr>
    </w:div>
    <w:div w:id="2077511687">
      <w:bodyDiv w:val="1"/>
      <w:marLeft w:val="0"/>
      <w:marRight w:val="0"/>
      <w:marTop w:val="0"/>
      <w:marBottom w:val="0"/>
      <w:divBdr>
        <w:top w:val="none" w:sz="0" w:space="0" w:color="auto"/>
        <w:left w:val="none" w:sz="0" w:space="0" w:color="auto"/>
        <w:bottom w:val="none" w:sz="0" w:space="0" w:color="auto"/>
        <w:right w:val="none" w:sz="0" w:space="0" w:color="auto"/>
      </w:divBdr>
    </w:div>
    <w:div w:id="2079089420">
      <w:bodyDiv w:val="1"/>
      <w:marLeft w:val="0"/>
      <w:marRight w:val="0"/>
      <w:marTop w:val="0"/>
      <w:marBottom w:val="0"/>
      <w:divBdr>
        <w:top w:val="none" w:sz="0" w:space="0" w:color="auto"/>
        <w:left w:val="none" w:sz="0" w:space="0" w:color="auto"/>
        <w:bottom w:val="none" w:sz="0" w:space="0" w:color="auto"/>
        <w:right w:val="none" w:sz="0" w:space="0" w:color="auto"/>
      </w:divBdr>
    </w:div>
    <w:div w:id="2079471184">
      <w:bodyDiv w:val="1"/>
      <w:marLeft w:val="0"/>
      <w:marRight w:val="0"/>
      <w:marTop w:val="0"/>
      <w:marBottom w:val="0"/>
      <w:divBdr>
        <w:top w:val="none" w:sz="0" w:space="0" w:color="auto"/>
        <w:left w:val="none" w:sz="0" w:space="0" w:color="auto"/>
        <w:bottom w:val="none" w:sz="0" w:space="0" w:color="auto"/>
        <w:right w:val="none" w:sz="0" w:space="0" w:color="auto"/>
      </w:divBdr>
    </w:div>
    <w:div w:id="2079663759">
      <w:bodyDiv w:val="1"/>
      <w:marLeft w:val="0"/>
      <w:marRight w:val="0"/>
      <w:marTop w:val="0"/>
      <w:marBottom w:val="0"/>
      <w:divBdr>
        <w:top w:val="none" w:sz="0" w:space="0" w:color="auto"/>
        <w:left w:val="none" w:sz="0" w:space="0" w:color="auto"/>
        <w:bottom w:val="none" w:sz="0" w:space="0" w:color="auto"/>
        <w:right w:val="none" w:sz="0" w:space="0" w:color="auto"/>
      </w:divBdr>
    </w:div>
    <w:div w:id="2080982444">
      <w:bodyDiv w:val="1"/>
      <w:marLeft w:val="0"/>
      <w:marRight w:val="0"/>
      <w:marTop w:val="0"/>
      <w:marBottom w:val="0"/>
      <w:divBdr>
        <w:top w:val="none" w:sz="0" w:space="0" w:color="auto"/>
        <w:left w:val="none" w:sz="0" w:space="0" w:color="auto"/>
        <w:bottom w:val="none" w:sz="0" w:space="0" w:color="auto"/>
        <w:right w:val="none" w:sz="0" w:space="0" w:color="auto"/>
      </w:divBdr>
    </w:div>
    <w:div w:id="2081630488">
      <w:bodyDiv w:val="1"/>
      <w:marLeft w:val="0"/>
      <w:marRight w:val="0"/>
      <w:marTop w:val="0"/>
      <w:marBottom w:val="0"/>
      <w:divBdr>
        <w:top w:val="none" w:sz="0" w:space="0" w:color="auto"/>
        <w:left w:val="none" w:sz="0" w:space="0" w:color="auto"/>
        <w:bottom w:val="none" w:sz="0" w:space="0" w:color="auto"/>
        <w:right w:val="none" w:sz="0" w:space="0" w:color="auto"/>
      </w:divBdr>
    </w:div>
    <w:div w:id="2088722255">
      <w:bodyDiv w:val="1"/>
      <w:marLeft w:val="0"/>
      <w:marRight w:val="0"/>
      <w:marTop w:val="0"/>
      <w:marBottom w:val="0"/>
      <w:divBdr>
        <w:top w:val="none" w:sz="0" w:space="0" w:color="auto"/>
        <w:left w:val="none" w:sz="0" w:space="0" w:color="auto"/>
        <w:bottom w:val="none" w:sz="0" w:space="0" w:color="auto"/>
        <w:right w:val="none" w:sz="0" w:space="0" w:color="auto"/>
      </w:divBdr>
    </w:div>
    <w:div w:id="2090537691">
      <w:bodyDiv w:val="1"/>
      <w:marLeft w:val="0"/>
      <w:marRight w:val="0"/>
      <w:marTop w:val="0"/>
      <w:marBottom w:val="0"/>
      <w:divBdr>
        <w:top w:val="none" w:sz="0" w:space="0" w:color="auto"/>
        <w:left w:val="none" w:sz="0" w:space="0" w:color="auto"/>
        <w:bottom w:val="none" w:sz="0" w:space="0" w:color="auto"/>
        <w:right w:val="none" w:sz="0" w:space="0" w:color="auto"/>
      </w:divBdr>
    </w:div>
    <w:div w:id="2090695010">
      <w:bodyDiv w:val="1"/>
      <w:marLeft w:val="0"/>
      <w:marRight w:val="0"/>
      <w:marTop w:val="0"/>
      <w:marBottom w:val="0"/>
      <w:divBdr>
        <w:top w:val="none" w:sz="0" w:space="0" w:color="auto"/>
        <w:left w:val="none" w:sz="0" w:space="0" w:color="auto"/>
        <w:bottom w:val="none" w:sz="0" w:space="0" w:color="auto"/>
        <w:right w:val="none" w:sz="0" w:space="0" w:color="auto"/>
      </w:divBdr>
    </w:div>
    <w:div w:id="2094546069">
      <w:bodyDiv w:val="1"/>
      <w:marLeft w:val="0"/>
      <w:marRight w:val="0"/>
      <w:marTop w:val="0"/>
      <w:marBottom w:val="0"/>
      <w:divBdr>
        <w:top w:val="none" w:sz="0" w:space="0" w:color="auto"/>
        <w:left w:val="none" w:sz="0" w:space="0" w:color="auto"/>
        <w:bottom w:val="none" w:sz="0" w:space="0" w:color="auto"/>
        <w:right w:val="none" w:sz="0" w:space="0" w:color="auto"/>
      </w:divBdr>
    </w:div>
    <w:div w:id="2094626589">
      <w:bodyDiv w:val="1"/>
      <w:marLeft w:val="0"/>
      <w:marRight w:val="0"/>
      <w:marTop w:val="0"/>
      <w:marBottom w:val="0"/>
      <w:divBdr>
        <w:top w:val="none" w:sz="0" w:space="0" w:color="auto"/>
        <w:left w:val="none" w:sz="0" w:space="0" w:color="auto"/>
        <w:bottom w:val="none" w:sz="0" w:space="0" w:color="auto"/>
        <w:right w:val="none" w:sz="0" w:space="0" w:color="auto"/>
      </w:divBdr>
    </w:div>
    <w:div w:id="2095935740">
      <w:bodyDiv w:val="1"/>
      <w:marLeft w:val="0"/>
      <w:marRight w:val="0"/>
      <w:marTop w:val="0"/>
      <w:marBottom w:val="0"/>
      <w:divBdr>
        <w:top w:val="none" w:sz="0" w:space="0" w:color="auto"/>
        <w:left w:val="none" w:sz="0" w:space="0" w:color="auto"/>
        <w:bottom w:val="none" w:sz="0" w:space="0" w:color="auto"/>
        <w:right w:val="none" w:sz="0" w:space="0" w:color="auto"/>
      </w:divBdr>
    </w:div>
    <w:div w:id="2096432020">
      <w:bodyDiv w:val="1"/>
      <w:marLeft w:val="0"/>
      <w:marRight w:val="0"/>
      <w:marTop w:val="0"/>
      <w:marBottom w:val="0"/>
      <w:divBdr>
        <w:top w:val="none" w:sz="0" w:space="0" w:color="auto"/>
        <w:left w:val="none" w:sz="0" w:space="0" w:color="auto"/>
        <w:bottom w:val="none" w:sz="0" w:space="0" w:color="auto"/>
        <w:right w:val="none" w:sz="0" w:space="0" w:color="auto"/>
      </w:divBdr>
    </w:div>
    <w:div w:id="2096630674">
      <w:bodyDiv w:val="1"/>
      <w:marLeft w:val="0"/>
      <w:marRight w:val="0"/>
      <w:marTop w:val="0"/>
      <w:marBottom w:val="0"/>
      <w:divBdr>
        <w:top w:val="none" w:sz="0" w:space="0" w:color="auto"/>
        <w:left w:val="none" w:sz="0" w:space="0" w:color="auto"/>
        <w:bottom w:val="none" w:sz="0" w:space="0" w:color="auto"/>
        <w:right w:val="none" w:sz="0" w:space="0" w:color="auto"/>
      </w:divBdr>
    </w:div>
    <w:div w:id="2097750932">
      <w:bodyDiv w:val="1"/>
      <w:marLeft w:val="0"/>
      <w:marRight w:val="0"/>
      <w:marTop w:val="0"/>
      <w:marBottom w:val="0"/>
      <w:divBdr>
        <w:top w:val="none" w:sz="0" w:space="0" w:color="auto"/>
        <w:left w:val="none" w:sz="0" w:space="0" w:color="auto"/>
        <w:bottom w:val="none" w:sz="0" w:space="0" w:color="auto"/>
        <w:right w:val="none" w:sz="0" w:space="0" w:color="auto"/>
      </w:divBdr>
    </w:div>
    <w:div w:id="2098138399">
      <w:bodyDiv w:val="1"/>
      <w:marLeft w:val="0"/>
      <w:marRight w:val="0"/>
      <w:marTop w:val="0"/>
      <w:marBottom w:val="0"/>
      <w:divBdr>
        <w:top w:val="none" w:sz="0" w:space="0" w:color="auto"/>
        <w:left w:val="none" w:sz="0" w:space="0" w:color="auto"/>
        <w:bottom w:val="none" w:sz="0" w:space="0" w:color="auto"/>
        <w:right w:val="none" w:sz="0" w:space="0" w:color="auto"/>
      </w:divBdr>
    </w:div>
    <w:div w:id="2098209204">
      <w:bodyDiv w:val="1"/>
      <w:marLeft w:val="0"/>
      <w:marRight w:val="0"/>
      <w:marTop w:val="0"/>
      <w:marBottom w:val="0"/>
      <w:divBdr>
        <w:top w:val="none" w:sz="0" w:space="0" w:color="auto"/>
        <w:left w:val="none" w:sz="0" w:space="0" w:color="auto"/>
        <w:bottom w:val="none" w:sz="0" w:space="0" w:color="auto"/>
        <w:right w:val="none" w:sz="0" w:space="0" w:color="auto"/>
      </w:divBdr>
    </w:div>
    <w:div w:id="2100592357">
      <w:bodyDiv w:val="1"/>
      <w:marLeft w:val="0"/>
      <w:marRight w:val="0"/>
      <w:marTop w:val="0"/>
      <w:marBottom w:val="0"/>
      <w:divBdr>
        <w:top w:val="none" w:sz="0" w:space="0" w:color="auto"/>
        <w:left w:val="none" w:sz="0" w:space="0" w:color="auto"/>
        <w:bottom w:val="none" w:sz="0" w:space="0" w:color="auto"/>
        <w:right w:val="none" w:sz="0" w:space="0" w:color="auto"/>
      </w:divBdr>
    </w:div>
    <w:div w:id="2100905762">
      <w:bodyDiv w:val="1"/>
      <w:marLeft w:val="0"/>
      <w:marRight w:val="0"/>
      <w:marTop w:val="0"/>
      <w:marBottom w:val="0"/>
      <w:divBdr>
        <w:top w:val="none" w:sz="0" w:space="0" w:color="auto"/>
        <w:left w:val="none" w:sz="0" w:space="0" w:color="auto"/>
        <w:bottom w:val="none" w:sz="0" w:space="0" w:color="auto"/>
        <w:right w:val="none" w:sz="0" w:space="0" w:color="auto"/>
      </w:divBdr>
    </w:div>
    <w:div w:id="2102598504">
      <w:bodyDiv w:val="1"/>
      <w:marLeft w:val="0"/>
      <w:marRight w:val="0"/>
      <w:marTop w:val="0"/>
      <w:marBottom w:val="0"/>
      <w:divBdr>
        <w:top w:val="none" w:sz="0" w:space="0" w:color="auto"/>
        <w:left w:val="none" w:sz="0" w:space="0" w:color="auto"/>
        <w:bottom w:val="none" w:sz="0" w:space="0" w:color="auto"/>
        <w:right w:val="none" w:sz="0" w:space="0" w:color="auto"/>
      </w:divBdr>
    </w:div>
    <w:div w:id="2102750124">
      <w:bodyDiv w:val="1"/>
      <w:marLeft w:val="0"/>
      <w:marRight w:val="0"/>
      <w:marTop w:val="0"/>
      <w:marBottom w:val="0"/>
      <w:divBdr>
        <w:top w:val="none" w:sz="0" w:space="0" w:color="auto"/>
        <w:left w:val="none" w:sz="0" w:space="0" w:color="auto"/>
        <w:bottom w:val="none" w:sz="0" w:space="0" w:color="auto"/>
        <w:right w:val="none" w:sz="0" w:space="0" w:color="auto"/>
      </w:divBdr>
    </w:div>
    <w:div w:id="2103913040">
      <w:bodyDiv w:val="1"/>
      <w:marLeft w:val="0"/>
      <w:marRight w:val="0"/>
      <w:marTop w:val="0"/>
      <w:marBottom w:val="0"/>
      <w:divBdr>
        <w:top w:val="none" w:sz="0" w:space="0" w:color="auto"/>
        <w:left w:val="none" w:sz="0" w:space="0" w:color="auto"/>
        <w:bottom w:val="none" w:sz="0" w:space="0" w:color="auto"/>
        <w:right w:val="none" w:sz="0" w:space="0" w:color="auto"/>
      </w:divBdr>
    </w:div>
    <w:div w:id="2104110000">
      <w:bodyDiv w:val="1"/>
      <w:marLeft w:val="0"/>
      <w:marRight w:val="0"/>
      <w:marTop w:val="0"/>
      <w:marBottom w:val="0"/>
      <w:divBdr>
        <w:top w:val="none" w:sz="0" w:space="0" w:color="auto"/>
        <w:left w:val="none" w:sz="0" w:space="0" w:color="auto"/>
        <w:bottom w:val="none" w:sz="0" w:space="0" w:color="auto"/>
        <w:right w:val="none" w:sz="0" w:space="0" w:color="auto"/>
      </w:divBdr>
    </w:div>
    <w:div w:id="2105572919">
      <w:bodyDiv w:val="1"/>
      <w:marLeft w:val="0"/>
      <w:marRight w:val="0"/>
      <w:marTop w:val="0"/>
      <w:marBottom w:val="0"/>
      <w:divBdr>
        <w:top w:val="none" w:sz="0" w:space="0" w:color="auto"/>
        <w:left w:val="none" w:sz="0" w:space="0" w:color="auto"/>
        <w:bottom w:val="none" w:sz="0" w:space="0" w:color="auto"/>
        <w:right w:val="none" w:sz="0" w:space="0" w:color="auto"/>
      </w:divBdr>
    </w:div>
    <w:div w:id="2106226784">
      <w:bodyDiv w:val="1"/>
      <w:marLeft w:val="0"/>
      <w:marRight w:val="0"/>
      <w:marTop w:val="0"/>
      <w:marBottom w:val="0"/>
      <w:divBdr>
        <w:top w:val="none" w:sz="0" w:space="0" w:color="auto"/>
        <w:left w:val="none" w:sz="0" w:space="0" w:color="auto"/>
        <w:bottom w:val="none" w:sz="0" w:space="0" w:color="auto"/>
        <w:right w:val="none" w:sz="0" w:space="0" w:color="auto"/>
      </w:divBdr>
    </w:div>
    <w:div w:id="2107269177">
      <w:bodyDiv w:val="1"/>
      <w:marLeft w:val="0"/>
      <w:marRight w:val="0"/>
      <w:marTop w:val="0"/>
      <w:marBottom w:val="0"/>
      <w:divBdr>
        <w:top w:val="none" w:sz="0" w:space="0" w:color="auto"/>
        <w:left w:val="none" w:sz="0" w:space="0" w:color="auto"/>
        <w:bottom w:val="none" w:sz="0" w:space="0" w:color="auto"/>
        <w:right w:val="none" w:sz="0" w:space="0" w:color="auto"/>
      </w:divBdr>
    </w:div>
    <w:div w:id="2107460360">
      <w:bodyDiv w:val="1"/>
      <w:marLeft w:val="0"/>
      <w:marRight w:val="0"/>
      <w:marTop w:val="0"/>
      <w:marBottom w:val="0"/>
      <w:divBdr>
        <w:top w:val="none" w:sz="0" w:space="0" w:color="auto"/>
        <w:left w:val="none" w:sz="0" w:space="0" w:color="auto"/>
        <w:bottom w:val="none" w:sz="0" w:space="0" w:color="auto"/>
        <w:right w:val="none" w:sz="0" w:space="0" w:color="auto"/>
      </w:divBdr>
    </w:div>
    <w:div w:id="2108505004">
      <w:bodyDiv w:val="1"/>
      <w:marLeft w:val="0"/>
      <w:marRight w:val="0"/>
      <w:marTop w:val="0"/>
      <w:marBottom w:val="0"/>
      <w:divBdr>
        <w:top w:val="none" w:sz="0" w:space="0" w:color="auto"/>
        <w:left w:val="none" w:sz="0" w:space="0" w:color="auto"/>
        <w:bottom w:val="none" w:sz="0" w:space="0" w:color="auto"/>
        <w:right w:val="none" w:sz="0" w:space="0" w:color="auto"/>
      </w:divBdr>
    </w:div>
    <w:div w:id="2108576032">
      <w:bodyDiv w:val="1"/>
      <w:marLeft w:val="0"/>
      <w:marRight w:val="0"/>
      <w:marTop w:val="0"/>
      <w:marBottom w:val="0"/>
      <w:divBdr>
        <w:top w:val="none" w:sz="0" w:space="0" w:color="auto"/>
        <w:left w:val="none" w:sz="0" w:space="0" w:color="auto"/>
        <w:bottom w:val="none" w:sz="0" w:space="0" w:color="auto"/>
        <w:right w:val="none" w:sz="0" w:space="0" w:color="auto"/>
      </w:divBdr>
    </w:div>
    <w:div w:id="2108690469">
      <w:bodyDiv w:val="1"/>
      <w:marLeft w:val="0"/>
      <w:marRight w:val="0"/>
      <w:marTop w:val="0"/>
      <w:marBottom w:val="0"/>
      <w:divBdr>
        <w:top w:val="none" w:sz="0" w:space="0" w:color="auto"/>
        <w:left w:val="none" w:sz="0" w:space="0" w:color="auto"/>
        <w:bottom w:val="none" w:sz="0" w:space="0" w:color="auto"/>
        <w:right w:val="none" w:sz="0" w:space="0" w:color="auto"/>
      </w:divBdr>
    </w:div>
    <w:div w:id="2108845732">
      <w:bodyDiv w:val="1"/>
      <w:marLeft w:val="0"/>
      <w:marRight w:val="0"/>
      <w:marTop w:val="0"/>
      <w:marBottom w:val="0"/>
      <w:divBdr>
        <w:top w:val="none" w:sz="0" w:space="0" w:color="auto"/>
        <w:left w:val="none" w:sz="0" w:space="0" w:color="auto"/>
        <w:bottom w:val="none" w:sz="0" w:space="0" w:color="auto"/>
        <w:right w:val="none" w:sz="0" w:space="0" w:color="auto"/>
      </w:divBdr>
    </w:div>
    <w:div w:id="2109306091">
      <w:bodyDiv w:val="1"/>
      <w:marLeft w:val="0"/>
      <w:marRight w:val="0"/>
      <w:marTop w:val="0"/>
      <w:marBottom w:val="0"/>
      <w:divBdr>
        <w:top w:val="none" w:sz="0" w:space="0" w:color="auto"/>
        <w:left w:val="none" w:sz="0" w:space="0" w:color="auto"/>
        <w:bottom w:val="none" w:sz="0" w:space="0" w:color="auto"/>
        <w:right w:val="none" w:sz="0" w:space="0" w:color="auto"/>
      </w:divBdr>
    </w:div>
    <w:div w:id="2109690025">
      <w:bodyDiv w:val="1"/>
      <w:marLeft w:val="0"/>
      <w:marRight w:val="0"/>
      <w:marTop w:val="0"/>
      <w:marBottom w:val="0"/>
      <w:divBdr>
        <w:top w:val="none" w:sz="0" w:space="0" w:color="auto"/>
        <w:left w:val="none" w:sz="0" w:space="0" w:color="auto"/>
        <w:bottom w:val="none" w:sz="0" w:space="0" w:color="auto"/>
        <w:right w:val="none" w:sz="0" w:space="0" w:color="auto"/>
      </w:divBdr>
    </w:div>
    <w:div w:id="2110225557">
      <w:bodyDiv w:val="1"/>
      <w:marLeft w:val="0"/>
      <w:marRight w:val="0"/>
      <w:marTop w:val="0"/>
      <w:marBottom w:val="0"/>
      <w:divBdr>
        <w:top w:val="none" w:sz="0" w:space="0" w:color="auto"/>
        <w:left w:val="none" w:sz="0" w:space="0" w:color="auto"/>
        <w:bottom w:val="none" w:sz="0" w:space="0" w:color="auto"/>
        <w:right w:val="none" w:sz="0" w:space="0" w:color="auto"/>
      </w:divBdr>
    </w:div>
    <w:div w:id="2111196351">
      <w:bodyDiv w:val="1"/>
      <w:marLeft w:val="0"/>
      <w:marRight w:val="0"/>
      <w:marTop w:val="0"/>
      <w:marBottom w:val="0"/>
      <w:divBdr>
        <w:top w:val="none" w:sz="0" w:space="0" w:color="auto"/>
        <w:left w:val="none" w:sz="0" w:space="0" w:color="auto"/>
        <w:bottom w:val="none" w:sz="0" w:space="0" w:color="auto"/>
        <w:right w:val="none" w:sz="0" w:space="0" w:color="auto"/>
      </w:divBdr>
    </w:div>
    <w:div w:id="2112042866">
      <w:bodyDiv w:val="1"/>
      <w:marLeft w:val="0"/>
      <w:marRight w:val="0"/>
      <w:marTop w:val="0"/>
      <w:marBottom w:val="0"/>
      <w:divBdr>
        <w:top w:val="none" w:sz="0" w:space="0" w:color="auto"/>
        <w:left w:val="none" w:sz="0" w:space="0" w:color="auto"/>
        <w:bottom w:val="none" w:sz="0" w:space="0" w:color="auto"/>
        <w:right w:val="none" w:sz="0" w:space="0" w:color="auto"/>
      </w:divBdr>
    </w:div>
    <w:div w:id="2112771597">
      <w:bodyDiv w:val="1"/>
      <w:marLeft w:val="0"/>
      <w:marRight w:val="0"/>
      <w:marTop w:val="0"/>
      <w:marBottom w:val="0"/>
      <w:divBdr>
        <w:top w:val="none" w:sz="0" w:space="0" w:color="auto"/>
        <w:left w:val="none" w:sz="0" w:space="0" w:color="auto"/>
        <w:bottom w:val="none" w:sz="0" w:space="0" w:color="auto"/>
        <w:right w:val="none" w:sz="0" w:space="0" w:color="auto"/>
      </w:divBdr>
    </w:div>
    <w:div w:id="2113623373">
      <w:bodyDiv w:val="1"/>
      <w:marLeft w:val="0"/>
      <w:marRight w:val="0"/>
      <w:marTop w:val="0"/>
      <w:marBottom w:val="0"/>
      <w:divBdr>
        <w:top w:val="none" w:sz="0" w:space="0" w:color="auto"/>
        <w:left w:val="none" w:sz="0" w:space="0" w:color="auto"/>
        <w:bottom w:val="none" w:sz="0" w:space="0" w:color="auto"/>
        <w:right w:val="none" w:sz="0" w:space="0" w:color="auto"/>
      </w:divBdr>
    </w:div>
    <w:div w:id="2116703221">
      <w:bodyDiv w:val="1"/>
      <w:marLeft w:val="0"/>
      <w:marRight w:val="0"/>
      <w:marTop w:val="0"/>
      <w:marBottom w:val="0"/>
      <w:divBdr>
        <w:top w:val="none" w:sz="0" w:space="0" w:color="auto"/>
        <w:left w:val="none" w:sz="0" w:space="0" w:color="auto"/>
        <w:bottom w:val="none" w:sz="0" w:space="0" w:color="auto"/>
        <w:right w:val="none" w:sz="0" w:space="0" w:color="auto"/>
      </w:divBdr>
    </w:div>
    <w:div w:id="2116944462">
      <w:bodyDiv w:val="1"/>
      <w:marLeft w:val="0"/>
      <w:marRight w:val="0"/>
      <w:marTop w:val="0"/>
      <w:marBottom w:val="0"/>
      <w:divBdr>
        <w:top w:val="none" w:sz="0" w:space="0" w:color="auto"/>
        <w:left w:val="none" w:sz="0" w:space="0" w:color="auto"/>
        <w:bottom w:val="none" w:sz="0" w:space="0" w:color="auto"/>
        <w:right w:val="none" w:sz="0" w:space="0" w:color="auto"/>
      </w:divBdr>
    </w:div>
    <w:div w:id="2117096809">
      <w:bodyDiv w:val="1"/>
      <w:marLeft w:val="0"/>
      <w:marRight w:val="0"/>
      <w:marTop w:val="0"/>
      <w:marBottom w:val="0"/>
      <w:divBdr>
        <w:top w:val="none" w:sz="0" w:space="0" w:color="auto"/>
        <w:left w:val="none" w:sz="0" w:space="0" w:color="auto"/>
        <w:bottom w:val="none" w:sz="0" w:space="0" w:color="auto"/>
        <w:right w:val="none" w:sz="0" w:space="0" w:color="auto"/>
      </w:divBdr>
    </w:div>
    <w:div w:id="2117362997">
      <w:bodyDiv w:val="1"/>
      <w:marLeft w:val="0"/>
      <w:marRight w:val="0"/>
      <w:marTop w:val="0"/>
      <w:marBottom w:val="0"/>
      <w:divBdr>
        <w:top w:val="none" w:sz="0" w:space="0" w:color="auto"/>
        <w:left w:val="none" w:sz="0" w:space="0" w:color="auto"/>
        <w:bottom w:val="none" w:sz="0" w:space="0" w:color="auto"/>
        <w:right w:val="none" w:sz="0" w:space="0" w:color="auto"/>
      </w:divBdr>
    </w:div>
    <w:div w:id="2117796756">
      <w:bodyDiv w:val="1"/>
      <w:marLeft w:val="0"/>
      <w:marRight w:val="0"/>
      <w:marTop w:val="0"/>
      <w:marBottom w:val="0"/>
      <w:divBdr>
        <w:top w:val="none" w:sz="0" w:space="0" w:color="auto"/>
        <w:left w:val="none" w:sz="0" w:space="0" w:color="auto"/>
        <w:bottom w:val="none" w:sz="0" w:space="0" w:color="auto"/>
        <w:right w:val="none" w:sz="0" w:space="0" w:color="auto"/>
      </w:divBdr>
    </w:div>
    <w:div w:id="2118089142">
      <w:bodyDiv w:val="1"/>
      <w:marLeft w:val="0"/>
      <w:marRight w:val="0"/>
      <w:marTop w:val="0"/>
      <w:marBottom w:val="0"/>
      <w:divBdr>
        <w:top w:val="none" w:sz="0" w:space="0" w:color="auto"/>
        <w:left w:val="none" w:sz="0" w:space="0" w:color="auto"/>
        <w:bottom w:val="none" w:sz="0" w:space="0" w:color="auto"/>
        <w:right w:val="none" w:sz="0" w:space="0" w:color="auto"/>
      </w:divBdr>
    </w:div>
    <w:div w:id="2120639148">
      <w:bodyDiv w:val="1"/>
      <w:marLeft w:val="0"/>
      <w:marRight w:val="0"/>
      <w:marTop w:val="0"/>
      <w:marBottom w:val="0"/>
      <w:divBdr>
        <w:top w:val="none" w:sz="0" w:space="0" w:color="auto"/>
        <w:left w:val="none" w:sz="0" w:space="0" w:color="auto"/>
        <w:bottom w:val="none" w:sz="0" w:space="0" w:color="auto"/>
        <w:right w:val="none" w:sz="0" w:space="0" w:color="auto"/>
      </w:divBdr>
    </w:div>
    <w:div w:id="2121098037">
      <w:bodyDiv w:val="1"/>
      <w:marLeft w:val="0"/>
      <w:marRight w:val="0"/>
      <w:marTop w:val="0"/>
      <w:marBottom w:val="0"/>
      <w:divBdr>
        <w:top w:val="none" w:sz="0" w:space="0" w:color="auto"/>
        <w:left w:val="none" w:sz="0" w:space="0" w:color="auto"/>
        <w:bottom w:val="none" w:sz="0" w:space="0" w:color="auto"/>
        <w:right w:val="none" w:sz="0" w:space="0" w:color="auto"/>
      </w:divBdr>
    </w:div>
    <w:div w:id="2121415517">
      <w:bodyDiv w:val="1"/>
      <w:marLeft w:val="0"/>
      <w:marRight w:val="0"/>
      <w:marTop w:val="0"/>
      <w:marBottom w:val="0"/>
      <w:divBdr>
        <w:top w:val="none" w:sz="0" w:space="0" w:color="auto"/>
        <w:left w:val="none" w:sz="0" w:space="0" w:color="auto"/>
        <w:bottom w:val="none" w:sz="0" w:space="0" w:color="auto"/>
        <w:right w:val="none" w:sz="0" w:space="0" w:color="auto"/>
      </w:divBdr>
    </w:div>
    <w:div w:id="2121491269">
      <w:bodyDiv w:val="1"/>
      <w:marLeft w:val="0"/>
      <w:marRight w:val="0"/>
      <w:marTop w:val="0"/>
      <w:marBottom w:val="0"/>
      <w:divBdr>
        <w:top w:val="none" w:sz="0" w:space="0" w:color="auto"/>
        <w:left w:val="none" w:sz="0" w:space="0" w:color="auto"/>
        <w:bottom w:val="none" w:sz="0" w:space="0" w:color="auto"/>
        <w:right w:val="none" w:sz="0" w:space="0" w:color="auto"/>
      </w:divBdr>
    </w:div>
    <w:div w:id="2122872327">
      <w:bodyDiv w:val="1"/>
      <w:marLeft w:val="0"/>
      <w:marRight w:val="0"/>
      <w:marTop w:val="0"/>
      <w:marBottom w:val="0"/>
      <w:divBdr>
        <w:top w:val="none" w:sz="0" w:space="0" w:color="auto"/>
        <w:left w:val="none" w:sz="0" w:space="0" w:color="auto"/>
        <w:bottom w:val="none" w:sz="0" w:space="0" w:color="auto"/>
        <w:right w:val="none" w:sz="0" w:space="0" w:color="auto"/>
      </w:divBdr>
    </w:div>
    <w:div w:id="2123113669">
      <w:bodyDiv w:val="1"/>
      <w:marLeft w:val="0"/>
      <w:marRight w:val="0"/>
      <w:marTop w:val="0"/>
      <w:marBottom w:val="0"/>
      <w:divBdr>
        <w:top w:val="none" w:sz="0" w:space="0" w:color="auto"/>
        <w:left w:val="none" w:sz="0" w:space="0" w:color="auto"/>
        <w:bottom w:val="none" w:sz="0" w:space="0" w:color="auto"/>
        <w:right w:val="none" w:sz="0" w:space="0" w:color="auto"/>
      </w:divBdr>
    </w:div>
    <w:div w:id="2127696245">
      <w:bodyDiv w:val="1"/>
      <w:marLeft w:val="0"/>
      <w:marRight w:val="0"/>
      <w:marTop w:val="0"/>
      <w:marBottom w:val="0"/>
      <w:divBdr>
        <w:top w:val="none" w:sz="0" w:space="0" w:color="auto"/>
        <w:left w:val="none" w:sz="0" w:space="0" w:color="auto"/>
        <w:bottom w:val="none" w:sz="0" w:space="0" w:color="auto"/>
        <w:right w:val="none" w:sz="0" w:space="0" w:color="auto"/>
      </w:divBdr>
    </w:div>
    <w:div w:id="2128962311">
      <w:bodyDiv w:val="1"/>
      <w:marLeft w:val="0"/>
      <w:marRight w:val="0"/>
      <w:marTop w:val="0"/>
      <w:marBottom w:val="0"/>
      <w:divBdr>
        <w:top w:val="none" w:sz="0" w:space="0" w:color="auto"/>
        <w:left w:val="none" w:sz="0" w:space="0" w:color="auto"/>
        <w:bottom w:val="none" w:sz="0" w:space="0" w:color="auto"/>
        <w:right w:val="none" w:sz="0" w:space="0" w:color="auto"/>
      </w:divBdr>
    </w:div>
    <w:div w:id="2134667362">
      <w:bodyDiv w:val="1"/>
      <w:marLeft w:val="0"/>
      <w:marRight w:val="0"/>
      <w:marTop w:val="0"/>
      <w:marBottom w:val="0"/>
      <w:divBdr>
        <w:top w:val="none" w:sz="0" w:space="0" w:color="auto"/>
        <w:left w:val="none" w:sz="0" w:space="0" w:color="auto"/>
        <w:bottom w:val="none" w:sz="0" w:space="0" w:color="auto"/>
        <w:right w:val="none" w:sz="0" w:space="0" w:color="auto"/>
      </w:divBdr>
    </w:div>
    <w:div w:id="2134861248">
      <w:bodyDiv w:val="1"/>
      <w:marLeft w:val="0"/>
      <w:marRight w:val="0"/>
      <w:marTop w:val="0"/>
      <w:marBottom w:val="0"/>
      <w:divBdr>
        <w:top w:val="none" w:sz="0" w:space="0" w:color="auto"/>
        <w:left w:val="none" w:sz="0" w:space="0" w:color="auto"/>
        <w:bottom w:val="none" w:sz="0" w:space="0" w:color="auto"/>
        <w:right w:val="none" w:sz="0" w:space="0" w:color="auto"/>
      </w:divBdr>
    </w:div>
    <w:div w:id="2135781155">
      <w:bodyDiv w:val="1"/>
      <w:marLeft w:val="0"/>
      <w:marRight w:val="0"/>
      <w:marTop w:val="0"/>
      <w:marBottom w:val="0"/>
      <w:divBdr>
        <w:top w:val="none" w:sz="0" w:space="0" w:color="auto"/>
        <w:left w:val="none" w:sz="0" w:space="0" w:color="auto"/>
        <w:bottom w:val="none" w:sz="0" w:space="0" w:color="auto"/>
        <w:right w:val="none" w:sz="0" w:space="0" w:color="auto"/>
      </w:divBdr>
    </w:div>
    <w:div w:id="2138798080">
      <w:bodyDiv w:val="1"/>
      <w:marLeft w:val="0"/>
      <w:marRight w:val="0"/>
      <w:marTop w:val="0"/>
      <w:marBottom w:val="0"/>
      <w:divBdr>
        <w:top w:val="none" w:sz="0" w:space="0" w:color="auto"/>
        <w:left w:val="none" w:sz="0" w:space="0" w:color="auto"/>
        <w:bottom w:val="none" w:sz="0" w:space="0" w:color="auto"/>
        <w:right w:val="none" w:sz="0" w:space="0" w:color="auto"/>
      </w:divBdr>
    </w:div>
    <w:div w:id="2139255834">
      <w:bodyDiv w:val="1"/>
      <w:marLeft w:val="0"/>
      <w:marRight w:val="0"/>
      <w:marTop w:val="0"/>
      <w:marBottom w:val="0"/>
      <w:divBdr>
        <w:top w:val="none" w:sz="0" w:space="0" w:color="auto"/>
        <w:left w:val="none" w:sz="0" w:space="0" w:color="auto"/>
        <w:bottom w:val="none" w:sz="0" w:space="0" w:color="auto"/>
        <w:right w:val="none" w:sz="0" w:space="0" w:color="auto"/>
      </w:divBdr>
    </w:div>
    <w:div w:id="2141796318">
      <w:bodyDiv w:val="1"/>
      <w:marLeft w:val="0"/>
      <w:marRight w:val="0"/>
      <w:marTop w:val="0"/>
      <w:marBottom w:val="0"/>
      <w:divBdr>
        <w:top w:val="none" w:sz="0" w:space="0" w:color="auto"/>
        <w:left w:val="none" w:sz="0" w:space="0" w:color="auto"/>
        <w:bottom w:val="none" w:sz="0" w:space="0" w:color="auto"/>
        <w:right w:val="none" w:sz="0" w:space="0" w:color="auto"/>
      </w:divBdr>
    </w:div>
    <w:div w:id="2141873660">
      <w:bodyDiv w:val="1"/>
      <w:marLeft w:val="0"/>
      <w:marRight w:val="0"/>
      <w:marTop w:val="0"/>
      <w:marBottom w:val="0"/>
      <w:divBdr>
        <w:top w:val="none" w:sz="0" w:space="0" w:color="auto"/>
        <w:left w:val="none" w:sz="0" w:space="0" w:color="auto"/>
        <w:bottom w:val="none" w:sz="0" w:space="0" w:color="auto"/>
        <w:right w:val="none" w:sz="0" w:space="0" w:color="auto"/>
      </w:divBdr>
    </w:div>
    <w:div w:id="2141877701">
      <w:bodyDiv w:val="1"/>
      <w:marLeft w:val="0"/>
      <w:marRight w:val="0"/>
      <w:marTop w:val="0"/>
      <w:marBottom w:val="0"/>
      <w:divBdr>
        <w:top w:val="none" w:sz="0" w:space="0" w:color="auto"/>
        <w:left w:val="none" w:sz="0" w:space="0" w:color="auto"/>
        <w:bottom w:val="none" w:sz="0" w:space="0" w:color="auto"/>
        <w:right w:val="none" w:sz="0" w:space="0" w:color="auto"/>
      </w:divBdr>
    </w:div>
    <w:div w:id="2142140658">
      <w:bodyDiv w:val="1"/>
      <w:marLeft w:val="0"/>
      <w:marRight w:val="0"/>
      <w:marTop w:val="0"/>
      <w:marBottom w:val="0"/>
      <w:divBdr>
        <w:top w:val="none" w:sz="0" w:space="0" w:color="auto"/>
        <w:left w:val="none" w:sz="0" w:space="0" w:color="auto"/>
        <w:bottom w:val="none" w:sz="0" w:space="0" w:color="auto"/>
        <w:right w:val="none" w:sz="0" w:space="0" w:color="auto"/>
      </w:divBdr>
    </w:div>
    <w:div w:id="2142722018">
      <w:bodyDiv w:val="1"/>
      <w:marLeft w:val="0"/>
      <w:marRight w:val="0"/>
      <w:marTop w:val="0"/>
      <w:marBottom w:val="0"/>
      <w:divBdr>
        <w:top w:val="none" w:sz="0" w:space="0" w:color="auto"/>
        <w:left w:val="none" w:sz="0" w:space="0" w:color="auto"/>
        <w:bottom w:val="none" w:sz="0" w:space="0" w:color="auto"/>
        <w:right w:val="none" w:sz="0" w:space="0" w:color="auto"/>
      </w:divBdr>
    </w:div>
    <w:div w:id="2142993092">
      <w:bodyDiv w:val="1"/>
      <w:marLeft w:val="0"/>
      <w:marRight w:val="0"/>
      <w:marTop w:val="0"/>
      <w:marBottom w:val="0"/>
      <w:divBdr>
        <w:top w:val="none" w:sz="0" w:space="0" w:color="auto"/>
        <w:left w:val="none" w:sz="0" w:space="0" w:color="auto"/>
        <w:bottom w:val="none" w:sz="0" w:space="0" w:color="auto"/>
        <w:right w:val="none" w:sz="0" w:space="0" w:color="auto"/>
      </w:divBdr>
    </w:div>
    <w:div w:id="2144469661">
      <w:bodyDiv w:val="1"/>
      <w:marLeft w:val="0"/>
      <w:marRight w:val="0"/>
      <w:marTop w:val="0"/>
      <w:marBottom w:val="0"/>
      <w:divBdr>
        <w:top w:val="none" w:sz="0" w:space="0" w:color="auto"/>
        <w:left w:val="none" w:sz="0" w:space="0" w:color="auto"/>
        <w:bottom w:val="none" w:sz="0" w:space="0" w:color="auto"/>
        <w:right w:val="none" w:sz="0" w:space="0" w:color="auto"/>
      </w:divBdr>
    </w:div>
    <w:div w:id="2144734210">
      <w:bodyDiv w:val="1"/>
      <w:marLeft w:val="0"/>
      <w:marRight w:val="0"/>
      <w:marTop w:val="0"/>
      <w:marBottom w:val="0"/>
      <w:divBdr>
        <w:top w:val="none" w:sz="0" w:space="0" w:color="auto"/>
        <w:left w:val="none" w:sz="0" w:space="0" w:color="auto"/>
        <w:bottom w:val="none" w:sz="0" w:space="0" w:color="auto"/>
        <w:right w:val="none" w:sz="0" w:space="0" w:color="auto"/>
      </w:divBdr>
    </w:div>
    <w:div w:id="2145660213">
      <w:bodyDiv w:val="1"/>
      <w:marLeft w:val="0"/>
      <w:marRight w:val="0"/>
      <w:marTop w:val="0"/>
      <w:marBottom w:val="0"/>
      <w:divBdr>
        <w:top w:val="none" w:sz="0" w:space="0" w:color="auto"/>
        <w:left w:val="none" w:sz="0" w:space="0" w:color="auto"/>
        <w:bottom w:val="none" w:sz="0" w:space="0" w:color="auto"/>
        <w:right w:val="none" w:sz="0" w:space="0" w:color="auto"/>
      </w:divBdr>
    </w:div>
    <w:div w:id="214650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cid:EF4DC843-A974-4BAD-A678-6427448E7CAC" TargetMode="External"/><Relationship Id="rId26" Type="http://schemas.openxmlformats.org/officeDocument/2006/relationships/image" Target="cid:B6EA202D-670F-45B4-BC7B-EEEADC190B95" TargetMode="External"/><Relationship Id="rId39" Type="http://schemas.openxmlformats.org/officeDocument/2006/relationships/image" Target="media/image12.emf"/><Relationship Id="rId21" Type="http://schemas.openxmlformats.org/officeDocument/2006/relationships/image" Target="media/image4.jpeg"/><Relationship Id="rId34" Type="http://schemas.openxmlformats.org/officeDocument/2006/relationships/chart" Target="charts/chart1.xml"/><Relationship Id="rId42" Type="http://schemas.openxmlformats.org/officeDocument/2006/relationships/image" Target="media/image15.jpeg"/><Relationship Id="rId47" Type="http://schemas.openxmlformats.org/officeDocument/2006/relationships/header" Target="header3.xml"/><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8.png"/><Relationship Id="rId38" Type="http://schemas.openxmlformats.org/officeDocument/2006/relationships/image" Target="cid:image003.png@01D68CD1.E23F2190"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cid:986196B7-65BC-4852-81A7-49A770BA6520" TargetMode="External"/><Relationship Id="rId29" Type="http://schemas.openxmlformats.org/officeDocument/2006/relationships/customXml" Target="ink/ink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D4015C9C-71C5-46B0-8DA7-AF814962AC4F"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www.legislation.gov.uk/uksi/2013/1773/made" TargetMode="External"/><Relationship Id="rId36" Type="http://schemas.openxmlformats.org/officeDocument/2006/relationships/image" Target="media/image10.png"/><Relationship Id="rId49" Type="http://schemas.openxmlformats.org/officeDocument/2006/relationships/header" Target="header5.xml"/><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customXml" Target="ink/ink3.xm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cid:6B11FDE6-839E-4AE9-AF55-ACFBEFE98D9B" TargetMode="External"/><Relationship Id="rId27" Type="http://schemas.openxmlformats.org/officeDocument/2006/relationships/hyperlink" Target="http://www.frc.org.uk" TargetMode="External"/><Relationship Id="rId30" Type="http://schemas.openxmlformats.org/officeDocument/2006/relationships/customXml" Target="ink/ink2.xml"/><Relationship Id="rId35" Type="http://schemas.openxmlformats.org/officeDocument/2006/relationships/image" Target="media/image9.png"/><Relationship Id="rId43" Type="http://schemas.openxmlformats.org/officeDocument/2006/relationships/image" Target="media/image16.jpeg"/><Relationship Id="rId48" Type="http://schemas.openxmlformats.org/officeDocument/2006/relationships/header" Target="header4.xml"/><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imon\Bluefield%20Partners\Staff%20Folders%20-%20Andras%20Simon\Projects\_BSIF%20reporting\Annual\2019-20\Portfolio%20Database%202019-20_18.08.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depthPercent val="9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5D87A1"/>
            </a:solidFill>
          </c:spPr>
          <c:explosion val="1"/>
          <c:dPt>
            <c:idx val="0"/>
            <c:bubble3D val="0"/>
            <c:spPr>
              <a:solidFill>
                <a:srgbClr val="B6B14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F0-4D9D-A3E3-1127152F8CC7}"/>
              </c:ext>
            </c:extLst>
          </c:dPt>
          <c:dPt>
            <c:idx val="1"/>
            <c:bubble3D val="0"/>
            <c:spPr>
              <a:solidFill>
                <a:srgbClr val="5D87A1"/>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F0-4D9D-A3E3-1127152F8CC7}"/>
              </c:ext>
            </c:extLst>
          </c:dPt>
          <c:dLbls>
            <c:dLbl>
              <c:idx val="0"/>
              <c:layout>
                <c:manualLayout>
                  <c:x val="-8.1179765658378911E-3"/>
                  <c:y val="-0.24880944881889763"/>
                </c:manualLayout>
              </c:layout>
              <c:tx>
                <c:rich>
                  <a:bodyPr rot="0" spcFirstLastPara="1" vertOverflow="ellipsis" vert="horz" wrap="square" lIns="38100" tIns="19050" rIns="38100" bIns="19050" anchor="ctr" anchorCtr="1">
                    <a:noAutofit/>
                  </a:bodyPr>
                  <a:lstStyle/>
                  <a:p>
                    <a:pPr>
                      <a:defRPr sz="8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fld id="{EBB017D0-7FD9-47B0-8253-B2525BB784AB}" type="VALUE">
                      <a:rPr lang="en-US" sz="800" b="0" cap="none" spc="0">
                        <a:ln w="0"/>
                        <a:solidFill>
                          <a:schemeClr val="bg1"/>
                        </a:solidFill>
                        <a:effectLst>
                          <a:outerShdw blurRad="38100" dist="19050" dir="2700000" algn="tl" rotWithShape="0">
                            <a:schemeClr val="dk1">
                              <a:alpha val="40000"/>
                            </a:schemeClr>
                          </a:outerShdw>
                        </a:effectLst>
                      </a:rPr>
                      <a:pPr>
                        <a:defRPr sz="800" cap="none" spc="0">
                          <a:ln w="0"/>
                          <a:solidFill>
                            <a:schemeClr val="bg1"/>
                          </a:solidFill>
                          <a:effectLst>
                            <a:outerShdw blurRad="38100" dist="19050" dir="2700000" algn="tl" rotWithShape="0">
                              <a:schemeClr val="dk1">
                                <a:alpha val="40000"/>
                              </a:schemeClr>
                            </a:outerShdw>
                          </a:effectLst>
                        </a:defRPr>
                      </a:pPr>
                      <a:t>[VALUE]</a:t>
                    </a:fld>
                    <a:endParaRPr lang="en-US" sz="800" b="0" cap="none" spc="0">
                      <a:ln w="0"/>
                      <a:solidFill>
                        <a:schemeClr val="bg1"/>
                      </a:solidFill>
                      <a:effectLst>
                        <a:outerShdw blurRad="38100" dist="19050" dir="2700000" algn="tl" rotWithShape="0">
                          <a:schemeClr val="dk1">
                            <a:alpha val="40000"/>
                          </a:schemeClr>
                        </a:outerShdw>
                      </a:effectLst>
                    </a:endParaRPr>
                  </a:p>
                  <a:p>
                    <a:pPr>
                      <a:defRPr sz="800" cap="none" spc="0">
                        <a:ln w="0"/>
                        <a:solidFill>
                          <a:schemeClr val="bg1"/>
                        </a:solidFill>
                        <a:effectLst>
                          <a:outerShdw blurRad="38100" dist="19050" dir="2700000" algn="tl" rotWithShape="0">
                            <a:schemeClr val="dk1">
                              <a:alpha val="40000"/>
                            </a:schemeClr>
                          </a:outerShdw>
                        </a:effectLst>
                      </a:defRPr>
                    </a:pPr>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141666666666667"/>
                      <c:h val="9.3497260210894689E-2"/>
                    </c:manualLayout>
                  </c15:layout>
                  <c15:dlblFieldTable/>
                  <c15:showDataLabelsRange val="0"/>
                </c:ext>
                <c:ext xmlns:c16="http://schemas.microsoft.com/office/drawing/2014/chart" uri="{C3380CC4-5D6E-409C-BE32-E72D297353CC}">
                  <c16:uniqueId val="{00000001-71F0-4D9D-A3E3-1127152F8CC7}"/>
                </c:ext>
              </c:extLst>
            </c:dLbl>
            <c:dLbl>
              <c:idx val="1"/>
              <c:layout>
                <c:manualLayout>
                  <c:x val="6.4153109266011005E-2"/>
                  <c:y val="0.14959424516379893"/>
                </c:manualLayout>
              </c:layout>
              <c:tx>
                <c:rich>
                  <a:bodyPr rot="0" spcFirstLastPara="1" vertOverflow="ellipsis" vert="horz" wrap="square" lIns="38100" tIns="19050" rIns="38100" bIns="19050" anchor="ctr" anchorCtr="1">
                    <a:noAutofit/>
                  </a:bodyPr>
                  <a:lstStyle/>
                  <a:p>
                    <a:pPr>
                      <a:defRPr sz="8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fld id="{892E2FEF-B88C-4704-A779-40EA787EC995}" type="VALUE">
                      <a:rPr lang="en-US" sz="800" b="0" cap="none" spc="0">
                        <a:ln w="0"/>
                        <a:solidFill>
                          <a:schemeClr val="bg1"/>
                        </a:solidFill>
                        <a:effectLst>
                          <a:outerShdw blurRad="38100" dist="19050" dir="2700000" algn="tl" rotWithShape="0">
                            <a:schemeClr val="dk1">
                              <a:alpha val="40000"/>
                            </a:schemeClr>
                          </a:outerShdw>
                        </a:effectLst>
                      </a:rPr>
                      <a:pPr>
                        <a:defRPr sz="800" cap="none" spc="0">
                          <a:ln w="0"/>
                          <a:solidFill>
                            <a:schemeClr val="bg1"/>
                          </a:solidFill>
                          <a:effectLst>
                            <a:outerShdw blurRad="38100" dist="19050" dir="2700000" algn="tl" rotWithShape="0">
                              <a:schemeClr val="dk1">
                                <a:alpha val="40000"/>
                              </a:schemeClr>
                            </a:outerShdw>
                          </a:effectLst>
                        </a:defRPr>
                      </a:pPr>
                      <a:t>[VALUE]</a:t>
                    </a:fld>
                    <a:r>
                      <a:rPr lang="en-US" sz="800" b="0" cap="none" spc="0">
                        <a:ln w="0"/>
                        <a:solidFill>
                          <a:schemeClr val="bg1"/>
                        </a:solidFill>
                        <a:effectLst>
                          <a:outerShdw blurRad="38100" dist="19050" dir="2700000" algn="tl" rotWithShape="0">
                            <a:schemeClr val="dk1">
                              <a:alpha val="40000"/>
                            </a:schemeClr>
                          </a:outerShdw>
                        </a:effectLst>
                      </a:rPr>
                      <a:t> </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8474999999999997"/>
                      <c:h val="0.10753234793019291"/>
                    </c:manualLayout>
                  </c15:layout>
                  <c15:dlblFieldTable/>
                  <c15:showDataLabelsRange val="0"/>
                </c:ext>
                <c:ext xmlns:c16="http://schemas.microsoft.com/office/drawing/2014/chart" uri="{C3380CC4-5D6E-409C-BE32-E72D297353CC}">
                  <c16:uniqueId val="{00000003-71F0-4D9D-A3E3-1127152F8C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'Performance Summary'!$U$73:$U$74</c:f>
              <c:strCache>
                <c:ptCount val="2"/>
                <c:pt idx="0">
                  <c:v>Pre FAC (5%)</c:v>
                </c:pt>
                <c:pt idx="1">
                  <c:v>Post FAC (95%)</c:v>
                </c:pt>
              </c:strCache>
            </c:strRef>
          </c:cat>
          <c:val>
            <c:numRef>
              <c:f>'Performance Summary'!$V$73:$V$74</c:f>
              <c:numCache>
                <c:formatCode>0.00</c:formatCode>
                <c:ptCount val="2"/>
                <c:pt idx="0" formatCode="General">
                  <c:v>24.59</c:v>
                </c:pt>
                <c:pt idx="1">
                  <c:v>454.31</c:v>
                </c:pt>
              </c:numCache>
            </c:numRef>
          </c:val>
          <c:extLst>
            <c:ext xmlns:c16="http://schemas.microsoft.com/office/drawing/2014/chart" uri="{C3380CC4-5D6E-409C-BE32-E72D297353CC}">
              <c16:uniqueId val="{00000004-71F0-4D9D-A3E3-1127152F8CC7}"/>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71F0-4D9D-A3E3-1127152F8CC7}"/>
              </c:ext>
            </c:extLst>
          </c:dPt>
          <c:cat>
            <c:strRef>
              <c:f>'Performance Summary'!$U$73:$U$74</c:f>
              <c:strCache>
                <c:ptCount val="2"/>
                <c:pt idx="0">
                  <c:v>Pre FAC (5%)</c:v>
                </c:pt>
                <c:pt idx="1">
                  <c:v>Post FAC (95%)</c:v>
                </c:pt>
              </c:strCache>
            </c:strRef>
          </c:cat>
          <c:val>
            <c:numRef>
              <c:f>'Performance Summary'!$A$68</c:f>
              <c:numCache>
                <c:formatCode>General</c:formatCode>
                <c:ptCount val="1"/>
                <c:pt idx="0">
                  <c:v>0</c:v>
                </c:pt>
              </c:numCache>
            </c:numRef>
          </c:val>
          <c:extLst>
            <c:ext xmlns:c16="http://schemas.microsoft.com/office/drawing/2014/chart" uri="{C3380CC4-5D6E-409C-BE32-E72D297353CC}">
              <c16:uniqueId val="{00000007-71F0-4D9D-A3E3-1127152F8CC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ink>
</file>

<file path=word/ink/ink2.xml><?xml version="1.0" encoding="utf-8"?>
<inkml:ink xmlns:inkml="http://www.w3.org/2003/InkML">
  <inkml:definitions/>
</inkml:ink>
</file>

<file path=word/ink/ink3.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0E46327F4B04892097703520B16C3" ma:contentTypeVersion="4" ma:contentTypeDescription="Create a new document." ma:contentTypeScope="" ma:versionID="8c62678259656f4e356d4b69df306edb">
  <xsd:schema xmlns:xsd="http://www.w3.org/2001/XMLSchema" xmlns:xs="http://www.w3.org/2001/XMLSchema" xmlns:p="http://schemas.microsoft.com/office/2006/metadata/properties" xmlns:ns2="ae5a6a70-b49a-497c-8e1c-31b6bdb75768" targetNamespace="http://schemas.microsoft.com/office/2006/metadata/properties" ma:root="true" ma:fieldsID="56095b97a859e72eef82940caa2b4642" ns2:_="">
    <xsd:import namespace="ae5a6a70-b49a-497c-8e1c-31b6bdb757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a6a70-b49a-497c-8e1c-31b6bdb75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347A9-0C9F-4262-9E8E-269B78C22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a6a70-b49a-497c-8e1c-31b6bdb75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E2E44-0775-487E-8205-D6E3C05E23D1}">
  <ds:schemaRefs>
    <ds:schemaRef ds:uri="http://schemas.microsoft.com/sharepoint/v3/contenttype/forms"/>
  </ds:schemaRefs>
</ds:datastoreItem>
</file>

<file path=customXml/itemProps3.xml><?xml version="1.0" encoding="utf-8"?>
<ds:datastoreItem xmlns:ds="http://schemas.openxmlformats.org/officeDocument/2006/customXml" ds:itemID="{CD8FAFD1-451E-486E-A05D-B5EF5A46CAB3}">
  <ds:schemaRefs>
    <ds:schemaRef ds:uri="ae5a6a70-b49a-497c-8e1c-31b6bdb75768"/>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005FB48D-E848-4FEB-B692-67509BA95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136</Pages>
  <Words>43182</Words>
  <Characters>246138</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WINCHESTER</vt:lpstr>
    </vt:vector>
  </TitlesOfParts>
  <Company>Olympia Capital International</Company>
  <LinksUpToDate>false</LinksUpToDate>
  <CharactersWithSpaces>288743</CharactersWithSpaces>
  <SharedDoc>false</SharedDoc>
  <HLinks>
    <vt:vector size="18" baseType="variant">
      <vt:variant>
        <vt:i4>8060966</vt:i4>
      </vt:variant>
      <vt:variant>
        <vt:i4>15</vt:i4>
      </vt:variant>
      <vt:variant>
        <vt:i4>0</vt:i4>
      </vt:variant>
      <vt:variant>
        <vt:i4>5</vt:i4>
      </vt:variant>
      <vt:variant>
        <vt:lpwstr>https://www.theaic.co.uk/sites/default/files/hidden-files/AICOngoingChargesCalculationMay12.pdf</vt:lpwstr>
      </vt:variant>
      <vt:variant>
        <vt:lpwstr/>
      </vt:variant>
      <vt:variant>
        <vt:i4>6094925</vt:i4>
      </vt:variant>
      <vt:variant>
        <vt:i4>12</vt:i4>
      </vt:variant>
      <vt:variant>
        <vt:i4>0</vt:i4>
      </vt:variant>
      <vt:variant>
        <vt:i4>5</vt:i4>
      </vt:variant>
      <vt:variant>
        <vt:lpwstr>http://www.legislation.gov.uk/uksi/2013/1773/made</vt:lpwstr>
      </vt:variant>
      <vt:variant>
        <vt:lpwstr/>
      </vt:variant>
      <vt:variant>
        <vt:i4>8126523</vt:i4>
      </vt:variant>
      <vt:variant>
        <vt:i4>9</vt:i4>
      </vt:variant>
      <vt:variant>
        <vt:i4>0</vt:i4>
      </vt:variant>
      <vt:variant>
        <vt:i4>5</vt:i4>
      </vt:variant>
      <vt:variant>
        <vt:lpwstr>http://www.frc.org.uk/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WINCHESTER</dc:title>
  <dc:creator>Sharmini Sivapalan</dc:creator>
  <cp:lastModifiedBy>Robert Shutie</cp:lastModifiedBy>
  <cp:revision>277</cp:revision>
  <cp:lastPrinted>2020-09-14T12:35:00Z</cp:lastPrinted>
  <dcterms:created xsi:type="dcterms:W3CDTF">2020-09-04T14:34:00Z</dcterms:created>
  <dcterms:modified xsi:type="dcterms:W3CDTF">2020-09-22T08:15:00Z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0x0101001550E46327F4B04892097703520B16C3</vt:lpwstr>
  </property>
</Properties>
</file>