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F970B" w14:textId="30B74893" w:rsidR="00CE2CEF" w:rsidRDefault="00533BA2" w:rsidP="00533BA2">
      <w:pPr>
        <w:spacing w:line="240" w:lineRule="auto"/>
        <w:rPr>
          <w:rFonts w:cs="Arial"/>
          <w:bCs/>
        </w:rPr>
      </w:pPr>
      <w:r>
        <w:rPr>
          <w:rFonts w:cs="Arial"/>
          <w:bCs/>
        </w:rPr>
        <w:br/>
      </w:r>
      <w:r w:rsidR="00FC42A2" w:rsidRPr="009A46F4">
        <w:rPr>
          <w:rFonts w:cs="Arial"/>
          <w:bCs/>
        </w:rPr>
        <w:t>LEI: 213800XJIPNDVKXMOC11</w:t>
      </w:r>
    </w:p>
    <w:p w14:paraId="15B24E40" w14:textId="6FD95AA1" w:rsidR="00CE2CEF" w:rsidRPr="00F60A36" w:rsidRDefault="004C3435" w:rsidP="00CE2CEF">
      <w:pPr>
        <w:pStyle w:val="es"/>
        <w:shd w:val="clear" w:color="auto" w:fill="FFFFFF"/>
        <w:spacing w:beforeAutospacing="0" w:afterAutospacing="0" w:line="214" w:lineRule="atLeast"/>
        <w:jc w:val="center"/>
        <w:rPr>
          <w:rStyle w:val="ep"/>
          <w:rFonts w:asciiTheme="minorHAnsi" w:hAnsiTheme="minorHAnsi" w:cstheme="minorHAnsi"/>
          <w:b/>
          <w:bCs/>
          <w:color w:val="000000"/>
          <w:sz w:val="22"/>
          <w:szCs w:val="22"/>
        </w:rPr>
      </w:pPr>
      <w:bookmarkStart w:id="0" w:name="_Hlk148354208"/>
      <w:r>
        <w:rPr>
          <w:rStyle w:val="ep"/>
          <w:rFonts w:asciiTheme="minorHAnsi" w:hAnsiTheme="minorHAnsi" w:cstheme="minorHAnsi"/>
          <w:b/>
          <w:bCs/>
          <w:color w:val="000000"/>
          <w:sz w:val="22"/>
          <w:szCs w:val="22"/>
        </w:rPr>
        <w:br/>
      </w:r>
      <w:r w:rsidR="00CE2CEF" w:rsidRPr="00F60A36">
        <w:rPr>
          <w:rStyle w:val="ep"/>
          <w:rFonts w:asciiTheme="minorHAnsi" w:hAnsiTheme="minorHAnsi" w:cstheme="minorHAnsi"/>
          <w:b/>
          <w:bCs/>
          <w:color w:val="000000"/>
          <w:sz w:val="22"/>
          <w:szCs w:val="22"/>
        </w:rPr>
        <w:t>Hipgnosis Songs Fund Limited</w:t>
      </w:r>
      <w:r w:rsidR="00FC42A2">
        <w:rPr>
          <w:rStyle w:val="ep"/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(“Hipgnosis” or the “Company”)</w:t>
      </w:r>
    </w:p>
    <w:p w14:paraId="1EF24C97" w14:textId="5B5E84A3" w:rsidR="001429CB" w:rsidRPr="00F60A36" w:rsidRDefault="008F335D" w:rsidP="001429CB">
      <w:pPr>
        <w:pStyle w:val="es"/>
        <w:shd w:val="clear" w:color="auto" w:fill="FFFFFF"/>
        <w:spacing w:after="240" w:afterAutospacing="0" w:line="214" w:lineRule="atLeast"/>
        <w:jc w:val="center"/>
        <w:rPr>
          <w:rStyle w:val="ep"/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Style w:val="ep"/>
          <w:rFonts w:asciiTheme="minorHAnsi" w:hAnsiTheme="minorHAnsi" w:cstheme="minorHAnsi"/>
          <w:b/>
          <w:bCs/>
          <w:color w:val="000000"/>
          <w:sz w:val="22"/>
          <w:szCs w:val="22"/>
        </w:rPr>
        <w:t>Results of Annual General Meeting and Extraordinary General Meeting</w:t>
      </w:r>
      <w:r w:rsidR="003A37AE" w:rsidRPr="00F60A36">
        <w:rPr>
          <w:rStyle w:val="ep"/>
          <w:rFonts w:asciiTheme="minorHAnsi" w:hAnsiTheme="minorHAnsi" w:cstheme="minorHAnsi"/>
          <w:b/>
          <w:bCs/>
          <w:color w:val="000000"/>
          <w:sz w:val="22"/>
          <w:szCs w:val="22"/>
        </w:rPr>
        <w:br/>
      </w:r>
    </w:p>
    <w:p w14:paraId="5070F487" w14:textId="5D228CF2" w:rsidR="001429CB" w:rsidRPr="00FC42A2" w:rsidRDefault="00DD3530" w:rsidP="00FC42A2">
      <w:pPr>
        <w:pStyle w:val="et"/>
        <w:shd w:val="clear" w:color="auto" w:fill="FFFFFF"/>
        <w:spacing w:line="214" w:lineRule="atLeast"/>
        <w:jc w:val="right"/>
        <w:rPr>
          <w:rStyle w:val="ep"/>
          <w:rFonts w:ascii="Calibri" w:hAnsi="Calibri" w:cs="Calibri"/>
          <w:b/>
          <w:bCs/>
          <w:sz w:val="22"/>
          <w:szCs w:val="22"/>
        </w:rPr>
      </w:pPr>
      <w:r>
        <w:rPr>
          <w:rStyle w:val="ep"/>
          <w:rFonts w:ascii="Calibri" w:hAnsi="Calibri" w:cs="Calibri"/>
          <w:b/>
          <w:bCs/>
          <w:color w:val="000000"/>
          <w:sz w:val="22"/>
          <w:szCs w:val="22"/>
        </w:rPr>
        <w:t>2</w:t>
      </w:r>
      <w:r w:rsidR="008F335D">
        <w:rPr>
          <w:rStyle w:val="ep"/>
          <w:rFonts w:ascii="Calibri" w:hAnsi="Calibri" w:cs="Calibri"/>
          <w:b/>
          <w:bCs/>
          <w:color w:val="000000"/>
          <w:sz w:val="22"/>
          <w:szCs w:val="22"/>
        </w:rPr>
        <w:t>6</w:t>
      </w:r>
      <w:r w:rsidR="00FC42A2" w:rsidRPr="00FC42A2">
        <w:rPr>
          <w:rStyle w:val="ep"/>
          <w:rFonts w:ascii="Calibri" w:hAnsi="Calibri" w:cs="Calibri"/>
          <w:b/>
          <w:bCs/>
          <w:color w:val="000000"/>
          <w:sz w:val="22"/>
          <w:szCs w:val="22"/>
        </w:rPr>
        <w:t xml:space="preserve"> October 2023</w:t>
      </w:r>
      <w:r w:rsidR="001429CB" w:rsidRPr="00FC42A2">
        <w:rPr>
          <w:rStyle w:val="ep"/>
          <w:rFonts w:ascii="Calibri" w:hAnsi="Calibri" w:cs="Calibri"/>
          <w:b/>
          <w:bCs/>
          <w:color w:val="000000"/>
          <w:sz w:val="22"/>
          <w:szCs w:val="22"/>
        </w:rPr>
        <w:t> </w:t>
      </w:r>
    </w:p>
    <w:bookmarkEnd w:id="0"/>
    <w:p w14:paraId="5C1C27C7" w14:textId="642E9B5B" w:rsidR="00A75471" w:rsidRPr="00254A14" w:rsidRDefault="00DD3530" w:rsidP="00A75471">
      <w:pPr>
        <w:pStyle w:val="et"/>
        <w:shd w:val="clear" w:color="auto" w:fill="FFFFFF"/>
        <w:spacing w:line="214" w:lineRule="atLeast"/>
        <w:jc w:val="both"/>
        <w:rPr>
          <w:rStyle w:val="ep"/>
          <w:rFonts w:ascii="Calibri" w:hAnsi="Calibri" w:cs="Calibri"/>
          <w:color w:val="000000"/>
          <w:sz w:val="22"/>
          <w:szCs w:val="22"/>
        </w:rPr>
      </w:pPr>
      <w:r>
        <w:rPr>
          <w:rStyle w:val="ep"/>
          <w:rFonts w:ascii="Calibri" w:hAnsi="Calibri" w:cs="Calibri"/>
          <w:color w:val="000000"/>
          <w:sz w:val="22"/>
          <w:szCs w:val="22"/>
        </w:rPr>
        <w:br/>
      </w:r>
      <w:r w:rsidR="00A75471">
        <w:rPr>
          <w:rStyle w:val="ep"/>
          <w:rFonts w:ascii="Calibri" w:hAnsi="Calibri" w:cs="Calibri"/>
          <w:color w:val="000000"/>
          <w:sz w:val="22"/>
          <w:szCs w:val="22"/>
        </w:rPr>
        <w:t>The Board of Hipgnosis Songs Fund Limited announces that, at the Fifth Annual General Meeting of the Company (the “</w:t>
      </w:r>
      <w:r w:rsidR="00A75471">
        <w:rPr>
          <w:rStyle w:val="ep"/>
          <w:rFonts w:ascii="Calibri" w:hAnsi="Calibri" w:cs="Calibri"/>
          <w:b/>
          <w:bCs/>
          <w:color w:val="000000"/>
          <w:sz w:val="22"/>
          <w:szCs w:val="22"/>
        </w:rPr>
        <w:t>AGM</w:t>
      </w:r>
      <w:r w:rsidR="00A75471">
        <w:rPr>
          <w:rStyle w:val="ep"/>
          <w:rFonts w:ascii="Calibri" w:hAnsi="Calibri" w:cs="Calibri"/>
          <w:color w:val="000000"/>
          <w:sz w:val="22"/>
          <w:szCs w:val="22"/>
        </w:rPr>
        <w:t>”) held at 10.00 on 26 October 2023, Ordinary Resolutions 1</w:t>
      </w:r>
      <w:r w:rsidR="00AA5DF8">
        <w:rPr>
          <w:rStyle w:val="ep"/>
          <w:rFonts w:ascii="Calibri" w:hAnsi="Calibri" w:cs="Calibri"/>
          <w:color w:val="000000"/>
          <w:sz w:val="22"/>
          <w:szCs w:val="22"/>
        </w:rPr>
        <w:t xml:space="preserve">, 2, 3, </w:t>
      </w:r>
      <w:r w:rsidR="00A75471">
        <w:rPr>
          <w:rStyle w:val="ep"/>
          <w:rFonts w:ascii="Calibri" w:hAnsi="Calibri" w:cs="Calibri"/>
          <w:color w:val="000000"/>
          <w:sz w:val="22"/>
          <w:szCs w:val="22"/>
        </w:rPr>
        <w:t>4, 7</w:t>
      </w:r>
      <w:r w:rsidR="00AA5DF8">
        <w:rPr>
          <w:rStyle w:val="ep"/>
          <w:rFonts w:ascii="Calibri" w:hAnsi="Calibri" w:cs="Calibri"/>
          <w:color w:val="000000"/>
          <w:sz w:val="22"/>
          <w:szCs w:val="22"/>
        </w:rPr>
        <w:t xml:space="preserve">, </w:t>
      </w:r>
      <w:r w:rsidR="00A75471">
        <w:rPr>
          <w:rStyle w:val="ep"/>
          <w:rFonts w:ascii="Calibri" w:hAnsi="Calibri" w:cs="Calibri"/>
          <w:color w:val="000000"/>
          <w:sz w:val="22"/>
          <w:szCs w:val="22"/>
        </w:rPr>
        <w:t>9</w:t>
      </w:r>
      <w:r w:rsidR="00AA5DF8">
        <w:rPr>
          <w:rStyle w:val="ep"/>
          <w:rFonts w:ascii="Calibri" w:hAnsi="Calibri" w:cs="Calibri"/>
          <w:color w:val="000000"/>
          <w:sz w:val="22"/>
          <w:szCs w:val="22"/>
        </w:rPr>
        <w:t xml:space="preserve">, 10 and </w:t>
      </w:r>
      <w:r w:rsidR="00A75471">
        <w:rPr>
          <w:rStyle w:val="ep"/>
          <w:rFonts w:ascii="Calibri" w:hAnsi="Calibri" w:cs="Calibri"/>
          <w:color w:val="000000"/>
          <w:sz w:val="22"/>
          <w:szCs w:val="22"/>
        </w:rPr>
        <w:t>11 were passed without amendment by the requisite majority and Special Resolutions 13 and 14 were also passed without amendment by the requisite majority. Ordinary Resolutions 5 and 12 were not passed</w:t>
      </w:r>
      <w:r w:rsidR="00AA5DF8">
        <w:rPr>
          <w:rStyle w:val="ep"/>
          <w:rFonts w:ascii="Calibri" w:hAnsi="Calibri" w:cs="Calibri"/>
          <w:color w:val="000000"/>
          <w:sz w:val="22"/>
          <w:szCs w:val="22"/>
        </w:rPr>
        <w:t xml:space="preserve">. </w:t>
      </w:r>
      <w:r w:rsidR="00A75471" w:rsidRPr="00254A14">
        <w:rPr>
          <w:rStyle w:val="ep"/>
          <w:rFonts w:ascii="Calibri" w:hAnsi="Calibri" w:cs="Calibri"/>
          <w:color w:val="000000"/>
          <w:sz w:val="22"/>
          <w:szCs w:val="22"/>
        </w:rPr>
        <w:t xml:space="preserve">Ordinary Resolutions 6 and 8 were withdrawn ahead of the AGM. </w:t>
      </w:r>
    </w:p>
    <w:p w14:paraId="5E1E6BB9" w14:textId="3F2EEA77" w:rsidR="009E44F5" w:rsidRDefault="009E44F5" w:rsidP="00A75471">
      <w:pPr>
        <w:pStyle w:val="et"/>
        <w:shd w:val="clear" w:color="auto" w:fill="FFFFFF"/>
        <w:spacing w:line="214" w:lineRule="atLeast"/>
        <w:jc w:val="both"/>
        <w:rPr>
          <w:rStyle w:val="ep"/>
          <w:rFonts w:ascii="Calibri" w:hAnsi="Calibri" w:cs="Calibri"/>
          <w:color w:val="000000"/>
          <w:sz w:val="22"/>
          <w:szCs w:val="22"/>
        </w:rPr>
      </w:pPr>
      <w:r>
        <w:rPr>
          <w:rStyle w:val="ep"/>
          <w:rFonts w:ascii="Calibri" w:hAnsi="Calibri" w:cs="Calibri"/>
          <w:color w:val="000000"/>
          <w:sz w:val="22"/>
          <w:szCs w:val="22"/>
        </w:rPr>
        <w:t>The Board of the Company also announces that, at an Extraordinary General Meeting of the Company (the “</w:t>
      </w:r>
      <w:r>
        <w:rPr>
          <w:rStyle w:val="ep"/>
          <w:rFonts w:ascii="Calibri" w:hAnsi="Calibri" w:cs="Calibri"/>
          <w:b/>
          <w:bCs/>
          <w:color w:val="000000"/>
          <w:sz w:val="22"/>
          <w:szCs w:val="22"/>
        </w:rPr>
        <w:t>EGM</w:t>
      </w:r>
      <w:r>
        <w:rPr>
          <w:rStyle w:val="ep"/>
          <w:rFonts w:ascii="Calibri" w:hAnsi="Calibri" w:cs="Calibri"/>
          <w:color w:val="000000"/>
          <w:sz w:val="22"/>
          <w:szCs w:val="22"/>
        </w:rPr>
        <w:t xml:space="preserve">”) held at 10.30 on 26 October 2023, Ordinary Resolution 1 was not passed. </w:t>
      </w:r>
    </w:p>
    <w:p w14:paraId="1AE52982" w14:textId="3988DE50" w:rsidR="009E44F5" w:rsidRDefault="009E44F5" w:rsidP="009E44F5">
      <w:pPr>
        <w:pStyle w:val="et"/>
        <w:shd w:val="clear" w:color="auto" w:fill="FFFFFF"/>
        <w:spacing w:line="214" w:lineRule="atLeast"/>
        <w:jc w:val="both"/>
        <w:rPr>
          <w:rStyle w:val="ep"/>
          <w:rFonts w:ascii="Calibri" w:hAnsi="Calibri" w:cs="Calibri"/>
          <w:color w:val="000000"/>
          <w:sz w:val="22"/>
          <w:szCs w:val="22"/>
        </w:rPr>
      </w:pPr>
      <w:r>
        <w:rPr>
          <w:rStyle w:val="ep"/>
          <w:rFonts w:ascii="Calibri" w:hAnsi="Calibri" w:cs="Calibri"/>
          <w:color w:val="000000"/>
          <w:sz w:val="22"/>
          <w:szCs w:val="22"/>
        </w:rPr>
        <w:t xml:space="preserve">Votes cast were as follows: </w:t>
      </w:r>
    </w:p>
    <w:tbl>
      <w:tblPr>
        <w:tblW w:w="10495" w:type="dxa"/>
        <w:tblLook w:val="04A0" w:firstRow="1" w:lastRow="0" w:firstColumn="1" w:lastColumn="0" w:noHBand="0" w:noVBand="1"/>
      </w:tblPr>
      <w:tblGrid>
        <w:gridCol w:w="1840"/>
        <w:gridCol w:w="1620"/>
        <w:gridCol w:w="1620"/>
        <w:gridCol w:w="1823"/>
        <w:gridCol w:w="1796"/>
        <w:gridCol w:w="1796"/>
      </w:tblGrid>
      <w:tr w:rsidR="009E44F5" w:rsidRPr="007D6D1E" w14:paraId="49B80DF2" w14:textId="77777777" w:rsidTr="002E27AD">
        <w:trPr>
          <w:trHeight w:val="290"/>
        </w:trPr>
        <w:tc>
          <w:tcPr>
            <w:tcW w:w="104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7A2A5D" w14:textId="7034130E" w:rsidR="009E44F5" w:rsidRPr="007D6D1E" w:rsidRDefault="009E44F5" w:rsidP="0028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  <w:r>
              <w:rPr>
                <w:rFonts w:eastAsia="Times New Roman"/>
                <w:lang w:eastAsia="en-GB"/>
              </w:rPr>
              <w:t>nnual General Meeting</w:t>
            </w:r>
          </w:p>
        </w:tc>
      </w:tr>
      <w:tr w:rsidR="009E44F5" w:rsidRPr="007D6D1E" w14:paraId="78BE9764" w14:textId="77777777" w:rsidTr="002E27AD">
        <w:trPr>
          <w:trHeight w:val="29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C3FB2" w14:textId="77777777" w:rsidR="009E44F5" w:rsidRPr="007D6D1E" w:rsidRDefault="009E44F5" w:rsidP="0028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D6D1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45964" w14:textId="77777777" w:rsidR="009E44F5" w:rsidRPr="007D6D1E" w:rsidRDefault="009E44F5" w:rsidP="0028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D6D1E">
              <w:rPr>
                <w:rFonts w:ascii="Calibri" w:eastAsia="Times New Roman" w:hAnsi="Calibri" w:cs="Calibri"/>
                <w:color w:val="000000"/>
                <w:lang w:eastAsia="en-GB"/>
              </w:rPr>
              <w:t>Votes For (including discretionary)</w:t>
            </w: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64757" w14:textId="77777777" w:rsidR="009E44F5" w:rsidRPr="007D6D1E" w:rsidRDefault="009E44F5" w:rsidP="0028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D6D1E">
              <w:rPr>
                <w:rFonts w:ascii="Calibri" w:eastAsia="Times New Roman" w:hAnsi="Calibri" w:cs="Calibri"/>
                <w:color w:val="000000"/>
                <w:lang w:eastAsia="en-GB"/>
              </w:rPr>
              <w:t>Votes Against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BB1BE" w14:textId="77777777" w:rsidR="009E44F5" w:rsidRPr="007D6D1E" w:rsidRDefault="009E44F5" w:rsidP="0028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D6D1E">
              <w:rPr>
                <w:rFonts w:ascii="Calibri" w:eastAsia="Times New Roman" w:hAnsi="Calibri" w:cs="Calibri"/>
                <w:color w:val="000000"/>
                <w:lang w:eastAsia="en-GB"/>
              </w:rPr>
              <w:t>Votes Withheld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*</w:t>
            </w:r>
          </w:p>
        </w:tc>
      </w:tr>
      <w:tr w:rsidR="009E44F5" w:rsidRPr="007D6D1E" w14:paraId="0EE36C35" w14:textId="77777777" w:rsidTr="00DC7FF5">
        <w:trPr>
          <w:trHeight w:val="67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C2E192" w14:textId="77777777" w:rsidR="009E44F5" w:rsidRPr="007D6D1E" w:rsidRDefault="009E44F5" w:rsidP="0028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7D6D1E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Resolution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547CD3" w14:textId="77777777" w:rsidR="009E44F5" w:rsidRPr="007D6D1E" w:rsidRDefault="009E44F5" w:rsidP="0028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7D6D1E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Votes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457BE0" w14:textId="77777777" w:rsidR="009E44F5" w:rsidRPr="007D6D1E" w:rsidRDefault="009E44F5" w:rsidP="0028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7D6D1E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%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AE1652" w14:textId="77777777" w:rsidR="009E44F5" w:rsidRPr="007D6D1E" w:rsidRDefault="009E44F5" w:rsidP="0028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7D6D1E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Votes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9B0860" w14:textId="77777777" w:rsidR="009E44F5" w:rsidRPr="007D6D1E" w:rsidRDefault="009E44F5" w:rsidP="0028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7D6D1E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%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9D3ABE" w14:textId="77777777" w:rsidR="009E44F5" w:rsidRPr="007D6D1E" w:rsidRDefault="009E44F5" w:rsidP="0028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7D6D1E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</w:tr>
      <w:tr w:rsidR="002E27AD" w:rsidRPr="007D6D1E" w14:paraId="4E37D900" w14:textId="77777777" w:rsidTr="002E27AD">
        <w:trPr>
          <w:trHeight w:val="29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AF748" w14:textId="77777777" w:rsidR="002E27AD" w:rsidRPr="007D6D1E" w:rsidRDefault="002E27AD" w:rsidP="002E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D6D1E">
              <w:rPr>
                <w:rFonts w:ascii="Calibri" w:eastAsia="Times New Roman" w:hAnsi="Calibri" w:cs="Calibri"/>
                <w:color w:val="000000"/>
                <w:lang w:eastAsia="en-GB"/>
              </w:rPr>
              <w:t>1 - Ordinary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AD70AE" w14:textId="3F9B9AE6" w:rsidR="002E27AD" w:rsidRPr="007D6D1E" w:rsidRDefault="002E27AD" w:rsidP="002E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E27AD">
              <w:rPr>
                <w:rFonts w:ascii="Calibri" w:eastAsia="Times New Roman" w:hAnsi="Calibri" w:cs="Calibri"/>
                <w:color w:val="000000"/>
                <w:lang w:eastAsia="en-GB"/>
              </w:rPr>
              <w:t>902,087,010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C88FCB" w14:textId="758DDB03" w:rsidR="002E27AD" w:rsidRPr="007D6D1E" w:rsidRDefault="002E27AD" w:rsidP="002E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E27AD">
              <w:rPr>
                <w:rFonts w:ascii="Calibri" w:eastAsia="Times New Roman" w:hAnsi="Calibri" w:cs="Calibri"/>
                <w:color w:val="000000"/>
                <w:lang w:eastAsia="en-GB"/>
              </w:rPr>
              <w:t>98.41%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tbl>
            <w:tblPr>
              <w:tblW w:w="1580" w:type="dxa"/>
              <w:tblLook w:val="04A0" w:firstRow="1" w:lastRow="0" w:firstColumn="1" w:lastColumn="0" w:noHBand="0" w:noVBand="1"/>
            </w:tblPr>
            <w:tblGrid>
              <w:gridCol w:w="1580"/>
            </w:tblGrid>
            <w:tr w:rsidR="002E27AD" w:rsidRPr="002E27AD" w14:paraId="176F5E47" w14:textId="77777777" w:rsidTr="002E27AD">
              <w:trPr>
                <w:trHeight w:val="255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BB26F94" w14:textId="754C4ADC" w:rsidR="002E27AD" w:rsidRPr="002E27AD" w:rsidRDefault="002E27AD" w:rsidP="002E27A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2E27AD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14,584,199</w:t>
                  </w:r>
                </w:p>
              </w:tc>
            </w:tr>
          </w:tbl>
          <w:p w14:paraId="1141044A" w14:textId="77777777" w:rsidR="002E27AD" w:rsidRPr="007D6D1E" w:rsidRDefault="002E27AD" w:rsidP="002E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4E3E70" w14:textId="0EA21445" w:rsidR="002E27AD" w:rsidRPr="007D6D1E" w:rsidRDefault="002E27AD" w:rsidP="002E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1.59%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tbl>
            <w:tblPr>
              <w:tblW w:w="1580" w:type="dxa"/>
              <w:tblLook w:val="04A0" w:firstRow="1" w:lastRow="0" w:firstColumn="1" w:lastColumn="0" w:noHBand="0" w:noVBand="1"/>
            </w:tblPr>
            <w:tblGrid>
              <w:gridCol w:w="1580"/>
            </w:tblGrid>
            <w:tr w:rsidR="002E27AD" w:rsidRPr="002E27AD" w14:paraId="2331DFFA" w14:textId="77777777" w:rsidTr="00890C24">
              <w:trPr>
                <w:trHeight w:val="255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D24ADF2" w14:textId="4078FCAF" w:rsidR="002E27AD" w:rsidRPr="002E27AD" w:rsidRDefault="002E27AD" w:rsidP="002E27A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2E27AD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 xml:space="preserve"> 42,191,784</w:t>
                  </w:r>
                </w:p>
              </w:tc>
            </w:tr>
          </w:tbl>
          <w:p w14:paraId="02BE00F8" w14:textId="77777777" w:rsidR="002E27AD" w:rsidRPr="007D6D1E" w:rsidRDefault="002E27AD" w:rsidP="002E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2E27AD" w:rsidRPr="007D6D1E" w14:paraId="1CCB705A" w14:textId="77777777" w:rsidTr="002E27AD">
        <w:trPr>
          <w:trHeight w:val="29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CA39A" w14:textId="77777777" w:rsidR="002E27AD" w:rsidRPr="007D6D1E" w:rsidRDefault="002E27AD" w:rsidP="002E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D6D1E">
              <w:rPr>
                <w:rFonts w:ascii="Calibri" w:eastAsia="Times New Roman" w:hAnsi="Calibri" w:cs="Calibri"/>
                <w:color w:val="000000"/>
                <w:lang w:eastAsia="en-GB"/>
              </w:rPr>
              <w:t>2 - Ordinary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6D2A2D" w14:textId="55D37EE3" w:rsidR="002E27AD" w:rsidRPr="007D6D1E" w:rsidRDefault="002E27AD" w:rsidP="002E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E27AD">
              <w:rPr>
                <w:rFonts w:ascii="Calibri" w:eastAsia="Times New Roman" w:hAnsi="Calibri" w:cs="Calibri"/>
                <w:color w:val="000000"/>
                <w:lang w:eastAsia="en-GB"/>
              </w:rPr>
              <w:t>761,897,321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F7FB62" w14:textId="2C38B049" w:rsidR="002E27AD" w:rsidRPr="007D6D1E" w:rsidRDefault="002E27AD" w:rsidP="002E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E27AD">
              <w:rPr>
                <w:rFonts w:ascii="Calibri" w:eastAsia="Times New Roman" w:hAnsi="Calibri" w:cs="Calibri"/>
                <w:color w:val="000000"/>
                <w:lang w:eastAsia="en-GB"/>
              </w:rPr>
              <w:t>82.61%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739BD1" w14:textId="62DBB953" w:rsidR="002E27AD" w:rsidRPr="007D6D1E" w:rsidRDefault="002E27AD" w:rsidP="002E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E27AD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160,335,930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2D8A20" w14:textId="2711917A" w:rsidR="002E27AD" w:rsidRPr="007D6D1E" w:rsidRDefault="002E27AD" w:rsidP="002E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17.39%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18C85D" w14:textId="39E14987" w:rsidR="002E27AD" w:rsidRPr="007D6D1E" w:rsidRDefault="002E27AD" w:rsidP="002E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E27AD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39,066,525</w:t>
            </w:r>
          </w:p>
        </w:tc>
      </w:tr>
      <w:tr w:rsidR="002E27AD" w:rsidRPr="007D6D1E" w14:paraId="72A663D6" w14:textId="77777777" w:rsidTr="002E27AD">
        <w:trPr>
          <w:trHeight w:val="29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1FAFF" w14:textId="77777777" w:rsidR="002E27AD" w:rsidRPr="007D6D1E" w:rsidRDefault="002E27AD" w:rsidP="002E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D6D1E">
              <w:rPr>
                <w:rFonts w:ascii="Calibri" w:eastAsia="Times New Roman" w:hAnsi="Calibri" w:cs="Calibri"/>
                <w:color w:val="000000"/>
                <w:lang w:eastAsia="en-GB"/>
              </w:rPr>
              <w:t>3 - Ordinary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26DB5C" w14:textId="2DC2E8AE" w:rsidR="002E27AD" w:rsidRPr="007D6D1E" w:rsidRDefault="002E27AD" w:rsidP="002E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E27AD">
              <w:rPr>
                <w:rFonts w:ascii="Calibri" w:eastAsia="Times New Roman" w:hAnsi="Calibri" w:cs="Calibri"/>
                <w:color w:val="000000"/>
                <w:lang w:eastAsia="en-GB"/>
              </w:rPr>
              <w:t>926,114,408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A2047" w14:textId="15CFA814" w:rsidR="002E27AD" w:rsidRPr="007D6D1E" w:rsidRDefault="002E27AD" w:rsidP="002E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E27AD">
              <w:rPr>
                <w:rFonts w:ascii="Calibri" w:eastAsia="Times New Roman" w:hAnsi="Calibri" w:cs="Calibri"/>
                <w:color w:val="000000"/>
                <w:lang w:eastAsia="en-GB"/>
              </w:rPr>
              <w:t>98.23%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75250E" w14:textId="5B3EB5AE" w:rsidR="002E27AD" w:rsidRPr="007D6D1E" w:rsidRDefault="002E27AD" w:rsidP="002E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E27AD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16,689,975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B34B8" w14:textId="2149CC88" w:rsidR="002E27AD" w:rsidRPr="007D6D1E" w:rsidRDefault="002E27AD" w:rsidP="002E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1.77%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C25E3F" w14:textId="2E6EB5E4" w:rsidR="002E27AD" w:rsidRPr="007D6D1E" w:rsidRDefault="002E27AD" w:rsidP="002E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E27AD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16,094,610</w:t>
            </w:r>
          </w:p>
        </w:tc>
      </w:tr>
      <w:tr w:rsidR="002E27AD" w:rsidRPr="007D6D1E" w14:paraId="6E48E0F1" w14:textId="77777777" w:rsidTr="002E27AD">
        <w:trPr>
          <w:trHeight w:val="29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0F77C" w14:textId="77777777" w:rsidR="002E27AD" w:rsidRPr="007D6D1E" w:rsidRDefault="002E27AD" w:rsidP="002E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D6D1E">
              <w:rPr>
                <w:rFonts w:ascii="Calibri" w:eastAsia="Times New Roman" w:hAnsi="Calibri" w:cs="Calibri"/>
                <w:color w:val="000000"/>
                <w:lang w:eastAsia="en-GB"/>
              </w:rPr>
              <w:t>4 - Ordinary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333BDE" w14:textId="377166C2" w:rsidR="002E27AD" w:rsidRPr="007D6D1E" w:rsidRDefault="002E27AD" w:rsidP="002E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E27AD">
              <w:rPr>
                <w:rFonts w:ascii="Calibri" w:eastAsia="Times New Roman" w:hAnsi="Calibri" w:cs="Calibri"/>
                <w:color w:val="000000"/>
                <w:lang w:eastAsia="en-GB"/>
              </w:rPr>
              <w:t>926,233,456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8C9C2D" w14:textId="5A6FCCA6" w:rsidR="002E27AD" w:rsidRPr="007D6D1E" w:rsidRDefault="002E27AD" w:rsidP="002E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E27AD">
              <w:rPr>
                <w:rFonts w:ascii="Calibri" w:eastAsia="Times New Roman" w:hAnsi="Calibri" w:cs="Calibri"/>
                <w:color w:val="000000"/>
                <w:lang w:eastAsia="en-GB"/>
              </w:rPr>
              <w:t>98.52%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502CBB" w14:textId="631B53E8" w:rsidR="002E27AD" w:rsidRPr="007D6D1E" w:rsidRDefault="002E27AD" w:rsidP="002E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E27AD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13,926,873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D0FF96" w14:textId="6FD2FE4D" w:rsidR="002E27AD" w:rsidRPr="007D6D1E" w:rsidRDefault="002E27AD" w:rsidP="002E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1.48%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EA0EDC" w14:textId="402CE0F7" w:rsidR="002E27AD" w:rsidRPr="007D6D1E" w:rsidRDefault="002E27AD" w:rsidP="002E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E27AD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18,738,664</w:t>
            </w:r>
          </w:p>
        </w:tc>
      </w:tr>
      <w:tr w:rsidR="002E27AD" w:rsidRPr="007D6D1E" w14:paraId="7EF1D374" w14:textId="77777777" w:rsidTr="002E27AD">
        <w:trPr>
          <w:trHeight w:val="29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A6147" w14:textId="77777777" w:rsidR="002E27AD" w:rsidRPr="007D6D1E" w:rsidRDefault="002E27AD" w:rsidP="002E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D6D1E">
              <w:rPr>
                <w:rFonts w:ascii="Calibri" w:eastAsia="Times New Roman" w:hAnsi="Calibri" w:cs="Calibri"/>
                <w:color w:val="000000"/>
                <w:lang w:eastAsia="en-GB"/>
              </w:rPr>
              <w:t>5 - Ordinary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A2D801" w14:textId="43D11EDB" w:rsidR="002E27AD" w:rsidRPr="007D6D1E" w:rsidRDefault="002E27AD" w:rsidP="002E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E27AD">
              <w:rPr>
                <w:rFonts w:ascii="Calibri" w:eastAsia="Times New Roman" w:hAnsi="Calibri" w:cs="Calibri"/>
                <w:color w:val="000000"/>
                <w:lang w:eastAsia="en-GB"/>
              </w:rPr>
              <w:t>266,638,400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4577E6" w14:textId="2C289714" w:rsidR="002E27AD" w:rsidRPr="007D6D1E" w:rsidRDefault="002E27AD" w:rsidP="002E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E27AD">
              <w:rPr>
                <w:rFonts w:ascii="Calibri" w:eastAsia="Times New Roman" w:hAnsi="Calibri" w:cs="Calibri"/>
                <w:color w:val="000000"/>
                <w:lang w:eastAsia="en-GB"/>
              </w:rPr>
              <w:t>28.50%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15B515" w14:textId="01857D52" w:rsidR="002E27AD" w:rsidRPr="007D6D1E" w:rsidRDefault="002E27AD" w:rsidP="002E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E27AD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669,035,689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D0AA4A" w14:textId="0BED8A40" w:rsidR="002E27AD" w:rsidRPr="007D6D1E" w:rsidRDefault="002E27AD" w:rsidP="002E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71.50%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21B38C" w14:textId="51341AAF" w:rsidR="002E27AD" w:rsidRPr="007D6D1E" w:rsidRDefault="002E27AD" w:rsidP="002E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E27AD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25,906,698</w:t>
            </w:r>
          </w:p>
        </w:tc>
      </w:tr>
      <w:tr w:rsidR="002E27AD" w:rsidRPr="007D6D1E" w14:paraId="2A57228D" w14:textId="77777777" w:rsidTr="002E27AD">
        <w:trPr>
          <w:trHeight w:val="29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A01ED" w14:textId="77777777" w:rsidR="002E27AD" w:rsidRPr="007D6D1E" w:rsidRDefault="002E27AD" w:rsidP="002E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D6D1E">
              <w:rPr>
                <w:rFonts w:ascii="Calibri" w:eastAsia="Times New Roman" w:hAnsi="Calibri" w:cs="Calibri"/>
                <w:color w:val="000000"/>
                <w:lang w:eastAsia="en-GB"/>
              </w:rPr>
              <w:t>6 - Ordinary</w:t>
            </w:r>
          </w:p>
        </w:tc>
        <w:tc>
          <w:tcPr>
            <w:tcW w:w="86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075BBC" w14:textId="64AE5ACC" w:rsidR="002E27AD" w:rsidRPr="007D6D1E" w:rsidRDefault="002E27AD" w:rsidP="002E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Resolution withdrawn</w:t>
            </w:r>
          </w:p>
        </w:tc>
      </w:tr>
      <w:tr w:rsidR="002E27AD" w:rsidRPr="007D6D1E" w14:paraId="500E88A7" w14:textId="77777777" w:rsidTr="002E27AD">
        <w:trPr>
          <w:trHeight w:val="29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53A63" w14:textId="0DC4F327" w:rsidR="002E27AD" w:rsidRPr="007D6D1E" w:rsidRDefault="002E27AD" w:rsidP="002E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D6D1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7 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–</w:t>
            </w:r>
            <w:r w:rsidRPr="007D6D1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Ordinary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2DC686" w14:textId="10349FDF" w:rsidR="002E27AD" w:rsidRPr="007D6D1E" w:rsidRDefault="002E27AD" w:rsidP="002E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E27AD">
              <w:rPr>
                <w:rFonts w:ascii="Calibri" w:eastAsia="Times New Roman" w:hAnsi="Calibri" w:cs="Calibri"/>
                <w:color w:val="000000"/>
                <w:lang w:eastAsia="en-GB"/>
              </w:rPr>
              <w:t>566,713,612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25E582" w14:textId="4E79553C" w:rsidR="002E27AD" w:rsidRPr="007D6D1E" w:rsidRDefault="002E27AD" w:rsidP="002E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E27AD">
              <w:rPr>
                <w:rFonts w:ascii="Calibri" w:eastAsia="Times New Roman" w:hAnsi="Calibri" w:cs="Calibri"/>
                <w:color w:val="000000"/>
                <w:lang w:eastAsia="en-GB"/>
              </w:rPr>
              <w:t>60.95%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E29C8B" w14:textId="3FB73D1B" w:rsidR="002E27AD" w:rsidRPr="007D6D1E" w:rsidRDefault="002E27AD" w:rsidP="002E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E27AD">
              <w:rPr>
                <w:rFonts w:ascii="Calibri" w:eastAsia="Times New Roman" w:hAnsi="Calibri" w:cs="Calibri"/>
                <w:color w:val="000000"/>
                <w:lang w:eastAsia="en-GB"/>
              </w:rPr>
              <w:t>363,152,931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9C6520" w14:textId="7B647DCD" w:rsidR="002E27AD" w:rsidRPr="007D6D1E" w:rsidRDefault="002E27AD" w:rsidP="002E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39.05%**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E0544C" w14:textId="1BB360F5" w:rsidR="002E27AD" w:rsidRPr="007D6D1E" w:rsidRDefault="002E27AD" w:rsidP="002E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E27AD">
              <w:rPr>
                <w:rFonts w:ascii="Calibri" w:eastAsia="Times New Roman" w:hAnsi="Calibri" w:cs="Calibri"/>
                <w:color w:val="000000"/>
                <w:lang w:eastAsia="en-GB"/>
              </w:rPr>
              <w:t>31,430,234</w:t>
            </w:r>
          </w:p>
        </w:tc>
      </w:tr>
      <w:tr w:rsidR="002E27AD" w:rsidRPr="007D6D1E" w14:paraId="4B37CEE3" w14:textId="77777777" w:rsidTr="002E27AD">
        <w:trPr>
          <w:trHeight w:val="29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D4C7A" w14:textId="77777777" w:rsidR="002E27AD" w:rsidRPr="007D6D1E" w:rsidRDefault="002E27AD" w:rsidP="002E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D6D1E">
              <w:rPr>
                <w:rFonts w:ascii="Calibri" w:eastAsia="Times New Roman" w:hAnsi="Calibri" w:cs="Calibri"/>
                <w:color w:val="000000"/>
                <w:lang w:eastAsia="en-GB"/>
              </w:rPr>
              <w:t>8 - Ordinary</w:t>
            </w:r>
          </w:p>
        </w:tc>
        <w:tc>
          <w:tcPr>
            <w:tcW w:w="86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C24758" w14:textId="2C23E07E" w:rsidR="002E27AD" w:rsidRPr="007D6D1E" w:rsidRDefault="002E27AD" w:rsidP="002E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Resolution withdrawn</w:t>
            </w:r>
          </w:p>
        </w:tc>
      </w:tr>
      <w:tr w:rsidR="002E27AD" w:rsidRPr="007D6D1E" w14:paraId="284C9EC3" w14:textId="77777777" w:rsidTr="002E27AD">
        <w:trPr>
          <w:trHeight w:val="29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8C517" w14:textId="77777777" w:rsidR="002E27AD" w:rsidRPr="007D6D1E" w:rsidRDefault="002E27AD" w:rsidP="002E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D6D1E">
              <w:rPr>
                <w:rFonts w:ascii="Calibri" w:eastAsia="Times New Roman" w:hAnsi="Calibri" w:cs="Calibri"/>
                <w:color w:val="000000"/>
                <w:lang w:eastAsia="en-GB"/>
              </w:rPr>
              <w:t>9 - Ordinary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7DC909" w14:textId="0131CF84" w:rsidR="002E27AD" w:rsidRPr="007D6D1E" w:rsidRDefault="002E27AD" w:rsidP="002E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E27AD">
              <w:rPr>
                <w:rFonts w:ascii="Calibri" w:eastAsia="Times New Roman" w:hAnsi="Calibri" w:cs="Calibri"/>
                <w:color w:val="000000"/>
                <w:lang w:eastAsia="en-GB"/>
              </w:rPr>
              <w:t>689,028,393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965BA1" w14:textId="06A923A7" w:rsidR="002E27AD" w:rsidRPr="007D6D1E" w:rsidRDefault="002E27AD" w:rsidP="002E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80.26%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tbl>
            <w:tblPr>
              <w:tblW w:w="1607" w:type="dxa"/>
              <w:tblLook w:val="04A0" w:firstRow="1" w:lastRow="0" w:firstColumn="1" w:lastColumn="0" w:noHBand="0" w:noVBand="1"/>
            </w:tblPr>
            <w:tblGrid>
              <w:gridCol w:w="1607"/>
            </w:tblGrid>
            <w:tr w:rsidR="002E27AD" w:rsidRPr="002E27AD" w14:paraId="580DCF71" w14:textId="77777777" w:rsidTr="002E27AD">
              <w:trPr>
                <w:trHeight w:val="255"/>
              </w:trPr>
              <w:tc>
                <w:tcPr>
                  <w:tcW w:w="16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45BFD37" w14:textId="0DFB8B79" w:rsidR="002E27AD" w:rsidRPr="002E27AD" w:rsidRDefault="002E27AD" w:rsidP="002E27A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</w:pPr>
                  <w:r w:rsidRPr="002E27AD">
                    <w:rPr>
                      <w:rFonts w:ascii="Arial" w:eastAsia="Times New Roman" w:hAnsi="Arial" w:cs="Arial"/>
                      <w:sz w:val="20"/>
                      <w:szCs w:val="20"/>
                      <w:lang w:val="en-GB" w:eastAsia="en-GB"/>
                    </w:rPr>
                    <w:t>169,462,126</w:t>
                  </w:r>
                </w:p>
              </w:tc>
            </w:tr>
          </w:tbl>
          <w:p w14:paraId="5D45DE8B" w14:textId="77777777" w:rsidR="002E27AD" w:rsidRPr="007D6D1E" w:rsidRDefault="002E27AD" w:rsidP="002E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775709" w14:textId="33C36625" w:rsidR="002E27AD" w:rsidRPr="007D6D1E" w:rsidRDefault="002E27AD" w:rsidP="002E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19.74%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52CB42" w14:textId="07F7C6EC" w:rsidR="002E27AD" w:rsidRPr="007D6D1E" w:rsidRDefault="002E27AD" w:rsidP="002E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E27AD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102,809,258  </w:t>
            </w:r>
          </w:p>
        </w:tc>
      </w:tr>
      <w:tr w:rsidR="002E27AD" w:rsidRPr="007D6D1E" w14:paraId="76F7E7B7" w14:textId="77777777" w:rsidTr="002E27AD">
        <w:trPr>
          <w:trHeight w:val="29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35504" w14:textId="77777777" w:rsidR="002E27AD" w:rsidRPr="007D6D1E" w:rsidRDefault="002E27AD" w:rsidP="002E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D6D1E">
              <w:rPr>
                <w:rFonts w:ascii="Calibri" w:eastAsia="Times New Roman" w:hAnsi="Calibri" w:cs="Calibri"/>
                <w:color w:val="000000"/>
                <w:lang w:eastAsia="en-GB"/>
              </w:rPr>
              <w:t>10 - Ordinary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913A71" w14:textId="1A9DBE27" w:rsidR="002E27AD" w:rsidRPr="007D6D1E" w:rsidRDefault="002E27AD" w:rsidP="002E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E27AD">
              <w:rPr>
                <w:rFonts w:ascii="Calibri" w:eastAsia="Times New Roman" w:hAnsi="Calibri" w:cs="Calibri"/>
                <w:color w:val="000000"/>
                <w:lang w:eastAsia="en-GB"/>
              </w:rPr>
              <w:t>736,943,650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7BDF89" w14:textId="3F39B738" w:rsidR="002E27AD" w:rsidRPr="007D6D1E" w:rsidRDefault="002E27AD" w:rsidP="002E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85.97%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3B667C" w14:textId="0304CB5D" w:rsidR="002E27AD" w:rsidRPr="007D6D1E" w:rsidRDefault="002E27AD" w:rsidP="002E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E27AD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120,314,999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D7631C" w14:textId="139F28A6" w:rsidR="002E27AD" w:rsidRPr="007D6D1E" w:rsidRDefault="002E27AD" w:rsidP="002E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14.03%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020E9F" w14:textId="6F2BFE4A" w:rsidR="002E27AD" w:rsidRPr="007D6D1E" w:rsidRDefault="002E27AD" w:rsidP="002E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E27AD">
              <w:rPr>
                <w:rFonts w:ascii="Calibri" w:eastAsia="Times New Roman" w:hAnsi="Calibri" w:cs="Calibri"/>
                <w:color w:val="000000"/>
                <w:lang w:eastAsia="en-GB"/>
              </w:rPr>
              <w:t>104,041,127</w:t>
            </w:r>
          </w:p>
        </w:tc>
      </w:tr>
      <w:tr w:rsidR="002E27AD" w:rsidRPr="007D6D1E" w14:paraId="1F9E570A" w14:textId="77777777" w:rsidTr="002E27AD">
        <w:trPr>
          <w:trHeight w:val="29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13E5C" w14:textId="77777777" w:rsidR="002E27AD" w:rsidRPr="007D6D1E" w:rsidRDefault="002E27AD" w:rsidP="002E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D6D1E">
              <w:rPr>
                <w:rFonts w:ascii="Calibri" w:eastAsia="Times New Roman" w:hAnsi="Calibri" w:cs="Calibri"/>
                <w:color w:val="000000"/>
                <w:lang w:eastAsia="en-GB"/>
              </w:rPr>
              <w:t>11 - Ordinary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421209" w14:textId="4987B3B0" w:rsidR="002E27AD" w:rsidRPr="007D6D1E" w:rsidRDefault="002E27AD" w:rsidP="002E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E27AD">
              <w:rPr>
                <w:rFonts w:ascii="Calibri" w:eastAsia="Times New Roman" w:hAnsi="Calibri" w:cs="Calibri"/>
                <w:color w:val="000000"/>
                <w:lang w:eastAsia="en-GB"/>
              </w:rPr>
              <w:t>894,456,735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BAA91A" w14:textId="75C69822" w:rsidR="002E27AD" w:rsidRPr="007D6D1E" w:rsidRDefault="002E27AD" w:rsidP="002E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97.37%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F62F61" w14:textId="7AB71E85" w:rsidR="002E27AD" w:rsidRPr="007D6D1E" w:rsidRDefault="002E27AD" w:rsidP="002E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E27AD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24,171,873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84430D" w14:textId="358CFED4" w:rsidR="002E27AD" w:rsidRPr="007D6D1E" w:rsidRDefault="002E27AD" w:rsidP="002E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2.63%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0D2701" w14:textId="5971D609" w:rsidR="002E27AD" w:rsidRPr="007D6D1E" w:rsidRDefault="002E27AD" w:rsidP="002E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E27AD">
              <w:rPr>
                <w:rFonts w:ascii="Calibri" w:eastAsia="Times New Roman" w:hAnsi="Calibri" w:cs="Calibri"/>
                <w:color w:val="000000"/>
                <w:lang w:eastAsia="en-GB"/>
              </w:rPr>
              <w:t>44,902,153</w:t>
            </w:r>
          </w:p>
        </w:tc>
      </w:tr>
      <w:tr w:rsidR="002E27AD" w:rsidRPr="007D6D1E" w14:paraId="3610ECB0" w14:textId="77777777" w:rsidTr="002E27AD">
        <w:trPr>
          <w:trHeight w:val="29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DCFE9" w14:textId="77777777" w:rsidR="002E27AD" w:rsidRPr="007D6D1E" w:rsidRDefault="002E27AD" w:rsidP="002E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D6D1E">
              <w:rPr>
                <w:rFonts w:ascii="Calibri" w:eastAsia="Times New Roman" w:hAnsi="Calibri" w:cs="Calibri"/>
                <w:color w:val="000000"/>
                <w:lang w:eastAsia="en-GB"/>
              </w:rPr>
              <w:t>12 - Ordinary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9DD6BE" w14:textId="5B39C765" w:rsidR="002E27AD" w:rsidRPr="007D6D1E" w:rsidRDefault="002E27AD" w:rsidP="002E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E27AD">
              <w:rPr>
                <w:rFonts w:ascii="Calibri" w:eastAsia="Times New Roman" w:hAnsi="Calibri" w:cs="Calibri"/>
                <w:color w:val="000000"/>
                <w:lang w:eastAsia="en-GB"/>
              </w:rPr>
              <w:t>160,727,622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43FA3D" w14:textId="3AA216A1" w:rsidR="002E27AD" w:rsidRPr="007D6D1E" w:rsidRDefault="002E27AD" w:rsidP="002E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16.80%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E3A704" w14:textId="7F461180" w:rsidR="002E27AD" w:rsidRPr="007D6D1E" w:rsidRDefault="002E27AD" w:rsidP="002E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E27AD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795,710,737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8B086A" w14:textId="52527087" w:rsidR="002E27AD" w:rsidRPr="007D6D1E" w:rsidRDefault="002E27AD" w:rsidP="002E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83.20%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CE9AAE" w14:textId="183B3426" w:rsidR="002E27AD" w:rsidRPr="007D6D1E" w:rsidRDefault="002E27AD" w:rsidP="002E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E27AD">
              <w:rPr>
                <w:rFonts w:ascii="Calibri" w:eastAsia="Times New Roman" w:hAnsi="Calibri" w:cs="Calibri"/>
                <w:color w:val="000000"/>
                <w:lang w:eastAsia="en-GB"/>
              </w:rPr>
              <w:t>13,067,334</w:t>
            </w:r>
          </w:p>
        </w:tc>
      </w:tr>
      <w:tr w:rsidR="002E27AD" w:rsidRPr="007D6D1E" w14:paraId="76CC6C79" w14:textId="77777777" w:rsidTr="002E27AD">
        <w:trPr>
          <w:trHeight w:val="29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4EFDB" w14:textId="77405A87" w:rsidR="002E27AD" w:rsidRPr="007D6D1E" w:rsidRDefault="002E27AD" w:rsidP="002E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D6D1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13 - 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Special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828F2E" w14:textId="70F48177" w:rsidR="002E27AD" w:rsidRPr="007D6D1E" w:rsidRDefault="002E27AD" w:rsidP="002E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E27AD">
              <w:rPr>
                <w:rFonts w:ascii="Calibri" w:eastAsia="Times New Roman" w:hAnsi="Calibri" w:cs="Calibri"/>
                <w:color w:val="000000"/>
                <w:lang w:eastAsia="en-GB"/>
              </w:rPr>
              <w:t>834,150,187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BBC3C2" w14:textId="7D951E2F" w:rsidR="002E27AD" w:rsidRPr="007D6D1E" w:rsidRDefault="002E27AD" w:rsidP="002E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91.20%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51C077" w14:textId="3A70C0C4" w:rsidR="002E27AD" w:rsidRPr="007D6D1E" w:rsidRDefault="002E27AD" w:rsidP="002E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E27AD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80,451,844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519103" w14:textId="663BB9A8" w:rsidR="002E27AD" w:rsidRPr="007D6D1E" w:rsidRDefault="002E27AD" w:rsidP="002E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8.80%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34FCA0" w14:textId="4FF47F89" w:rsidR="002E27AD" w:rsidRPr="007D6D1E" w:rsidRDefault="002E27AD" w:rsidP="002E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E27AD">
              <w:rPr>
                <w:rFonts w:ascii="Calibri" w:eastAsia="Times New Roman" w:hAnsi="Calibri" w:cs="Calibri"/>
                <w:color w:val="000000"/>
                <w:lang w:eastAsia="en-GB"/>
              </w:rPr>
              <w:t>46,476,131</w:t>
            </w:r>
          </w:p>
        </w:tc>
      </w:tr>
      <w:tr w:rsidR="002E27AD" w:rsidRPr="007D6D1E" w14:paraId="747156BB" w14:textId="77777777" w:rsidTr="002E27AD">
        <w:trPr>
          <w:trHeight w:val="29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A62CF" w14:textId="77777777" w:rsidR="002E27AD" w:rsidRPr="007D6D1E" w:rsidRDefault="002E27AD" w:rsidP="002E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D6D1E">
              <w:rPr>
                <w:rFonts w:ascii="Calibri" w:eastAsia="Times New Roman" w:hAnsi="Calibri" w:cs="Calibri"/>
                <w:color w:val="000000"/>
                <w:lang w:eastAsia="en-GB"/>
              </w:rPr>
              <w:t>14 - Special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5D549F" w14:textId="234929E7" w:rsidR="002E27AD" w:rsidRPr="007D6D1E" w:rsidRDefault="002E27AD" w:rsidP="002E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E27AD">
              <w:rPr>
                <w:rFonts w:ascii="Calibri" w:eastAsia="Times New Roman" w:hAnsi="Calibri" w:cs="Calibri"/>
                <w:color w:val="000000"/>
                <w:lang w:eastAsia="en-GB"/>
              </w:rPr>
              <w:t>874,802,540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844529" w14:textId="461C62C8" w:rsidR="002E27AD" w:rsidRPr="007D6D1E" w:rsidRDefault="002E27AD" w:rsidP="002E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92.93%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5DF0DD" w14:textId="446FBEE7" w:rsidR="002E27AD" w:rsidRPr="007D6D1E" w:rsidRDefault="002E27AD" w:rsidP="002E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E27AD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66,549,857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EE2641" w14:textId="70082D95" w:rsidR="002E27AD" w:rsidRPr="007D6D1E" w:rsidRDefault="002E27AD" w:rsidP="002E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7.07%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3E4887" w14:textId="01103804" w:rsidR="002E27AD" w:rsidRPr="007D6D1E" w:rsidRDefault="002E27AD" w:rsidP="002E2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E27AD">
              <w:rPr>
                <w:rFonts w:ascii="Calibri" w:eastAsia="Times New Roman" w:hAnsi="Calibri" w:cs="Calibri"/>
                <w:color w:val="000000"/>
                <w:lang w:eastAsia="en-GB"/>
              </w:rPr>
              <w:t>19,725,765</w:t>
            </w:r>
          </w:p>
        </w:tc>
      </w:tr>
    </w:tbl>
    <w:p w14:paraId="21690172" w14:textId="77777777" w:rsidR="009E44F5" w:rsidRDefault="009E44F5" w:rsidP="009E44F5">
      <w:pPr>
        <w:pStyle w:val="et"/>
        <w:shd w:val="clear" w:color="auto" w:fill="FFFFFF"/>
        <w:spacing w:line="214" w:lineRule="atLeast"/>
        <w:jc w:val="both"/>
        <w:rPr>
          <w:rStyle w:val="ep"/>
          <w:rFonts w:ascii="Calibri" w:hAnsi="Calibri" w:cs="Calibri"/>
          <w:color w:val="000000"/>
          <w:sz w:val="22"/>
          <w:szCs w:val="22"/>
        </w:rPr>
      </w:pPr>
    </w:p>
    <w:tbl>
      <w:tblPr>
        <w:tblW w:w="10053" w:type="dxa"/>
        <w:tblInd w:w="-113" w:type="dxa"/>
        <w:tblLook w:val="04A0" w:firstRow="1" w:lastRow="0" w:firstColumn="1" w:lastColumn="0" w:noHBand="0" w:noVBand="1"/>
      </w:tblPr>
      <w:tblGrid>
        <w:gridCol w:w="1953"/>
        <w:gridCol w:w="1620"/>
        <w:gridCol w:w="1620"/>
        <w:gridCol w:w="1620"/>
        <w:gridCol w:w="1620"/>
        <w:gridCol w:w="1620"/>
      </w:tblGrid>
      <w:tr w:rsidR="009E44F5" w:rsidRPr="007D6D1E" w14:paraId="6AFA8674" w14:textId="77777777" w:rsidTr="00282E0E">
        <w:trPr>
          <w:trHeight w:val="290"/>
        </w:trPr>
        <w:tc>
          <w:tcPr>
            <w:tcW w:w="100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5A9B09" w14:textId="77777777" w:rsidR="009E44F5" w:rsidRPr="007D6D1E" w:rsidRDefault="009E44F5" w:rsidP="0028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E</w:t>
            </w:r>
            <w:r>
              <w:rPr>
                <w:rFonts w:eastAsia="Times New Roman"/>
                <w:lang w:eastAsia="en-GB"/>
              </w:rPr>
              <w:t>xtraordinary General Meeting</w:t>
            </w:r>
          </w:p>
        </w:tc>
      </w:tr>
      <w:tr w:rsidR="009E44F5" w:rsidRPr="007D6D1E" w14:paraId="5AF34912" w14:textId="77777777" w:rsidTr="00282E0E">
        <w:trPr>
          <w:trHeight w:val="290"/>
        </w:trPr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4F66B" w14:textId="77777777" w:rsidR="009E44F5" w:rsidRPr="007D6D1E" w:rsidRDefault="009E44F5" w:rsidP="0028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D6D1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E3E76" w14:textId="77777777" w:rsidR="009E44F5" w:rsidRPr="007D6D1E" w:rsidRDefault="009E44F5" w:rsidP="0028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D6D1E">
              <w:rPr>
                <w:rFonts w:ascii="Calibri" w:eastAsia="Times New Roman" w:hAnsi="Calibri" w:cs="Calibri"/>
                <w:color w:val="000000"/>
                <w:lang w:eastAsia="en-GB"/>
              </w:rPr>
              <w:t>Votes For (including discretionary)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F1BAB" w14:textId="77777777" w:rsidR="009E44F5" w:rsidRPr="007D6D1E" w:rsidRDefault="009E44F5" w:rsidP="0028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D6D1E">
              <w:rPr>
                <w:rFonts w:ascii="Calibri" w:eastAsia="Times New Roman" w:hAnsi="Calibri" w:cs="Calibri"/>
                <w:color w:val="000000"/>
                <w:lang w:eastAsia="en-GB"/>
              </w:rPr>
              <w:t>Votes Against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5510E" w14:textId="77777777" w:rsidR="009E44F5" w:rsidRPr="007D6D1E" w:rsidRDefault="009E44F5" w:rsidP="0028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D6D1E">
              <w:rPr>
                <w:rFonts w:ascii="Calibri" w:eastAsia="Times New Roman" w:hAnsi="Calibri" w:cs="Calibri"/>
                <w:color w:val="000000"/>
                <w:lang w:eastAsia="en-GB"/>
              </w:rPr>
              <w:t>Votes Withheld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*</w:t>
            </w:r>
          </w:p>
        </w:tc>
      </w:tr>
      <w:tr w:rsidR="009E44F5" w:rsidRPr="007D6D1E" w14:paraId="44E0FD15" w14:textId="77777777" w:rsidTr="00DC7FF5">
        <w:trPr>
          <w:trHeight w:val="711"/>
        </w:trPr>
        <w:tc>
          <w:tcPr>
            <w:tcW w:w="1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472037" w14:textId="77777777" w:rsidR="009E44F5" w:rsidRPr="007D6D1E" w:rsidRDefault="009E44F5" w:rsidP="0028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7D6D1E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Resolution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ABAE4E" w14:textId="77777777" w:rsidR="009E44F5" w:rsidRPr="007D6D1E" w:rsidRDefault="009E44F5" w:rsidP="0028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7D6D1E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Votes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4AB562" w14:textId="77777777" w:rsidR="009E44F5" w:rsidRPr="007D6D1E" w:rsidRDefault="009E44F5" w:rsidP="0028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7D6D1E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%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1D62A5" w14:textId="77777777" w:rsidR="009E44F5" w:rsidRPr="007D6D1E" w:rsidRDefault="009E44F5" w:rsidP="0028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7D6D1E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Votes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5E1919" w14:textId="77777777" w:rsidR="009E44F5" w:rsidRPr="007D6D1E" w:rsidRDefault="009E44F5" w:rsidP="0028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7D6D1E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%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F5C705" w14:textId="77777777" w:rsidR="009E44F5" w:rsidRPr="007D6D1E" w:rsidRDefault="009E44F5" w:rsidP="0028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7D6D1E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</w:tr>
      <w:tr w:rsidR="009E44F5" w:rsidRPr="007D6D1E" w14:paraId="273245E2" w14:textId="77777777" w:rsidTr="00282E0E">
        <w:trPr>
          <w:trHeight w:val="290"/>
        </w:trPr>
        <w:tc>
          <w:tcPr>
            <w:tcW w:w="1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9E88C" w14:textId="77777777" w:rsidR="009E44F5" w:rsidRPr="007D6D1E" w:rsidRDefault="009E44F5" w:rsidP="0028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D6D1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1 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–</w:t>
            </w:r>
            <w:r w:rsidRPr="007D6D1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Ordinary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3AF523" w14:textId="183968CF" w:rsidR="009E44F5" w:rsidRPr="007D6D1E" w:rsidRDefault="002408C3" w:rsidP="0028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150,167,587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B14FB" w14:textId="260BC83E" w:rsidR="009E44F5" w:rsidRPr="007D6D1E" w:rsidRDefault="002408C3" w:rsidP="0028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15.87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C0D625" w14:textId="607AB9AB" w:rsidR="009E44F5" w:rsidRPr="007D6D1E" w:rsidRDefault="002408C3" w:rsidP="0028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796,299,788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E4381D" w14:textId="413D188B" w:rsidR="009E44F5" w:rsidRPr="007D6D1E" w:rsidRDefault="002408C3" w:rsidP="0028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84.13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496EF4" w14:textId="7DB8A67E" w:rsidR="009E44F5" w:rsidRPr="007D6D1E" w:rsidRDefault="002408C3" w:rsidP="00282E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84,202</w:t>
            </w:r>
          </w:p>
        </w:tc>
      </w:tr>
    </w:tbl>
    <w:p w14:paraId="34CC577C" w14:textId="77777777" w:rsidR="00552626" w:rsidRDefault="00552626" w:rsidP="00552626">
      <w:pPr>
        <w:spacing w:after="0"/>
        <w:jc w:val="both"/>
      </w:pPr>
    </w:p>
    <w:p w14:paraId="72525551" w14:textId="546930C1" w:rsidR="009E44F5" w:rsidRDefault="009E44F5" w:rsidP="009E44F5">
      <w:pPr>
        <w:pStyle w:val="et"/>
        <w:shd w:val="clear" w:color="auto" w:fill="FFFFFF"/>
        <w:spacing w:line="214" w:lineRule="atLeast"/>
        <w:jc w:val="both"/>
        <w:rPr>
          <w:rStyle w:val="ep"/>
          <w:rFonts w:ascii="Calibri" w:hAnsi="Calibri" w:cs="Calibri"/>
          <w:color w:val="000000"/>
          <w:sz w:val="22"/>
          <w:szCs w:val="22"/>
        </w:rPr>
      </w:pPr>
      <w:r>
        <w:rPr>
          <w:rStyle w:val="ep"/>
          <w:rFonts w:ascii="Calibri" w:hAnsi="Calibri" w:cs="Calibri"/>
          <w:color w:val="000000"/>
          <w:sz w:val="22"/>
          <w:szCs w:val="22"/>
        </w:rPr>
        <w:t xml:space="preserve">In accordance with LR 9.6.18, details of those resolutions passed at the AGM, which were not ordinary business, follow: </w:t>
      </w:r>
    </w:p>
    <w:p w14:paraId="7BA36F1D" w14:textId="10AAF696" w:rsidR="009E44F5" w:rsidRPr="009E44F5" w:rsidRDefault="009E44F5" w:rsidP="009E44F5">
      <w:pPr>
        <w:pStyle w:val="et"/>
        <w:shd w:val="clear" w:color="auto" w:fill="FFFFFF"/>
        <w:spacing w:line="214" w:lineRule="atLeast"/>
        <w:jc w:val="both"/>
        <w:rPr>
          <w:rStyle w:val="ep"/>
          <w:rFonts w:ascii="Calibri" w:hAnsi="Calibri" w:cs="Calibri"/>
          <w:color w:val="000000"/>
          <w:sz w:val="22"/>
          <w:szCs w:val="22"/>
        </w:rPr>
      </w:pPr>
      <w:r>
        <w:rPr>
          <w:rStyle w:val="ep"/>
          <w:rFonts w:ascii="Calibri" w:hAnsi="Calibri" w:cs="Calibri"/>
          <w:b/>
          <w:bCs/>
          <w:color w:val="000000"/>
          <w:sz w:val="22"/>
          <w:szCs w:val="22"/>
        </w:rPr>
        <w:t>Special Resolution 13:</w:t>
      </w:r>
      <w:r>
        <w:rPr>
          <w:rStyle w:val="ep"/>
          <w:rFonts w:ascii="Calibri" w:hAnsi="Calibri" w:cs="Calibri"/>
          <w:color w:val="000000"/>
          <w:sz w:val="22"/>
          <w:szCs w:val="22"/>
        </w:rPr>
        <w:t xml:space="preserve"> </w:t>
      </w:r>
    </w:p>
    <w:p w14:paraId="7D24F5F5" w14:textId="46E9D4A8" w:rsidR="00533BA2" w:rsidRDefault="009E44F5" w:rsidP="009E44F5">
      <w:pPr>
        <w:jc w:val="both"/>
        <w:rPr>
          <w:rFonts w:cstheme="minorHAnsi"/>
        </w:rPr>
      </w:pPr>
      <w:r w:rsidRPr="009E44F5">
        <w:rPr>
          <w:rFonts w:cstheme="minorHAnsi"/>
        </w:rPr>
        <w:t xml:space="preserve">THAT the Directors be and are hereby </w:t>
      </w:r>
      <w:proofErr w:type="spellStart"/>
      <w:r w:rsidRPr="009E44F5">
        <w:rPr>
          <w:rFonts w:cstheme="minorHAnsi"/>
        </w:rPr>
        <w:t>authorised</w:t>
      </w:r>
      <w:proofErr w:type="spellEnd"/>
      <w:r w:rsidRPr="009E44F5">
        <w:rPr>
          <w:rFonts w:cstheme="minorHAnsi"/>
        </w:rPr>
        <w:t>, pursuant to Article 5.8 of the Articles, to</w:t>
      </w:r>
      <w:r>
        <w:rPr>
          <w:rFonts w:cstheme="minorHAnsi"/>
        </w:rPr>
        <w:t xml:space="preserve"> </w:t>
      </w:r>
      <w:r w:rsidRPr="009E44F5">
        <w:rPr>
          <w:rFonts w:cstheme="minorHAnsi"/>
        </w:rPr>
        <w:t>allot and issue or make offers or agreements to allot and issue, grant rights to subscribe for,</w:t>
      </w:r>
      <w:r>
        <w:rPr>
          <w:rFonts w:cstheme="minorHAnsi"/>
        </w:rPr>
        <w:t xml:space="preserve"> </w:t>
      </w:r>
      <w:r w:rsidRPr="009E44F5">
        <w:rPr>
          <w:rFonts w:cstheme="minorHAnsi"/>
        </w:rPr>
        <w:t>or to convert any securities into ordinary shares (including by way of sale of ordinary shares</w:t>
      </w:r>
      <w:r>
        <w:rPr>
          <w:rFonts w:cstheme="minorHAnsi"/>
        </w:rPr>
        <w:t xml:space="preserve"> </w:t>
      </w:r>
      <w:r w:rsidRPr="009E44F5">
        <w:rPr>
          <w:rFonts w:cstheme="minorHAnsi"/>
        </w:rPr>
        <w:t>from treasury) (“Relevant Securities”) for cash up to the aggregate number of 60,460,714</w:t>
      </w:r>
      <w:r>
        <w:rPr>
          <w:rFonts w:cstheme="minorHAnsi"/>
        </w:rPr>
        <w:t xml:space="preserve"> </w:t>
      </w:r>
      <w:r w:rsidRPr="009E44F5">
        <w:rPr>
          <w:rFonts w:cstheme="minorHAnsi"/>
        </w:rPr>
        <w:t>ordinary shares (representing 5 per cent. of the ordinary shares in issue as at the date of this</w:t>
      </w:r>
      <w:r>
        <w:rPr>
          <w:rFonts w:cstheme="minorHAnsi"/>
        </w:rPr>
        <w:t xml:space="preserve"> </w:t>
      </w:r>
      <w:r w:rsidRPr="009E44F5">
        <w:rPr>
          <w:rFonts w:cstheme="minorHAnsi"/>
        </w:rPr>
        <w:t>notice (excluding any ordinary shares held in treasury and after giving effect to the exercise of</w:t>
      </w:r>
      <w:r>
        <w:rPr>
          <w:rFonts w:cstheme="minorHAnsi"/>
        </w:rPr>
        <w:t xml:space="preserve"> </w:t>
      </w:r>
      <w:r w:rsidRPr="009E44F5">
        <w:rPr>
          <w:rFonts w:cstheme="minorHAnsi"/>
        </w:rPr>
        <w:t>any warrants, options or other convertible securities outstanding as at such date)) as if</w:t>
      </w:r>
      <w:r>
        <w:rPr>
          <w:rFonts w:cstheme="minorHAnsi"/>
        </w:rPr>
        <w:t xml:space="preserve"> </w:t>
      </w:r>
      <w:r w:rsidRPr="009E44F5">
        <w:rPr>
          <w:rFonts w:cstheme="minorHAnsi"/>
        </w:rPr>
        <w:t>Article 5.1 of the Articles did not apply to any such allotment and issue, such authority to</w:t>
      </w:r>
      <w:r>
        <w:rPr>
          <w:rFonts w:cstheme="minorHAnsi"/>
        </w:rPr>
        <w:t xml:space="preserve"> </w:t>
      </w:r>
      <w:r w:rsidRPr="009E44F5">
        <w:rPr>
          <w:rFonts w:cstheme="minorHAnsi"/>
        </w:rPr>
        <w:t>expire on the date which is 15 months from the date of the passing of this resolution or, if</w:t>
      </w:r>
      <w:r>
        <w:rPr>
          <w:rFonts w:cstheme="minorHAnsi"/>
        </w:rPr>
        <w:t xml:space="preserve"> </w:t>
      </w:r>
      <w:r w:rsidRPr="009E44F5">
        <w:rPr>
          <w:rFonts w:cstheme="minorHAnsi"/>
        </w:rPr>
        <w:t>earlier, at the end of the annual general meeting of the Company to be held in 2024 (unless</w:t>
      </w:r>
      <w:r>
        <w:rPr>
          <w:rFonts w:cstheme="minorHAnsi"/>
        </w:rPr>
        <w:t xml:space="preserve"> </w:t>
      </w:r>
      <w:r w:rsidRPr="009E44F5">
        <w:rPr>
          <w:rFonts w:cstheme="minorHAnsi"/>
        </w:rPr>
        <w:t>previously renewed, revoked or varied by the Company by a special resolution) save that the</w:t>
      </w:r>
      <w:r>
        <w:rPr>
          <w:rFonts w:cstheme="minorHAnsi"/>
        </w:rPr>
        <w:t xml:space="preserve"> </w:t>
      </w:r>
      <w:r w:rsidRPr="009E44F5">
        <w:rPr>
          <w:rFonts w:cstheme="minorHAnsi"/>
        </w:rPr>
        <w:t>Company may, before such expiry, make an offer or agreement which would or might require</w:t>
      </w:r>
      <w:r>
        <w:rPr>
          <w:rFonts w:cstheme="minorHAnsi"/>
        </w:rPr>
        <w:t xml:space="preserve"> </w:t>
      </w:r>
      <w:r w:rsidRPr="009E44F5">
        <w:rPr>
          <w:rFonts w:cstheme="minorHAnsi"/>
        </w:rPr>
        <w:t>Relevant Securities to be allotted and issued after such expiry and the directors may allot and</w:t>
      </w:r>
      <w:r>
        <w:rPr>
          <w:rFonts w:cstheme="minorHAnsi"/>
        </w:rPr>
        <w:t xml:space="preserve"> </w:t>
      </w:r>
      <w:r w:rsidRPr="009E44F5">
        <w:rPr>
          <w:rFonts w:cstheme="minorHAnsi"/>
        </w:rPr>
        <w:t xml:space="preserve">issue Relevant Securities in pursuance of such an offer or agreement as if the authority conferred by this resolution had not expired. </w:t>
      </w:r>
    </w:p>
    <w:p w14:paraId="2EA7AA78" w14:textId="4A2C36BA" w:rsidR="009E44F5" w:rsidRDefault="009E44F5" w:rsidP="009E44F5">
      <w:pPr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Special Resolution 14:</w:t>
      </w:r>
    </w:p>
    <w:p w14:paraId="4A8425BB" w14:textId="77777777" w:rsidR="009E44F5" w:rsidRDefault="009E44F5" w:rsidP="009E44F5">
      <w:pPr>
        <w:jc w:val="both"/>
        <w:rPr>
          <w:rFonts w:cstheme="minorHAnsi"/>
        </w:rPr>
      </w:pPr>
      <w:r w:rsidRPr="009E44F5">
        <w:rPr>
          <w:rFonts w:cstheme="minorHAnsi"/>
        </w:rPr>
        <w:t>THAT the Company, in accordance with Section 315 of The Companies (Guernsey) Law 2008</w:t>
      </w:r>
      <w:r>
        <w:rPr>
          <w:rFonts w:cstheme="minorHAnsi"/>
        </w:rPr>
        <w:t xml:space="preserve"> </w:t>
      </w:r>
      <w:r w:rsidRPr="009E44F5">
        <w:rPr>
          <w:rFonts w:cstheme="minorHAnsi"/>
        </w:rPr>
        <w:t>as amended (the “Law”), be approved to make market acquisitions (as defined in Section 316</w:t>
      </w:r>
      <w:r>
        <w:rPr>
          <w:rFonts w:cstheme="minorHAnsi"/>
        </w:rPr>
        <w:t xml:space="preserve"> </w:t>
      </w:r>
      <w:r w:rsidRPr="009E44F5">
        <w:rPr>
          <w:rFonts w:cstheme="minorHAnsi"/>
        </w:rPr>
        <w:t>of the Law), of its ordinary shares either for retention as treasury shares, insofar as permitted</w:t>
      </w:r>
      <w:r>
        <w:rPr>
          <w:rFonts w:cstheme="minorHAnsi"/>
        </w:rPr>
        <w:t xml:space="preserve"> </w:t>
      </w:r>
      <w:r w:rsidRPr="009E44F5">
        <w:rPr>
          <w:rFonts w:cstheme="minorHAnsi"/>
        </w:rPr>
        <w:t>by the Law, or cancellation, provided that:</w:t>
      </w:r>
      <w:r>
        <w:rPr>
          <w:rFonts w:cstheme="minorHAnsi"/>
        </w:rPr>
        <w:t xml:space="preserve"> </w:t>
      </w:r>
    </w:p>
    <w:p w14:paraId="1B89C987" w14:textId="1CF6A280" w:rsidR="009E44F5" w:rsidRDefault="009E44F5" w:rsidP="009E44F5">
      <w:pPr>
        <w:jc w:val="both"/>
        <w:rPr>
          <w:rFonts w:cstheme="minorHAnsi"/>
        </w:rPr>
      </w:pPr>
      <w:proofErr w:type="spellStart"/>
      <w:r w:rsidRPr="009E44F5">
        <w:rPr>
          <w:rFonts w:cstheme="minorHAnsi"/>
        </w:rPr>
        <w:t>i</w:t>
      </w:r>
      <w:proofErr w:type="spellEnd"/>
      <w:r>
        <w:rPr>
          <w:rFonts w:cstheme="minorHAnsi"/>
        </w:rPr>
        <w:t>.</w:t>
      </w:r>
      <w:r w:rsidRPr="009E44F5">
        <w:rPr>
          <w:rFonts w:cstheme="minorHAnsi"/>
        </w:rPr>
        <w:t xml:space="preserve"> the maximum number of shares </w:t>
      </w:r>
      <w:proofErr w:type="spellStart"/>
      <w:r w:rsidRPr="009E44F5">
        <w:rPr>
          <w:rFonts w:cstheme="minorHAnsi"/>
        </w:rPr>
        <w:t>authorised</w:t>
      </w:r>
      <w:proofErr w:type="spellEnd"/>
      <w:r w:rsidRPr="009E44F5">
        <w:rPr>
          <w:rFonts w:cstheme="minorHAnsi"/>
        </w:rPr>
        <w:t xml:space="preserve"> to be purchased in the market is up to</w:t>
      </w:r>
      <w:r>
        <w:rPr>
          <w:rFonts w:cstheme="minorHAnsi"/>
        </w:rPr>
        <w:t xml:space="preserve"> </w:t>
      </w:r>
      <w:r w:rsidRPr="009E44F5">
        <w:rPr>
          <w:rFonts w:cstheme="minorHAnsi"/>
        </w:rPr>
        <w:t>14.99 per cent. of the ordinary shares in issue (excluding treasury shares in issue) as at</w:t>
      </w:r>
      <w:r>
        <w:rPr>
          <w:rFonts w:cstheme="minorHAnsi"/>
        </w:rPr>
        <w:t xml:space="preserve"> </w:t>
      </w:r>
      <w:r w:rsidRPr="009E44F5">
        <w:rPr>
          <w:rFonts w:cstheme="minorHAnsi"/>
        </w:rPr>
        <w:t xml:space="preserve">the time immediately following the passing of this </w:t>
      </w:r>
      <w:proofErr w:type="gramStart"/>
      <w:r w:rsidRPr="009E44F5">
        <w:rPr>
          <w:rFonts w:cstheme="minorHAnsi"/>
        </w:rPr>
        <w:t>resolution;</w:t>
      </w:r>
      <w:proofErr w:type="gramEnd"/>
      <w:r>
        <w:rPr>
          <w:rFonts w:cstheme="minorHAnsi"/>
        </w:rPr>
        <w:t xml:space="preserve"> </w:t>
      </w:r>
    </w:p>
    <w:p w14:paraId="32311CC8" w14:textId="492E9952" w:rsidR="009E44F5" w:rsidRPr="009E44F5" w:rsidRDefault="009E44F5" w:rsidP="009E44F5">
      <w:pPr>
        <w:jc w:val="both"/>
        <w:rPr>
          <w:rFonts w:cstheme="minorHAnsi"/>
        </w:rPr>
      </w:pPr>
      <w:r w:rsidRPr="009E44F5">
        <w:rPr>
          <w:rFonts w:cstheme="minorHAnsi"/>
        </w:rPr>
        <w:t>ii. the minimum price (exclusive of expenses) which may be paid for an ordinary share is</w:t>
      </w:r>
      <w:r>
        <w:rPr>
          <w:rFonts w:cstheme="minorHAnsi"/>
        </w:rPr>
        <w:t xml:space="preserve"> </w:t>
      </w:r>
      <w:proofErr w:type="gramStart"/>
      <w:r w:rsidRPr="009E44F5">
        <w:rPr>
          <w:rFonts w:cstheme="minorHAnsi"/>
        </w:rPr>
        <w:t>£0.01;</w:t>
      </w:r>
      <w:proofErr w:type="gramEnd"/>
    </w:p>
    <w:p w14:paraId="2E7F08C4" w14:textId="2E4C33CE" w:rsidR="009E44F5" w:rsidRPr="009E44F5" w:rsidRDefault="009E44F5" w:rsidP="009E44F5">
      <w:pPr>
        <w:jc w:val="both"/>
        <w:rPr>
          <w:rFonts w:cstheme="minorHAnsi"/>
        </w:rPr>
      </w:pPr>
      <w:r w:rsidRPr="009E44F5">
        <w:rPr>
          <w:rFonts w:cstheme="minorHAnsi"/>
        </w:rPr>
        <w:t>iii. the maximum price (exclusive of expenses) which may be paid for an ordinary share is</w:t>
      </w:r>
      <w:r>
        <w:rPr>
          <w:rFonts w:cstheme="minorHAnsi"/>
        </w:rPr>
        <w:t xml:space="preserve"> </w:t>
      </w:r>
      <w:r w:rsidRPr="009E44F5">
        <w:rPr>
          <w:rFonts w:cstheme="minorHAnsi"/>
        </w:rPr>
        <w:t>an amount equal to the higher of: (</w:t>
      </w:r>
      <w:proofErr w:type="spellStart"/>
      <w:r w:rsidRPr="009E44F5">
        <w:rPr>
          <w:rFonts w:cstheme="minorHAnsi"/>
        </w:rPr>
        <w:t>i</w:t>
      </w:r>
      <w:proofErr w:type="spellEnd"/>
      <w:r w:rsidRPr="009E44F5">
        <w:rPr>
          <w:rFonts w:cstheme="minorHAnsi"/>
        </w:rPr>
        <w:t>) 5 per cent. above the average of the midmarket</w:t>
      </w:r>
      <w:r>
        <w:rPr>
          <w:rFonts w:cstheme="minorHAnsi"/>
        </w:rPr>
        <w:t xml:space="preserve"> </w:t>
      </w:r>
      <w:r w:rsidRPr="009E44F5">
        <w:rPr>
          <w:rFonts w:cstheme="minorHAnsi"/>
        </w:rPr>
        <w:t>values for an ordinary share (as derived from the regulated market on which the</w:t>
      </w:r>
      <w:r>
        <w:rPr>
          <w:rFonts w:cstheme="minorHAnsi"/>
        </w:rPr>
        <w:t xml:space="preserve"> </w:t>
      </w:r>
      <w:r w:rsidRPr="009E44F5">
        <w:rPr>
          <w:rFonts w:cstheme="minorHAnsi"/>
        </w:rPr>
        <w:t>repurchase is carried out) for the five business days immediately preceding the day on</w:t>
      </w:r>
      <w:r>
        <w:rPr>
          <w:rFonts w:cstheme="minorHAnsi"/>
        </w:rPr>
        <w:t xml:space="preserve"> </w:t>
      </w:r>
      <w:r w:rsidRPr="009E44F5">
        <w:rPr>
          <w:rFonts w:cstheme="minorHAnsi"/>
        </w:rPr>
        <w:t>which that purchase is made; and (ii) the higher of: (a) the price of the last independent</w:t>
      </w:r>
      <w:r>
        <w:rPr>
          <w:rFonts w:cstheme="minorHAnsi"/>
        </w:rPr>
        <w:t xml:space="preserve"> </w:t>
      </w:r>
      <w:r w:rsidRPr="009E44F5">
        <w:rPr>
          <w:rFonts w:cstheme="minorHAnsi"/>
        </w:rPr>
        <w:t>trade; or (b) the highest current independent bid at the time of purchase, in each case</w:t>
      </w:r>
      <w:r>
        <w:rPr>
          <w:rFonts w:cstheme="minorHAnsi"/>
        </w:rPr>
        <w:t xml:space="preserve"> </w:t>
      </w:r>
      <w:r w:rsidRPr="009E44F5">
        <w:rPr>
          <w:rFonts w:cstheme="minorHAnsi"/>
        </w:rPr>
        <w:t>on the regulated market where the purchase is carried out;</w:t>
      </w:r>
    </w:p>
    <w:p w14:paraId="6B00F9AE" w14:textId="7D5D6A13" w:rsidR="009E44F5" w:rsidRPr="009E44F5" w:rsidRDefault="009E44F5" w:rsidP="009E44F5">
      <w:pPr>
        <w:jc w:val="both"/>
        <w:rPr>
          <w:rFonts w:cstheme="minorHAnsi"/>
        </w:rPr>
      </w:pPr>
      <w:r w:rsidRPr="009E44F5">
        <w:rPr>
          <w:rFonts w:cstheme="minorHAnsi"/>
        </w:rPr>
        <w:lastRenderedPageBreak/>
        <w:t>iv. subject to paragraph (v), such authority shall expire at the annual general meeting of the</w:t>
      </w:r>
      <w:r>
        <w:rPr>
          <w:rFonts w:cstheme="minorHAnsi"/>
        </w:rPr>
        <w:t xml:space="preserve"> </w:t>
      </w:r>
      <w:r w:rsidRPr="009E44F5">
        <w:rPr>
          <w:rFonts w:cstheme="minorHAnsi"/>
        </w:rPr>
        <w:t>Company to be held in 2024 (unless previously varied, revoked or renewed by the</w:t>
      </w:r>
      <w:r>
        <w:rPr>
          <w:rFonts w:cstheme="minorHAnsi"/>
        </w:rPr>
        <w:t xml:space="preserve"> </w:t>
      </w:r>
      <w:r w:rsidRPr="009E44F5">
        <w:rPr>
          <w:rFonts w:cstheme="minorHAnsi"/>
        </w:rPr>
        <w:t>Company in general meeting) or, if earlier, the date falling 18 months from the passing of</w:t>
      </w:r>
      <w:r>
        <w:rPr>
          <w:rFonts w:cstheme="minorHAnsi"/>
        </w:rPr>
        <w:t xml:space="preserve"> </w:t>
      </w:r>
      <w:r w:rsidRPr="009E44F5">
        <w:rPr>
          <w:rFonts w:cstheme="minorHAnsi"/>
        </w:rPr>
        <w:t>this resolution; and</w:t>
      </w:r>
    </w:p>
    <w:p w14:paraId="30C6B3BD" w14:textId="6E63959D" w:rsidR="009E44F5" w:rsidRPr="009E44F5" w:rsidRDefault="009E44F5" w:rsidP="009E44F5">
      <w:pPr>
        <w:jc w:val="both"/>
        <w:rPr>
          <w:rFonts w:cstheme="minorHAnsi"/>
        </w:rPr>
      </w:pPr>
      <w:r w:rsidRPr="009E44F5">
        <w:rPr>
          <w:rFonts w:cstheme="minorHAnsi"/>
        </w:rPr>
        <w:t>v. notwithstanding paragraph (iv), the Company may make a contract to purchase its</w:t>
      </w:r>
      <w:r>
        <w:rPr>
          <w:rFonts w:cstheme="minorHAnsi"/>
        </w:rPr>
        <w:t xml:space="preserve"> </w:t>
      </w:r>
      <w:r w:rsidRPr="009E44F5">
        <w:rPr>
          <w:rFonts w:cstheme="minorHAnsi"/>
        </w:rPr>
        <w:t>ordinary shares pursuant to the authority hereby conferred prior to the expiry of such</w:t>
      </w:r>
      <w:r>
        <w:rPr>
          <w:rFonts w:cstheme="minorHAnsi"/>
        </w:rPr>
        <w:t xml:space="preserve"> </w:t>
      </w:r>
      <w:r w:rsidRPr="009E44F5">
        <w:rPr>
          <w:rFonts w:cstheme="minorHAnsi"/>
        </w:rPr>
        <w:t>authority which will or may be executed wholly or partly after the expiry of such authority</w:t>
      </w:r>
      <w:r>
        <w:rPr>
          <w:rFonts w:cstheme="minorHAnsi"/>
        </w:rPr>
        <w:t xml:space="preserve"> </w:t>
      </w:r>
      <w:r w:rsidRPr="009E44F5">
        <w:rPr>
          <w:rFonts w:cstheme="minorHAnsi"/>
        </w:rPr>
        <w:t>and may make a purchase of its own ordinary shares in pursuance of any such contract</w:t>
      </w:r>
      <w:r>
        <w:rPr>
          <w:rFonts w:cstheme="minorHAnsi"/>
        </w:rPr>
        <w:t xml:space="preserve"> </w:t>
      </w:r>
      <w:r w:rsidRPr="009E44F5">
        <w:rPr>
          <w:rFonts w:cstheme="minorHAnsi"/>
        </w:rPr>
        <w:t>notwithstanding the authority given by this resolution.</w:t>
      </w:r>
    </w:p>
    <w:p w14:paraId="0C25A00A" w14:textId="77777777" w:rsidR="009E44F5" w:rsidRDefault="009E44F5" w:rsidP="009E44F5">
      <w:pPr>
        <w:autoSpaceDE w:val="0"/>
        <w:autoSpaceDN w:val="0"/>
        <w:adjustRightInd w:val="0"/>
        <w:spacing w:after="0" w:line="240" w:lineRule="auto"/>
        <w:rPr>
          <w:rStyle w:val="ep"/>
          <w:rFonts w:ascii="Calibri" w:hAnsi="Calibri" w:cs="Calibri"/>
          <w:color w:val="000000"/>
        </w:rPr>
      </w:pPr>
    </w:p>
    <w:p w14:paraId="620A4587" w14:textId="77777777" w:rsidR="009E44F5" w:rsidRDefault="009E44F5" w:rsidP="009E44F5">
      <w:pPr>
        <w:jc w:val="both"/>
        <w:rPr>
          <w:rFonts w:cstheme="minorHAnsi"/>
        </w:rPr>
      </w:pPr>
      <w:r>
        <w:rPr>
          <w:rFonts w:cstheme="minorHAnsi"/>
        </w:rPr>
        <w:t xml:space="preserve">* A vote withheld is not a vote in law and is therefore not counted towards the proportion of votes “for” or “against” the resolution. </w:t>
      </w:r>
    </w:p>
    <w:p w14:paraId="19AFB31B" w14:textId="65BC6727" w:rsidR="00BC48B6" w:rsidRDefault="00BC48B6" w:rsidP="009E44F5">
      <w:pPr>
        <w:jc w:val="both"/>
        <w:rPr>
          <w:rFonts w:cstheme="minorHAnsi"/>
        </w:rPr>
      </w:pPr>
      <w:r>
        <w:rPr>
          <w:rFonts w:cstheme="minorHAnsi"/>
        </w:rPr>
        <w:t xml:space="preserve">** </w:t>
      </w:r>
      <w:r w:rsidR="00AA5DF8">
        <w:rPr>
          <w:rFonts w:cstheme="minorHAnsi"/>
        </w:rPr>
        <w:t xml:space="preserve">In accordance with the </w:t>
      </w:r>
      <w:r>
        <w:rPr>
          <w:rFonts w:cstheme="minorHAnsi"/>
        </w:rPr>
        <w:t xml:space="preserve">provisions of the </w:t>
      </w:r>
      <w:r w:rsidR="00AA5DF8">
        <w:rPr>
          <w:rFonts w:cstheme="minorHAnsi"/>
        </w:rPr>
        <w:t>AIC Code</w:t>
      </w:r>
      <w:r>
        <w:rPr>
          <w:rFonts w:cstheme="minorHAnsi"/>
        </w:rPr>
        <w:t xml:space="preserve">, the Board will consult with shareholders in order to understand the reasons behind the votes cast against Mr. Holden’s re-election as a Director. An update on the views received from Shareholders and actions taken will be published within six months of the date of today’s AGM. </w:t>
      </w:r>
    </w:p>
    <w:p w14:paraId="376F4816" w14:textId="2422B1C3" w:rsidR="00446F8D" w:rsidRPr="009E44F5" w:rsidRDefault="003C6387" w:rsidP="009E44F5">
      <w:pPr>
        <w:jc w:val="both"/>
        <w:rPr>
          <w:rStyle w:val="ep"/>
          <w:rFonts w:cstheme="minorHAnsi"/>
        </w:rPr>
      </w:pPr>
      <w:r>
        <w:rPr>
          <w:rStyle w:val="ep"/>
          <w:rFonts w:ascii="Calibri" w:hAnsi="Calibri" w:cs="Calibri"/>
          <w:color w:val="000000"/>
        </w:rPr>
        <w:br/>
      </w:r>
      <w:bookmarkStart w:id="1" w:name="_Hlk149127624"/>
      <w:r w:rsidRPr="003C6387">
        <w:rPr>
          <w:rStyle w:val="ep"/>
          <w:rFonts w:ascii="Calibri" w:hAnsi="Calibri" w:cs="Calibri"/>
          <w:color w:val="000000"/>
        </w:rPr>
        <w:t>For further information please contact:</w:t>
      </w:r>
    </w:p>
    <w:tbl>
      <w:tblPr>
        <w:tblW w:w="92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79"/>
        <w:gridCol w:w="377"/>
        <w:gridCol w:w="3284"/>
      </w:tblGrid>
      <w:tr w:rsidR="003C6387" w:rsidRPr="003C6387" w14:paraId="1CEBD7F7" w14:textId="77777777" w:rsidTr="00871854">
        <w:trPr>
          <w:trHeight w:val="585"/>
        </w:trPr>
        <w:tc>
          <w:tcPr>
            <w:tcW w:w="5579" w:type="dxa"/>
            <w:shd w:val="clear" w:color="auto" w:fill="FFFFFF"/>
            <w:tcMar>
              <w:top w:w="0" w:type="dxa"/>
              <w:left w:w="0" w:type="dxa"/>
              <w:bottom w:w="170" w:type="dxa"/>
              <w:right w:w="108" w:type="dxa"/>
            </w:tcMar>
            <w:hideMark/>
          </w:tcPr>
          <w:p w14:paraId="7B04A725" w14:textId="16738123" w:rsidR="003C6387" w:rsidRDefault="003C6387" w:rsidP="003C6387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C6387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val="en-GB" w:eastAsia="en-GB"/>
              </w:rPr>
              <w:t>For Hipgnosis Songs Fund</w:t>
            </w:r>
          </w:p>
          <w:p w14:paraId="682DD51C" w14:textId="33229AF5" w:rsidR="003C6387" w:rsidRDefault="00AA5DF8" w:rsidP="003C6387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sz w:val="20"/>
                <w:szCs w:val="20"/>
                <w:lang w:val="en-GB" w:eastAsia="en-GB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en-GB" w:eastAsia="en-GB"/>
              </w:rPr>
              <w:t>S</w:t>
            </w:r>
            <w:r>
              <w:rPr>
                <w:rFonts w:ascii="Segoe UI" w:eastAsia="Times New Roman" w:hAnsi="Segoe UI" w:cs="Segoe UI"/>
                <w:sz w:val="20"/>
                <w:szCs w:val="20"/>
                <w:lang w:val="en-GB" w:eastAsia="en-GB"/>
              </w:rPr>
              <w:t>ylvia Coleman</w:t>
            </w:r>
          </w:p>
          <w:p w14:paraId="55515B2B" w14:textId="7DB25D8E" w:rsidR="00576D6C" w:rsidRPr="003C6387" w:rsidRDefault="00576D6C" w:rsidP="003C638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en-GB" w:eastAsia="en-GB"/>
              </w:rPr>
              <w:t>Rufina Pavry (Investor Relations)</w:t>
            </w:r>
          </w:p>
          <w:p w14:paraId="4E0C256B" w14:textId="6B3E4659" w:rsidR="003C6387" w:rsidRPr="003C6387" w:rsidRDefault="003C6387" w:rsidP="003C638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3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045702" w14:textId="77777777" w:rsidR="003C6387" w:rsidRPr="003C6387" w:rsidRDefault="003C6387" w:rsidP="003C638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3284" w:type="dxa"/>
            <w:shd w:val="clear" w:color="auto" w:fill="FFFFFF"/>
            <w:tcMar>
              <w:top w:w="0" w:type="dxa"/>
              <w:left w:w="0" w:type="dxa"/>
              <w:bottom w:w="170" w:type="dxa"/>
              <w:right w:w="108" w:type="dxa"/>
            </w:tcMar>
            <w:hideMark/>
          </w:tcPr>
          <w:p w14:paraId="188AB91A" w14:textId="77777777" w:rsidR="003C6387" w:rsidRPr="003C6387" w:rsidRDefault="003C6387" w:rsidP="003C6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3C6387">
              <w:rPr>
                <w:rFonts w:ascii="Segoe UI" w:eastAsia="Times New Roman" w:hAnsi="Segoe UI" w:cs="Segoe UI"/>
                <w:color w:val="000000"/>
                <w:sz w:val="20"/>
                <w:szCs w:val="20"/>
                <w:shd w:val="clear" w:color="auto" w:fill="FFFFFF"/>
                <w:lang w:val="en-GB" w:eastAsia="en-GB"/>
              </w:rPr>
              <w:t>+44 (0) 20 4542 1530</w:t>
            </w:r>
          </w:p>
        </w:tc>
      </w:tr>
      <w:tr w:rsidR="003C6387" w:rsidRPr="003C6387" w14:paraId="554308B5" w14:textId="77777777" w:rsidTr="003C6387">
        <w:trPr>
          <w:trHeight w:val="794"/>
        </w:trPr>
        <w:tc>
          <w:tcPr>
            <w:tcW w:w="5579" w:type="dxa"/>
            <w:shd w:val="clear" w:color="auto" w:fill="FFFFFF"/>
            <w:tcMar>
              <w:top w:w="0" w:type="dxa"/>
              <w:left w:w="0" w:type="dxa"/>
              <w:bottom w:w="170" w:type="dxa"/>
              <w:right w:w="108" w:type="dxa"/>
            </w:tcMar>
          </w:tcPr>
          <w:p w14:paraId="3FF32BB6" w14:textId="77777777" w:rsidR="003C6387" w:rsidRDefault="003C6387" w:rsidP="003C6387">
            <w:pPr>
              <w:pStyle w:val="eu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do"/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Headland Consultancy - Financial PR to Hipgnosis Songs Fund</w:t>
            </w:r>
          </w:p>
          <w:p w14:paraId="4989C440" w14:textId="6EE0BEF4" w:rsidR="003C6387" w:rsidRPr="003C6387" w:rsidRDefault="003C6387" w:rsidP="003C6387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Style w:val="dl"/>
                <w:rFonts w:ascii="Segoe UI" w:hAnsi="Segoe UI" w:cs="Segoe UI"/>
                <w:color w:val="000000"/>
                <w:sz w:val="20"/>
                <w:szCs w:val="20"/>
              </w:rPr>
              <w:t>Susanna Voyle / Del Jones / Charlie Twigg</w:t>
            </w:r>
          </w:p>
        </w:tc>
        <w:tc>
          <w:tcPr>
            <w:tcW w:w="3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A9BA6" w14:textId="77777777" w:rsidR="003C6387" w:rsidRPr="003C6387" w:rsidRDefault="003C6387" w:rsidP="003C638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3284" w:type="dxa"/>
            <w:shd w:val="clear" w:color="auto" w:fill="FFFFFF"/>
            <w:tcMar>
              <w:top w:w="0" w:type="dxa"/>
              <w:left w:w="0" w:type="dxa"/>
              <w:bottom w:w="170" w:type="dxa"/>
              <w:right w:w="108" w:type="dxa"/>
            </w:tcMar>
          </w:tcPr>
          <w:p w14:paraId="74720552" w14:textId="3F0A8EAD" w:rsidR="003C6387" w:rsidRPr="003C6387" w:rsidRDefault="003C6387" w:rsidP="003C6387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000000"/>
                <w:sz w:val="20"/>
                <w:szCs w:val="20"/>
                <w:shd w:val="clear" w:color="auto" w:fill="FFFFFF"/>
                <w:lang w:val="en-GB" w:eastAsia="en-GB"/>
              </w:rPr>
            </w:pPr>
            <w:r>
              <w:rPr>
                <w:rStyle w:val="dy"/>
                <w:rFonts w:ascii="Segoe UI" w:hAnsi="Segoe UI" w:cs="Segoe UI"/>
                <w:color w:val="000000"/>
                <w:sz w:val="20"/>
                <w:szCs w:val="20"/>
              </w:rPr>
              <w:t>+44 (0) 20 3805 4822</w:t>
            </w:r>
          </w:p>
        </w:tc>
      </w:tr>
      <w:tr w:rsidR="003C6387" w:rsidRPr="003C6387" w14:paraId="64A53AF6" w14:textId="77777777" w:rsidTr="003C6387">
        <w:trPr>
          <w:trHeight w:val="794"/>
        </w:trPr>
        <w:tc>
          <w:tcPr>
            <w:tcW w:w="5579" w:type="dxa"/>
            <w:shd w:val="clear" w:color="auto" w:fill="FFFFFF"/>
            <w:tcMar>
              <w:top w:w="0" w:type="dxa"/>
              <w:left w:w="0" w:type="dxa"/>
              <w:bottom w:w="170" w:type="dxa"/>
              <w:right w:w="108" w:type="dxa"/>
            </w:tcMar>
            <w:hideMark/>
          </w:tcPr>
          <w:p w14:paraId="188834BA" w14:textId="77777777" w:rsidR="003C6387" w:rsidRPr="003C6387" w:rsidRDefault="003C6387" w:rsidP="003C6387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C6387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val="en-GB" w:eastAsia="en-GB"/>
              </w:rPr>
              <w:t>J.P. Morgan Cazenove - Sponsor, Financial Adviser and Corporate Broker</w:t>
            </w:r>
          </w:p>
          <w:p w14:paraId="3C5B6FB4" w14:textId="77777777" w:rsidR="003C6387" w:rsidRPr="00871854" w:rsidRDefault="003C6387" w:rsidP="003C6387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en-GB" w:eastAsia="en-GB"/>
              </w:rPr>
            </w:pPr>
            <w:r w:rsidRPr="00871854"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en-GB" w:eastAsia="en-GB"/>
              </w:rPr>
              <w:t>William Simmonds / Jérémie Birnbaum (Corporate Finance)</w:t>
            </w:r>
          </w:p>
        </w:tc>
        <w:tc>
          <w:tcPr>
            <w:tcW w:w="3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D925B5" w14:textId="77777777" w:rsidR="003C6387" w:rsidRPr="003C6387" w:rsidRDefault="003C6387" w:rsidP="003C638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3284" w:type="dxa"/>
            <w:shd w:val="clear" w:color="auto" w:fill="FFFFFF"/>
            <w:tcMar>
              <w:top w:w="0" w:type="dxa"/>
              <w:left w:w="0" w:type="dxa"/>
              <w:bottom w:w="170" w:type="dxa"/>
              <w:right w:w="108" w:type="dxa"/>
            </w:tcMar>
            <w:hideMark/>
          </w:tcPr>
          <w:p w14:paraId="17885803" w14:textId="5E59052F" w:rsidR="003C6387" w:rsidRPr="003C6387" w:rsidRDefault="003C6387" w:rsidP="003C6387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000000"/>
                <w:sz w:val="20"/>
                <w:szCs w:val="20"/>
                <w:shd w:val="clear" w:color="auto" w:fill="FFFFFF"/>
                <w:lang w:val="en-GB" w:eastAsia="en-GB"/>
              </w:rPr>
            </w:pPr>
            <w:r w:rsidRPr="003C6387">
              <w:rPr>
                <w:rFonts w:ascii="Segoe UI" w:eastAsia="Times New Roman" w:hAnsi="Segoe UI" w:cs="Segoe UI"/>
                <w:color w:val="000000"/>
                <w:sz w:val="20"/>
                <w:szCs w:val="20"/>
                <w:shd w:val="clear" w:color="auto" w:fill="FFFFFF"/>
                <w:lang w:val="en-GB" w:eastAsia="en-GB"/>
              </w:rPr>
              <w:t>+44 (0)</w:t>
            </w:r>
            <w:r w:rsidR="00232541">
              <w:rPr>
                <w:rFonts w:ascii="Segoe UI" w:eastAsia="Times New Roman" w:hAnsi="Segoe UI" w:cs="Segoe UI"/>
                <w:color w:val="000000"/>
                <w:sz w:val="20"/>
                <w:szCs w:val="20"/>
                <w:shd w:val="clear" w:color="auto" w:fill="FFFFFF"/>
                <w:lang w:val="en-GB" w:eastAsia="en-GB"/>
              </w:rPr>
              <w:t xml:space="preserve"> </w:t>
            </w:r>
            <w:r w:rsidRPr="003C6387">
              <w:rPr>
                <w:rFonts w:ascii="Segoe UI" w:eastAsia="Times New Roman" w:hAnsi="Segoe UI" w:cs="Segoe UI"/>
                <w:color w:val="000000"/>
                <w:sz w:val="20"/>
                <w:szCs w:val="20"/>
                <w:shd w:val="clear" w:color="auto" w:fill="FFFFFF"/>
                <w:lang w:val="en-GB" w:eastAsia="en-GB"/>
              </w:rPr>
              <w:t>20</w:t>
            </w:r>
            <w:r w:rsidR="00232541">
              <w:rPr>
                <w:rFonts w:ascii="Segoe UI" w:eastAsia="Times New Roman" w:hAnsi="Segoe UI" w:cs="Segoe UI"/>
                <w:color w:val="000000"/>
                <w:sz w:val="20"/>
                <w:szCs w:val="20"/>
                <w:shd w:val="clear" w:color="auto" w:fill="FFFFFF"/>
                <w:lang w:val="en-GB" w:eastAsia="en-GB"/>
              </w:rPr>
              <w:t xml:space="preserve"> </w:t>
            </w:r>
            <w:r w:rsidRPr="003C6387">
              <w:rPr>
                <w:rFonts w:ascii="Segoe UI" w:eastAsia="Times New Roman" w:hAnsi="Segoe UI" w:cs="Segoe UI"/>
                <w:color w:val="000000"/>
                <w:sz w:val="20"/>
                <w:szCs w:val="20"/>
                <w:shd w:val="clear" w:color="auto" w:fill="FFFFFF"/>
                <w:lang w:val="en-GB" w:eastAsia="en-GB"/>
              </w:rPr>
              <w:t>3493 8000</w:t>
            </w:r>
          </w:p>
        </w:tc>
      </w:tr>
      <w:tr w:rsidR="003C6387" w:rsidRPr="003C6387" w14:paraId="4DD64EF2" w14:textId="77777777" w:rsidTr="003C6387">
        <w:trPr>
          <w:trHeight w:val="794"/>
        </w:trPr>
        <w:tc>
          <w:tcPr>
            <w:tcW w:w="5579" w:type="dxa"/>
            <w:shd w:val="clear" w:color="auto" w:fill="FFFFFF"/>
            <w:tcMar>
              <w:top w:w="0" w:type="dxa"/>
              <w:left w:w="0" w:type="dxa"/>
              <w:bottom w:w="170" w:type="dxa"/>
              <w:right w:w="108" w:type="dxa"/>
            </w:tcMar>
            <w:hideMark/>
          </w:tcPr>
          <w:p w14:paraId="31D3E156" w14:textId="77777777" w:rsidR="003C6387" w:rsidRPr="003C6387" w:rsidRDefault="003C6387" w:rsidP="003C6387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C6387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val="en-GB" w:eastAsia="en-GB"/>
              </w:rPr>
              <w:t>Singer Capital Markets - Corporate Broker</w:t>
            </w:r>
          </w:p>
          <w:p w14:paraId="28785E49" w14:textId="49353C12" w:rsidR="003C6387" w:rsidRPr="00871854" w:rsidRDefault="003C6387" w:rsidP="003C6387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en-GB" w:eastAsia="en-GB"/>
              </w:rPr>
            </w:pPr>
            <w:r w:rsidRPr="00871854"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en-GB" w:eastAsia="en-GB"/>
              </w:rPr>
              <w:t>James Moat / Angus Campbell (Corporate Finance)</w:t>
            </w:r>
          </w:p>
          <w:p w14:paraId="2CC5D948" w14:textId="77777777" w:rsidR="003C6387" w:rsidRPr="003C6387" w:rsidRDefault="003C6387" w:rsidP="003C6387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871854"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en-GB" w:eastAsia="en-GB"/>
              </w:rPr>
              <w:t>Alan Geeves / James Waterlow / Sam Greatrex (Sales)</w:t>
            </w:r>
            <w:r w:rsidRPr="003C6387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3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2D72ED" w14:textId="77777777" w:rsidR="003C6387" w:rsidRPr="003C6387" w:rsidRDefault="003C6387" w:rsidP="003C638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3284" w:type="dxa"/>
            <w:shd w:val="clear" w:color="auto" w:fill="FFFFFF"/>
            <w:tcMar>
              <w:top w:w="0" w:type="dxa"/>
              <w:left w:w="0" w:type="dxa"/>
              <w:bottom w:w="170" w:type="dxa"/>
              <w:right w:w="108" w:type="dxa"/>
            </w:tcMar>
            <w:hideMark/>
          </w:tcPr>
          <w:p w14:paraId="139ECAC9" w14:textId="1828BC36" w:rsidR="003C6387" w:rsidRPr="003C6387" w:rsidRDefault="003C6387" w:rsidP="003C6387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000000"/>
                <w:sz w:val="20"/>
                <w:szCs w:val="20"/>
                <w:shd w:val="clear" w:color="auto" w:fill="FFFFFF"/>
                <w:lang w:val="en-GB" w:eastAsia="en-GB"/>
              </w:rPr>
            </w:pPr>
            <w:r w:rsidRPr="003C6387">
              <w:rPr>
                <w:rFonts w:ascii="Segoe UI" w:eastAsia="Times New Roman" w:hAnsi="Segoe UI" w:cs="Segoe UI"/>
                <w:color w:val="000000"/>
                <w:sz w:val="20"/>
                <w:szCs w:val="20"/>
                <w:shd w:val="clear" w:color="auto" w:fill="FFFFFF"/>
                <w:lang w:val="en-GB" w:eastAsia="en-GB"/>
              </w:rPr>
              <w:t>+44 (0)</w:t>
            </w:r>
            <w:r w:rsidR="00232541">
              <w:rPr>
                <w:rFonts w:ascii="Segoe UI" w:eastAsia="Times New Roman" w:hAnsi="Segoe UI" w:cs="Segoe UI"/>
                <w:color w:val="000000"/>
                <w:sz w:val="20"/>
                <w:szCs w:val="20"/>
                <w:shd w:val="clear" w:color="auto" w:fill="FFFFFF"/>
                <w:lang w:val="en-GB" w:eastAsia="en-GB"/>
              </w:rPr>
              <w:t xml:space="preserve"> </w:t>
            </w:r>
            <w:r w:rsidRPr="003C6387">
              <w:rPr>
                <w:rFonts w:ascii="Segoe UI" w:eastAsia="Times New Roman" w:hAnsi="Segoe UI" w:cs="Segoe UI"/>
                <w:color w:val="000000"/>
                <w:sz w:val="20"/>
                <w:szCs w:val="20"/>
                <w:shd w:val="clear" w:color="auto" w:fill="FFFFFF"/>
                <w:lang w:val="en-GB" w:eastAsia="en-GB"/>
              </w:rPr>
              <w:t>20 7496 3000</w:t>
            </w:r>
          </w:p>
        </w:tc>
      </w:tr>
      <w:tr w:rsidR="003C6387" w:rsidRPr="003C6387" w14:paraId="01FD4F2D" w14:textId="77777777" w:rsidTr="003C6387">
        <w:trPr>
          <w:trHeight w:val="794"/>
        </w:trPr>
        <w:tc>
          <w:tcPr>
            <w:tcW w:w="5579" w:type="dxa"/>
            <w:shd w:val="clear" w:color="auto" w:fill="FFFFFF"/>
            <w:tcMar>
              <w:top w:w="0" w:type="dxa"/>
              <w:left w:w="0" w:type="dxa"/>
              <w:bottom w:w="170" w:type="dxa"/>
              <w:right w:w="108" w:type="dxa"/>
            </w:tcMar>
            <w:hideMark/>
          </w:tcPr>
          <w:p w14:paraId="319F7028" w14:textId="77777777" w:rsidR="003C6387" w:rsidRPr="003C6387" w:rsidRDefault="003C6387" w:rsidP="003C6387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C6387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val="en-GB" w:eastAsia="en-GB"/>
              </w:rPr>
              <w:t>RBC Capital Markets - Corporate Broker</w:t>
            </w:r>
          </w:p>
          <w:p w14:paraId="4C9E8AFE" w14:textId="77777777" w:rsidR="003C6387" w:rsidRPr="00871854" w:rsidRDefault="003C6387" w:rsidP="003C6387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en-GB" w:eastAsia="en-GB"/>
              </w:rPr>
            </w:pPr>
            <w:r w:rsidRPr="00871854"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en-GB" w:eastAsia="en-GB"/>
              </w:rPr>
              <w:t>Elliot Thomas / Max Avison (Corporate Finance)</w:t>
            </w:r>
          </w:p>
          <w:p w14:paraId="794711A7" w14:textId="48952D54" w:rsidR="003C6387" w:rsidRPr="003C6387" w:rsidRDefault="003C6387" w:rsidP="003C6387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3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7D3CA3" w14:textId="77777777" w:rsidR="003C6387" w:rsidRPr="003C6387" w:rsidRDefault="003C6387" w:rsidP="003C638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3284" w:type="dxa"/>
            <w:shd w:val="clear" w:color="auto" w:fill="FFFFFF"/>
            <w:tcMar>
              <w:top w:w="0" w:type="dxa"/>
              <w:left w:w="0" w:type="dxa"/>
              <w:bottom w:w="170" w:type="dxa"/>
              <w:right w:w="108" w:type="dxa"/>
            </w:tcMar>
            <w:hideMark/>
          </w:tcPr>
          <w:p w14:paraId="7D8C148D" w14:textId="6DC918D0" w:rsidR="003C6387" w:rsidRPr="003C6387" w:rsidRDefault="003C6387" w:rsidP="003C6387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000000"/>
                <w:sz w:val="20"/>
                <w:szCs w:val="20"/>
                <w:shd w:val="clear" w:color="auto" w:fill="FFFFFF"/>
                <w:lang w:val="en-GB" w:eastAsia="en-GB"/>
              </w:rPr>
            </w:pPr>
            <w:r w:rsidRPr="003C6387">
              <w:rPr>
                <w:rFonts w:ascii="Segoe UI" w:eastAsia="Times New Roman" w:hAnsi="Segoe UI" w:cs="Segoe UI"/>
                <w:color w:val="000000"/>
                <w:sz w:val="20"/>
                <w:szCs w:val="20"/>
                <w:shd w:val="clear" w:color="auto" w:fill="FFFFFF"/>
                <w:lang w:val="en-GB" w:eastAsia="en-GB"/>
              </w:rPr>
              <w:t>+44 (0)</w:t>
            </w:r>
            <w:r w:rsidR="00232541">
              <w:rPr>
                <w:rFonts w:ascii="Segoe UI" w:eastAsia="Times New Roman" w:hAnsi="Segoe UI" w:cs="Segoe UI"/>
                <w:color w:val="000000"/>
                <w:sz w:val="20"/>
                <w:szCs w:val="20"/>
                <w:shd w:val="clear" w:color="auto" w:fill="FFFFFF"/>
                <w:lang w:val="en-GB" w:eastAsia="en-GB"/>
              </w:rPr>
              <w:t xml:space="preserve"> </w:t>
            </w:r>
            <w:r w:rsidRPr="003C6387">
              <w:rPr>
                <w:rFonts w:ascii="Segoe UI" w:eastAsia="Times New Roman" w:hAnsi="Segoe UI" w:cs="Segoe UI"/>
                <w:color w:val="000000"/>
                <w:sz w:val="20"/>
                <w:szCs w:val="20"/>
                <w:shd w:val="clear" w:color="auto" w:fill="FFFFFF"/>
                <w:lang w:val="en-GB" w:eastAsia="en-GB"/>
              </w:rPr>
              <w:t>20 7635 4000</w:t>
            </w:r>
          </w:p>
        </w:tc>
      </w:tr>
      <w:bookmarkEnd w:id="1"/>
    </w:tbl>
    <w:p w14:paraId="1C6689DD" w14:textId="77777777" w:rsidR="003C6387" w:rsidRPr="002D629C" w:rsidRDefault="003C6387" w:rsidP="003C6387">
      <w:pPr>
        <w:pStyle w:val="et"/>
        <w:shd w:val="clear" w:color="auto" w:fill="FFFFFF"/>
        <w:spacing w:line="214" w:lineRule="atLeast"/>
        <w:jc w:val="both"/>
        <w:rPr>
          <w:rStyle w:val="ep"/>
          <w:rFonts w:ascii="Calibri" w:hAnsi="Calibri" w:cs="Calibri"/>
          <w:color w:val="000000"/>
          <w:sz w:val="22"/>
          <w:szCs w:val="22"/>
        </w:rPr>
      </w:pPr>
    </w:p>
    <w:sectPr w:rsidR="003C6387" w:rsidRPr="002D629C">
      <w:footerReference w:type="even" r:id="rId9"/>
      <w:footerReference w:type="default" r:id="rId10"/>
      <w:footerReference w:type="firs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1F5F3" w14:textId="77777777" w:rsidR="00F40204" w:rsidRDefault="00F40204" w:rsidP="000C0C77">
      <w:pPr>
        <w:spacing w:after="0" w:line="240" w:lineRule="auto"/>
      </w:pPr>
      <w:r>
        <w:separator/>
      </w:r>
    </w:p>
  </w:endnote>
  <w:endnote w:type="continuationSeparator" w:id="0">
    <w:p w14:paraId="550AC1E7" w14:textId="77777777" w:rsidR="00F40204" w:rsidRDefault="00F40204" w:rsidP="000C0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D0569" w14:textId="66A68709" w:rsidR="000C0C77" w:rsidRPr="000C0C77" w:rsidRDefault="00DC7FF5">
    <w:pPr>
      <w:pStyle w:val="Footer"/>
      <w:tabs>
        <w:tab w:val="clear" w:pos="4513"/>
        <w:tab w:val="clear" w:pos="9026"/>
        <w:tab w:val="right" w:pos="8787"/>
      </w:tabs>
    </w:pPr>
    <w:sdt>
      <w:sdtPr>
        <w:rPr>
          <w:szCs w:val="14"/>
        </w:rPr>
        <w:tag w:val="cciManRef"/>
        <w:id w:val="-1944444678"/>
        <w:lock w:val="sdtLocked"/>
        <w:text/>
      </w:sdtPr>
      <w:sdtEndPr/>
      <w:sdtContent>
        <w:r w:rsidR="003968AD">
          <w:rPr>
            <w:szCs w:val="14"/>
          </w:rPr>
          <w:t>11/83423381_1</w:t>
        </w:r>
      </w:sdtContent>
    </w:sdt>
    <w:r w:rsidR="003968AD" w:rsidRPr="003968AD">
      <w:rPr>
        <w:szCs w:val="14"/>
      </w:rPr>
      <w:ptab w:relativeTo="margin" w:alignment="right" w:leader="none"/>
    </w:r>
    <w:r w:rsidR="003968AD" w:rsidRPr="003968AD">
      <w:rPr>
        <w:szCs w:val="14"/>
      </w:rPr>
      <w:fldChar w:fldCharType="begin"/>
    </w:r>
    <w:r w:rsidR="003968AD" w:rsidRPr="003968AD">
      <w:rPr>
        <w:rStyle w:val="HeaderChar"/>
        <w:szCs w:val="14"/>
      </w:rPr>
      <w:instrText xml:space="preserve"> PAGE \* MERGEFORMAT </w:instrText>
    </w:r>
    <w:r w:rsidR="003968AD" w:rsidRPr="003968AD">
      <w:rPr>
        <w:szCs w:val="14"/>
      </w:rPr>
      <w:fldChar w:fldCharType="separate"/>
    </w:r>
    <w:r w:rsidR="003968AD">
      <w:rPr>
        <w:rStyle w:val="HeaderChar"/>
        <w:noProof/>
        <w:szCs w:val="14"/>
      </w:rPr>
      <w:t>1</w:t>
    </w:r>
    <w:r w:rsidR="003968AD" w:rsidRPr="003968AD">
      <w:rPr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B21DB" w14:textId="7FB119A7" w:rsidR="000C0C77" w:rsidRPr="000C0C77" w:rsidRDefault="00DC7FF5">
    <w:pPr>
      <w:pStyle w:val="Footer"/>
      <w:tabs>
        <w:tab w:val="clear" w:pos="4513"/>
        <w:tab w:val="clear" w:pos="9026"/>
        <w:tab w:val="right" w:pos="8787"/>
      </w:tabs>
    </w:pPr>
    <w:sdt>
      <w:sdtPr>
        <w:rPr>
          <w:szCs w:val="14"/>
        </w:rPr>
        <w:tag w:val="cciManRef"/>
        <w:id w:val="1189103548"/>
        <w:lock w:val="sdtLocked"/>
        <w:showingPlcHdr/>
        <w:text/>
      </w:sdtPr>
      <w:sdtEndPr/>
      <w:sdtContent>
        <w:r w:rsidR="00232541">
          <w:rPr>
            <w:szCs w:val="14"/>
          </w:rPr>
          <w:t xml:space="preserve">     </w:t>
        </w:r>
      </w:sdtContent>
    </w:sdt>
    <w:r w:rsidR="003968AD" w:rsidRPr="003968AD">
      <w:rPr>
        <w:szCs w:val="14"/>
      </w:rPr>
      <w:ptab w:relativeTo="margin" w:alignment="right" w:leader="none"/>
    </w:r>
    <w:r w:rsidR="003968AD" w:rsidRPr="003968AD">
      <w:rPr>
        <w:szCs w:val="14"/>
      </w:rPr>
      <w:fldChar w:fldCharType="begin"/>
    </w:r>
    <w:r w:rsidR="003968AD" w:rsidRPr="003968AD">
      <w:rPr>
        <w:rStyle w:val="HeaderChar"/>
        <w:szCs w:val="14"/>
      </w:rPr>
      <w:instrText xml:space="preserve"> PAGE \* MERGEFORMAT </w:instrText>
    </w:r>
    <w:r w:rsidR="003968AD" w:rsidRPr="003968AD">
      <w:rPr>
        <w:szCs w:val="14"/>
      </w:rPr>
      <w:fldChar w:fldCharType="separate"/>
    </w:r>
    <w:r w:rsidR="003968AD">
      <w:rPr>
        <w:rStyle w:val="HeaderChar"/>
        <w:noProof/>
        <w:szCs w:val="14"/>
      </w:rPr>
      <w:t>1</w:t>
    </w:r>
    <w:r w:rsidR="003968AD" w:rsidRPr="003968AD">
      <w:rPr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95233" w14:textId="0DBB91E9" w:rsidR="000C0C77" w:rsidRPr="000C0C77" w:rsidRDefault="00DC7FF5">
    <w:pPr>
      <w:pStyle w:val="Footer"/>
      <w:tabs>
        <w:tab w:val="clear" w:pos="4513"/>
        <w:tab w:val="clear" w:pos="9026"/>
        <w:tab w:val="right" w:pos="8787"/>
      </w:tabs>
    </w:pPr>
    <w:sdt>
      <w:sdtPr>
        <w:rPr>
          <w:szCs w:val="14"/>
        </w:rPr>
        <w:tag w:val="cciManRef"/>
        <w:id w:val="-928733806"/>
        <w:lock w:val="sdtLocked"/>
        <w:text/>
      </w:sdtPr>
      <w:sdtEndPr/>
      <w:sdtContent>
        <w:r w:rsidR="003968AD">
          <w:rPr>
            <w:szCs w:val="14"/>
          </w:rPr>
          <w:t>11/83423381_1</w:t>
        </w:r>
      </w:sdtContent>
    </w:sdt>
    <w:r w:rsidR="003968AD" w:rsidRPr="003968AD">
      <w:rPr>
        <w:szCs w:val="14"/>
      </w:rPr>
      <w:ptab w:relativeTo="margin" w:alignment="right" w:leader="none"/>
    </w:r>
    <w:r w:rsidR="003968AD" w:rsidRPr="003968AD">
      <w:rPr>
        <w:szCs w:val="14"/>
      </w:rPr>
      <w:fldChar w:fldCharType="begin"/>
    </w:r>
    <w:r w:rsidR="003968AD" w:rsidRPr="003968AD">
      <w:rPr>
        <w:rStyle w:val="HeaderChar"/>
        <w:szCs w:val="14"/>
      </w:rPr>
      <w:instrText xml:space="preserve"> PAGE \* MERGEFORMAT </w:instrText>
    </w:r>
    <w:r w:rsidR="003968AD" w:rsidRPr="003968AD">
      <w:rPr>
        <w:szCs w:val="14"/>
      </w:rPr>
      <w:fldChar w:fldCharType="separate"/>
    </w:r>
    <w:r w:rsidR="003968AD">
      <w:rPr>
        <w:rStyle w:val="HeaderChar"/>
        <w:noProof/>
        <w:szCs w:val="14"/>
      </w:rPr>
      <w:t>1</w:t>
    </w:r>
    <w:r w:rsidR="003968AD" w:rsidRPr="003968AD">
      <w:rPr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826E90" w14:textId="77777777" w:rsidR="00F40204" w:rsidRDefault="00F40204" w:rsidP="000C0C77">
      <w:pPr>
        <w:spacing w:after="0" w:line="240" w:lineRule="auto"/>
      </w:pPr>
      <w:r>
        <w:separator/>
      </w:r>
    </w:p>
  </w:footnote>
  <w:footnote w:type="continuationSeparator" w:id="0">
    <w:p w14:paraId="5FB0AF1A" w14:textId="77777777" w:rsidR="00F40204" w:rsidRDefault="00F40204" w:rsidP="000C0C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4E1B05"/>
    <w:multiLevelType w:val="hybridMultilevel"/>
    <w:tmpl w:val="9BD01230"/>
    <w:lvl w:ilvl="0" w:tplc="DE24989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3722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CEF"/>
    <w:rsid w:val="00000EAB"/>
    <w:rsid w:val="0000430E"/>
    <w:rsid w:val="00014DDE"/>
    <w:rsid w:val="0001596B"/>
    <w:rsid w:val="000501FC"/>
    <w:rsid w:val="00054496"/>
    <w:rsid w:val="00056675"/>
    <w:rsid w:val="0005688E"/>
    <w:rsid w:val="00065B50"/>
    <w:rsid w:val="00065FE8"/>
    <w:rsid w:val="000729DA"/>
    <w:rsid w:val="00076D57"/>
    <w:rsid w:val="00086CFA"/>
    <w:rsid w:val="000A7F3D"/>
    <w:rsid w:val="000B47CB"/>
    <w:rsid w:val="000C0C77"/>
    <w:rsid w:val="000C6C36"/>
    <w:rsid w:val="000D0046"/>
    <w:rsid w:val="000D4DC6"/>
    <w:rsid w:val="000D73E1"/>
    <w:rsid w:val="000D7C32"/>
    <w:rsid w:val="000E22C7"/>
    <w:rsid w:val="000E4303"/>
    <w:rsid w:val="000E4BD5"/>
    <w:rsid w:val="000E6049"/>
    <w:rsid w:val="000E77FA"/>
    <w:rsid w:val="000F37B5"/>
    <w:rsid w:val="00106826"/>
    <w:rsid w:val="00106EDC"/>
    <w:rsid w:val="00111FA2"/>
    <w:rsid w:val="001126AD"/>
    <w:rsid w:val="00112E4A"/>
    <w:rsid w:val="001140A0"/>
    <w:rsid w:val="00123F7B"/>
    <w:rsid w:val="001277AE"/>
    <w:rsid w:val="001357C8"/>
    <w:rsid w:val="00136705"/>
    <w:rsid w:val="00137C55"/>
    <w:rsid w:val="001405F9"/>
    <w:rsid w:val="001429CB"/>
    <w:rsid w:val="00143DFA"/>
    <w:rsid w:val="001474D0"/>
    <w:rsid w:val="001475AA"/>
    <w:rsid w:val="0015157C"/>
    <w:rsid w:val="00154FB1"/>
    <w:rsid w:val="00160249"/>
    <w:rsid w:val="001703FD"/>
    <w:rsid w:val="001737B9"/>
    <w:rsid w:val="001748C2"/>
    <w:rsid w:val="001821C5"/>
    <w:rsid w:val="001902CE"/>
    <w:rsid w:val="001A4D7D"/>
    <w:rsid w:val="001A7BF6"/>
    <w:rsid w:val="001B245F"/>
    <w:rsid w:val="001B7B18"/>
    <w:rsid w:val="001C27C6"/>
    <w:rsid w:val="001C42A3"/>
    <w:rsid w:val="001D0DEA"/>
    <w:rsid w:val="001D33B8"/>
    <w:rsid w:val="001E0B92"/>
    <w:rsid w:val="001E5A9B"/>
    <w:rsid w:val="001E7B9E"/>
    <w:rsid w:val="001F5A98"/>
    <w:rsid w:val="00203954"/>
    <w:rsid w:val="00207EE2"/>
    <w:rsid w:val="00211396"/>
    <w:rsid w:val="00215B56"/>
    <w:rsid w:val="00220CCD"/>
    <w:rsid w:val="002324D0"/>
    <w:rsid w:val="00232541"/>
    <w:rsid w:val="002408C3"/>
    <w:rsid w:val="0024371B"/>
    <w:rsid w:val="002562ED"/>
    <w:rsid w:val="00267291"/>
    <w:rsid w:val="002753C8"/>
    <w:rsid w:val="00294DB6"/>
    <w:rsid w:val="00297BA7"/>
    <w:rsid w:val="002A553B"/>
    <w:rsid w:val="002A725D"/>
    <w:rsid w:val="002A7BB9"/>
    <w:rsid w:val="002A7EDD"/>
    <w:rsid w:val="002B7159"/>
    <w:rsid w:val="002B71C0"/>
    <w:rsid w:val="002B7BE2"/>
    <w:rsid w:val="002C1C8E"/>
    <w:rsid w:val="002C72CA"/>
    <w:rsid w:val="002D3E60"/>
    <w:rsid w:val="002D629C"/>
    <w:rsid w:val="002D6D6C"/>
    <w:rsid w:val="002D7D13"/>
    <w:rsid w:val="002E1BF9"/>
    <w:rsid w:val="002E27AD"/>
    <w:rsid w:val="002E3F3A"/>
    <w:rsid w:val="002F0059"/>
    <w:rsid w:val="002F69E5"/>
    <w:rsid w:val="0030457B"/>
    <w:rsid w:val="00305C69"/>
    <w:rsid w:val="00317A96"/>
    <w:rsid w:val="0033554A"/>
    <w:rsid w:val="0034132E"/>
    <w:rsid w:val="0034247A"/>
    <w:rsid w:val="0034256E"/>
    <w:rsid w:val="00354B64"/>
    <w:rsid w:val="003568E7"/>
    <w:rsid w:val="00360E98"/>
    <w:rsid w:val="0036205E"/>
    <w:rsid w:val="003723F9"/>
    <w:rsid w:val="00377EB7"/>
    <w:rsid w:val="0038220C"/>
    <w:rsid w:val="003834C7"/>
    <w:rsid w:val="00385E4A"/>
    <w:rsid w:val="00386646"/>
    <w:rsid w:val="00386C33"/>
    <w:rsid w:val="0038739B"/>
    <w:rsid w:val="0039064C"/>
    <w:rsid w:val="00394210"/>
    <w:rsid w:val="0039681A"/>
    <w:rsid w:val="003968AD"/>
    <w:rsid w:val="003A162F"/>
    <w:rsid w:val="003A37AE"/>
    <w:rsid w:val="003A7349"/>
    <w:rsid w:val="003C6387"/>
    <w:rsid w:val="003D0C93"/>
    <w:rsid w:val="003D2C4F"/>
    <w:rsid w:val="003D2F07"/>
    <w:rsid w:val="003D4A49"/>
    <w:rsid w:val="003D5A4B"/>
    <w:rsid w:val="003E262E"/>
    <w:rsid w:val="003E2B1E"/>
    <w:rsid w:val="003F1677"/>
    <w:rsid w:val="003F16B1"/>
    <w:rsid w:val="003F2786"/>
    <w:rsid w:val="003F2BF2"/>
    <w:rsid w:val="003F536B"/>
    <w:rsid w:val="00401C4D"/>
    <w:rsid w:val="004034BD"/>
    <w:rsid w:val="00414DF8"/>
    <w:rsid w:val="00415F2E"/>
    <w:rsid w:val="00422769"/>
    <w:rsid w:val="00424004"/>
    <w:rsid w:val="00424106"/>
    <w:rsid w:val="004273C3"/>
    <w:rsid w:val="00437697"/>
    <w:rsid w:val="0044272F"/>
    <w:rsid w:val="00443720"/>
    <w:rsid w:val="00446F8D"/>
    <w:rsid w:val="00450802"/>
    <w:rsid w:val="00464CFA"/>
    <w:rsid w:val="0046521D"/>
    <w:rsid w:val="0047231B"/>
    <w:rsid w:val="00474686"/>
    <w:rsid w:val="004800F3"/>
    <w:rsid w:val="00480BB8"/>
    <w:rsid w:val="0049211D"/>
    <w:rsid w:val="004933BB"/>
    <w:rsid w:val="004A042D"/>
    <w:rsid w:val="004A0C57"/>
    <w:rsid w:val="004B179C"/>
    <w:rsid w:val="004B19E3"/>
    <w:rsid w:val="004B65D9"/>
    <w:rsid w:val="004B6ECC"/>
    <w:rsid w:val="004C3074"/>
    <w:rsid w:val="004C3275"/>
    <w:rsid w:val="004C3435"/>
    <w:rsid w:val="004D0688"/>
    <w:rsid w:val="004D1473"/>
    <w:rsid w:val="004D193A"/>
    <w:rsid w:val="004D3335"/>
    <w:rsid w:val="004D7F9C"/>
    <w:rsid w:val="004E1539"/>
    <w:rsid w:val="004E1776"/>
    <w:rsid w:val="004E198B"/>
    <w:rsid w:val="004E71F1"/>
    <w:rsid w:val="004F2065"/>
    <w:rsid w:val="00501E2F"/>
    <w:rsid w:val="00506208"/>
    <w:rsid w:val="005175C2"/>
    <w:rsid w:val="00525547"/>
    <w:rsid w:val="00527833"/>
    <w:rsid w:val="00533BA2"/>
    <w:rsid w:val="0053515F"/>
    <w:rsid w:val="00546C3B"/>
    <w:rsid w:val="00552626"/>
    <w:rsid w:val="00566BF0"/>
    <w:rsid w:val="00567EF7"/>
    <w:rsid w:val="00571926"/>
    <w:rsid w:val="0057384F"/>
    <w:rsid w:val="005747A9"/>
    <w:rsid w:val="00575934"/>
    <w:rsid w:val="00576393"/>
    <w:rsid w:val="00576D6C"/>
    <w:rsid w:val="005870AB"/>
    <w:rsid w:val="00587D6F"/>
    <w:rsid w:val="005A1965"/>
    <w:rsid w:val="005A320E"/>
    <w:rsid w:val="005A3B13"/>
    <w:rsid w:val="005B2698"/>
    <w:rsid w:val="005B31A4"/>
    <w:rsid w:val="005C07BA"/>
    <w:rsid w:val="005C4EAE"/>
    <w:rsid w:val="005E0FA5"/>
    <w:rsid w:val="005E4E35"/>
    <w:rsid w:val="005E77E8"/>
    <w:rsid w:val="005F30C4"/>
    <w:rsid w:val="005F421F"/>
    <w:rsid w:val="00610FD6"/>
    <w:rsid w:val="006115EA"/>
    <w:rsid w:val="0061393E"/>
    <w:rsid w:val="00615170"/>
    <w:rsid w:val="006158E6"/>
    <w:rsid w:val="00616A5A"/>
    <w:rsid w:val="00622227"/>
    <w:rsid w:val="00637D5F"/>
    <w:rsid w:val="006430FA"/>
    <w:rsid w:val="006471F7"/>
    <w:rsid w:val="006542ED"/>
    <w:rsid w:val="00670F48"/>
    <w:rsid w:val="00673DC5"/>
    <w:rsid w:val="006746B7"/>
    <w:rsid w:val="00675347"/>
    <w:rsid w:val="006764AE"/>
    <w:rsid w:val="006902BD"/>
    <w:rsid w:val="00694964"/>
    <w:rsid w:val="006B073F"/>
    <w:rsid w:val="006B1181"/>
    <w:rsid w:val="006B5408"/>
    <w:rsid w:val="006B5F8E"/>
    <w:rsid w:val="006B5F92"/>
    <w:rsid w:val="006D024B"/>
    <w:rsid w:val="006E754A"/>
    <w:rsid w:val="006F0F7B"/>
    <w:rsid w:val="006F391D"/>
    <w:rsid w:val="006F6276"/>
    <w:rsid w:val="00716138"/>
    <w:rsid w:val="00724CDE"/>
    <w:rsid w:val="00726F0A"/>
    <w:rsid w:val="0073046D"/>
    <w:rsid w:val="00745F0A"/>
    <w:rsid w:val="00753B7F"/>
    <w:rsid w:val="00763596"/>
    <w:rsid w:val="00766058"/>
    <w:rsid w:val="00766767"/>
    <w:rsid w:val="00766DD2"/>
    <w:rsid w:val="00772B5D"/>
    <w:rsid w:val="00772EF1"/>
    <w:rsid w:val="00775D95"/>
    <w:rsid w:val="00781CB7"/>
    <w:rsid w:val="00790DE2"/>
    <w:rsid w:val="0079780B"/>
    <w:rsid w:val="007A0FD7"/>
    <w:rsid w:val="007A54F1"/>
    <w:rsid w:val="007C63FC"/>
    <w:rsid w:val="007D0803"/>
    <w:rsid w:val="007D122B"/>
    <w:rsid w:val="007D2E37"/>
    <w:rsid w:val="007D5B99"/>
    <w:rsid w:val="007D719D"/>
    <w:rsid w:val="007E0567"/>
    <w:rsid w:val="007E159B"/>
    <w:rsid w:val="007E2221"/>
    <w:rsid w:val="007E2C91"/>
    <w:rsid w:val="007E2E73"/>
    <w:rsid w:val="007E5FA1"/>
    <w:rsid w:val="007F0259"/>
    <w:rsid w:val="007F3B44"/>
    <w:rsid w:val="007F563D"/>
    <w:rsid w:val="007F5CB0"/>
    <w:rsid w:val="007F72EE"/>
    <w:rsid w:val="00800F09"/>
    <w:rsid w:val="0080466B"/>
    <w:rsid w:val="00813A28"/>
    <w:rsid w:val="008256E6"/>
    <w:rsid w:val="00837DC7"/>
    <w:rsid w:val="00840DAE"/>
    <w:rsid w:val="0084534D"/>
    <w:rsid w:val="008559B6"/>
    <w:rsid w:val="008638FF"/>
    <w:rsid w:val="0086679B"/>
    <w:rsid w:val="00871854"/>
    <w:rsid w:val="00871F63"/>
    <w:rsid w:val="00873EED"/>
    <w:rsid w:val="008830AD"/>
    <w:rsid w:val="0089007F"/>
    <w:rsid w:val="008921D1"/>
    <w:rsid w:val="00893E53"/>
    <w:rsid w:val="008A7A39"/>
    <w:rsid w:val="008B2CF0"/>
    <w:rsid w:val="008B5D5A"/>
    <w:rsid w:val="008C53C9"/>
    <w:rsid w:val="008D0EC6"/>
    <w:rsid w:val="008D172D"/>
    <w:rsid w:val="008E3E5B"/>
    <w:rsid w:val="008E4A3C"/>
    <w:rsid w:val="008E4F15"/>
    <w:rsid w:val="008E77C9"/>
    <w:rsid w:val="008F2B0F"/>
    <w:rsid w:val="008F335D"/>
    <w:rsid w:val="00903735"/>
    <w:rsid w:val="009049AE"/>
    <w:rsid w:val="00907969"/>
    <w:rsid w:val="0091468F"/>
    <w:rsid w:val="00920A04"/>
    <w:rsid w:val="00933A96"/>
    <w:rsid w:val="0094026F"/>
    <w:rsid w:val="00940C14"/>
    <w:rsid w:val="00940E8E"/>
    <w:rsid w:val="00943FB5"/>
    <w:rsid w:val="00944EF6"/>
    <w:rsid w:val="00956281"/>
    <w:rsid w:val="00961DF2"/>
    <w:rsid w:val="00962A84"/>
    <w:rsid w:val="00964F91"/>
    <w:rsid w:val="009658DE"/>
    <w:rsid w:val="00971DA6"/>
    <w:rsid w:val="00975B21"/>
    <w:rsid w:val="00976B84"/>
    <w:rsid w:val="009832E2"/>
    <w:rsid w:val="009834C7"/>
    <w:rsid w:val="00985FF5"/>
    <w:rsid w:val="0099186D"/>
    <w:rsid w:val="00991F35"/>
    <w:rsid w:val="009A1CD0"/>
    <w:rsid w:val="009A20D3"/>
    <w:rsid w:val="009A417A"/>
    <w:rsid w:val="009A4611"/>
    <w:rsid w:val="009B06C5"/>
    <w:rsid w:val="009B15E8"/>
    <w:rsid w:val="009C014C"/>
    <w:rsid w:val="009C04D0"/>
    <w:rsid w:val="009C06C4"/>
    <w:rsid w:val="009C19C2"/>
    <w:rsid w:val="009C2DAB"/>
    <w:rsid w:val="009C40E5"/>
    <w:rsid w:val="009D159F"/>
    <w:rsid w:val="009D21F4"/>
    <w:rsid w:val="009E44F5"/>
    <w:rsid w:val="009E7551"/>
    <w:rsid w:val="009F1596"/>
    <w:rsid w:val="009F4029"/>
    <w:rsid w:val="00A02B78"/>
    <w:rsid w:val="00A11F8E"/>
    <w:rsid w:val="00A12D97"/>
    <w:rsid w:val="00A233D6"/>
    <w:rsid w:val="00A26623"/>
    <w:rsid w:val="00A26A52"/>
    <w:rsid w:val="00A31106"/>
    <w:rsid w:val="00A36E0E"/>
    <w:rsid w:val="00A56344"/>
    <w:rsid w:val="00A62340"/>
    <w:rsid w:val="00A659A5"/>
    <w:rsid w:val="00A73AFB"/>
    <w:rsid w:val="00A75471"/>
    <w:rsid w:val="00A76A58"/>
    <w:rsid w:val="00A84CEB"/>
    <w:rsid w:val="00A877F0"/>
    <w:rsid w:val="00A90214"/>
    <w:rsid w:val="00A96349"/>
    <w:rsid w:val="00AA041E"/>
    <w:rsid w:val="00AA42EA"/>
    <w:rsid w:val="00AA5DF8"/>
    <w:rsid w:val="00AB5682"/>
    <w:rsid w:val="00AB59C8"/>
    <w:rsid w:val="00AC24B8"/>
    <w:rsid w:val="00AD3775"/>
    <w:rsid w:val="00AD476A"/>
    <w:rsid w:val="00AD48EB"/>
    <w:rsid w:val="00AD71A3"/>
    <w:rsid w:val="00AE5DD4"/>
    <w:rsid w:val="00AE778C"/>
    <w:rsid w:val="00B055CE"/>
    <w:rsid w:val="00B1036B"/>
    <w:rsid w:val="00B10564"/>
    <w:rsid w:val="00B1675B"/>
    <w:rsid w:val="00B17EFE"/>
    <w:rsid w:val="00B266BA"/>
    <w:rsid w:val="00B3107F"/>
    <w:rsid w:val="00B33CD0"/>
    <w:rsid w:val="00B47530"/>
    <w:rsid w:val="00B53448"/>
    <w:rsid w:val="00B6652B"/>
    <w:rsid w:val="00B749E6"/>
    <w:rsid w:val="00B74FCA"/>
    <w:rsid w:val="00B76D75"/>
    <w:rsid w:val="00B8574C"/>
    <w:rsid w:val="00B920CB"/>
    <w:rsid w:val="00BA20BA"/>
    <w:rsid w:val="00BA27CD"/>
    <w:rsid w:val="00BA6F2E"/>
    <w:rsid w:val="00BA792A"/>
    <w:rsid w:val="00BB092E"/>
    <w:rsid w:val="00BB09CD"/>
    <w:rsid w:val="00BB18BA"/>
    <w:rsid w:val="00BB2902"/>
    <w:rsid w:val="00BB379D"/>
    <w:rsid w:val="00BB585B"/>
    <w:rsid w:val="00BB66CE"/>
    <w:rsid w:val="00BC3115"/>
    <w:rsid w:val="00BC48B6"/>
    <w:rsid w:val="00BC674D"/>
    <w:rsid w:val="00BC7601"/>
    <w:rsid w:val="00BC7CDD"/>
    <w:rsid w:val="00BD2378"/>
    <w:rsid w:val="00BD77CD"/>
    <w:rsid w:val="00BE6ABA"/>
    <w:rsid w:val="00BF028A"/>
    <w:rsid w:val="00BF53FC"/>
    <w:rsid w:val="00C01019"/>
    <w:rsid w:val="00C062DC"/>
    <w:rsid w:val="00C15557"/>
    <w:rsid w:val="00C20351"/>
    <w:rsid w:val="00C274CC"/>
    <w:rsid w:val="00C35EAD"/>
    <w:rsid w:val="00C51E0E"/>
    <w:rsid w:val="00C5234D"/>
    <w:rsid w:val="00C52B44"/>
    <w:rsid w:val="00C6199A"/>
    <w:rsid w:val="00C61D25"/>
    <w:rsid w:val="00C6293A"/>
    <w:rsid w:val="00C646A2"/>
    <w:rsid w:val="00C6526D"/>
    <w:rsid w:val="00C663D7"/>
    <w:rsid w:val="00C746CE"/>
    <w:rsid w:val="00C77FDA"/>
    <w:rsid w:val="00C81D9D"/>
    <w:rsid w:val="00C83E99"/>
    <w:rsid w:val="00C876E2"/>
    <w:rsid w:val="00C9296E"/>
    <w:rsid w:val="00C93716"/>
    <w:rsid w:val="00CA0AF8"/>
    <w:rsid w:val="00CA367F"/>
    <w:rsid w:val="00CC1858"/>
    <w:rsid w:val="00CC1C09"/>
    <w:rsid w:val="00CC3ACA"/>
    <w:rsid w:val="00CC58E2"/>
    <w:rsid w:val="00CD353C"/>
    <w:rsid w:val="00CD4770"/>
    <w:rsid w:val="00CD7C9A"/>
    <w:rsid w:val="00CE2CEF"/>
    <w:rsid w:val="00D2429B"/>
    <w:rsid w:val="00D25296"/>
    <w:rsid w:val="00D32A78"/>
    <w:rsid w:val="00D432A5"/>
    <w:rsid w:val="00D44AEE"/>
    <w:rsid w:val="00D464FF"/>
    <w:rsid w:val="00D476F9"/>
    <w:rsid w:val="00D555F4"/>
    <w:rsid w:val="00D63A81"/>
    <w:rsid w:val="00D76110"/>
    <w:rsid w:val="00D83567"/>
    <w:rsid w:val="00D90FA6"/>
    <w:rsid w:val="00DA230D"/>
    <w:rsid w:val="00DB5709"/>
    <w:rsid w:val="00DB5C29"/>
    <w:rsid w:val="00DC0DC8"/>
    <w:rsid w:val="00DC33D0"/>
    <w:rsid w:val="00DC3A49"/>
    <w:rsid w:val="00DC457F"/>
    <w:rsid w:val="00DC7E1E"/>
    <w:rsid w:val="00DC7FF5"/>
    <w:rsid w:val="00DD3530"/>
    <w:rsid w:val="00DE06B1"/>
    <w:rsid w:val="00DE65AA"/>
    <w:rsid w:val="00DF0C13"/>
    <w:rsid w:val="00DF2529"/>
    <w:rsid w:val="00E02DF3"/>
    <w:rsid w:val="00E03A28"/>
    <w:rsid w:val="00E13A92"/>
    <w:rsid w:val="00E210C7"/>
    <w:rsid w:val="00E2387A"/>
    <w:rsid w:val="00E26200"/>
    <w:rsid w:val="00E329BA"/>
    <w:rsid w:val="00E35A78"/>
    <w:rsid w:val="00E36345"/>
    <w:rsid w:val="00E363DE"/>
    <w:rsid w:val="00E449B9"/>
    <w:rsid w:val="00E45CDF"/>
    <w:rsid w:val="00E51F06"/>
    <w:rsid w:val="00E540FC"/>
    <w:rsid w:val="00E6214C"/>
    <w:rsid w:val="00E65D94"/>
    <w:rsid w:val="00E67E36"/>
    <w:rsid w:val="00E71D05"/>
    <w:rsid w:val="00E7218C"/>
    <w:rsid w:val="00E72BB1"/>
    <w:rsid w:val="00E75663"/>
    <w:rsid w:val="00E83A64"/>
    <w:rsid w:val="00E8416B"/>
    <w:rsid w:val="00E93DEB"/>
    <w:rsid w:val="00EA794B"/>
    <w:rsid w:val="00ED05A2"/>
    <w:rsid w:val="00ED1D4F"/>
    <w:rsid w:val="00ED2304"/>
    <w:rsid w:val="00EE2D46"/>
    <w:rsid w:val="00EE6012"/>
    <w:rsid w:val="00EF10ED"/>
    <w:rsid w:val="00EF7C54"/>
    <w:rsid w:val="00F02043"/>
    <w:rsid w:val="00F0680A"/>
    <w:rsid w:val="00F07288"/>
    <w:rsid w:val="00F10BFF"/>
    <w:rsid w:val="00F10C3F"/>
    <w:rsid w:val="00F11183"/>
    <w:rsid w:val="00F113A6"/>
    <w:rsid w:val="00F147C6"/>
    <w:rsid w:val="00F170E7"/>
    <w:rsid w:val="00F17159"/>
    <w:rsid w:val="00F22BD8"/>
    <w:rsid w:val="00F23DD2"/>
    <w:rsid w:val="00F34851"/>
    <w:rsid w:val="00F359AC"/>
    <w:rsid w:val="00F40204"/>
    <w:rsid w:val="00F44870"/>
    <w:rsid w:val="00F57A65"/>
    <w:rsid w:val="00F60472"/>
    <w:rsid w:val="00F60A36"/>
    <w:rsid w:val="00F60D4C"/>
    <w:rsid w:val="00F63BE3"/>
    <w:rsid w:val="00F71A8C"/>
    <w:rsid w:val="00F722E8"/>
    <w:rsid w:val="00F73BF9"/>
    <w:rsid w:val="00F82462"/>
    <w:rsid w:val="00F86753"/>
    <w:rsid w:val="00FA3811"/>
    <w:rsid w:val="00FA39F3"/>
    <w:rsid w:val="00FB2939"/>
    <w:rsid w:val="00FB5DDB"/>
    <w:rsid w:val="00FC11B7"/>
    <w:rsid w:val="00FC42A2"/>
    <w:rsid w:val="00FD00C5"/>
    <w:rsid w:val="00FD2A89"/>
    <w:rsid w:val="00FD72BF"/>
    <w:rsid w:val="00FE60CC"/>
    <w:rsid w:val="00FF5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2D0BE6"/>
  <w15:chartTrackingRefBased/>
  <w15:docId w15:val="{7FC09462-2053-4507-BBEF-5C776B8C9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3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a"/>
    <w:basedOn w:val="Normal"/>
    <w:rsid w:val="00CE2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eq">
    <w:name w:val="eq"/>
    <w:basedOn w:val="DefaultParagraphFont"/>
    <w:rsid w:val="00CE2CEF"/>
  </w:style>
  <w:style w:type="character" w:customStyle="1" w:styleId="ep">
    <w:name w:val="ep"/>
    <w:basedOn w:val="DefaultParagraphFont"/>
    <w:rsid w:val="00CE2CEF"/>
  </w:style>
  <w:style w:type="paragraph" w:customStyle="1" w:styleId="es">
    <w:name w:val="es"/>
    <w:basedOn w:val="Normal"/>
    <w:rsid w:val="00CE2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et">
    <w:name w:val="et"/>
    <w:basedOn w:val="Normal"/>
    <w:rsid w:val="00CE2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Revision">
    <w:name w:val="Revision"/>
    <w:hidden/>
    <w:uiPriority w:val="99"/>
    <w:semiHidden/>
    <w:rsid w:val="0001596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46C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6C3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46C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6C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6C3B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39"/>
    <w:unhideWhenUsed/>
    <w:rsid w:val="000C0C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39"/>
    <w:rsid w:val="000C0C77"/>
  </w:style>
  <w:style w:type="paragraph" w:styleId="Footer">
    <w:name w:val="footer"/>
    <w:basedOn w:val="Normal"/>
    <w:link w:val="FooterChar"/>
    <w:uiPriority w:val="99"/>
    <w:unhideWhenUsed/>
    <w:rsid w:val="000C0C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0C77"/>
  </w:style>
  <w:style w:type="paragraph" w:customStyle="1" w:styleId="fc">
    <w:name w:val="fc"/>
    <w:basedOn w:val="Normal"/>
    <w:rsid w:val="003C63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fd">
    <w:name w:val="fd"/>
    <w:basedOn w:val="DefaultParagraphFont"/>
    <w:rsid w:val="003C6387"/>
  </w:style>
  <w:style w:type="paragraph" w:customStyle="1" w:styleId="fh">
    <w:name w:val="fh"/>
    <w:basedOn w:val="Normal"/>
    <w:rsid w:val="003C63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fi">
    <w:name w:val="fi"/>
    <w:basedOn w:val="DefaultParagraphFont"/>
    <w:rsid w:val="003C6387"/>
  </w:style>
  <w:style w:type="paragraph" w:customStyle="1" w:styleId="ff">
    <w:name w:val="ff"/>
    <w:basedOn w:val="Normal"/>
    <w:rsid w:val="003C63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dh">
    <w:name w:val="dh"/>
    <w:basedOn w:val="DefaultParagraphFont"/>
    <w:rsid w:val="003C6387"/>
  </w:style>
  <w:style w:type="paragraph" w:customStyle="1" w:styleId="fj">
    <w:name w:val="fj"/>
    <w:basedOn w:val="Normal"/>
    <w:rsid w:val="003C63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dy">
    <w:name w:val="dy"/>
    <w:basedOn w:val="DefaultParagraphFont"/>
    <w:rsid w:val="003C6387"/>
  </w:style>
  <w:style w:type="paragraph" w:customStyle="1" w:styleId="fm">
    <w:name w:val="fm"/>
    <w:basedOn w:val="Normal"/>
    <w:rsid w:val="003C63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cs">
    <w:name w:val="cs"/>
    <w:basedOn w:val="DefaultParagraphFont"/>
    <w:rsid w:val="003C6387"/>
  </w:style>
  <w:style w:type="paragraph" w:customStyle="1" w:styleId="eu">
    <w:name w:val="eu"/>
    <w:basedOn w:val="Normal"/>
    <w:rsid w:val="003C63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do">
    <w:name w:val="do"/>
    <w:basedOn w:val="DefaultParagraphFont"/>
    <w:rsid w:val="003C6387"/>
  </w:style>
  <w:style w:type="character" w:customStyle="1" w:styleId="cm">
    <w:name w:val="cm"/>
    <w:basedOn w:val="DefaultParagraphFont"/>
    <w:rsid w:val="003C6387"/>
  </w:style>
  <w:style w:type="character" w:customStyle="1" w:styleId="dl">
    <w:name w:val="dl"/>
    <w:basedOn w:val="DefaultParagraphFont"/>
    <w:rsid w:val="003C6387"/>
  </w:style>
  <w:style w:type="character" w:customStyle="1" w:styleId="hx">
    <w:name w:val="hx"/>
    <w:basedOn w:val="DefaultParagraphFont"/>
    <w:rsid w:val="00FC42A2"/>
  </w:style>
  <w:style w:type="paragraph" w:customStyle="1" w:styleId="bq">
    <w:name w:val="bq"/>
    <w:basedOn w:val="Normal"/>
    <w:rsid w:val="00D761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br">
    <w:name w:val="br"/>
    <w:basedOn w:val="DefaultParagraphFont"/>
    <w:rsid w:val="00D76110"/>
  </w:style>
  <w:style w:type="paragraph" w:styleId="ListParagraph">
    <w:name w:val="List Paragraph"/>
    <w:basedOn w:val="Normal"/>
    <w:uiPriority w:val="34"/>
    <w:qFormat/>
    <w:rsid w:val="009E44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3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0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6182F5524CFB489346BB2451178280" ma:contentTypeVersion="16" ma:contentTypeDescription="Create a new document." ma:contentTypeScope="" ma:versionID="f5c2185c910fa076e21eb6ae7b530ab4">
  <xsd:schema xmlns:xsd="http://www.w3.org/2001/XMLSchema" xmlns:xs="http://www.w3.org/2001/XMLSchema" xmlns:p="http://schemas.microsoft.com/office/2006/metadata/properties" xmlns:ns2="0a7876d9-2958-4272-bf70-8da365f0221d" xmlns:ns3="aad0c1e2-4536-4a3e-bd99-faab77108780" targetNamespace="http://schemas.microsoft.com/office/2006/metadata/properties" ma:root="true" ma:fieldsID="503e03573700425f1e8e6e950963faf6" ns2:_="" ns3:_="">
    <xsd:import namespace="0a7876d9-2958-4272-bf70-8da365f0221d"/>
    <xsd:import namespace="aad0c1e2-4536-4a3e-bd99-faab771087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7876d9-2958-4272-bf70-8da365f022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6c67a41-f887-4bc6-b4ea-d4e3476418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d0c1e2-4536-4a3e-bd99-faab7710878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b2ca6ff-607d-46ad-b9ca-bad8cda8d896}" ma:internalName="TaxCatchAll" ma:showField="CatchAllData" ma:web="aad0c1e2-4536-4a3e-bd99-faab771087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CEF5C3-1A1A-4382-824D-E86199B446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7876d9-2958-4272-bf70-8da365f0221d"/>
    <ds:schemaRef ds:uri="aad0c1e2-4536-4a3e-bd99-faab771087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4CEAE7-AECE-4B32-A20F-64BBE35FF0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984</Words>
  <Characters>5611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JPMorgan Chase &amp; Co.</Company>
  <LinksUpToDate>false</LinksUpToDate>
  <CharactersWithSpaces>6582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Birnbaum, Jeremie (CIB IBC, GBR)</dc:creator>
  <cp:keywords/>
  <dc:description/>
  <cp:lastModifiedBy>Adam Spurr</cp:lastModifiedBy>
  <cp:revision>9</cp:revision>
  <cp:lastPrinted>2023-10-18T20:52:00Z</cp:lastPrinted>
  <dcterms:created xsi:type="dcterms:W3CDTF">2023-10-25T10:53:00Z</dcterms:created>
  <dcterms:modified xsi:type="dcterms:W3CDTF">2023-10-26T11:18:00Z</dcterms:modified>
</cp:coreProperties>
</file>