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271"/>
      </w:tblGrid>
      <w:tr w:rsidR="00C46AB4" w:rsidRPr="00CE3F81" w14:paraId="2FCC29CB" w14:textId="77777777" w:rsidTr="00D57D47">
        <w:tc>
          <w:tcPr>
            <w:tcW w:w="2268" w:type="dxa"/>
          </w:tcPr>
          <w:p w14:paraId="7456B340" w14:textId="77777777" w:rsidR="00C46AB4" w:rsidRPr="00CE3F81" w:rsidRDefault="00C46AB4" w:rsidP="00524BB4">
            <w:pPr>
              <w:rPr>
                <w:rFonts w:cstheme="minorHAnsi"/>
              </w:rPr>
            </w:pPr>
          </w:p>
        </w:tc>
        <w:tc>
          <w:tcPr>
            <w:tcW w:w="6271" w:type="dxa"/>
          </w:tcPr>
          <w:p w14:paraId="4E0BE01B" w14:textId="53367FA4" w:rsidR="00C46AB4" w:rsidRPr="00CE3F81" w:rsidRDefault="00BA5DF1" w:rsidP="00C46AB4">
            <w:pPr>
              <w:spacing w:after="60"/>
              <w:jc w:val="center"/>
              <w:rPr>
                <w:rFonts w:cstheme="minorHAnsi"/>
                <w:b/>
              </w:rPr>
            </w:pPr>
            <w:r w:rsidRPr="00CE3F81">
              <w:rPr>
                <w:rFonts w:cstheme="minorHAnsi"/>
                <w:b/>
              </w:rPr>
              <w:t>SYNCONA</w:t>
            </w:r>
            <w:r w:rsidR="00C46AB4" w:rsidRPr="00CE3F81">
              <w:rPr>
                <w:rFonts w:cstheme="minorHAnsi"/>
                <w:b/>
              </w:rPr>
              <w:t xml:space="preserve"> LIMITED</w:t>
            </w:r>
          </w:p>
          <w:p w14:paraId="38A14845" w14:textId="75FBA458" w:rsidR="00C46AB4" w:rsidRPr="00CE3F81" w:rsidRDefault="00C46AB4" w:rsidP="00C46AB4">
            <w:pPr>
              <w:spacing w:after="60"/>
              <w:jc w:val="center"/>
              <w:rPr>
                <w:rFonts w:cstheme="minorHAnsi"/>
                <w:b/>
              </w:rPr>
            </w:pPr>
            <w:r w:rsidRPr="00CE3F81">
              <w:rPr>
                <w:rFonts w:cstheme="minorHAnsi"/>
                <w:b/>
              </w:rPr>
              <w:t xml:space="preserve">Registration Number: </w:t>
            </w:r>
            <w:r w:rsidR="00BA5DF1" w:rsidRPr="00CE3F81">
              <w:rPr>
                <w:rFonts w:cstheme="minorHAnsi"/>
                <w:b/>
              </w:rPr>
              <w:t>55514</w:t>
            </w:r>
          </w:p>
          <w:p w14:paraId="3D2782A8" w14:textId="3C7D3E98" w:rsidR="00511784" w:rsidRPr="00CE3F81" w:rsidRDefault="00C46AB4" w:rsidP="00BA5DF1">
            <w:pPr>
              <w:jc w:val="center"/>
              <w:rPr>
                <w:rFonts w:cstheme="minorHAnsi"/>
              </w:rPr>
            </w:pPr>
            <w:r w:rsidRPr="00CE3F81">
              <w:rPr>
                <w:rFonts w:cstheme="minorHAnsi"/>
              </w:rPr>
              <w:t>(the “</w:t>
            </w:r>
            <w:r w:rsidRPr="00CE3F81">
              <w:rPr>
                <w:rFonts w:cstheme="minorHAnsi"/>
                <w:b/>
              </w:rPr>
              <w:t>Company</w:t>
            </w:r>
            <w:r w:rsidRPr="00CE3F81">
              <w:rPr>
                <w:rFonts w:cstheme="minorHAnsi"/>
              </w:rPr>
              <w:t>”)</w:t>
            </w:r>
          </w:p>
        </w:tc>
      </w:tr>
      <w:tr w:rsidR="00A270A4" w:rsidRPr="00CE3F81" w14:paraId="7BE8E9ED" w14:textId="77777777" w:rsidTr="00D57D47">
        <w:tc>
          <w:tcPr>
            <w:tcW w:w="2268" w:type="dxa"/>
          </w:tcPr>
          <w:p w14:paraId="08AA2D8C" w14:textId="77777777" w:rsidR="00A270A4" w:rsidRPr="00CE3F81" w:rsidRDefault="00A270A4" w:rsidP="00524BB4">
            <w:pPr>
              <w:rPr>
                <w:rFonts w:cstheme="minorHAnsi"/>
              </w:rPr>
            </w:pPr>
          </w:p>
        </w:tc>
        <w:tc>
          <w:tcPr>
            <w:tcW w:w="6271" w:type="dxa"/>
          </w:tcPr>
          <w:p w14:paraId="03A21414" w14:textId="77777777" w:rsidR="00A270A4" w:rsidRPr="00CE3F81" w:rsidRDefault="00A270A4" w:rsidP="00C46AB4">
            <w:pPr>
              <w:spacing w:after="60"/>
              <w:jc w:val="center"/>
              <w:rPr>
                <w:rFonts w:cstheme="minorHAnsi"/>
                <w:b/>
              </w:rPr>
            </w:pPr>
          </w:p>
        </w:tc>
      </w:tr>
      <w:tr w:rsidR="003B3C34" w:rsidRPr="00CE3F81" w14:paraId="1007DD41" w14:textId="77777777" w:rsidTr="00D57D47">
        <w:tc>
          <w:tcPr>
            <w:tcW w:w="8539" w:type="dxa"/>
            <w:gridSpan w:val="2"/>
          </w:tcPr>
          <w:p w14:paraId="72A0707A" w14:textId="60505199" w:rsidR="003B3C34" w:rsidRPr="00CE3F81" w:rsidRDefault="008D306B" w:rsidP="00243BF9">
            <w:pPr>
              <w:jc w:val="both"/>
              <w:rPr>
                <w:rFonts w:cstheme="minorHAnsi"/>
              </w:rPr>
            </w:pPr>
            <w:r w:rsidRPr="00CE3F81">
              <w:rPr>
                <w:rFonts w:cstheme="minorHAnsi"/>
                <w:b/>
                <w:caps/>
              </w:rPr>
              <w:t xml:space="preserve">Certified True Extract of the minutes of the ANNUAL General Meeting of the MemberS of the Company held at the offices of citco fund services (guernsey) limited, FRANCES HOUSE, SIR WILLIAM PLACE, ST PETER PORT GUERNSEY on </w:t>
            </w:r>
            <w:r w:rsidR="008273D7" w:rsidRPr="00CE3F81">
              <w:rPr>
                <w:rFonts w:cstheme="minorHAnsi"/>
                <w:b/>
                <w:caps/>
              </w:rPr>
              <w:t>6</w:t>
            </w:r>
            <w:r w:rsidRPr="00CE3F81">
              <w:rPr>
                <w:rFonts w:cstheme="minorHAnsi"/>
                <w:b/>
                <w:caps/>
              </w:rPr>
              <w:t xml:space="preserve"> AUGUST 202</w:t>
            </w:r>
            <w:r w:rsidR="008273D7" w:rsidRPr="00CE3F81">
              <w:rPr>
                <w:rFonts w:cstheme="minorHAnsi"/>
                <w:b/>
                <w:caps/>
              </w:rPr>
              <w:t>4</w:t>
            </w:r>
            <w:r w:rsidRPr="00CE3F81">
              <w:rPr>
                <w:rFonts w:cstheme="minorHAnsi"/>
                <w:b/>
                <w:caps/>
              </w:rPr>
              <w:t xml:space="preserve"> at 1.</w:t>
            </w:r>
            <w:r w:rsidR="008273D7" w:rsidRPr="00CE3F81">
              <w:rPr>
                <w:rFonts w:cstheme="minorHAnsi"/>
                <w:b/>
                <w:caps/>
              </w:rPr>
              <w:t>0</w:t>
            </w:r>
            <w:r w:rsidRPr="00CE3F81">
              <w:rPr>
                <w:rFonts w:cstheme="minorHAnsi"/>
                <w:b/>
                <w:caps/>
              </w:rPr>
              <w:t>0</w:t>
            </w:r>
            <w:r w:rsidR="008273D7" w:rsidRPr="00CE3F81">
              <w:rPr>
                <w:rFonts w:cstheme="minorHAnsi"/>
                <w:b/>
                <w:caps/>
              </w:rPr>
              <w:t xml:space="preserve"> P</w:t>
            </w:r>
            <w:r w:rsidRPr="00CE3F81">
              <w:rPr>
                <w:rFonts w:cstheme="minorHAnsi"/>
                <w:b/>
                <w:caps/>
              </w:rPr>
              <w:t>m</w:t>
            </w:r>
          </w:p>
        </w:tc>
      </w:tr>
      <w:tr w:rsidR="00024851" w:rsidRPr="00CE3F81" w14:paraId="59B2F3A6" w14:textId="77777777" w:rsidTr="00D57D47">
        <w:tc>
          <w:tcPr>
            <w:tcW w:w="2268" w:type="dxa"/>
          </w:tcPr>
          <w:p w14:paraId="7F46850D" w14:textId="6EE5E54F" w:rsidR="00024851" w:rsidRPr="00CE3F81" w:rsidRDefault="00024851" w:rsidP="00524BB4">
            <w:pPr>
              <w:rPr>
                <w:rFonts w:cstheme="minorHAnsi"/>
                <w:b/>
                <w:highlight w:val="yellow"/>
              </w:rPr>
            </w:pPr>
          </w:p>
        </w:tc>
        <w:tc>
          <w:tcPr>
            <w:tcW w:w="6271" w:type="dxa"/>
          </w:tcPr>
          <w:p w14:paraId="01EC1A20" w14:textId="325D95C3" w:rsidR="00024851" w:rsidRPr="00CE3F81" w:rsidRDefault="00024851" w:rsidP="00524BB4">
            <w:pPr>
              <w:jc w:val="both"/>
              <w:rPr>
                <w:rFonts w:cstheme="minorHAnsi"/>
              </w:rPr>
            </w:pPr>
          </w:p>
        </w:tc>
      </w:tr>
      <w:tr w:rsidR="008D306B" w:rsidRPr="00CE3F81" w14:paraId="5B98175A" w14:textId="77777777" w:rsidTr="00D57D47">
        <w:tc>
          <w:tcPr>
            <w:tcW w:w="2268" w:type="dxa"/>
          </w:tcPr>
          <w:p w14:paraId="276A5CDB" w14:textId="2739A048" w:rsidR="008D306B" w:rsidRPr="00CE3F81" w:rsidRDefault="008D306B" w:rsidP="008D306B">
            <w:pPr>
              <w:rPr>
                <w:rFonts w:cstheme="minorHAnsi"/>
                <w:b/>
                <w:highlight w:val="yellow"/>
              </w:rPr>
            </w:pPr>
            <w:r w:rsidRPr="00CE3F81">
              <w:rPr>
                <w:rFonts w:cstheme="minorHAnsi"/>
                <w:b/>
              </w:rPr>
              <w:t>DIRECTORS' AUTHORITY TO ALLOT SHARES – ORDINARY RESOLUTION:</w:t>
            </w:r>
          </w:p>
        </w:tc>
        <w:tc>
          <w:tcPr>
            <w:tcW w:w="6271" w:type="dxa"/>
          </w:tcPr>
          <w:p w14:paraId="367903EB" w14:textId="2EC1CFE1" w:rsidR="008D306B" w:rsidRPr="00CE3F81" w:rsidRDefault="008273D7" w:rsidP="008D306B">
            <w:pPr>
              <w:jc w:val="both"/>
              <w:rPr>
                <w:rFonts w:cstheme="minorHAnsi"/>
              </w:rPr>
            </w:pPr>
            <w:r w:rsidRPr="00CE3F81">
              <w:rPr>
                <w:rFonts w:cstheme="minorHAnsi"/>
                <w:b/>
              </w:rPr>
              <w:t xml:space="preserve">IT WAS RESOLVED </w:t>
            </w:r>
            <w:r w:rsidRPr="00CE3F81">
              <w:rPr>
                <w:rFonts w:cstheme="minorHAnsi"/>
              </w:rPr>
              <w:t xml:space="preserve">that the Directors be generally and unconditionally authorised to allot and issue, grant rights to subscribe for, or to convert securities into, up to </w:t>
            </w:r>
            <w:r w:rsidR="00CF60CD" w:rsidRPr="00CE3F81">
              <w:rPr>
                <w:rFonts w:cstheme="minorHAnsi"/>
              </w:rPr>
              <w:t>215,195,340</w:t>
            </w:r>
            <w:r w:rsidRPr="00CE3F81">
              <w:rPr>
                <w:rFonts w:cstheme="minorHAnsi"/>
              </w:rPr>
              <w:t xml:space="preserve"> Ordinary Shares (being 33.33 per cent of the Company’s shares in issue as at the Latest Practicable Date) for the period expiring on the date falling fifteen months after the date of passing of this resolution or the conclusion of the next annual general meeting of the Company, whichever is the earlier, save that the Company may before such expiry make an offer or agreement which would or might require shares to be allotted and issued after such expiry and the Directors may allot and issue shares in pursuance of such an offer or agreement as if the authority had not expired.</w:t>
            </w:r>
          </w:p>
        </w:tc>
      </w:tr>
      <w:tr w:rsidR="009B2221" w:rsidRPr="00CE3F81" w14:paraId="4F94090C" w14:textId="77777777" w:rsidTr="00D57D47">
        <w:tc>
          <w:tcPr>
            <w:tcW w:w="2268" w:type="dxa"/>
          </w:tcPr>
          <w:p w14:paraId="45FFB708" w14:textId="77777777" w:rsidR="009B2221" w:rsidRPr="00CE3F81" w:rsidRDefault="009B2221" w:rsidP="00524BB4">
            <w:pPr>
              <w:rPr>
                <w:rFonts w:cstheme="minorHAnsi"/>
                <w:b/>
                <w:highlight w:val="yellow"/>
              </w:rPr>
            </w:pPr>
          </w:p>
        </w:tc>
        <w:tc>
          <w:tcPr>
            <w:tcW w:w="6271" w:type="dxa"/>
          </w:tcPr>
          <w:p w14:paraId="7E1D92C2" w14:textId="77777777" w:rsidR="009B2221" w:rsidRPr="00CE3F81" w:rsidRDefault="009B2221" w:rsidP="00524BB4">
            <w:pPr>
              <w:jc w:val="both"/>
              <w:rPr>
                <w:rFonts w:cstheme="minorHAnsi"/>
              </w:rPr>
            </w:pPr>
          </w:p>
        </w:tc>
      </w:tr>
      <w:tr w:rsidR="00024851" w:rsidRPr="00CE3F81" w14:paraId="43458A1B" w14:textId="77777777" w:rsidTr="00D57D47">
        <w:tc>
          <w:tcPr>
            <w:tcW w:w="2268" w:type="dxa"/>
          </w:tcPr>
          <w:p w14:paraId="60A70287" w14:textId="2E7945D6" w:rsidR="00024851" w:rsidRPr="00CE3F81" w:rsidRDefault="00C94898" w:rsidP="00C94898">
            <w:pPr>
              <w:rPr>
                <w:rFonts w:cstheme="minorHAnsi"/>
                <w:b/>
              </w:rPr>
            </w:pPr>
            <w:r w:rsidRPr="00CE3F81">
              <w:rPr>
                <w:rFonts w:cstheme="minorHAnsi"/>
                <w:b/>
              </w:rPr>
              <w:t>SHARE BUYBACK AUTHORITY</w:t>
            </w:r>
            <w:r w:rsidR="00D3576B" w:rsidRPr="00CE3F81">
              <w:rPr>
                <w:rFonts w:cstheme="minorHAnsi"/>
                <w:b/>
              </w:rPr>
              <w:t xml:space="preserve"> –</w:t>
            </w:r>
            <w:r w:rsidR="00BA5DF1" w:rsidRPr="00CE3F81">
              <w:rPr>
                <w:rFonts w:cstheme="minorHAnsi"/>
                <w:b/>
              </w:rPr>
              <w:t xml:space="preserve"> </w:t>
            </w:r>
            <w:r w:rsidRPr="00CE3F81">
              <w:rPr>
                <w:rFonts w:cstheme="minorHAnsi"/>
                <w:b/>
              </w:rPr>
              <w:t>SPECIAL</w:t>
            </w:r>
            <w:r w:rsidR="00D3576B" w:rsidRPr="00CE3F81">
              <w:rPr>
                <w:rFonts w:cstheme="minorHAnsi"/>
                <w:b/>
              </w:rPr>
              <w:t xml:space="preserve"> </w:t>
            </w:r>
            <w:r w:rsidR="00BA5DF1" w:rsidRPr="00CE3F81">
              <w:rPr>
                <w:rFonts w:cstheme="minorHAnsi"/>
                <w:b/>
              </w:rPr>
              <w:t>RESOLUTION</w:t>
            </w:r>
            <w:r w:rsidR="00571180" w:rsidRPr="00CE3F81">
              <w:rPr>
                <w:rFonts w:cstheme="minorHAnsi"/>
                <w:b/>
              </w:rPr>
              <w:t>:</w:t>
            </w:r>
          </w:p>
        </w:tc>
        <w:tc>
          <w:tcPr>
            <w:tcW w:w="6271" w:type="dxa"/>
          </w:tcPr>
          <w:p w14:paraId="770BDD4B" w14:textId="77777777" w:rsidR="008273D7" w:rsidRPr="00CE3F81" w:rsidRDefault="008273D7" w:rsidP="008273D7">
            <w:pPr>
              <w:autoSpaceDE w:val="0"/>
              <w:autoSpaceDN w:val="0"/>
              <w:adjustRightInd w:val="0"/>
              <w:spacing w:after="200" w:line="276" w:lineRule="auto"/>
              <w:jc w:val="both"/>
              <w:rPr>
                <w:rFonts w:cstheme="minorHAnsi"/>
                <w:lang w:val="en-US"/>
              </w:rPr>
            </w:pPr>
            <w:r w:rsidRPr="00CE3F81">
              <w:rPr>
                <w:rFonts w:cstheme="minorHAnsi"/>
                <w:b/>
                <w:lang w:val="en-US"/>
              </w:rPr>
              <w:t xml:space="preserve">IT WAS RESOLVED </w:t>
            </w:r>
            <w:r w:rsidRPr="00CE3F81">
              <w:rPr>
                <w:rFonts w:cstheme="minorHAnsi"/>
                <w:lang w:val="en-US"/>
              </w:rPr>
              <w:t xml:space="preserve">that the Company be and is hereby generally and unconditionally </w:t>
            </w:r>
            <w:proofErr w:type="spellStart"/>
            <w:r w:rsidRPr="00CE3F81">
              <w:rPr>
                <w:rFonts w:cstheme="minorHAnsi"/>
                <w:lang w:val="en-US"/>
              </w:rPr>
              <w:t>authorised</w:t>
            </w:r>
            <w:proofErr w:type="spellEnd"/>
            <w:r w:rsidRPr="00CE3F81">
              <w:rPr>
                <w:rFonts w:cstheme="minorHAnsi"/>
                <w:lang w:val="en-US"/>
              </w:rPr>
              <w:t xml:space="preserve"> in accordance with section 315 of the Companies (Guernsey) Law, 2008, as amended (the “</w:t>
            </w:r>
            <w:r w:rsidRPr="00CE3F81">
              <w:rPr>
                <w:rFonts w:cstheme="minorHAnsi"/>
                <w:b/>
                <w:lang w:val="en-US"/>
              </w:rPr>
              <w:t>Companies Law”</w:t>
            </w:r>
            <w:r w:rsidRPr="00CE3F81">
              <w:rPr>
                <w:rFonts w:cstheme="minorHAnsi"/>
                <w:lang w:val="en-US"/>
              </w:rPr>
              <w:t>), to make market acquisitions (as defined in the Companies Law) of its shares (either for the retention as treasury shares for future resale or transfer or cancellation) PROVIDED THAT:</w:t>
            </w:r>
          </w:p>
          <w:p w14:paraId="1D3582A1" w14:textId="59747A85" w:rsidR="008273D7" w:rsidRPr="00CE3F81" w:rsidRDefault="008273D7" w:rsidP="008273D7">
            <w:pPr>
              <w:numPr>
                <w:ilvl w:val="0"/>
                <w:numId w:val="2"/>
              </w:numPr>
              <w:spacing w:after="200" w:line="276" w:lineRule="auto"/>
              <w:ind w:left="360" w:right="86" w:hanging="346"/>
              <w:jc w:val="both"/>
              <w:rPr>
                <w:rFonts w:eastAsia="Calibri" w:cstheme="minorHAnsi"/>
                <w:color w:val="000000"/>
                <w:lang w:val="en-US"/>
              </w:rPr>
            </w:pPr>
            <w:r w:rsidRPr="00CE3F81">
              <w:rPr>
                <w:rFonts w:eastAsia="Calibri" w:cstheme="minorHAnsi"/>
                <w:color w:val="000000"/>
                <w:lang w:val="en-US"/>
              </w:rPr>
              <w:t xml:space="preserve">the maximum number of shares </w:t>
            </w:r>
            <w:proofErr w:type="spellStart"/>
            <w:r w:rsidRPr="00CE3F81">
              <w:rPr>
                <w:rFonts w:eastAsia="Calibri" w:cstheme="minorHAnsi"/>
                <w:color w:val="000000"/>
                <w:lang w:val="en-US"/>
              </w:rPr>
              <w:t>authorised</w:t>
            </w:r>
            <w:proofErr w:type="spellEnd"/>
            <w:r w:rsidRPr="00CE3F81">
              <w:rPr>
                <w:rFonts w:eastAsia="Calibri" w:cstheme="minorHAnsi"/>
                <w:color w:val="000000"/>
                <w:lang w:val="en-US"/>
              </w:rPr>
              <w:t xml:space="preserve"> to be purchased shall be </w:t>
            </w:r>
            <w:r w:rsidR="00CF60CD" w:rsidRPr="00CE3F81">
              <w:rPr>
                <w:rFonts w:eastAsia="Calibri" w:cstheme="minorHAnsi"/>
                <w:color w:val="000000"/>
                <w:lang w:val="en-US"/>
              </w:rPr>
              <w:t xml:space="preserve">96,783,022 </w:t>
            </w:r>
            <w:r w:rsidRPr="00CE3F81">
              <w:rPr>
                <w:rFonts w:eastAsia="Calibri" w:cstheme="minorHAnsi"/>
                <w:color w:val="000000"/>
                <w:lang w:val="en-US"/>
              </w:rPr>
              <w:t>Ordinary Shares (being 14.99 per cent. of the shares in issue as at the Latest Practicable Date);</w:t>
            </w:r>
          </w:p>
          <w:p w14:paraId="28E1220C" w14:textId="77777777" w:rsidR="008273D7" w:rsidRPr="00CE3F81" w:rsidRDefault="008273D7" w:rsidP="008273D7">
            <w:pPr>
              <w:numPr>
                <w:ilvl w:val="0"/>
                <w:numId w:val="2"/>
              </w:numPr>
              <w:spacing w:after="200" w:line="276" w:lineRule="auto"/>
              <w:ind w:left="360" w:right="86" w:hanging="346"/>
              <w:jc w:val="both"/>
              <w:rPr>
                <w:rFonts w:eastAsia="Calibri" w:cstheme="minorHAnsi"/>
                <w:color w:val="000000"/>
                <w:lang w:val="en-US"/>
              </w:rPr>
            </w:pPr>
            <w:r w:rsidRPr="00CE3F81">
              <w:rPr>
                <w:rFonts w:eastAsia="Calibri" w:cstheme="minorHAnsi"/>
                <w:color w:val="000000"/>
                <w:lang w:val="en-US"/>
              </w:rPr>
              <w:t>the minimum price (exclusive of expenses) which may be paid for a share shall be 1 penny;</w:t>
            </w:r>
          </w:p>
          <w:p w14:paraId="6755938C" w14:textId="77777777" w:rsidR="008273D7" w:rsidRPr="00CE3F81" w:rsidRDefault="008273D7" w:rsidP="008273D7">
            <w:pPr>
              <w:numPr>
                <w:ilvl w:val="0"/>
                <w:numId w:val="2"/>
              </w:numPr>
              <w:spacing w:after="200" w:line="276" w:lineRule="auto"/>
              <w:ind w:left="360" w:right="86" w:hanging="346"/>
              <w:jc w:val="both"/>
              <w:rPr>
                <w:rFonts w:cstheme="minorHAnsi"/>
                <w:lang w:val="en-US"/>
              </w:rPr>
            </w:pPr>
            <w:r w:rsidRPr="00CE3F81">
              <w:rPr>
                <w:rFonts w:eastAsia="Calibri" w:cstheme="minorHAnsi"/>
                <w:color w:val="000000"/>
                <w:lang w:val="en-US"/>
              </w:rPr>
              <w:t>the maximum price which may be paid for a share is an amount equal to the higher of: (a) 105 per cent. of the average of the middle market quotations for a share on the relevant market for the five business days immediately preceding the date on which the share is purchased; and (b) the higher of (</w:t>
            </w:r>
            <w:proofErr w:type="spellStart"/>
            <w:r w:rsidRPr="00CE3F81">
              <w:rPr>
                <w:rFonts w:eastAsia="Calibri" w:cstheme="minorHAnsi"/>
                <w:color w:val="000000"/>
                <w:lang w:val="en-US"/>
              </w:rPr>
              <w:t>i</w:t>
            </w:r>
            <w:proofErr w:type="spellEnd"/>
            <w:r w:rsidRPr="00CE3F81">
              <w:rPr>
                <w:rFonts w:eastAsia="Calibri" w:cstheme="minorHAnsi"/>
                <w:color w:val="000000"/>
                <w:lang w:val="en-US"/>
              </w:rPr>
              <w:t>) the price of the last independent trade for a share and (ii) the highest current independent bid for a share at the time of purchase; a</w:t>
            </w:r>
            <w:r w:rsidRPr="00CE3F81">
              <w:rPr>
                <w:rFonts w:cstheme="minorHAnsi"/>
                <w:lang w:val="en-US"/>
              </w:rPr>
              <w:t>nd</w:t>
            </w:r>
          </w:p>
          <w:p w14:paraId="092A9FEA" w14:textId="561C7CEC" w:rsidR="00A359CD" w:rsidRPr="00CE3F81" w:rsidRDefault="008273D7" w:rsidP="00243BF9">
            <w:pPr>
              <w:pStyle w:val="ListParagraph"/>
              <w:numPr>
                <w:ilvl w:val="0"/>
                <w:numId w:val="2"/>
              </w:numPr>
              <w:ind w:left="345" w:hanging="345"/>
              <w:jc w:val="both"/>
              <w:rPr>
                <w:rFonts w:asciiTheme="minorHAnsi" w:eastAsia="Calibri" w:hAnsiTheme="minorHAnsi" w:cstheme="minorHAnsi"/>
                <w:color w:val="000000"/>
                <w:lang w:val="en-US"/>
              </w:rPr>
            </w:pPr>
            <w:r w:rsidRPr="00CE3F81">
              <w:rPr>
                <w:rFonts w:asciiTheme="minorHAnsi" w:eastAsia="Calibri" w:hAnsiTheme="minorHAnsi" w:cstheme="minorHAnsi"/>
                <w:color w:val="000000"/>
                <w:lang w:val="en-US"/>
              </w:rPr>
              <w:t>the authority hereby conferred shall expire on the date that is fifteen months after the date of passing of this resolution or the conclusion of the next annual general meeting of the Company, whichever is the earlier, unless such authority is varied, revoked or renewed prior to such date by a special resolution of the Company in a general meeting.</w:t>
            </w:r>
          </w:p>
        </w:tc>
      </w:tr>
      <w:tr w:rsidR="00AC369C" w:rsidRPr="00CE3F81" w14:paraId="0BA80504" w14:textId="77777777" w:rsidTr="00D57D47">
        <w:tc>
          <w:tcPr>
            <w:tcW w:w="2268" w:type="dxa"/>
          </w:tcPr>
          <w:p w14:paraId="432473BF" w14:textId="77777777" w:rsidR="00AC369C" w:rsidRPr="00CE3F81" w:rsidRDefault="00AC369C" w:rsidP="003C2B76">
            <w:pPr>
              <w:rPr>
                <w:rFonts w:cstheme="minorHAnsi"/>
                <w:b/>
              </w:rPr>
            </w:pPr>
          </w:p>
        </w:tc>
        <w:tc>
          <w:tcPr>
            <w:tcW w:w="6271" w:type="dxa"/>
          </w:tcPr>
          <w:p w14:paraId="68792C5E" w14:textId="77777777" w:rsidR="00AC369C" w:rsidRPr="00CE3F81" w:rsidRDefault="00AC369C" w:rsidP="00DE287B">
            <w:pPr>
              <w:jc w:val="both"/>
              <w:rPr>
                <w:rFonts w:cstheme="minorHAnsi"/>
                <w:u w:val="single"/>
              </w:rPr>
            </w:pPr>
          </w:p>
        </w:tc>
      </w:tr>
      <w:tr w:rsidR="009B2221" w:rsidRPr="00CE3F81" w14:paraId="4CB1EA92" w14:textId="77777777" w:rsidTr="00D57D47">
        <w:tc>
          <w:tcPr>
            <w:tcW w:w="2268" w:type="dxa"/>
          </w:tcPr>
          <w:p w14:paraId="19F7C856" w14:textId="45CEAAA2" w:rsidR="009B2221" w:rsidRPr="00CE3F81" w:rsidRDefault="00A11A43" w:rsidP="003C2B76">
            <w:pPr>
              <w:rPr>
                <w:rFonts w:cstheme="minorHAnsi"/>
                <w:b/>
              </w:rPr>
            </w:pPr>
            <w:r w:rsidRPr="00CE3F81">
              <w:rPr>
                <w:rFonts w:cstheme="minorHAnsi"/>
                <w:b/>
              </w:rPr>
              <w:t>DIS</w:t>
            </w:r>
            <w:r w:rsidR="009B2221" w:rsidRPr="00CE3F81">
              <w:rPr>
                <w:rFonts w:cstheme="minorHAnsi"/>
                <w:b/>
              </w:rPr>
              <w:t xml:space="preserve">APLICATION OF </w:t>
            </w:r>
            <w:r w:rsidR="009B2221" w:rsidRPr="00CE3F81">
              <w:rPr>
                <w:rFonts w:cstheme="minorHAnsi"/>
                <w:b/>
              </w:rPr>
              <w:br/>
              <w:t>PRE-EMPTION RIGHTS – EXTRAORDINARY RESOLUTION:</w:t>
            </w:r>
          </w:p>
        </w:tc>
        <w:tc>
          <w:tcPr>
            <w:tcW w:w="6271" w:type="dxa"/>
          </w:tcPr>
          <w:p w14:paraId="51CD5139" w14:textId="4A4F1CB6" w:rsidR="009B2221" w:rsidRPr="00CE3F81" w:rsidRDefault="008273D7" w:rsidP="00CF60CD">
            <w:pPr>
              <w:spacing w:after="200" w:line="276" w:lineRule="auto"/>
              <w:jc w:val="both"/>
              <w:rPr>
                <w:rFonts w:cstheme="minorHAnsi"/>
                <w:u w:val="single"/>
              </w:rPr>
            </w:pPr>
            <w:r w:rsidRPr="00CE3F81">
              <w:rPr>
                <w:rFonts w:cstheme="minorHAnsi"/>
                <w:b/>
                <w:lang w:val="en-US"/>
              </w:rPr>
              <w:t xml:space="preserve">IT WAS RESOLVED </w:t>
            </w:r>
            <w:r w:rsidRPr="00CE3F81">
              <w:rPr>
                <w:rFonts w:cstheme="minorHAnsi"/>
                <w:lang w:val="en-US"/>
              </w:rPr>
              <w:t xml:space="preserve">that, </w:t>
            </w:r>
            <w:r w:rsidRPr="00CE3F81">
              <w:rPr>
                <w:rFonts w:cstheme="minorHAnsi"/>
              </w:rPr>
              <w:t xml:space="preserve">in accordance with Article 6.7 of the Articles, the Directors be empowered to allot and issue (or sell from treasury) </w:t>
            </w:r>
            <w:r w:rsidR="00CF60CD" w:rsidRPr="00CE3F81">
              <w:rPr>
                <w:rFonts w:cstheme="minorHAnsi"/>
              </w:rPr>
              <w:t>64,565,058</w:t>
            </w:r>
            <w:r w:rsidRPr="00CE3F81">
              <w:rPr>
                <w:rFonts w:cstheme="minorHAnsi"/>
                <w:color w:val="000000"/>
              </w:rPr>
              <w:t xml:space="preserve"> </w:t>
            </w:r>
            <w:r w:rsidRPr="00CE3F81">
              <w:rPr>
                <w:rFonts w:cstheme="minorHAnsi"/>
              </w:rPr>
              <w:t>Ordinary Shares (being 10 per cent. of the shares in issue as at the Latest Practicable Date) for cash as if Article 6.2 of the Articles did not apply to the allotment and issue (or sale from treasury) for the period expiring on the date falling fifteen months after the date of passing of this resolution or the conclusion of the next annual general meeting of the Company, whichever is the earlier, save that the Company may before such expiry make offers or agreements which would or might require shares to be allotted and issued (or sold) after such expiry and the Directors may allot and issue (or sell) shares in pursuance of any such offer or agreement notwithstanding that the power conferred by this resolution has expired.</w:t>
            </w:r>
          </w:p>
        </w:tc>
      </w:tr>
      <w:tr w:rsidR="00571180" w:rsidRPr="00CE3F81" w14:paraId="1C1FB0E0" w14:textId="77777777" w:rsidTr="00D57D47">
        <w:tc>
          <w:tcPr>
            <w:tcW w:w="2268" w:type="dxa"/>
          </w:tcPr>
          <w:p w14:paraId="71DF2D17" w14:textId="77777777" w:rsidR="00571180" w:rsidRPr="00CE3F81" w:rsidRDefault="00571180" w:rsidP="00524BB4">
            <w:pPr>
              <w:rPr>
                <w:rFonts w:cstheme="minorHAnsi"/>
                <w:b/>
              </w:rPr>
            </w:pPr>
          </w:p>
        </w:tc>
        <w:tc>
          <w:tcPr>
            <w:tcW w:w="6271" w:type="dxa"/>
          </w:tcPr>
          <w:p w14:paraId="1FA08D29" w14:textId="580D5758" w:rsidR="0030269B" w:rsidRPr="00CE3F81" w:rsidRDefault="0030269B" w:rsidP="004A0FCB">
            <w:pPr>
              <w:jc w:val="both"/>
              <w:rPr>
                <w:rFonts w:cstheme="minorHAnsi"/>
              </w:rPr>
            </w:pPr>
          </w:p>
          <w:p w14:paraId="19D1AE7D" w14:textId="412AD7C7" w:rsidR="008273D7" w:rsidRPr="00CE3F81" w:rsidRDefault="00CE3F81" w:rsidP="004A0FCB">
            <w:pPr>
              <w:jc w:val="both"/>
              <w:rPr>
                <w:rFonts w:cstheme="minorHAnsi"/>
              </w:rPr>
            </w:pPr>
            <w:r w:rsidRPr="00CE3F81">
              <w:rPr>
                <w:rFonts w:cstheme="minorHAnsi"/>
              </w:rPr>
              <w:drawing>
                <wp:inline distT="0" distB="0" distL="0" distR="0" wp14:anchorId="055AB688" wp14:editId="7958B3ED">
                  <wp:extent cx="752475" cy="47341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759421" cy="477781"/>
                          </a:xfrm>
                          <a:prstGeom prst="rect">
                            <a:avLst/>
                          </a:prstGeom>
                        </pic:spPr>
                      </pic:pic>
                    </a:graphicData>
                  </a:graphic>
                </wp:inline>
              </w:drawing>
            </w:r>
          </w:p>
        </w:tc>
      </w:tr>
      <w:tr w:rsidR="00DD54EB" w:rsidRPr="00CE3F81" w14:paraId="0EF28274" w14:textId="77777777" w:rsidTr="00D57D47">
        <w:trPr>
          <w:trHeight w:val="709"/>
        </w:trPr>
        <w:tc>
          <w:tcPr>
            <w:tcW w:w="2268" w:type="dxa"/>
          </w:tcPr>
          <w:p w14:paraId="4A879861" w14:textId="77777777" w:rsidR="00DD54EB" w:rsidRPr="00CE3F81" w:rsidRDefault="00DD54EB" w:rsidP="00524BB4">
            <w:pPr>
              <w:rPr>
                <w:rFonts w:cstheme="minorHAnsi"/>
                <w:b/>
              </w:rPr>
            </w:pPr>
          </w:p>
        </w:tc>
        <w:tc>
          <w:tcPr>
            <w:tcW w:w="6271" w:type="dxa"/>
          </w:tcPr>
          <w:p w14:paraId="6DE312F2" w14:textId="77777777" w:rsidR="00C46AB4" w:rsidRPr="00CE3F81" w:rsidRDefault="00C46AB4" w:rsidP="00C46AB4">
            <w:pPr>
              <w:ind w:firstLine="34"/>
              <w:rPr>
                <w:rFonts w:cstheme="minorHAnsi"/>
                <w:b/>
              </w:rPr>
            </w:pPr>
            <w:r w:rsidRPr="00CE3F81">
              <w:rPr>
                <w:rFonts w:cstheme="minorHAnsi"/>
                <w:b/>
              </w:rPr>
              <w:t>………………….……………………</w:t>
            </w:r>
          </w:p>
          <w:p w14:paraId="17DF3959" w14:textId="77777777" w:rsidR="00DD54EB" w:rsidRPr="00CE3F81" w:rsidRDefault="00C46AB4" w:rsidP="00C01C9E">
            <w:pPr>
              <w:ind w:firstLine="34"/>
              <w:rPr>
                <w:rFonts w:cstheme="minorHAnsi"/>
              </w:rPr>
            </w:pPr>
            <w:r w:rsidRPr="00CE3F81">
              <w:rPr>
                <w:rFonts w:cstheme="minorHAnsi"/>
              </w:rPr>
              <w:t>Authorised Signatory</w:t>
            </w:r>
          </w:p>
          <w:p w14:paraId="4C965F30" w14:textId="77777777" w:rsidR="00BA5DF1" w:rsidRPr="00CE3F81" w:rsidRDefault="00BA5DF1" w:rsidP="00C01C9E">
            <w:pPr>
              <w:ind w:firstLine="34"/>
              <w:rPr>
                <w:rFonts w:cstheme="minorHAnsi"/>
                <w:b/>
              </w:rPr>
            </w:pPr>
            <w:r w:rsidRPr="00CE3F81">
              <w:rPr>
                <w:rFonts w:cstheme="minorHAnsi"/>
              </w:rPr>
              <w:t xml:space="preserve">For and on behalf of </w:t>
            </w:r>
            <w:r w:rsidRPr="00CE3F81">
              <w:rPr>
                <w:rFonts w:cstheme="minorHAnsi"/>
                <w:b/>
              </w:rPr>
              <w:t>Citco Fund Services (Guernsey) Limited</w:t>
            </w:r>
          </w:p>
          <w:p w14:paraId="4EEDAC29" w14:textId="71FE6DEB" w:rsidR="00BA5DF1" w:rsidRPr="00CE3F81" w:rsidRDefault="00BA5DF1" w:rsidP="00C01C9E">
            <w:pPr>
              <w:ind w:firstLine="34"/>
              <w:rPr>
                <w:rFonts w:cstheme="minorHAnsi"/>
              </w:rPr>
            </w:pPr>
            <w:r w:rsidRPr="00CE3F81">
              <w:rPr>
                <w:rFonts w:cstheme="minorHAnsi"/>
              </w:rPr>
              <w:t>As Company Secretary</w:t>
            </w:r>
          </w:p>
        </w:tc>
      </w:tr>
    </w:tbl>
    <w:p w14:paraId="470DD789" w14:textId="3FCE8CDA" w:rsidR="00CA1D62" w:rsidRPr="00CE3F81" w:rsidRDefault="00CA1D62" w:rsidP="00C94898">
      <w:pPr>
        <w:spacing w:after="0" w:line="240" w:lineRule="auto"/>
        <w:rPr>
          <w:rFonts w:cstheme="minorHAnsi"/>
          <w:b/>
        </w:rPr>
      </w:pPr>
    </w:p>
    <w:sectPr w:rsidR="00CA1D62" w:rsidRPr="00CE3F81" w:rsidSect="00B4075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D2F6F"/>
    <w:multiLevelType w:val="hybridMultilevel"/>
    <w:tmpl w:val="877417CA"/>
    <w:lvl w:ilvl="0" w:tplc="4F502DE4">
      <w:start w:val="1"/>
      <w:numFmt w:val="lowerLetter"/>
      <w:lvlText w:val="%1."/>
      <w:lvlJc w:val="left"/>
      <w:pPr>
        <w:ind w:left="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E8E5BE">
      <w:start w:val="1"/>
      <w:numFmt w:val="lowerLetter"/>
      <w:lvlText w:val="%2"/>
      <w:lvlJc w:val="left"/>
      <w:pPr>
        <w:ind w:left="1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D8AD6E4">
      <w:start w:val="1"/>
      <w:numFmt w:val="lowerRoman"/>
      <w:lvlText w:val="%3"/>
      <w:lvlJc w:val="left"/>
      <w:pPr>
        <w:ind w:left="2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D6C51F6">
      <w:start w:val="1"/>
      <w:numFmt w:val="decimal"/>
      <w:lvlText w:val="%4"/>
      <w:lvlJc w:val="left"/>
      <w:pPr>
        <w:ind w:left="28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940B048">
      <w:start w:val="1"/>
      <w:numFmt w:val="lowerLetter"/>
      <w:lvlText w:val="%5"/>
      <w:lvlJc w:val="left"/>
      <w:pPr>
        <w:ind w:left="35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AE5638">
      <w:start w:val="1"/>
      <w:numFmt w:val="lowerRoman"/>
      <w:lvlText w:val="%6"/>
      <w:lvlJc w:val="left"/>
      <w:pPr>
        <w:ind w:left="42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5A7BD4">
      <w:start w:val="1"/>
      <w:numFmt w:val="decimal"/>
      <w:lvlText w:val="%7"/>
      <w:lvlJc w:val="left"/>
      <w:pPr>
        <w:ind w:left="50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90C45B4">
      <w:start w:val="1"/>
      <w:numFmt w:val="lowerLetter"/>
      <w:lvlText w:val="%8"/>
      <w:lvlJc w:val="left"/>
      <w:pPr>
        <w:ind w:left="57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9AC3098">
      <w:start w:val="1"/>
      <w:numFmt w:val="lowerRoman"/>
      <w:lvlText w:val="%9"/>
      <w:lvlJc w:val="left"/>
      <w:pPr>
        <w:ind w:left="64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FA640FF"/>
    <w:multiLevelType w:val="hybridMultilevel"/>
    <w:tmpl w:val="C06690E8"/>
    <w:lvl w:ilvl="0" w:tplc="B0460D74">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CDC493D"/>
    <w:multiLevelType w:val="hybridMultilevel"/>
    <w:tmpl w:val="330E2C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99444AE"/>
    <w:multiLevelType w:val="hybridMultilevel"/>
    <w:tmpl w:val="60808E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F58"/>
    <w:rsid w:val="0000040F"/>
    <w:rsid w:val="000010DA"/>
    <w:rsid w:val="00020248"/>
    <w:rsid w:val="00024851"/>
    <w:rsid w:val="0003514A"/>
    <w:rsid w:val="00073497"/>
    <w:rsid w:val="0009127A"/>
    <w:rsid w:val="000D5FE3"/>
    <w:rsid w:val="000D68F1"/>
    <w:rsid w:val="000E7540"/>
    <w:rsid w:val="000F71A9"/>
    <w:rsid w:val="00100E16"/>
    <w:rsid w:val="00107B6D"/>
    <w:rsid w:val="00111FD2"/>
    <w:rsid w:val="00121B63"/>
    <w:rsid w:val="001321A5"/>
    <w:rsid w:val="001519E9"/>
    <w:rsid w:val="00170EE2"/>
    <w:rsid w:val="001A55F5"/>
    <w:rsid w:val="001E7676"/>
    <w:rsid w:val="0020297D"/>
    <w:rsid w:val="00206942"/>
    <w:rsid w:val="00210419"/>
    <w:rsid w:val="00210C62"/>
    <w:rsid w:val="002122F8"/>
    <w:rsid w:val="00216F8F"/>
    <w:rsid w:val="00221810"/>
    <w:rsid w:val="00222283"/>
    <w:rsid w:val="00222836"/>
    <w:rsid w:val="00243BF9"/>
    <w:rsid w:val="00281620"/>
    <w:rsid w:val="0028520A"/>
    <w:rsid w:val="0029617D"/>
    <w:rsid w:val="002B1F62"/>
    <w:rsid w:val="002B368A"/>
    <w:rsid w:val="002B65BC"/>
    <w:rsid w:val="002B67B0"/>
    <w:rsid w:val="002C0646"/>
    <w:rsid w:val="002C47EE"/>
    <w:rsid w:val="002C4963"/>
    <w:rsid w:val="002D48F6"/>
    <w:rsid w:val="0030269B"/>
    <w:rsid w:val="00342D0E"/>
    <w:rsid w:val="003435C1"/>
    <w:rsid w:val="0035501B"/>
    <w:rsid w:val="003679B5"/>
    <w:rsid w:val="00385436"/>
    <w:rsid w:val="003909CF"/>
    <w:rsid w:val="003A14E5"/>
    <w:rsid w:val="003A7EE1"/>
    <w:rsid w:val="003B0A41"/>
    <w:rsid w:val="003B3C34"/>
    <w:rsid w:val="003C54A8"/>
    <w:rsid w:val="003E7D89"/>
    <w:rsid w:val="0040000F"/>
    <w:rsid w:val="004078EE"/>
    <w:rsid w:val="004215B6"/>
    <w:rsid w:val="00433DCB"/>
    <w:rsid w:val="00436709"/>
    <w:rsid w:val="00444124"/>
    <w:rsid w:val="00465F64"/>
    <w:rsid w:val="00474D88"/>
    <w:rsid w:val="00486457"/>
    <w:rsid w:val="004875BD"/>
    <w:rsid w:val="004A0CAE"/>
    <w:rsid w:val="004A0FCB"/>
    <w:rsid w:val="004B2E52"/>
    <w:rsid w:val="004B5592"/>
    <w:rsid w:val="004C0C05"/>
    <w:rsid w:val="004C1B8D"/>
    <w:rsid w:val="004C6029"/>
    <w:rsid w:val="004E17E6"/>
    <w:rsid w:val="00502695"/>
    <w:rsid w:val="00503D36"/>
    <w:rsid w:val="00511784"/>
    <w:rsid w:val="00524BB4"/>
    <w:rsid w:val="00527A06"/>
    <w:rsid w:val="00534BDC"/>
    <w:rsid w:val="00566D79"/>
    <w:rsid w:val="00571180"/>
    <w:rsid w:val="005A7C60"/>
    <w:rsid w:val="005B4D1F"/>
    <w:rsid w:val="005C021F"/>
    <w:rsid w:val="005D11B5"/>
    <w:rsid w:val="005E0BEC"/>
    <w:rsid w:val="005F45E8"/>
    <w:rsid w:val="005F4BA1"/>
    <w:rsid w:val="005F50F4"/>
    <w:rsid w:val="005F613D"/>
    <w:rsid w:val="00616FD0"/>
    <w:rsid w:val="0062378E"/>
    <w:rsid w:val="00632B4A"/>
    <w:rsid w:val="00641E85"/>
    <w:rsid w:val="00643B63"/>
    <w:rsid w:val="00667510"/>
    <w:rsid w:val="006711EF"/>
    <w:rsid w:val="00672DE4"/>
    <w:rsid w:val="0067775F"/>
    <w:rsid w:val="00692E23"/>
    <w:rsid w:val="00695AA3"/>
    <w:rsid w:val="006A314A"/>
    <w:rsid w:val="006A7FB7"/>
    <w:rsid w:val="006D36DF"/>
    <w:rsid w:val="00716E82"/>
    <w:rsid w:val="00727F44"/>
    <w:rsid w:val="00736907"/>
    <w:rsid w:val="007657EF"/>
    <w:rsid w:val="0077042F"/>
    <w:rsid w:val="00787CAE"/>
    <w:rsid w:val="007A0314"/>
    <w:rsid w:val="007B74B2"/>
    <w:rsid w:val="007C1694"/>
    <w:rsid w:val="007F1F58"/>
    <w:rsid w:val="007F507E"/>
    <w:rsid w:val="0080341C"/>
    <w:rsid w:val="008273D7"/>
    <w:rsid w:val="00827B25"/>
    <w:rsid w:val="008317A6"/>
    <w:rsid w:val="0083457E"/>
    <w:rsid w:val="00873933"/>
    <w:rsid w:val="008753A5"/>
    <w:rsid w:val="00892739"/>
    <w:rsid w:val="008A4F86"/>
    <w:rsid w:val="008D1DE9"/>
    <w:rsid w:val="008D2409"/>
    <w:rsid w:val="008D306B"/>
    <w:rsid w:val="008E650E"/>
    <w:rsid w:val="008E6677"/>
    <w:rsid w:val="008F1944"/>
    <w:rsid w:val="008F1A28"/>
    <w:rsid w:val="00914AC6"/>
    <w:rsid w:val="00923ACA"/>
    <w:rsid w:val="00934675"/>
    <w:rsid w:val="009376B4"/>
    <w:rsid w:val="009400D0"/>
    <w:rsid w:val="009576CF"/>
    <w:rsid w:val="00957BD4"/>
    <w:rsid w:val="009727D9"/>
    <w:rsid w:val="00993A81"/>
    <w:rsid w:val="00994ED6"/>
    <w:rsid w:val="00995014"/>
    <w:rsid w:val="0099635D"/>
    <w:rsid w:val="009A06E0"/>
    <w:rsid w:val="009A3B96"/>
    <w:rsid w:val="009B0D3D"/>
    <w:rsid w:val="009B2221"/>
    <w:rsid w:val="009B7636"/>
    <w:rsid w:val="009C61A5"/>
    <w:rsid w:val="009E157B"/>
    <w:rsid w:val="009F38E0"/>
    <w:rsid w:val="00A07A5F"/>
    <w:rsid w:val="00A11A43"/>
    <w:rsid w:val="00A11F3B"/>
    <w:rsid w:val="00A15DBE"/>
    <w:rsid w:val="00A2039C"/>
    <w:rsid w:val="00A270A4"/>
    <w:rsid w:val="00A27F75"/>
    <w:rsid w:val="00A32BC8"/>
    <w:rsid w:val="00A359CD"/>
    <w:rsid w:val="00A432D3"/>
    <w:rsid w:val="00A47BF3"/>
    <w:rsid w:val="00A728C5"/>
    <w:rsid w:val="00A81530"/>
    <w:rsid w:val="00A84584"/>
    <w:rsid w:val="00A84D8F"/>
    <w:rsid w:val="00A97838"/>
    <w:rsid w:val="00AA464E"/>
    <w:rsid w:val="00AC369C"/>
    <w:rsid w:val="00AC6F93"/>
    <w:rsid w:val="00AD1162"/>
    <w:rsid w:val="00AD1DC0"/>
    <w:rsid w:val="00AE1123"/>
    <w:rsid w:val="00AE715E"/>
    <w:rsid w:val="00AF7E1F"/>
    <w:rsid w:val="00B04877"/>
    <w:rsid w:val="00B40754"/>
    <w:rsid w:val="00B5150D"/>
    <w:rsid w:val="00B5320E"/>
    <w:rsid w:val="00B61F6C"/>
    <w:rsid w:val="00B726AF"/>
    <w:rsid w:val="00B76A58"/>
    <w:rsid w:val="00BA2F57"/>
    <w:rsid w:val="00BA4BAC"/>
    <w:rsid w:val="00BA5DF1"/>
    <w:rsid w:val="00BC296A"/>
    <w:rsid w:val="00BC2B12"/>
    <w:rsid w:val="00BD24A8"/>
    <w:rsid w:val="00BD3BAB"/>
    <w:rsid w:val="00BE37AB"/>
    <w:rsid w:val="00BE4211"/>
    <w:rsid w:val="00BE582B"/>
    <w:rsid w:val="00C01C9E"/>
    <w:rsid w:val="00C030D2"/>
    <w:rsid w:val="00C04A42"/>
    <w:rsid w:val="00C05F05"/>
    <w:rsid w:val="00C35CE5"/>
    <w:rsid w:val="00C36119"/>
    <w:rsid w:val="00C46370"/>
    <w:rsid w:val="00C46AB4"/>
    <w:rsid w:val="00C471B1"/>
    <w:rsid w:val="00C53B18"/>
    <w:rsid w:val="00C76B50"/>
    <w:rsid w:val="00C85147"/>
    <w:rsid w:val="00C93129"/>
    <w:rsid w:val="00C94898"/>
    <w:rsid w:val="00C958A1"/>
    <w:rsid w:val="00CA1D62"/>
    <w:rsid w:val="00CB60A2"/>
    <w:rsid w:val="00CC185A"/>
    <w:rsid w:val="00CC52C4"/>
    <w:rsid w:val="00CC52EE"/>
    <w:rsid w:val="00CD615B"/>
    <w:rsid w:val="00CE3F81"/>
    <w:rsid w:val="00CE5752"/>
    <w:rsid w:val="00CF2091"/>
    <w:rsid w:val="00CF60CD"/>
    <w:rsid w:val="00D05BF3"/>
    <w:rsid w:val="00D14F1D"/>
    <w:rsid w:val="00D26173"/>
    <w:rsid w:val="00D306A4"/>
    <w:rsid w:val="00D3576B"/>
    <w:rsid w:val="00D57D47"/>
    <w:rsid w:val="00D63A7F"/>
    <w:rsid w:val="00D94E2C"/>
    <w:rsid w:val="00D97054"/>
    <w:rsid w:val="00D97FDC"/>
    <w:rsid w:val="00DC5D27"/>
    <w:rsid w:val="00DD2B7C"/>
    <w:rsid w:val="00DD54EB"/>
    <w:rsid w:val="00DE0FEA"/>
    <w:rsid w:val="00DE287B"/>
    <w:rsid w:val="00E25AEA"/>
    <w:rsid w:val="00E36F76"/>
    <w:rsid w:val="00E44F79"/>
    <w:rsid w:val="00E575FC"/>
    <w:rsid w:val="00E602DE"/>
    <w:rsid w:val="00E767A1"/>
    <w:rsid w:val="00E76BF1"/>
    <w:rsid w:val="00E81612"/>
    <w:rsid w:val="00E81DF2"/>
    <w:rsid w:val="00E83BB9"/>
    <w:rsid w:val="00E84BBF"/>
    <w:rsid w:val="00E9747E"/>
    <w:rsid w:val="00EA2D69"/>
    <w:rsid w:val="00EF19AC"/>
    <w:rsid w:val="00EF64E4"/>
    <w:rsid w:val="00EF7E6D"/>
    <w:rsid w:val="00F0347B"/>
    <w:rsid w:val="00F264EF"/>
    <w:rsid w:val="00F30B5B"/>
    <w:rsid w:val="00F400B6"/>
    <w:rsid w:val="00F42D92"/>
    <w:rsid w:val="00F46CB8"/>
    <w:rsid w:val="00F50805"/>
    <w:rsid w:val="00F573AB"/>
    <w:rsid w:val="00F77A18"/>
    <w:rsid w:val="00FB0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FC955"/>
  <w15:docId w15:val="{7632DB04-27F7-4BE7-9571-9D8471AF4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F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A2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D69"/>
    <w:rPr>
      <w:rFonts w:ascii="Tahoma" w:hAnsi="Tahoma" w:cs="Tahoma"/>
      <w:sz w:val="16"/>
      <w:szCs w:val="16"/>
    </w:rPr>
  </w:style>
  <w:style w:type="paragraph" w:styleId="ListParagraph">
    <w:name w:val="List Paragraph"/>
    <w:basedOn w:val="Normal"/>
    <w:uiPriority w:val="34"/>
    <w:qFormat/>
    <w:rsid w:val="004078EE"/>
    <w:pPr>
      <w:spacing w:after="0" w:line="240" w:lineRule="auto"/>
      <w:ind w:left="720"/>
    </w:pPr>
    <w:rPr>
      <w:rFonts w:ascii="Calibri" w:hAnsi="Calibri" w:cs="Calibri"/>
    </w:rPr>
  </w:style>
  <w:style w:type="character" w:styleId="CommentReference">
    <w:name w:val="annotation reference"/>
    <w:basedOn w:val="DefaultParagraphFont"/>
    <w:uiPriority w:val="99"/>
    <w:semiHidden/>
    <w:unhideWhenUsed/>
    <w:rsid w:val="0040000F"/>
    <w:rPr>
      <w:sz w:val="16"/>
      <w:szCs w:val="16"/>
    </w:rPr>
  </w:style>
  <w:style w:type="paragraph" w:styleId="CommentText">
    <w:name w:val="annotation text"/>
    <w:basedOn w:val="Normal"/>
    <w:link w:val="CommentTextChar"/>
    <w:uiPriority w:val="99"/>
    <w:semiHidden/>
    <w:unhideWhenUsed/>
    <w:rsid w:val="0040000F"/>
    <w:pPr>
      <w:spacing w:line="240" w:lineRule="auto"/>
    </w:pPr>
    <w:rPr>
      <w:sz w:val="20"/>
      <w:szCs w:val="20"/>
    </w:rPr>
  </w:style>
  <w:style w:type="character" w:customStyle="1" w:styleId="CommentTextChar">
    <w:name w:val="Comment Text Char"/>
    <w:basedOn w:val="DefaultParagraphFont"/>
    <w:link w:val="CommentText"/>
    <w:uiPriority w:val="99"/>
    <w:semiHidden/>
    <w:rsid w:val="0040000F"/>
    <w:rPr>
      <w:sz w:val="20"/>
      <w:szCs w:val="20"/>
    </w:rPr>
  </w:style>
  <w:style w:type="paragraph" w:styleId="CommentSubject">
    <w:name w:val="annotation subject"/>
    <w:basedOn w:val="CommentText"/>
    <w:next w:val="CommentText"/>
    <w:link w:val="CommentSubjectChar"/>
    <w:uiPriority w:val="99"/>
    <w:semiHidden/>
    <w:unhideWhenUsed/>
    <w:rsid w:val="002B368A"/>
    <w:rPr>
      <w:b/>
      <w:bCs/>
    </w:rPr>
  </w:style>
  <w:style w:type="character" w:customStyle="1" w:styleId="CommentSubjectChar">
    <w:name w:val="Comment Subject Char"/>
    <w:basedOn w:val="CommentTextChar"/>
    <w:link w:val="CommentSubject"/>
    <w:uiPriority w:val="99"/>
    <w:semiHidden/>
    <w:rsid w:val="002B36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54832">
      <w:bodyDiv w:val="1"/>
      <w:marLeft w:val="0"/>
      <w:marRight w:val="0"/>
      <w:marTop w:val="0"/>
      <w:marBottom w:val="0"/>
      <w:divBdr>
        <w:top w:val="none" w:sz="0" w:space="0" w:color="auto"/>
        <w:left w:val="none" w:sz="0" w:space="0" w:color="auto"/>
        <w:bottom w:val="none" w:sz="0" w:space="0" w:color="auto"/>
        <w:right w:val="none" w:sz="0" w:space="0" w:color="auto"/>
      </w:divBdr>
    </w:div>
    <w:div w:id="998580486">
      <w:bodyDiv w:val="1"/>
      <w:marLeft w:val="0"/>
      <w:marRight w:val="0"/>
      <w:marTop w:val="0"/>
      <w:marBottom w:val="0"/>
      <w:divBdr>
        <w:top w:val="none" w:sz="0" w:space="0" w:color="auto"/>
        <w:left w:val="none" w:sz="0" w:space="0" w:color="auto"/>
        <w:bottom w:val="none" w:sz="0" w:space="0" w:color="auto"/>
        <w:right w:val="none" w:sz="0" w:space="0" w:color="auto"/>
      </w:divBdr>
      <w:divsChild>
        <w:div w:id="256064261">
          <w:marLeft w:val="0"/>
          <w:marRight w:val="0"/>
          <w:marTop w:val="0"/>
          <w:marBottom w:val="75"/>
          <w:divBdr>
            <w:top w:val="none" w:sz="0" w:space="0" w:color="auto"/>
            <w:left w:val="none" w:sz="0" w:space="0" w:color="auto"/>
            <w:bottom w:val="none" w:sz="0" w:space="0" w:color="auto"/>
            <w:right w:val="none" w:sz="0" w:space="0" w:color="auto"/>
          </w:divBdr>
          <w:divsChild>
            <w:div w:id="477460806">
              <w:marLeft w:val="0"/>
              <w:marRight w:val="-11475"/>
              <w:marTop w:val="0"/>
              <w:marBottom w:val="0"/>
              <w:divBdr>
                <w:top w:val="none" w:sz="0" w:space="0" w:color="auto"/>
                <w:left w:val="none" w:sz="0" w:space="0" w:color="auto"/>
                <w:bottom w:val="none" w:sz="0" w:space="0" w:color="auto"/>
                <w:right w:val="none" w:sz="0" w:space="0" w:color="auto"/>
              </w:divBdr>
              <w:divsChild>
                <w:div w:id="102845609">
                  <w:marLeft w:val="0"/>
                  <w:marRight w:val="0"/>
                  <w:marTop w:val="0"/>
                  <w:marBottom w:val="0"/>
                  <w:divBdr>
                    <w:top w:val="none" w:sz="0" w:space="0" w:color="auto"/>
                    <w:left w:val="none" w:sz="0" w:space="0" w:color="auto"/>
                    <w:bottom w:val="none" w:sz="0" w:space="0" w:color="auto"/>
                    <w:right w:val="none" w:sz="0" w:space="0" w:color="auto"/>
                  </w:divBdr>
                  <w:divsChild>
                    <w:div w:id="957295636">
                      <w:marLeft w:val="0"/>
                      <w:marRight w:val="0"/>
                      <w:marTop w:val="0"/>
                      <w:marBottom w:val="0"/>
                      <w:divBdr>
                        <w:top w:val="none" w:sz="0" w:space="0" w:color="auto"/>
                        <w:left w:val="none" w:sz="0" w:space="0" w:color="auto"/>
                        <w:bottom w:val="none" w:sz="0" w:space="0" w:color="auto"/>
                        <w:right w:val="none" w:sz="0" w:space="0" w:color="auto"/>
                      </w:divBdr>
                      <w:divsChild>
                        <w:div w:id="291836687">
                          <w:marLeft w:val="0"/>
                          <w:marRight w:val="0"/>
                          <w:marTop w:val="0"/>
                          <w:marBottom w:val="0"/>
                          <w:divBdr>
                            <w:top w:val="none" w:sz="0" w:space="0" w:color="auto"/>
                            <w:left w:val="none" w:sz="0" w:space="0" w:color="auto"/>
                            <w:bottom w:val="none" w:sz="0" w:space="0" w:color="auto"/>
                            <w:right w:val="none" w:sz="0" w:space="0" w:color="auto"/>
                          </w:divBdr>
                          <w:divsChild>
                            <w:div w:id="1836215215">
                              <w:marLeft w:val="0"/>
                              <w:marRight w:val="0"/>
                              <w:marTop w:val="0"/>
                              <w:marBottom w:val="0"/>
                              <w:divBdr>
                                <w:top w:val="none" w:sz="0" w:space="0" w:color="auto"/>
                                <w:left w:val="none" w:sz="0" w:space="0" w:color="auto"/>
                                <w:bottom w:val="none" w:sz="0" w:space="0" w:color="auto"/>
                                <w:right w:val="none" w:sz="0" w:space="0" w:color="auto"/>
                              </w:divBdr>
                              <w:divsChild>
                                <w:div w:id="1202863716">
                                  <w:marLeft w:val="0"/>
                                  <w:marRight w:val="0"/>
                                  <w:marTop w:val="0"/>
                                  <w:marBottom w:val="0"/>
                                  <w:divBdr>
                                    <w:top w:val="none" w:sz="0" w:space="0" w:color="auto"/>
                                    <w:left w:val="none" w:sz="0" w:space="0" w:color="auto"/>
                                    <w:bottom w:val="none" w:sz="0" w:space="0" w:color="auto"/>
                                    <w:right w:val="none" w:sz="0" w:space="0" w:color="auto"/>
                                  </w:divBdr>
                                </w:div>
                                <w:div w:id="753434424">
                                  <w:marLeft w:val="0"/>
                                  <w:marRight w:val="0"/>
                                  <w:marTop w:val="0"/>
                                  <w:marBottom w:val="0"/>
                                  <w:divBdr>
                                    <w:top w:val="none" w:sz="0" w:space="0" w:color="auto"/>
                                    <w:left w:val="none" w:sz="0" w:space="0" w:color="auto"/>
                                    <w:bottom w:val="none" w:sz="0" w:space="0" w:color="auto"/>
                                    <w:right w:val="none" w:sz="0" w:space="0" w:color="auto"/>
                                  </w:divBdr>
                                </w:div>
                                <w:div w:id="1006205902">
                                  <w:marLeft w:val="0"/>
                                  <w:marRight w:val="0"/>
                                  <w:marTop w:val="0"/>
                                  <w:marBottom w:val="0"/>
                                  <w:divBdr>
                                    <w:top w:val="none" w:sz="0" w:space="0" w:color="auto"/>
                                    <w:left w:val="none" w:sz="0" w:space="0" w:color="auto"/>
                                    <w:bottom w:val="none" w:sz="0" w:space="0" w:color="auto"/>
                                    <w:right w:val="none" w:sz="0" w:space="0" w:color="auto"/>
                                  </w:divBdr>
                                </w:div>
                                <w:div w:id="1038433508">
                                  <w:marLeft w:val="0"/>
                                  <w:marRight w:val="0"/>
                                  <w:marTop w:val="0"/>
                                  <w:marBottom w:val="0"/>
                                  <w:divBdr>
                                    <w:top w:val="none" w:sz="0" w:space="0" w:color="auto"/>
                                    <w:left w:val="none" w:sz="0" w:space="0" w:color="auto"/>
                                    <w:bottom w:val="none" w:sz="0" w:space="0" w:color="auto"/>
                                    <w:right w:val="none" w:sz="0" w:space="0" w:color="auto"/>
                                  </w:divBdr>
                                </w:div>
                                <w:div w:id="172036560">
                                  <w:marLeft w:val="0"/>
                                  <w:marRight w:val="0"/>
                                  <w:marTop w:val="0"/>
                                  <w:marBottom w:val="0"/>
                                  <w:divBdr>
                                    <w:top w:val="none" w:sz="0" w:space="0" w:color="auto"/>
                                    <w:left w:val="none" w:sz="0" w:space="0" w:color="auto"/>
                                    <w:bottom w:val="none" w:sz="0" w:space="0" w:color="auto"/>
                                    <w:right w:val="none" w:sz="0" w:space="0" w:color="auto"/>
                                  </w:divBdr>
                                </w:div>
                              </w:divsChild>
                            </w:div>
                            <w:div w:id="610087102">
                              <w:marLeft w:val="0"/>
                              <w:marRight w:val="0"/>
                              <w:marTop w:val="0"/>
                              <w:marBottom w:val="0"/>
                              <w:divBdr>
                                <w:top w:val="none" w:sz="0" w:space="0" w:color="auto"/>
                                <w:left w:val="none" w:sz="0" w:space="0" w:color="auto"/>
                                <w:bottom w:val="none" w:sz="0" w:space="0" w:color="auto"/>
                                <w:right w:val="none" w:sz="0" w:space="0" w:color="auto"/>
                              </w:divBdr>
                              <w:divsChild>
                                <w:div w:id="1606841651">
                                  <w:marLeft w:val="0"/>
                                  <w:marRight w:val="0"/>
                                  <w:marTop w:val="0"/>
                                  <w:marBottom w:val="0"/>
                                  <w:divBdr>
                                    <w:top w:val="none" w:sz="0" w:space="0" w:color="auto"/>
                                    <w:left w:val="none" w:sz="0" w:space="0" w:color="auto"/>
                                    <w:bottom w:val="none" w:sz="0" w:space="0" w:color="auto"/>
                                    <w:right w:val="none" w:sz="0" w:space="0" w:color="auto"/>
                                  </w:divBdr>
                                </w:div>
                                <w:div w:id="703402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744632">
      <w:bodyDiv w:val="1"/>
      <w:marLeft w:val="0"/>
      <w:marRight w:val="0"/>
      <w:marTop w:val="0"/>
      <w:marBottom w:val="0"/>
      <w:divBdr>
        <w:top w:val="none" w:sz="0" w:space="0" w:color="auto"/>
        <w:left w:val="none" w:sz="0" w:space="0" w:color="auto"/>
        <w:bottom w:val="none" w:sz="0" w:space="0" w:color="auto"/>
        <w:right w:val="none" w:sz="0" w:space="0" w:color="auto"/>
      </w:divBdr>
    </w:div>
    <w:div w:id="1351684489">
      <w:bodyDiv w:val="1"/>
      <w:marLeft w:val="0"/>
      <w:marRight w:val="0"/>
      <w:marTop w:val="0"/>
      <w:marBottom w:val="0"/>
      <w:divBdr>
        <w:top w:val="none" w:sz="0" w:space="0" w:color="auto"/>
        <w:left w:val="none" w:sz="0" w:space="0" w:color="auto"/>
        <w:bottom w:val="none" w:sz="0" w:space="0" w:color="auto"/>
        <w:right w:val="none" w:sz="0" w:space="0" w:color="auto"/>
      </w:divBdr>
    </w:div>
    <w:div w:id="1437601158">
      <w:bodyDiv w:val="1"/>
      <w:marLeft w:val="0"/>
      <w:marRight w:val="0"/>
      <w:marTop w:val="0"/>
      <w:marBottom w:val="0"/>
      <w:divBdr>
        <w:top w:val="none" w:sz="0" w:space="0" w:color="auto"/>
        <w:left w:val="none" w:sz="0" w:space="0" w:color="auto"/>
        <w:bottom w:val="none" w:sz="0" w:space="0" w:color="auto"/>
        <w:right w:val="none" w:sz="0" w:space="0" w:color="auto"/>
      </w:divBdr>
    </w:div>
    <w:div w:id="144554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52709-52A9-4E1A-AD79-595B99622C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552</Words>
  <Characters>3148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Citco</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Prevost, Emily    (Citco)</dc:creator>
  <cp:lastModifiedBy>Melass, Katy Pivova    (Citco)</cp:lastModifiedBy>
  <cp:revision>15</cp:revision>
  <cp:lastPrinted>2023-08-01T14:13:00Z</cp:lastPrinted>
  <dcterms:created xsi:type="dcterms:W3CDTF">2021-08-09T08:11:00Z</dcterms:created>
  <dcterms:modified xsi:type="dcterms:W3CDTF">2024-08-06T13:42:00Z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